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-232410</wp:posOffset>
            </wp:positionV>
            <wp:extent cx="2854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8" w:lineRule="exact"/>
        <w:rPr>
          <w:sz w:val="24"/>
          <w:szCs w:val="24"/>
          <w:color w:val="auto"/>
        </w:rPr>
      </w:pPr>
    </w:p>
    <w:p>
      <w:pPr>
        <w:ind w:left="540" w:hanging="519"/>
        <w:spacing w:after="0"/>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0"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77" w:lineRule="exact"/>
        <w:rPr>
          <w:sz w:val="24"/>
          <w:szCs w:val="24"/>
          <w:color w:val="auto"/>
        </w:rPr>
      </w:pPr>
    </w:p>
    <w:p>
      <w:pPr>
        <w:ind w:left="2900"/>
        <w:spacing w:after="0"/>
        <w:tabs>
          <w:tab w:leader="none" w:pos="6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3347085</wp:posOffset>
            </wp:positionH>
            <wp:positionV relativeFrom="paragraph">
              <wp:posOffset>-20320</wp:posOffset>
            </wp:positionV>
            <wp:extent cx="571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001-16503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111760</wp:posOffset>
            </wp:positionV>
            <wp:extent cx="28460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257175</wp:posOffset>
            </wp:positionV>
            <wp:extent cx="1200150"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015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WILLIS TOWERS WATSON PUBLIC LIMITED COMPANY</w:t>
      </w:r>
    </w:p>
    <w:p>
      <w:pPr>
        <w:spacing w:after="0" w:line="42" w:lineRule="exact"/>
        <w:rPr>
          <w:sz w:val="24"/>
          <w:szCs w:val="24"/>
          <w:color w:val="auto"/>
        </w:rPr>
      </w:pPr>
    </w:p>
    <w:tbl>
      <w:tblPr>
        <w:tblLayout w:type="fixed"/>
        <w:tblInd w:w="1160" w:type="dxa"/>
        <w:tblCellMar>
          <w:top w:w="0" w:type="dxa"/>
          <w:left w:w="0" w:type="dxa"/>
          <w:bottom w:w="0" w:type="dxa"/>
          <w:right w:w="0" w:type="dxa"/>
        </w:tblCellMar>
      </w:tblPr>
      <w:tr>
        <w:trPr>
          <w:trHeight w:val="210"/>
        </w:trPr>
        <w:tc>
          <w:tcPr>
            <w:tcW w:w="2220" w:type="dxa"/>
            <w:vAlign w:val="bottom"/>
          </w:tcPr>
          <w:p>
            <w:pPr>
              <w:spacing w:after="0"/>
              <w:rPr>
                <w:sz w:val="18"/>
                <w:szCs w:val="18"/>
                <w:color w:val="auto"/>
              </w:rPr>
            </w:pPr>
          </w:p>
        </w:tc>
        <w:tc>
          <w:tcPr>
            <w:tcW w:w="6700" w:type="dxa"/>
            <w:vAlign w:val="bottom"/>
            <w:gridSpan w:val="3"/>
          </w:tcPr>
          <w:p>
            <w:pPr>
              <w:ind w:left="460"/>
              <w:spacing w:after="0"/>
              <w:rPr>
                <w:sz w:val="20"/>
                <w:szCs w:val="20"/>
                <w:color w:val="auto"/>
              </w:rPr>
            </w:pPr>
            <w:r>
              <w:rPr>
                <w:rFonts w:ascii="Arial" w:cs="Arial" w:eastAsia="Arial" w:hAnsi="Arial"/>
                <w:sz w:val="16"/>
                <w:szCs w:val="16"/>
                <w:b w:val="1"/>
                <w:bCs w:val="1"/>
                <w:color w:val="auto"/>
              </w:rPr>
              <w:t>(Exact name of registrant as specified in its charter)</w:t>
            </w:r>
          </w:p>
        </w:tc>
        <w:tc>
          <w:tcPr>
            <w:tcW w:w="0" w:type="dxa"/>
            <w:vAlign w:val="bottom"/>
          </w:tcPr>
          <w:p>
            <w:pPr>
              <w:spacing w:after="0"/>
              <w:rPr>
                <w:sz w:val="1"/>
                <w:szCs w:val="1"/>
                <w:color w:val="auto"/>
              </w:rPr>
            </w:pPr>
          </w:p>
        </w:tc>
      </w:tr>
      <w:tr>
        <w:trPr>
          <w:trHeight w:val="123"/>
        </w:trPr>
        <w:tc>
          <w:tcPr>
            <w:tcW w:w="2220" w:type="dxa"/>
            <w:vAlign w:val="bottom"/>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1"/>
        </w:trPr>
        <w:tc>
          <w:tcPr>
            <w:tcW w:w="4520" w:type="dxa"/>
            <w:vAlign w:val="bottom"/>
            <w:gridSpan w:val="2"/>
            <w:vMerge w:val="restart"/>
          </w:tcPr>
          <w:p>
            <w:pPr>
              <w:jc w:val="center"/>
              <w:ind w:right="1259"/>
              <w:spacing w:after="0"/>
              <w:rPr>
                <w:sz w:val="20"/>
                <w:szCs w:val="20"/>
                <w:color w:val="auto"/>
              </w:rPr>
            </w:pPr>
            <w:r>
              <w:rPr>
                <w:rFonts w:ascii="Arial" w:cs="Arial" w:eastAsia="Arial" w:hAnsi="Arial"/>
                <w:sz w:val="16"/>
                <w:szCs w:val="16"/>
                <w:b w:val="1"/>
                <w:bCs w:val="1"/>
                <w:color w:val="auto"/>
                <w:w w:val="95"/>
              </w:rPr>
              <w:t>Ireland</w:t>
            </w:r>
          </w:p>
        </w:tc>
        <w:tc>
          <w:tcPr>
            <w:tcW w:w="4400" w:type="dxa"/>
            <w:vAlign w:val="bottom"/>
            <w:gridSpan w:val="2"/>
          </w:tcPr>
          <w:p>
            <w:pPr>
              <w:jc w:val="right"/>
              <w:ind w:right="1068"/>
              <w:spacing w:after="0"/>
              <w:rPr>
                <w:sz w:val="20"/>
                <w:szCs w:val="20"/>
                <w:color w:val="auto"/>
              </w:rPr>
            </w:pPr>
            <w:r>
              <w:rPr>
                <w:rFonts w:ascii="Arial" w:cs="Arial" w:eastAsia="Arial" w:hAnsi="Arial"/>
                <w:sz w:val="16"/>
                <w:szCs w:val="16"/>
                <w:b w:val="1"/>
                <w:bCs w:val="1"/>
                <w:color w:val="auto"/>
              </w:rPr>
              <w:t>98-0352587</w:t>
            </w:r>
          </w:p>
        </w:tc>
        <w:tc>
          <w:tcPr>
            <w:tcW w:w="0" w:type="dxa"/>
            <w:vAlign w:val="bottom"/>
          </w:tcPr>
          <w:p>
            <w:pPr>
              <w:spacing w:after="0"/>
              <w:rPr>
                <w:sz w:val="1"/>
                <w:szCs w:val="1"/>
                <w:color w:val="auto"/>
              </w:rPr>
            </w:pPr>
          </w:p>
        </w:tc>
      </w:tr>
      <w:tr>
        <w:trPr>
          <w:trHeight w:val="68"/>
        </w:trPr>
        <w:tc>
          <w:tcPr>
            <w:tcW w:w="4520" w:type="dxa"/>
            <w:vAlign w:val="bottom"/>
            <w:gridSpan w:val="2"/>
            <w:vMerge w:val="continue"/>
          </w:tcPr>
          <w:p>
            <w:pPr>
              <w:spacing w:after="0"/>
              <w:rPr>
                <w:sz w:val="5"/>
                <w:szCs w:val="5"/>
                <w:color w:val="auto"/>
              </w:rPr>
            </w:pPr>
          </w:p>
        </w:tc>
        <w:tc>
          <w:tcPr>
            <w:tcW w:w="2180" w:type="dxa"/>
            <w:vAlign w:val="bottom"/>
          </w:tcPr>
          <w:p>
            <w:pPr>
              <w:spacing w:after="0"/>
              <w:rPr>
                <w:sz w:val="5"/>
                <w:szCs w:val="5"/>
                <w:color w:val="auto"/>
              </w:rPr>
            </w:pPr>
          </w:p>
        </w:tc>
        <w:tc>
          <w:tcPr>
            <w:tcW w:w="2220" w:type="dxa"/>
            <w:vAlign w:val="bottom"/>
            <w:vMerge w:val="restart"/>
          </w:tcPr>
          <w:p>
            <w:pPr>
              <w:jc w:val="center"/>
              <w:ind w:right="748"/>
              <w:spacing w:after="0"/>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15"/>
        </w:trPr>
        <w:tc>
          <w:tcPr>
            <w:tcW w:w="4520" w:type="dxa"/>
            <w:vAlign w:val="bottom"/>
            <w:gridSpan w:val="2"/>
            <w:vMerge w:val="restart"/>
          </w:tcPr>
          <w:p>
            <w:pPr>
              <w:jc w:val="center"/>
              <w:ind w:right="1259"/>
              <w:spacing w:after="0" w:line="149" w:lineRule="exact"/>
              <w:rPr>
                <w:sz w:val="20"/>
                <w:szCs w:val="20"/>
                <w:color w:val="auto"/>
              </w:rPr>
            </w:pPr>
            <w:r>
              <w:rPr>
                <w:rFonts w:ascii="Arial" w:cs="Arial" w:eastAsia="Arial" w:hAnsi="Arial"/>
                <w:sz w:val="14"/>
                <w:szCs w:val="14"/>
                <w:i w:val="1"/>
                <w:iCs w:val="1"/>
                <w:color w:val="auto"/>
                <w:w w:val="99"/>
              </w:rPr>
              <w:t>(Jurisdiction of</w:t>
            </w:r>
          </w:p>
        </w:tc>
        <w:tc>
          <w:tcPr>
            <w:tcW w:w="218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4520" w:type="dxa"/>
            <w:vAlign w:val="bottom"/>
            <w:gridSpan w:val="2"/>
            <w:vMerge w:val="continue"/>
          </w:tcPr>
          <w:p>
            <w:pPr>
              <w:spacing w:after="0"/>
              <w:rPr>
                <w:sz w:val="2"/>
                <w:szCs w:val="2"/>
                <w:color w:val="auto"/>
              </w:rPr>
            </w:pPr>
          </w:p>
        </w:tc>
        <w:tc>
          <w:tcPr>
            <w:tcW w:w="2180" w:type="dxa"/>
            <w:vAlign w:val="bottom"/>
          </w:tcPr>
          <w:p>
            <w:pPr>
              <w:spacing w:after="0"/>
              <w:rPr>
                <w:sz w:val="2"/>
                <w:szCs w:val="2"/>
                <w:color w:val="auto"/>
              </w:rPr>
            </w:pPr>
          </w:p>
        </w:tc>
        <w:tc>
          <w:tcPr>
            <w:tcW w:w="2220" w:type="dxa"/>
            <w:vAlign w:val="bottom"/>
            <w:vMerge w:val="restart"/>
          </w:tcPr>
          <w:p>
            <w:pPr>
              <w:ind w:left="120"/>
              <w:spacing w:after="0"/>
              <w:rPr>
                <w:sz w:val="20"/>
                <w:szCs w:val="20"/>
                <w:color w:val="auto"/>
              </w:rPr>
            </w:pPr>
            <w:r>
              <w:rPr>
                <w:rFonts w:ascii="Arial" w:cs="Arial" w:eastAsia="Arial" w:hAnsi="Arial"/>
                <w:sz w:val="14"/>
                <w:szCs w:val="14"/>
                <w:i w:val="1"/>
                <w:iCs w:val="1"/>
                <w:color w:val="auto"/>
              </w:rPr>
              <w:t>Identification No.)</w:t>
            </w:r>
          </w:p>
        </w:tc>
        <w:tc>
          <w:tcPr>
            <w:tcW w:w="0" w:type="dxa"/>
            <w:vAlign w:val="bottom"/>
          </w:tcPr>
          <w:p>
            <w:pPr>
              <w:spacing w:after="0" w:line="20" w:lineRule="exact"/>
              <w:rPr>
                <w:sz w:val="1"/>
                <w:szCs w:val="1"/>
                <w:color w:val="auto"/>
              </w:rPr>
            </w:pPr>
          </w:p>
        </w:tc>
      </w:tr>
      <w:tr>
        <w:trPr>
          <w:trHeight w:val="182"/>
        </w:trPr>
        <w:tc>
          <w:tcPr>
            <w:tcW w:w="4520" w:type="dxa"/>
            <w:vAlign w:val="bottom"/>
            <w:gridSpan w:val="2"/>
          </w:tcPr>
          <w:p>
            <w:pPr>
              <w:jc w:val="center"/>
              <w:ind w:right="1259"/>
              <w:spacing w:after="0"/>
              <w:rPr>
                <w:sz w:val="20"/>
                <w:szCs w:val="20"/>
                <w:color w:val="auto"/>
              </w:rPr>
            </w:pPr>
            <w:r>
              <w:rPr>
                <w:rFonts w:ascii="Arial" w:cs="Arial" w:eastAsia="Arial" w:hAnsi="Arial"/>
                <w:sz w:val="14"/>
                <w:szCs w:val="14"/>
                <w:i w:val="1"/>
                <w:iCs w:val="1"/>
                <w:color w:val="auto"/>
                <w:w w:val="97"/>
              </w:rPr>
              <w:t>incorporation or organization)</w:t>
            </w:r>
          </w:p>
        </w:tc>
        <w:tc>
          <w:tcPr>
            <w:tcW w:w="218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4520" w:type="dxa"/>
            <w:vAlign w:val="bottom"/>
            <w:gridSpan w:val="2"/>
          </w:tcPr>
          <w:p>
            <w:pPr>
              <w:jc w:val="center"/>
              <w:ind w:right="1259"/>
              <w:spacing w:after="0"/>
              <w:rPr>
                <w:sz w:val="20"/>
                <w:szCs w:val="20"/>
                <w:color w:val="auto"/>
              </w:rPr>
            </w:pPr>
            <w:r>
              <w:rPr>
                <w:rFonts w:ascii="Arial" w:cs="Arial" w:eastAsia="Arial" w:hAnsi="Arial"/>
                <w:sz w:val="16"/>
                <w:szCs w:val="16"/>
                <w:b w:val="1"/>
                <w:bCs w:val="1"/>
                <w:color w:val="auto"/>
                <w:w w:val="94"/>
              </w:rPr>
              <w:t>c/o Willis Group Limited</w:t>
            </w:r>
          </w:p>
        </w:tc>
        <w:tc>
          <w:tcPr>
            <w:tcW w:w="2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520" w:type="dxa"/>
            <w:vAlign w:val="bottom"/>
            <w:gridSpan w:val="2"/>
          </w:tcPr>
          <w:p>
            <w:pPr>
              <w:jc w:val="center"/>
              <w:ind w:right="1259"/>
              <w:spacing w:after="0"/>
              <w:rPr>
                <w:sz w:val="20"/>
                <w:szCs w:val="20"/>
                <w:color w:val="auto"/>
              </w:rPr>
            </w:pPr>
            <w:r>
              <w:rPr>
                <w:rFonts w:ascii="Arial" w:cs="Arial" w:eastAsia="Arial" w:hAnsi="Arial"/>
                <w:sz w:val="16"/>
                <w:szCs w:val="16"/>
                <w:b w:val="1"/>
                <w:bCs w:val="1"/>
                <w:color w:val="auto"/>
                <w:w w:val="94"/>
              </w:rPr>
              <w:t>51 Lime Street, London EC3M 7DQ, England</w:t>
            </w:r>
          </w:p>
        </w:tc>
        <w:tc>
          <w:tcPr>
            <w:tcW w:w="4400" w:type="dxa"/>
            <w:vAlign w:val="bottom"/>
            <w:gridSpan w:val="2"/>
          </w:tcPr>
          <w:p>
            <w:pPr>
              <w:jc w:val="right"/>
              <w:ind w:right="688"/>
              <w:spacing w:after="0"/>
              <w:rPr>
                <w:sz w:val="20"/>
                <w:szCs w:val="20"/>
                <w:color w:val="auto"/>
              </w:rPr>
            </w:pPr>
            <w:r>
              <w:rPr>
                <w:rFonts w:ascii="Arial" w:cs="Arial" w:eastAsia="Arial" w:hAnsi="Arial"/>
                <w:sz w:val="16"/>
                <w:szCs w:val="16"/>
                <w:b w:val="1"/>
                <w:bCs w:val="1"/>
                <w:color w:val="auto"/>
              </w:rPr>
              <w:t>(011) 44-20-3124-6000</w:t>
            </w:r>
          </w:p>
        </w:tc>
        <w:tc>
          <w:tcPr>
            <w:tcW w:w="0" w:type="dxa"/>
            <w:vAlign w:val="bottom"/>
          </w:tcPr>
          <w:p>
            <w:pPr>
              <w:spacing w:after="0"/>
              <w:rPr>
                <w:sz w:val="1"/>
                <w:szCs w:val="1"/>
                <w:color w:val="auto"/>
              </w:rPr>
            </w:pPr>
          </w:p>
        </w:tc>
      </w:tr>
      <w:tr>
        <w:trPr>
          <w:trHeight w:val="182"/>
        </w:trPr>
        <w:tc>
          <w:tcPr>
            <w:tcW w:w="4520" w:type="dxa"/>
            <w:vAlign w:val="bottom"/>
            <w:gridSpan w:val="2"/>
          </w:tcPr>
          <w:p>
            <w:pPr>
              <w:jc w:val="center"/>
              <w:ind w:right="1259"/>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4400" w:type="dxa"/>
            <w:vAlign w:val="bottom"/>
            <w:gridSpan w:val="2"/>
          </w:tcPr>
          <w:p>
            <w:pPr>
              <w:jc w:val="center"/>
              <w:ind w:left="1262"/>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0" w:type="dxa"/>
            <w:vAlign w:val="bottom"/>
          </w:tcPr>
          <w:p>
            <w:pPr>
              <w:spacing w:after="0"/>
              <w:rPr>
                <w:sz w:val="1"/>
                <w:szCs w:val="1"/>
                <w:color w:val="auto"/>
              </w:rPr>
            </w:pPr>
          </w:p>
        </w:tc>
      </w:tr>
    </w:tbl>
    <w:p>
      <w:pPr>
        <w:spacing w:after="0" w:line="8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4"/>
                <w:szCs w:val="14"/>
                <w:color w:val="auto"/>
              </w:rPr>
            </w:pPr>
          </w:p>
        </w:tc>
        <w:tc>
          <w:tcPr>
            <w:tcW w:w="5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2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40" w:type="dxa"/>
            <w:vAlign w:val="bottom"/>
          </w:tcPr>
          <w:p>
            <w:pPr>
              <w:ind w:left="60"/>
              <w:spacing w:after="0"/>
              <w:rPr>
                <w:sz w:val="20"/>
                <w:szCs w:val="20"/>
                <w:color w:val="auto"/>
              </w:rPr>
            </w:pPr>
            <w:r>
              <w:rPr>
                <w:rFonts w:ascii="Arial" w:cs="Arial" w:eastAsia="Arial" w:hAnsi="Arial"/>
                <w:sz w:val="14"/>
                <w:szCs w:val="14"/>
                <w:b w:val="1"/>
                <w:bCs w:val="1"/>
                <w:color w:val="auto"/>
              </w:rPr>
              <w:t>Ordinary Shares, nominal value $0.000304635 per share</w:t>
            </w:r>
          </w:p>
        </w:tc>
        <w:tc>
          <w:tcPr>
            <w:tcW w:w="160" w:type="dxa"/>
            <w:vAlign w:val="bottom"/>
          </w:tcPr>
          <w:p>
            <w:pPr>
              <w:spacing w:after="0"/>
              <w:rPr>
                <w:sz w:val="15"/>
                <w:szCs w:val="15"/>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WTW</w:t>
            </w:r>
          </w:p>
        </w:tc>
        <w:tc>
          <w:tcPr>
            <w:tcW w:w="140" w:type="dxa"/>
            <w:vAlign w:val="bottom"/>
          </w:tcPr>
          <w:p>
            <w:pPr>
              <w:spacing w:after="0"/>
              <w:rPr>
                <w:sz w:val="15"/>
                <w:szCs w:val="15"/>
                <w:color w:val="auto"/>
              </w:rPr>
            </w:pPr>
          </w:p>
        </w:tc>
        <w:tc>
          <w:tcPr>
            <w:tcW w:w="5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NASDAQ Global Select Market</w:t>
            </w:r>
          </w:p>
        </w:tc>
        <w:tc>
          <w:tcPr>
            <w:tcW w:w="0" w:type="dxa"/>
            <w:vAlign w:val="bottom"/>
          </w:tcPr>
          <w:p>
            <w:pPr>
              <w:spacing w:after="0"/>
              <w:rPr>
                <w:sz w:val="1"/>
                <w:szCs w:val="1"/>
                <w:color w:val="auto"/>
              </w:rPr>
            </w:pPr>
          </w:p>
        </w:tc>
      </w:tr>
      <w:tr>
        <w:trPr>
          <w:trHeight w:val="45"/>
        </w:trPr>
        <w:tc>
          <w:tcPr>
            <w:tcW w:w="4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42" w:lineRule="exact"/>
        <w:rPr>
          <w:sz w:val="24"/>
          <w:szCs w:val="24"/>
          <w:color w:val="auto"/>
        </w:rPr>
      </w:pPr>
    </w:p>
    <w:p>
      <w:pPr>
        <w:ind w:right="220"/>
        <w:spacing w:after="0" w:line="25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66" w:lineRule="exact"/>
        <w:rPr>
          <w:sz w:val="24"/>
          <w:szCs w:val="24"/>
          <w:color w:val="auto"/>
        </w:rPr>
      </w:pPr>
    </w:p>
    <w:p>
      <w:pPr>
        <w:ind w:right="60"/>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No</w:t>
      </w:r>
    </w:p>
    <w:p>
      <w:pPr>
        <w:spacing w:after="0" w:line="66" w:lineRule="exact"/>
        <w:rPr>
          <w:sz w:val="24"/>
          <w:szCs w:val="24"/>
          <w:color w:val="auto"/>
        </w:rPr>
      </w:pPr>
    </w:p>
    <w:p>
      <w:pPr>
        <w:ind w:right="5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16" w:right="339" w:bottom="1440" w:gutter="0" w:footer="0" w:header="0"/>
        </w:sectPr>
      </w:pPr>
    </w:p>
    <w:p>
      <w:pPr>
        <w:spacing w:after="0" w:line="174"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sectPr>
          <w:pgSz w:w="11900" w:h="16838" w:orient="portrait"/>
          <w:cols w:equalWidth="0" w:num="5">
            <w:col w:w="2540" w:space="720"/>
            <w:col w:w="1700" w:space="720"/>
            <w:col w:w="2220" w:space="720"/>
            <w:col w:w="1620" w:space="720"/>
            <w:col w:w="280"/>
          </w:cols>
          <w:pgMar w:left="320" w:top="616" w:right="339" w:bottom="1440" w:gutter="0" w:footer="0" w:header="0"/>
          <w:type w:val="continuous"/>
        </w:sectPr>
      </w:pPr>
    </w:p>
    <w:p>
      <w:pPr>
        <w:spacing w:after="0" w:line="49" w:lineRule="exact"/>
        <w:rPr>
          <w:sz w:val="24"/>
          <w:szCs w:val="24"/>
          <w:color w:val="auto"/>
        </w:rPr>
      </w:pPr>
    </w:p>
    <w:p>
      <w:pPr>
        <w:ind w:left="2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9" w:lineRule="exact"/>
        <w:rPr>
          <w:sz w:val="24"/>
          <w:szCs w:val="24"/>
          <w:color w:val="auto"/>
        </w:rPr>
      </w:pPr>
    </w:p>
    <w:p>
      <w:pPr>
        <w:sectPr>
          <w:pgSz w:w="11900" w:h="16838" w:orient="portrait"/>
          <w:cols w:equalWidth="0" w:num="2">
            <w:col w:w="1620" w:space="720"/>
            <w:col w:w="8900"/>
          </w:cols>
          <w:pgMar w:left="320" w:top="616" w:right="339" w:bottom="1440" w:gutter="0" w:footer="0" w:header="0"/>
          <w:type w:val="continuous"/>
        </w:sectPr>
      </w:pPr>
    </w:p>
    <w:p>
      <w:pPr>
        <w:ind w:right="56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4" w:lineRule="exact"/>
        <w:rPr>
          <w:sz w:val="24"/>
          <w:szCs w:val="24"/>
          <w:color w:val="auto"/>
        </w:rPr>
      </w:pPr>
    </w:p>
    <w:p>
      <w:pPr>
        <w:ind w:right="3400"/>
        <w:spacing w:after="0" w:line="258"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As of July 24, 2023, there were outstanding 104,822,898 ordinary shares, nominal value $0.000304635 per share,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 the Three and Six Months Ended June 30, 2023</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Page</w:t>
            </w:r>
          </w:p>
        </w:tc>
      </w:tr>
      <w:tr>
        <w:trPr>
          <w:trHeight w:val="183"/>
        </w:trPr>
        <w:tc>
          <w:tcPr>
            <w:tcW w:w="60" w:type="dxa"/>
            <w:vAlign w:val="bottom"/>
          </w:tcPr>
          <w:p>
            <w:pPr>
              <w:spacing w:after="0"/>
              <w:rPr>
                <w:sz w:val="15"/>
                <w:szCs w:val="15"/>
                <w:color w:val="auto"/>
              </w:rPr>
            </w:pPr>
          </w:p>
        </w:tc>
        <w:tc>
          <w:tcPr>
            <w:tcW w:w="10600" w:type="dxa"/>
            <w:vAlign w:val="bottom"/>
            <w:gridSpan w:val="21"/>
          </w:tcPr>
          <w:p>
            <w:pPr>
              <w:spacing w:after="0" w:line="182" w:lineRule="exact"/>
              <w:rPr>
                <w:sz w:val="20"/>
                <w:szCs w:val="20"/>
                <w:color w:val="auto"/>
              </w:rPr>
            </w:pPr>
            <w:r>
              <w:rPr>
                <w:rFonts w:ascii="Arial" w:cs="Arial" w:eastAsia="Arial" w:hAnsi="Arial"/>
                <w:sz w:val="18"/>
                <w:szCs w:val="18"/>
                <w:color w:val="0000FF"/>
              </w:rPr>
              <w:t>Certain Definitions</w:t>
            </w:r>
          </w:p>
        </w:tc>
        <w:tc>
          <w:tcPr>
            <w:tcW w:w="580" w:type="dxa"/>
            <w:vAlign w:val="bottom"/>
          </w:tcPr>
          <w:p>
            <w:pPr>
              <w:jc w:val="center"/>
              <w:spacing w:after="0" w:line="182" w:lineRule="exact"/>
              <w:rPr>
                <w:sz w:val="20"/>
                <w:szCs w:val="20"/>
                <w:color w:val="auto"/>
              </w:rPr>
            </w:pPr>
            <w:r>
              <w:rPr>
                <w:rFonts w:ascii="Arial" w:cs="Arial" w:eastAsia="Arial" w:hAnsi="Arial"/>
                <w:sz w:val="18"/>
                <w:szCs w:val="18"/>
                <w:color w:val="auto"/>
                <w:w w:val="99"/>
              </w:rPr>
              <w:t>3</w:t>
            </w: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0600" w:type="dxa"/>
            <w:vAlign w:val="bottom"/>
            <w:gridSpan w:val="21"/>
          </w:tcPr>
          <w:p>
            <w:pPr>
              <w:spacing w:after="0"/>
              <w:rPr>
                <w:sz w:val="20"/>
                <w:szCs w:val="20"/>
                <w:color w:val="auto"/>
              </w:rPr>
            </w:pPr>
            <w:r>
              <w:rPr>
                <w:rFonts w:ascii="Arial" w:cs="Arial" w:eastAsia="Arial" w:hAnsi="Arial"/>
                <w:sz w:val="18"/>
                <w:szCs w:val="18"/>
                <w:color w:val="0000FF"/>
              </w:rPr>
              <w:t>Disclaimer Regarding Forward-looking Statements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10600" w:type="dxa"/>
            <w:vAlign w:val="bottom"/>
            <w:gridSpan w:val="21"/>
          </w:tcPr>
          <w:p>
            <w:pPr>
              <w:spacing w:after="0"/>
              <w:rPr>
                <w:sz w:val="20"/>
                <w:szCs w:val="20"/>
                <w:color w:val="auto"/>
              </w:rPr>
            </w:pPr>
            <w:r>
              <w:rPr>
                <w:rFonts w:ascii="Arial" w:cs="Arial" w:eastAsia="Arial" w:hAnsi="Arial"/>
                <w:sz w:val="18"/>
                <w:szCs w:val="18"/>
                <w:color w:val="0000FF"/>
              </w:rPr>
              <w:t>PART I. FINANCIAL INFORMATION</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20" w:type="dxa"/>
            <w:vAlign w:val="bottom"/>
            <w:gridSpan w:val="20"/>
          </w:tcPr>
          <w:p>
            <w:pPr>
              <w:spacing w:after="0"/>
              <w:rPr>
                <w:sz w:val="20"/>
                <w:szCs w:val="20"/>
                <w:color w:val="auto"/>
              </w:rPr>
            </w:pPr>
            <w:r>
              <w:rPr>
                <w:rFonts w:ascii="Arial" w:cs="Arial" w:eastAsia="Arial" w:hAnsi="Arial"/>
                <w:sz w:val="18"/>
                <w:szCs w:val="18"/>
                <w:color w:val="0000FF"/>
              </w:rPr>
              <w:t>Item 1. Financial Statements (Unaudited)</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4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Comprehensive Income - Three and Six Months Ended June 30, 2023 and 2022</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4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 - June 30, 2023 and December 31, 2022</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4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 - Six Months Ended June 30, 2023 and 2022</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4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Changes in Equity - Six Months Ended June 30, 2023 and 2022</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40" w:type="dxa"/>
            <w:vAlign w:val="bottom"/>
            <w:gridSpan w:val="19"/>
          </w:tcPr>
          <w:p>
            <w:pPr>
              <w:spacing w:after="0"/>
              <w:rPr>
                <w:sz w:val="20"/>
                <w:szCs w:val="20"/>
                <w:color w:val="auto"/>
              </w:rPr>
            </w:pPr>
            <w:r>
              <w:rPr>
                <w:rFonts w:ascii="Arial" w:cs="Arial" w:eastAsia="Arial" w:hAnsi="Arial"/>
                <w:sz w:val="18"/>
                <w:szCs w:val="18"/>
                <w:color w:val="0000FF"/>
              </w:rPr>
              <w:t>Notes to the Condensed Consolidated Financial Statements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20" w:type="dxa"/>
            <w:vAlign w:val="bottom"/>
            <w:gridSpan w:val="20"/>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20" w:type="dxa"/>
            <w:vAlign w:val="bottom"/>
            <w:gridSpan w:val="20"/>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5540" w:type="dxa"/>
            <w:vAlign w:val="bottom"/>
            <w:tcBorders>
              <w:left w:val="single" w:sz="8" w:color="0000FF"/>
            </w:tcBorders>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20" w:type="dxa"/>
            <w:vAlign w:val="bottom"/>
            <w:gridSpan w:val="20"/>
          </w:tcPr>
          <w:p>
            <w:pPr>
              <w:spacing w:after="0"/>
              <w:rPr>
                <w:sz w:val="20"/>
                <w:szCs w:val="20"/>
                <w:color w:val="auto"/>
              </w:rPr>
            </w:pPr>
            <w:r>
              <w:rPr>
                <w:rFonts w:ascii="Arial" w:cs="Arial" w:eastAsia="Arial" w:hAnsi="Arial"/>
                <w:sz w:val="18"/>
                <w:szCs w:val="18"/>
                <w:color w:val="0000FF"/>
              </w:rPr>
              <w:t>Item 4. Controls and Procedures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10600" w:type="dxa"/>
            <w:vAlign w:val="bottom"/>
            <w:gridSpan w:val="21"/>
          </w:tcPr>
          <w:p>
            <w:pPr>
              <w:spacing w:after="0"/>
              <w:rPr>
                <w:sz w:val="20"/>
                <w:szCs w:val="20"/>
                <w:color w:val="auto"/>
              </w:rPr>
            </w:pPr>
            <w:r>
              <w:rPr>
                <w:rFonts w:ascii="Arial" w:cs="Arial" w:eastAsia="Arial" w:hAnsi="Arial"/>
                <w:sz w:val="18"/>
                <w:szCs w:val="18"/>
                <w:color w:val="0000FF"/>
              </w:rPr>
              <w:t>PART II. OTHER INFORMATION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23"/>
        </w:trPr>
        <w:tc>
          <w:tcPr>
            <w:tcW w:w="6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38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Item 1. Legal Proceedings</w:t>
            </w:r>
          </w:p>
        </w:tc>
        <w:tc>
          <w:tcPr>
            <w:tcW w:w="8040" w:type="dxa"/>
            <w:vAlign w:val="bottom"/>
            <w:gridSpan w:val="12"/>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20" w:type="dxa"/>
            <w:vAlign w:val="bottom"/>
            <w:gridSpan w:val="20"/>
          </w:tcPr>
          <w:p>
            <w:pPr>
              <w:spacing w:after="0"/>
              <w:rPr>
                <w:sz w:val="20"/>
                <w:szCs w:val="20"/>
                <w:color w:val="auto"/>
              </w:rPr>
            </w:pPr>
            <w:r>
              <w:rPr>
                <w:rFonts w:ascii="Arial" w:cs="Arial" w:eastAsia="Arial" w:hAnsi="Arial"/>
                <w:sz w:val="18"/>
                <w:szCs w:val="18"/>
                <w:color w:val="0000FF"/>
              </w:rPr>
              <w:t>Item 1A. Risk Factors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20" w:type="dxa"/>
            <w:vAlign w:val="bottom"/>
            <w:gridSpan w:val="20"/>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20" w:type="dxa"/>
            <w:vAlign w:val="bottom"/>
            <w:gridSpan w:val="20"/>
          </w:tcPr>
          <w:p>
            <w:pPr>
              <w:spacing w:after="0"/>
              <w:rPr>
                <w:sz w:val="20"/>
                <w:szCs w:val="20"/>
                <w:color w:val="auto"/>
              </w:rPr>
            </w:pPr>
            <w:r>
              <w:rPr>
                <w:rFonts w:ascii="Arial" w:cs="Arial" w:eastAsia="Arial" w:hAnsi="Arial"/>
                <w:sz w:val="18"/>
                <w:szCs w:val="18"/>
                <w:color w:val="0000FF"/>
              </w:rPr>
              <w:t>Item 3. Defaults Upon Senior Securities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58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20" w:type="dxa"/>
            <w:vAlign w:val="bottom"/>
            <w:gridSpan w:val="20"/>
          </w:tcPr>
          <w:p>
            <w:pPr>
              <w:spacing w:after="0"/>
              <w:rPr>
                <w:sz w:val="20"/>
                <w:szCs w:val="20"/>
                <w:color w:val="auto"/>
              </w:rPr>
            </w:pPr>
            <w:r>
              <w:rPr>
                <w:rFonts w:ascii="Arial" w:cs="Arial" w:eastAsia="Arial" w:hAnsi="Arial"/>
                <w:sz w:val="18"/>
                <w:szCs w:val="18"/>
                <w:color w:val="0000FF"/>
              </w:rPr>
              <w:t>Item 4. Mine Safety Disclosures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12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20" w:type="dxa"/>
            <w:vAlign w:val="bottom"/>
            <w:gridSpan w:val="20"/>
          </w:tcPr>
          <w:p>
            <w:pPr>
              <w:spacing w:after="0"/>
              <w:rPr>
                <w:sz w:val="20"/>
                <w:szCs w:val="20"/>
                <w:color w:val="auto"/>
              </w:rPr>
            </w:pPr>
            <w:r>
              <w:rPr>
                <w:rFonts w:ascii="Arial" w:cs="Arial" w:eastAsia="Arial" w:hAnsi="Arial"/>
                <w:sz w:val="18"/>
                <w:szCs w:val="18"/>
                <w:color w:val="0000FF"/>
              </w:rPr>
              <w:t>Item 5. Other Information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580" w:type="dxa"/>
            <w:vAlign w:val="bottom"/>
            <w:gridSpan w:val="1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20" w:type="dxa"/>
            <w:vAlign w:val="bottom"/>
            <w:gridSpan w:val="20"/>
          </w:tcPr>
          <w:p>
            <w:pPr>
              <w:spacing w:after="0"/>
              <w:rPr>
                <w:sz w:val="20"/>
                <w:szCs w:val="20"/>
                <w:color w:val="auto"/>
              </w:rPr>
            </w:pPr>
            <w:r>
              <w:rPr>
                <w:rFonts w:ascii="Arial" w:cs="Arial" w:eastAsia="Arial" w:hAnsi="Arial"/>
                <w:sz w:val="18"/>
                <w:szCs w:val="18"/>
                <w:color w:val="0000FF"/>
              </w:rPr>
              <w:t>Item 6. Exhibits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20"/>
        </w:trPr>
        <w:tc>
          <w:tcPr>
            <w:tcW w:w="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30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060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642"/>
        </w:trPr>
        <w:tc>
          <w:tcPr>
            <w:tcW w:w="60" w:type="dxa"/>
            <w:vAlign w:val="bottom"/>
          </w:tcPr>
          <w:p>
            <w:pPr>
              <w:spacing w:after="0"/>
              <w:rPr>
                <w:sz w:val="24"/>
                <w:szCs w:val="24"/>
                <w:color w:val="auto"/>
              </w:rPr>
            </w:pPr>
          </w:p>
        </w:tc>
        <w:tc>
          <w:tcPr>
            <w:tcW w:w="740" w:type="dxa"/>
            <w:vAlign w:val="bottom"/>
            <w:tcBorders>
              <w:top w:val="single" w:sz="8" w:color="0000FF"/>
            </w:tcBorders>
            <w:gridSpan w:val="3"/>
          </w:tcPr>
          <w:p>
            <w:pPr>
              <w:spacing w:after="0"/>
              <w:rPr>
                <w:sz w:val="24"/>
                <w:szCs w:val="24"/>
                <w:color w:val="auto"/>
              </w:rPr>
            </w:pPr>
          </w:p>
        </w:tc>
        <w:tc>
          <w:tcPr>
            <w:tcW w:w="5460" w:type="dxa"/>
            <w:vAlign w:val="bottom"/>
            <w:gridSpan w:val="13"/>
          </w:tcPr>
          <w:p>
            <w:pPr>
              <w:jc w:val="right"/>
              <w:ind w:right="600"/>
              <w:spacing w:after="0"/>
              <w:rPr>
                <w:sz w:val="20"/>
                <w:szCs w:val="20"/>
                <w:color w:val="auto"/>
              </w:rPr>
            </w:pPr>
            <w:r>
              <w:rPr>
                <w:rFonts w:ascii="Arial" w:cs="Arial" w:eastAsia="Arial" w:hAnsi="Arial"/>
                <w:sz w:val="18"/>
                <w:szCs w:val="18"/>
                <w:color w:val="auto"/>
              </w:rPr>
              <w:t>2</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Certain Definitions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apply throughout this quarterly report unless the context requires otherwise: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ind w:left="560"/>
              <w:spacing w:after="0"/>
              <w:rPr>
                <w:sz w:val="20"/>
                <w:szCs w:val="20"/>
                <w:color w:val="auto"/>
              </w:rPr>
            </w:pPr>
            <w:r>
              <w:rPr>
                <w:rFonts w:ascii="Arial" w:cs="Arial" w:eastAsia="Arial" w:hAnsi="Arial"/>
                <w:sz w:val="18"/>
                <w:szCs w:val="18"/>
                <w:color w:val="auto"/>
              </w:rPr>
              <w:t>‘We’, ‘Us’, ‘Company’, ‘Willis Towers Watson’,</w:t>
            </w:r>
          </w:p>
        </w:tc>
        <w:tc>
          <w:tcPr>
            <w:tcW w:w="6920" w:type="dxa"/>
            <w:vAlign w:val="bottom"/>
          </w:tcPr>
          <w:p>
            <w:pPr>
              <w:ind w:left="260"/>
              <w:spacing w:after="0"/>
              <w:rPr>
                <w:sz w:val="20"/>
                <w:szCs w:val="20"/>
                <w:color w:val="auto"/>
              </w:rPr>
            </w:pPr>
            <w:r>
              <w:rPr>
                <w:rFonts w:ascii="Arial" w:cs="Arial" w:eastAsia="Arial" w:hAnsi="Arial"/>
                <w:sz w:val="18"/>
                <w:szCs w:val="18"/>
                <w:color w:val="auto"/>
                <w:w w:val="95"/>
              </w:rPr>
              <w:t>Willis Towers Watson Public Limited Company, a company organized under the laws of</w:t>
            </w:r>
          </w:p>
        </w:tc>
      </w:tr>
      <w:tr>
        <w:trPr>
          <w:trHeight w:val="230"/>
        </w:trPr>
        <w:tc>
          <w:tcPr>
            <w:tcW w:w="4320" w:type="dxa"/>
            <w:vAlign w:val="bottom"/>
          </w:tcPr>
          <w:p>
            <w:pPr>
              <w:ind w:left="560"/>
              <w:spacing w:after="0"/>
              <w:rPr>
                <w:sz w:val="20"/>
                <w:szCs w:val="20"/>
                <w:color w:val="auto"/>
              </w:rPr>
            </w:pPr>
            <w:r>
              <w:rPr>
                <w:rFonts w:ascii="Arial" w:cs="Arial" w:eastAsia="Arial" w:hAnsi="Arial"/>
                <w:sz w:val="18"/>
                <w:szCs w:val="18"/>
                <w:color w:val="auto"/>
              </w:rPr>
              <w:t>‘Our’, ‘Willis Towers Watson plc’ or ‘WTW’</w:t>
            </w:r>
          </w:p>
        </w:tc>
        <w:tc>
          <w:tcPr>
            <w:tcW w:w="6920" w:type="dxa"/>
            <w:vAlign w:val="bottom"/>
          </w:tcPr>
          <w:p>
            <w:pPr>
              <w:ind w:left="260"/>
              <w:spacing w:after="0"/>
              <w:rPr>
                <w:sz w:val="20"/>
                <w:szCs w:val="20"/>
                <w:color w:val="auto"/>
              </w:rPr>
            </w:pPr>
            <w:r>
              <w:rPr>
                <w:rFonts w:ascii="Arial" w:cs="Arial" w:eastAsia="Arial" w:hAnsi="Arial"/>
                <w:sz w:val="18"/>
                <w:szCs w:val="18"/>
                <w:color w:val="auto"/>
              </w:rPr>
              <w:t>Ireland, and its subsidiaries</w:t>
            </w:r>
          </w:p>
        </w:tc>
      </w:tr>
      <w:tr>
        <w:trPr>
          <w:trHeight w:val="377"/>
        </w:trPr>
        <w:tc>
          <w:tcPr>
            <w:tcW w:w="4320" w:type="dxa"/>
            <w:vAlign w:val="bottom"/>
          </w:tcPr>
          <w:p>
            <w:pPr>
              <w:ind w:left="560"/>
              <w:spacing w:after="0"/>
              <w:rPr>
                <w:sz w:val="20"/>
                <w:szCs w:val="20"/>
                <w:color w:val="auto"/>
              </w:rPr>
            </w:pPr>
            <w:r>
              <w:rPr>
                <w:rFonts w:ascii="Arial" w:cs="Arial" w:eastAsia="Arial" w:hAnsi="Arial"/>
                <w:sz w:val="18"/>
                <w:szCs w:val="18"/>
                <w:color w:val="auto"/>
              </w:rPr>
              <w:t>‘shares’</w:t>
            </w:r>
          </w:p>
        </w:tc>
        <w:tc>
          <w:tcPr>
            <w:tcW w:w="6920" w:type="dxa"/>
            <w:vAlign w:val="bottom"/>
          </w:tcPr>
          <w:p>
            <w:pPr>
              <w:ind w:left="260"/>
              <w:spacing w:after="0"/>
              <w:rPr>
                <w:sz w:val="20"/>
                <w:szCs w:val="20"/>
                <w:color w:val="auto"/>
              </w:rPr>
            </w:pPr>
            <w:r>
              <w:rPr>
                <w:rFonts w:ascii="Arial" w:cs="Arial" w:eastAsia="Arial" w:hAnsi="Arial"/>
                <w:sz w:val="18"/>
                <w:szCs w:val="18"/>
                <w:color w:val="auto"/>
                <w:w w:val="98"/>
              </w:rPr>
              <w:t>The ordinary shares of Willis Towers Watson Public Limited Company, nominal value</w:t>
            </w:r>
          </w:p>
        </w:tc>
      </w:tr>
      <w:tr>
        <w:trPr>
          <w:trHeight w:val="230"/>
        </w:trPr>
        <w:tc>
          <w:tcPr>
            <w:tcW w:w="4320" w:type="dxa"/>
            <w:vAlign w:val="bottom"/>
          </w:tcPr>
          <w:p>
            <w:pPr>
              <w:spacing w:after="0"/>
              <w:rPr>
                <w:sz w:val="20"/>
                <w:szCs w:val="20"/>
                <w:color w:val="auto"/>
              </w:rPr>
            </w:pPr>
          </w:p>
        </w:tc>
        <w:tc>
          <w:tcPr>
            <w:tcW w:w="6920" w:type="dxa"/>
            <w:vAlign w:val="bottom"/>
          </w:tcPr>
          <w:p>
            <w:pPr>
              <w:ind w:left="260"/>
              <w:spacing w:after="0"/>
              <w:rPr>
                <w:sz w:val="20"/>
                <w:szCs w:val="20"/>
                <w:color w:val="auto"/>
              </w:rPr>
            </w:pPr>
            <w:r>
              <w:rPr>
                <w:rFonts w:ascii="Arial" w:cs="Arial" w:eastAsia="Arial" w:hAnsi="Arial"/>
                <w:sz w:val="18"/>
                <w:szCs w:val="18"/>
                <w:color w:val="auto"/>
              </w:rPr>
              <w:t>$0.000304635 per share</w:t>
            </w:r>
          </w:p>
        </w:tc>
      </w:tr>
      <w:tr>
        <w:trPr>
          <w:trHeight w:val="392"/>
        </w:trPr>
        <w:tc>
          <w:tcPr>
            <w:tcW w:w="4320" w:type="dxa"/>
            <w:vAlign w:val="bottom"/>
          </w:tcPr>
          <w:p>
            <w:pPr>
              <w:ind w:left="560"/>
              <w:spacing w:after="0"/>
              <w:rPr>
                <w:sz w:val="20"/>
                <w:szCs w:val="20"/>
                <w:color w:val="auto"/>
              </w:rPr>
            </w:pPr>
            <w:r>
              <w:rPr>
                <w:rFonts w:ascii="Arial" w:cs="Arial" w:eastAsia="Arial" w:hAnsi="Arial"/>
                <w:sz w:val="18"/>
                <w:szCs w:val="18"/>
                <w:color w:val="auto"/>
              </w:rPr>
              <w:t>‘TRANZACT’</w:t>
            </w:r>
          </w:p>
        </w:tc>
        <w:tc>
          <w:tcPr>
            <w:tcW w:w="6920" w:type="dxa"/>
            <w:vAlign w:val="bottom"/>
          </w:tcPr>
          <w:p>
            <w:pPr>
              <w:ind w:left="260"/>
              <w:spacing w:after="0"/>
              <w:rPr>
                <w:sz w:val="20"/>
                <w:szCs w:val="20"/>
                <w:color w:val="auto"/>
              </w:rPr>
            </w:pPr>
            <w:r>
              <w:rPr>
                <w:rFonts w:ascii="Arial" w:cs="Arial" w:eastAsia="Arial" w:hAnsi="Arial"/>
                <w:sz w:val="18"/>
                <w:szCs w:val="18"/>
                <w:color w:val="auto"/>
              </w:rPr>
              <w:t>CD&amp;R TZ Holdings, Inc. and its subsidiaries, doing business as TRANZACT</w:t>
            </w:r>
          </w:p>
        </w:tc>
      </w:tr>
      <w:tr>
        <w:trPr>
          <w:trHeight w:val="392"/>
        </w:trPr>
        <w:tc>
          <w:tcPr>
            <w:tcW w:w="4320" w:type="dxa"/>
            <w:vAlign w:val="bottom"/>
          </w:tcPr>
          <w:p>
            <w:pPr>
              <w:ind w:left="540"/>
              <w:spacing w:after="0"/>
              <w:rPr>
                <w:sz w:val="20"/>
                <w:szCs w:val="20"/>
                <w:color w:val="auto"/>
              </w:rPr>
            </w:pPr>
            <w:r>
              <w:rPr>
                <w:rFonts w:ascii="Arial" w:cs="Arial" w:eastAsia="Arial" w:hAnsi="Arial"/>
                <w:sz w:val="18"/>
                <w:szCs w:val="18"/>
                <w:color w:val="auto"/>
              </w:rPr>
              <w:t>‘U.S.’</w:t>
            </w:r>
          </w:p>
        </w:tc>
        <w:tc>
          <w:tcPr>
            <w:tcW w:w="6920" w:type="dxa"/>
            <w:vAlign w:val="bottom"/>
          </w:tcPr>
          <w:p>
            <w:pPr>
              <w:ind w:left="240"/>
              <w:spacing w:after="0"/>
              <w:rPr>
                <w:sz w:val="20"/>
                <w:szCs w:val="20"/>
                <w:color w:val="auto"/>
              </w:rPr>
            </w:pPr>
            <w:r>
              <w:rPr>
                <w:rFonts w:ascii="Arial" w:cs="Arial" w:eastAsia="Arial" w:hAnsi="Arial"/>
                <w:sz w:val="18"/>
                <w:szCs w:val="18"/>
                <w:color w:val="auto"/>
              </w:rPr>
              <w:t>United States</w:t>
            </w:r>
          </w:p>
        </w:tc>
      </w:tr>
      <w:tr>
        <w:trPr>
          <w:trHeight w:val="391"/>
        </w:trPr>
        <w:tc>
          <w:tcPr>
            <w:tcW w:w="4320" w:type="dxa"/>
            <w:vAlign w:val="bottom"/>
          </w:tcPr>
          <w:p>
            <w:pPr>
              <w:ind w:left="560"/>
              <w:spacing w:after="0"/>
              <w:rPr>
                <w:sz w:val="20"/>
                <w:szCs w:val="20"/>
                <w:color w:val="auto"/>
              </w:rPr>
            </w:pPr>
            <w:r>
              <w:rPr>
                <w:rFonts w:ascii="Arial" w:cs="Arial" w:eastAsia="Arial" w:hAnsi="Arial"/>
                <w:sz w:val="18"/>
                <w:szCs w:val="18"/>
                <w:color w:val="auto"/>
              </w:rPr>
              <w:t>‘U.K.’</w:t>
            </w:r>
          </w:p>
        </w:tc>
        <w:tc>
          <w:tcPr>
            <w:tcW w:w="6920" w:type="dxa"/>
            <w:vAlign w:val="bottom"/>
          </w:tcPr>
          <w:p>
            <w:pPr>
              <w:ind w:left="260"/>
              <w:spacing w:after="0"/>
              <w:rPr>
                <w:sz w:val="20"/>
                <w:szCs w:val="20"/>
                <w:color w:val="auto"/>
              </w:rPr>
            </w:pPr>
            <w:r>
              <w:rPr>
                <w:rFonts w:ascii="Arial" w:cs="Arial" w:eastAsia="Arial" w:hAnsi="Arial"/>
                <w:sz w:val="18"/>
                <w:szCs w:val="18"/>
                <w:color w:val="auto"/>
              </w:rPr>
              <w:t>United Kingdom</w:t>
            </w:r>
          </w:p>
        </w:tc>
      </w:tr>
      <w:tr>
        <w:trPr>
          <w:trHeight w:val="404"/>
        </w:trPr>
        <w:tc>
          <w:tcPr>
            <w:tcW w:w="4320" w:type="dxa"/>
            <w:vAlign w:val="bottom"/>
          </w:tcPr>
          <w:p>
            <w:pPr>
              <w:ind w:left="560"/>
              <w:spacing w:after="0"/>
              <w:rPr>
                <w:sz w:val="20"/>
                <w:szCs w:val="20"/>
                <w:color w:val="auto"/>
              </w:rPr>
            </w:pPr>
            <w:r>
              <w:rPr>
                <w:rFonts w:ascii="Arial" w:cs="Arial" w:eastAsia="Arial" w:hAnsi="Arial"/>
                <w:sz w:val="18"/>
                <w:szCs w:val="18"/>
                <w:color w:val="auto"/>
              </w:rPr>
              <w:t>‘Brexit’</w:t>
            </w:r>
          </w:p>
        </w:tc>
        <w:tc>
          <w:tcPr>
            <w:tcW w:w="6920" w:type="dxa"/>
            <w:vAlign w:val="bottom"/>
          </w:tcPr>
          <w:p>
            <w:pPr>
              <w:ind w:left="260"/>
              <w:spacing w:after="0"/>
              <w:rPr>
                <w:sz w:val="20"/>
                <w:szCs w:val="20"/>
                <w:color w:val="auto"/>
              </w:rPr>
            </w:pPr>
            <w:r>
              <w:rPr>
                <w:rFonts w:ascii="Arial" w:cs="Arial" w:eastAsia="Arial" w:hAnsi="Arial"/>
                <w:sz w:val="18"/>
                <w:szCs w:val="18"/>
                <w:color w:val="auto"/>
                <w:w w:val="98"/>
              </w:rPr>
              <w:t>The United Kingdom’s exit from the European Union, which occurred on January 31,</w:t>
            </w:r>
          </w:p>
        </w:tc>
      </w:tr>
      <w:tr>
        <w:trPr>
          <w:trHeight w:val="230"/>
        </w:trPr>
        <w:tc>
          <w:tcPr>
            <w:tcW w:w="4320" w:type="dxa"/>
            <w:vAlign w:val="bottom"/>
          </w:tcPr>
          <w:p>
            <w:pPr>
              <w:spacing w:after="0"/>
              <w:rPr>
                <w:sz w:val="20"/>
                <w:szCs w:val="20"/>
                <w:color w:val="auto"/>
              </w:rPr>
            </w:pPr>
          </w:p>
        </w:tc>
        <w:tc>
          <w:tcPr>
            <w:tcW w:w="6920" w:type="dxa"/>
            <w:vAlign w:val="bottom"/>
          </w:tcPr>
          <w:p>
            <w:pPr>
              <w:ind w:left="260"/>
              <w:spacing w:after="0"/>
              <w:rPr>
                <w:sz w:val="20"/>
                <w:szCs w:val="20"/>
                <w:color w:val="auto"/>
              </w:rPr>
            </w:pPr>
            <w:r>
              <w:rPr>
                <w:rFonts w:ascii="Arial" w:cs="Arial" w:eastAsia="Arial" w:hAnsi="Arial"/>
                <w:sz w:val="18"/>
                <w:szCs w:val="18"/>
                <w:color w:val="auto"/>
              </w:rPr>
              <w:t>2020.</w:t>
            </w:r>
          </w:p>
        </w:tc>
      </w:tr>
      <w:tr>
        <w:trPr>
          <w:trHeight w:val="377"/>
        </w:trPr>
        <w:tc>
          <w:tcPr>
            <w:tcW w:w="4320" w:type="dxa"/>
            <w:vAlign w:val="bottom"/>
          </w:tcPr>
          <w:p>
            <w:pPr>
              <w:ind w:left="540"/>
              <w:spacing w:after="0"/>
              <w:rPr>
                <w:sz w:val="20"/>
                <w:szCs w:val="20"/>
                <w:color w:val="auto"/>
              </w:rPr>
            </w:pPr>
            <w:r>
              <w:rPr>
                <w:rFonts w:ascii="Arial" w:cs="Arial" w:eastAsia="Arial" w:hAnsi="Arial"/>
                <w:sz w:val="18"/>
                <w:szCs w:val="18"/>
                <w:color w:val="auto"/>
              </w:rPr>
              <w:t>‘E.U.’</w:t>
            </w:r>
          </w:p>
        </w:tc>
        <w:tc>
          <w:tcPr>
            <w:tcW w:w="6920" w:type="dxa"/>
            <w:vAlign w:val="bottom"/>
          </w:tcPr>
          <w:p>
            <w:pPr>
              <w:ind w:left="240"/>
              <w:spacing w:after="0"/>
              <w:rPr>
                <w:sz w:val="20"/>
                <w:szCs w:val="20"/>
                <w:color w:val="auto"/>
              </w:rPr>
            </w:pPr>
            <w:r>
              <w:rPr>
                <w:rFonts w:ascii="Arial" w:cs="Arial" w:eastAsia="Arial" w:hAnsi="Arial"/>
                <w:sz w:val="18"/>
                <w:szCs w:val="18"/>
                <w:color w:val="auto"/>
                <w:w w:val="96"/>
              </w:rPr>
              <w:t>European Union or European Union 27 (the number of member countries following the</w:t>
            </w:r>
          </w:p>
        </w:tc>
      </w:tr>
      <w:tr>
        <w:trPr>
          <w:trHeight w:val="230"/>
        </w:trPr>
        <w:tc>
          <w:tcPr>
            <w:tcW w:w="4320" w:type="dxa"/>
            <w:vAlign w:val="bottom"/>
          </w:tcPr>
          <w:p>
            <w:pPr>
              <w:spacing w:after="0"/>
              <w:rPr>
                <w:sz w:val="20"/>
                <w:szCs w:val="20"/>
                <w:color w:val="auto"/>
              </w:rPr>
            </w:pPr>
          </w:p>
        </w:tc>
        <w:tc>
          <w:tcPr>
            <w:tcW w:w="6920" w:type="dxa"/>
            <w:vAlign w:val="bottom"/>
          </w:tcPr>
          <w:p>
            <w:pPr>
              <w:ind w:left="240"/>
              <w:spacing w:after="0"/>
              <w:rPr>
                <w:sz w:val="20"/>
                <w:szCs w:val="20"/>
                <w:color w:val="auto"/>
              </w:rPr>
            </w:pPr>
            <w:r>
              <w:rPr>
                <w:rFonts w:ascii="Arial" w:cs="Arial" w:eastAsia="Arial" w:hAnsi="Arial"/>
                <w:sz w:val="18"/>
                <w:szCs w:val="18"/>
                <w:color w:val="auto"/>
              </w:rPr>
              <w:t>United Kingdom’s exit)</w:t>
            </w:r>
          </w:p>
        </w:tc>
      </w:tr>
      <w:tr>
        <w:trPr>
          <w:trHeight w:val="392"/>
        </w:trPr>
        <w:tc>
          <w:tcPr>
            <w:tcW w:w="4320" w:type="dxa"/>
            <w:vAlign w:val="bottom"/>
          </w:tcPr>
          <w:p>
            <w:pPr>
              <w:ind w:left="560"/>
              <w:spacing w:after="0"/>
              <w:rPr>
                <w:sz w:val="20"/>
                <w:szCs w:val="20"/>
                <w:color w:val="auto"/>
              </w:rPr>
            </w:pPr>
            <w:r>
              <w:rPr>
                <w:rFonts w:ascii="Arial" w:cs="Arial" w:eastAsia="Arial" w:hAnsi="Arial"/>
                <w:sz w:val="18"/>
                <w:szCs w:val="18"/>
                <w:color w:val="auto"/>
              </w:rPr>
              <w:t>‘U.S. GAAP’</w:t>
            </w:r>
          </w:p>
        </w:tc>
        <w:tc>
          <w:tcPr>
            <w:tcW w:w="6920" w:type="dxa"/>
            <w:vAlign w:val="bottom"/>
          </w:tcPr>
          <w:p>
            <w:pPr>
              <w:ind w:left="260"/>
              <w:spacing w:after="0"/>
              <w:rPr>
                <w:sz w:val="20"/>
                <w:szCs w:val="20"/>
                <w:color w:val="auto"/>
              </w:rPr>
            </w:pPr>
            <w:r>
              <w:rPr>
                <w:rFonts w:ascii="Arial" w:cs="Arial" w:eastAsia="Arial" w:hAnsi="Arial"/>
                <w:sz w:val="18"/>
                <w:szCs w:val="18"/>
                <w:color w:val="auto"/>
              </w:rPr>
              <w:t>United States Generally Accepted Accounting Principles</w:t>
            </w:r>
          </w:p>
        </w:tc>
      </w:tr>
      <w:tr>
        <w:trPr>
          <w:trHeight w:val="418"/>
        </w:trPr>
        <w:tc>
          <w:tcPr>
            <w:tcW w:w="4320" w:type="dxa"/>
            <w:vAlign w:val="bottom"/>
          </w:tcPr>
          <w:p>
            <w:pPr>
              <w:ind w:left="560"/>
              <w:spacing w:after="0"/>
              <w:rPr>
                <w:sz w:val="20"/>
                <w:szCs w:val="20"/>
                <w:color w:val="auto"/>
              </w:rPr>
            </w:pPr>
            <w:r>
              <w:rPr>
                <w:rFonts w:ascii="Arial" w:cs="Arial" w:eastAsia="Arial" w:hAnsi="Arial"/>
                <w:sz w:val="18"/>
                <w:szCs w:val="18"/>
                <w:color w:val="auto"/>
              </w:rPr>
              <w:t>‘FASB’</w:t>
            </w:r>
          </w:p>
        </w:tc>
        <w:tc>
          <w:tcPr>
            <w:tcW w:w="6920" w:type="dxa"/>
            <w:vAlign w:val="bottom"/>
          </w:tcPr>
          <w:p>
            <w:pPr>
              <w:ind w:left="260"/>
              <w:spacing w:after="0"/>
              <w:rPr>
                <w:sz w:val="20"/>
                <w:szCs w:val="20"/>
                <w:color w:val="auto"/>
              </w:rPr>
            </w:pPr>
            <w:r>
              <w:rPr>
                <w:rFonts w:ascii="Arial" w:cs="Arial" w:eastAsia="Arial" w:hAnsi="Arial"/>
                <w:sz w:val="18"/>
                <w:szCs w:val="18"/>
                <w:color w:val="auto"/>
              </w:rPr>
              <w:t>Financial Accounting Standards Board</w:t>
            </w:r>
          </w:p>
        </w:tc>
      </w:tr>
      <w:tr>
        <w:trPr>
          <w:trHeight w:val="418"/>
        </w:trPr>
        <w:tc>
          <w:tcPr>
            <w:tcW w:w="4320" w:type="dxa"/>
            <w:vAlign w:val="bottom"/>
          </w:tcPr>
          <w:p>
            <w:pPr>
              <w:ind w:left="560"/>
              <w:spacing w:after="0"/>
              <w:rPr>
                <w:sz w:val="20"/>
                <w:szCs w:val="20"/>
                <w:color w:val="auto"/>
              </w:rPr>
            </w:pPr>
            <w:r>
              <w:rPr>
                <w:rFonts w:ascii="Arial" w:cs="Arial" w:eastAsia="Arial" w:hAnsi="Arial"/>
                <w:sz w:val="18"/>
                <w:szCs w:val="18"/>
                <w:color w:val="auto"/>
              </w:rPr>
              <w:t>‘ASC’</w:t>
            </w:r>
          </w:p>
        </w:tc>
        <w:tc>
          <w:tcPr>
            <w:tcW w:w="6920" w:type="dxa"/>
            <w:vAlign w:val="bottom"/>
          </w:tcPr>
          <w:p>
            <w:pPr>
              <w:ind w:left="260"/>
              <w:spacing w:after="0"/>
              <w:rPr>
                <w:sz w:val="20"/>
                <w:szCs w:val="20"/>
                <w:color w:val="auto"/>
              </w:rPr>
            </w:pPr>
            <w:r>
              <w:rPr>
                <w:rFonts w:ascii="Arial" w:cs="Arial" w:eastAsia="Arial" w:hAnsi="Arial"/>
                <w:sz w:val="18"/>
                <w:szCs w:val="18"/>
                <w:color w:val="auto"/>
              </w:rPr>
              <w:t>Accounting Standards Codification</w:t>
            </w:r>
          </w:p>
        </w:tc>
      </w:tr>
      <w:tr>
        <w:trPr>
          <w:trHeight w:val="418"/>
        </w:trPr>
        <w:tc>
          <w:tcPr>
            <w:tcW w:w="4320" w:type="dxa"/>
            <w:vAlign w:val="bottom"/>
          </w:tcPr>
          <w:p>
            <w:pPr>
              <w:ind w:left="560"/>
              <w:spacing w:after="0"/>
              <w:rPr>
                <w:sz w:val="20"/>
                <w:szCs w:val="20"/>
                <w:color w:val="auto"/>
              </w:rPr>
            </w:pPr>
            <w:r>
              <w:rPr>
                <w:rFonts w:ascii="Arial" w:cs="Arial" w:eastAsia="Arial" w:hAnsi="Arial"/>
                <w:sz w:val="18"/>
                <w:szCs w:val="18"/>
                <w:color w:val="auto"/>
              </w:rPr>
              <w:t>‘ASU’</w:t>
            </w:r>
          </w:p>
        </w:tc>
        <w:tc>
          <w:tcPr>
            <w:tcW w:w="6920" w:type="dxa"/>
            <w:vAlign w:val="bottom"/>
          </w:tcPr>
          <w:p>
            <w:pPr>
              <w:ind w:left="260"/>
              <w:spacing w:after="0"/>
              <w:rPr>
                <w:sz w:val="20"/>
                <w:szCs w:val="20"/>
                <w:color w:val="auto"/>
              </w:rPr>
            </w:pPr>
            <w:r>
              <w:rPr>
                <w:rFonts w:ascii="Arial" w:cs="Arial" w:eastAsia="Arial" w:hAnsi="Arial"/>
                <w:sz w:val="18"/>
                <w:szCs w:val="18"/>
                <w:color w:val="auto"/>
              </w:rPr>
              <w:t>Accounting Standards Update</w:t>
            </w:r>
          </w:p>
        </w:tc>
      </w:tr>
      <w:tr>
        <w:trPr>
          <w:trHeight w:val="419"/>
        </w:trPr>
        <w:tc>
          <w:tcPr>
            <w:tcW w:w="4320" w:type="dxa"/>
            <w:vAlign w:val="bottom"/>
          </w:tcPr>
          <w:p>
            <w:pPr>
              <w:ind w:left="560"/>
              <w:spacing w:after="0"/>
              <w:rPr>
                <w:sz w:val="20"/>
                <w:szCs w:val="20"/>
                <w:color w:val="auto"/>
              </w:rPr>
            </w:pPr>
            <w:r>
              <w:rPr>
                <w:rFonts w:ascii="Arial" w:cs="Arial" w:eastAsia="Arial" w:hAnsi="Arial"/>
                <w:sz w:val="18"/>
                <w:szCs w:val="18"/>
                <w:color w:val="auto"/>
              </w:rPr>
              <w:t>‘SEC’</w:t>
            </w:r>
          </w:p>
        </w:tc>
        <w:tc>
          <w:tcPr>
            <w:tcW w:w="6920" w:type="dxa"/>
            <w:vAlign w:val="bottom"/>
          </w:tcPr>
          <w:p>
            <w:pPr>
              <w:ind w:left="260"/>
              <w:spacing w:after="0"/>
              <w:rPr>
                <w:sz w:val="20"/>
                <w:szCs w:val="20"/>
                <w:color w:val="auto"/>
              </w:rPr>
            </w:pPr>
            <w:r>
              <w:rPr>
                <w:rFonts w:ascii="Arial" w:cs="Arial" w:eastAsia="Arial" w:hAnsi="Arial"/>
                <w:sz w:val="18"/>
                <w:szCs w:val="18"/>
                <w:color w:val="auto"/>
              </w:rPr>
              <w:t>United States Securities and Exchange Commission</w:t>
            </w:r>
          </w:p>
        </w:tc>
      </w:tr>
      <w:tr>
        <w:trPr>
          <w:trHeight w:val="432"/>
        </w:trPr>
        <w:tc>
          <w:tcPr>
            <w:tcW w:w="4320" w:type="dxa"/>
            <w:vAlign w:val="bottom"/>
          </w:tcPr>
          <w:p>
            <w:pPr>
              <w:ind w:left="540"/>
              <w:spacing w:after="0"/>
              <w:rPr>
                <w:sz w:val="20"/>
                <w:szCs w:val="20"/>
                <w:color w:val="auto"/>
              </w:rPr>
            </w:pPr>
            <w:r>
              <w:rPr>
                <w:rFonts w:ascii="Arial" w:cs="Arial" w:eastAsia="Arial" w:hAnsi="Arial"/>
                <w:sz w:val="18"/>
                <w:szCs w:val="18"/>
                <w:color w:val="auto"/>
              </w:rPr>
              <w:t>‘EBITDA’</w:t>
            </w:r>
          </w:p>
        </w:tc>
        <w:tc>
          <w:tcPr>
            <w:tcW w:w="6920" w:type="dxa"/>
            <w:vAlign w:val="bottom"/>
          </w:tcPr>
          <w:p>
            <w:pPr>
              <w:ind w:left="240"/>
              <w:spacing w:after="0"/>
              <w:rPr>
                <w:sz w:val="20"/>
                <w:szCs w:val="20"/>
                <w:color w:val="auto"/>
              </w:rPr>
            </w:pPr>
            <w:r>
              <w:rPr>
                <w:rFonts w:ascii="Arial" w:cs="Arial" w:eastAsia="Arial" w:hAnsi="Arial"/>
                <w:sz w:val="18"/>
                <w:szCs w:val="18"/>
                <w:color w:val="auto"/>
              </w:rPr>
              <w:t>Earnings before Interest, Taxes, Depreciation and Amortization</w:t>
            </w:r>
          </w:p>
        </w:tc>
      </w:tr>
      <w:tr>
        <w:trPr>
          <w:trHeight w:val="824"/>
        </w:trPr>
        <w:tc>
          <w:tcPr>
            <w:tcW w:w="4320" w:type="dxa"/>
            <w:vAlign w:val="bottom"/>
          </w:tcPr>
          <w:p>
            <w:pPr>
              <w:spacing w:after="0"/>
              <w:rPr>
                <w:sz w:val="24"/>
                <w:szCs w:val="24"/>
                <w:color w:val="auto"/>
              </w:rPr>
            </w:pPr>
          </w:p>
        </w:tc>
        <w:tc>
          <w:tcPr>
            <w:tcW w:w="6920" w:type="dxa"/>
            <w:vAlign w:val="bottom"/>
          </w:tcPr>
          <w:p>
            <w:pPr>
              <w:ind w:left="1260"/>
              <w:spacing w:after="0"/>
              <w:rPr>
                <w:sz w:val="20"/>
                <w:szCs w:val="20"/>
                <w:color w:val="auto"/>
              </w:rPr>
            </w:pPr>
            <w:r>
              <w:rPr>
                <w:rFonts w:ascii="Arial" w:cs="Arial" w:eastAsia="Arial" w:hAnsi="Arial"/>
                <w:sz w:val="18"/>
                <w:szCs w:val="18"/>
                <w:color w:val="auto"/>
              </w:rPr>
              <w:t>3</w:t>
            </w:r>
          </w:p>
        </w:tc>
      </w:tr>
      <w:tr>
        <w:trPr>
          <w:trHeight w:val="115"/>
        </w:trPr>
        <w:tc>
          <w:tcPr>
            <w:tcW w:w="4320" w:type="dxa"/>
            <w:vAlign w:val="bottom"/>
            <w:tcBorders>
              <w:bottom w:val="single" w:sz="8" w:color="9A9A9A"/>
            </w:tcBorders>
          </w:tcPr>
          <w:p>
            <w:pPr>
              <w:spacing w:after="0"/>
              <w:rPr>
                <w:sz w:val="10"/>
                <w:szCs w:val="10"/>
                <w:color w:val="auto"/>
              </w:rPr>
            </w:pPr>
          </w:p>
        </w:tc>
        <w:tc>
          <w:tcPr>
            <w:tcW w:w="6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Disclaimer Regarding Forward-looking Statements</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that address activities, events or developments that we expect or anticipate may occur in the future, including such things as: our outlook; the potential impact of natural or man-made disasters like health pandemics and other world health crises; future capital expenditures; ongoing working capital efforts; future share repurchases; financial results (including our revenue, costs or margins) and the impact of changes to tax laws on our financial results; existing and evolving business strategies and acquisitions and dispositions, including our completed sale of Willis Re to Arthur J. Gallagher &amp; Co. (‘Gallagher’) and transitional arrangements related thereto; demand for our services and competitive strengths; strategic goals; the benefits of new initiatives; growth of our business and operations; our ability to successfully manage ongoing leadership, organizational and technology changes, including investments in improving systems and processes; our ability to implement and realize anticipated benefits of any cost-savings initiatives including the multi-year operational Transformation program; and plans and references to future successes, including our future financial and operating results, short-term and long-term financial goals, plans, objectives, expectations and intentions, including with respect to free cash flow generation, adjusted net revenue, adjusted operating margin and adjusted earnings per share, are forward-looking statements. Also, when we use words such as ‘may’, ‘will’, ‘would’, ‘anticipate’, ‘believe’, ‘estimate’, ‘expect’, ‘intend’, ‘plan’, ‘continues’, ‘seek’, ‘target’, ‘goal’,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spacing w:after="0" w:line="12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are important risks, uncertainties, events and factors that could cause our actual results or performance to differ materially from those in the forward-looking statements contained in this document, including the following:</w:t>
      </w:r>
    </w:p>
    <w:p>
      <w:pPr>
        <w:spacing w:after="0" w:line="62"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establish, execute and achieve our global business strategy as it evolves;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fully realize anticipated benefits of our growth strategy;</w:t>
      </w:r>
    </w:p>
    <w:p>
      <w:pPr>
        <w:spacing w:after="0" w:line="117" w:lineRule="exact"/>
        <w:rPr>
          <w:rFonts w:ascii="Arial" w:cs="Arial" w:eastAsia="Arial" w:hAnsi="Arial"/>
          <w:sz w:val="18"/>
          <w:szCs w:val="18"/>
          <w:color w:val="auto"/>
        </w:rPr>
      </w:pPr>
    </w:p>
    <w:p>
      <w:pPr>
        <w:ind w:left="760" w:right="10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our short-term and long-term financial goals, such as with respect to our cash flow generation, and the timing with respect to such achievement;</w:t>
      </w:r>
    </w:p>
    <w:p>
      <w:pPr>
        <w:spacing w:after="0" w:line="62" w:lineRule="exact"/>
        <w:rPr>
          <w:rFonts w:ascii="Arial" w:cs="Arial" w:eastAsia="Arial" w:hAnsi="Arial"/>
          <w:sz w:val="18"/>
          <w:szCs w:val="18"/>
          <w:color w:val="auto"/>
        </w:rPr>
      </w:pPr>
    </w:p>
    <w:p>
      <w:pPr>
        <w:ind w:left="760" w:right="42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related to changes in general economic (including a possible recession), business and political conditions, including changes in the financial markets, inflation, credit availability, increased interest rates and trade policies;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to our short-term and long-term financial goals from any of the risks or uncertainties set forth herein;</w:t>
      </w:r>
    </w:p>
    <w:p>
      <w:pPr>
        <w:spacing w:after="0" w:line="117" w:lineRule="exact"/>
        <w:rPr>
          <w:rFonts w:ascii="Arial" w:cs="Arial" w:eastAsia="Arial" w:hAnsi="Arial"/>
          <w:sz w:val="18"/>
          <w:szCs w:val="18"/>
          <w:color w:val="auto"/>
        </w:rPr>
      </w:pPr>
    </w:p>
    <w:p>
      <w:pPr>
        <w:jc w:val="both"/>
        <w:ind w:left="760" w:right="20" w:hanging="378"/>
        <w:spacing w:after="0" w:line="311"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risks to our business, financial condition, results of operations, and long-term goals that may be materially adversely affected by any negative impact on the global economy and capital markets resulting from or relating to inflation, the military conflict between Russia and Ukraine or any other geopolitical tensions and the withdrawal from our high-margin businesses in Russia and our ability to achieve cost-mitigation measures;</w:t>
      </w:r>
    </w:p>
    <w:p>
      <w:pPr>
        <w:spacing w:after="0" w:line="40" w:lineRule="exact"/>
        <w:rPr>
          <w:rFonts w:ascii="Arial" w:cs="Arial" w:eastAsia="Arial" w:hAnsi="Arial"/>
          <w:sz w:val="16"/>
          <w:szCs w:val="16"/>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hedge against fluctuations in foreign currency rates;</w:t>
      </w:r>
    </w:p>
    <w:p>
      <w:pPr>
        <w:spacing w:after="0" w:line="117" w:lineRule="exact"/>
        <w:rPr>
          <w:rFonts w:ascii="Arial" w:cs="Arial" w:eastAsia="Arial" w:hAnsi="Arial"/>
          <w:sz w:val="18"/>
          <w:szCs w:val="18"/>
          <w:color w:val="auto"/>
        </w:rPr>
      </w:pPr>
    </w:p>
    <w:p>
      <w:pPr>
        <w:jc w:val="both"/>
        <w:ind w:left="760" w:right="520" w:hanging="378"/>
        <w:spacing w:after="0" w:line="311"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risks relating to the adverse impacts of natural or man-made disasters like health pandemics and other world health crises, such as the COVID-19 pandemic, including supply chain, workforce availability, vaccination rates, and other impacts on the people and businesses in jurisdictions where we do business, on the demand for our products and services, our cash flows and our business operations;</w:t>
      </w:r>
    </w:p>
    <w:p>
      <w:pPr>
        <w:spacing w:after="0" w:line="40" w:lineRule="exact"/>
        <w:rPr>
          <w:rFonts w:ascii="Arial" w:cs="Arial" w:eastAsia="Arial" w:hAnsi="Arial"/>
          <w:sz w:val="16"/>
          <w:szCs w:val="16"/>
          <w:color w:val="auto"/>
        </w:rPr>
      </w:pPr>
    </w:p>
    <w:p>
      <w:pPr>
        <w:ind w:left="760" w:right="62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material interruptions to or loss of our information processing capabilities, or failure to effectively maintain and upgrade our information technology resources and systems and related risks of cybersecurity breaches or incidents;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complex and evolving regulations related to data privacy and cybersecurity;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relating to the transitional arrangements in effect subsequent to our now-completed sale of Willis Re to Gallagher;</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competition that we face and the potential for loss of market share and/or profitability;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seasonality and differences in timing of renewals and non-recurring revenue increases from disposals and book-of-business sales;</w:t>
      </w:r>
    </w:p>
    <w:p>
      <w:pPr>
        <w:spacing w:after="0" w:line="140" w:lineRule="exact"/>
        <w:rPr>
          <w:rFonts w:ascii="Arial" w:cs="Arial" w:eastAsia="Arial" w:hAnsi="Arial"/>
          <w:sz w:val="16"/>
          <w:szCs w:val="16"/>
          <w:color w:val="auto"/>
        </w:rPr>
      </w:pPr>
    </w:p>
    <w:p>
      <w:pPr>
        <w:ind w:left="760" w:hanging="378"/>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failure to protect client data or breaches of information systems or insufficient safeguards against cybersecurity breaches or incidents;</w:t>
      </w:r>
    </w:p>
    <w:p>
      <w:pPr>
        <w:spacing w:after="0" w:line="128" w:lineRule="exact"/>
        <w:rPr>
          <w:rFonts w:ascii="Arial" w:cs="Arial" w:eastAsia="Arial" w:hAnsi="Arial"/>
          <w:sz w:val="17"/>
          <w:szCs w:val="17"/>
          <w:color w:val="auto"/>
        </w:rPr>
      </w:pPr>
    </w:p>
    <w:p>
      <w:pPr>
        <w:ind w:left="760" w:right="48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increased liability or new legal claims arising from our new and existing products and services, and expectations, intentions and outcomes relating to outstanding litigation;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substantial negative outcomes on existing litigation or investigation matters;</w:t>
      </w:r>
    </w:p>
    <w:p>
      <w:pPr>
        <w:spacing w:after="0" w:line="117" w:lineRule="exact"/>
        <w:rPr>
          <w:rFonts w:ascii="Arial" w:cs="Arial" w:eastAsia="Arial" w:hAnsi="Arial"/>
          <w:sz w:val="18"/>
          <w:szCs w:val="18"/>
          <w:color w:val="auto"/>
        </w:rPr>
      </w:pPr>
    </w:p>
    <w:p>
      <w:pPr>
        <w:ind w:left="380" w:right="20" w:hanging="37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regulatory environment in which we operate, including, among other risks, the impacts of pending competition law and regulatory investigations;</w:t>
      </w:r>
    </w:p>
    <w:p>
      <w:pPr>
        <w:spacing w:after="0" w:line="62"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various claims, government inquiries or investigations or the potential for regulatory action;</w:t>
      </w:r>
    </w:p>
    <w:p>
      <w:pPr>
        <w:spacing w:after="0" w:line="117" w:lineRule="exact"/>
        <w:rPr>
          <w:rFonts w:ascii="Arial" w:cs="Arial" w:eastAsia="Arial" w:hAnsi="Arial"/>
          <w:sz w:val="18"/>
          <w:szCs w:val="18"/>
          <w:color w:val="auto"/>
        </w:rPr>
      </w:pPr>
    </w:p>
    <w:p>
      <w:pPr>
        <w:ind w:left="380" w:right="400" w:hanging="37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divestitures or acquisitions, including our ability to integrate or manage such acquired businesses as well as identify and successfully execute on opportunities for strategic collaboration;</w:t>
      </w:r>
    </w:p>
    <w:p>
      <w:pPr>
        <w:spacing w:after="0" w:line="62"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integrate direct-to-consumer sales and marketing solutions with our existing offerings and solutions;</w:t>
      </w:r>
    </w:p>
    <w:p>
      <w:pPr>
        <w:spacing w:after="0" w:line="117"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manage ongoing organizational changes, including investments in improving systems and processes;</w:t>
      </w:r>
    </w:p>
    <w:p>
      <w:pPr>
        <w:spacing w:after="0" w:line="117"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disasters or business continuity problems;</w:t>
      </w:r>
    </w:p>
    <w:p>
      <w:pPr>
        <w:spacing w:after="0" w:line="117" w:lineRule="exact"/>
        <w:rPr>
          <w:rFonts w:ascii="Arial" w:cs="Arial" w:eastAsia="Arial" w:hAnsi="Arial"/>
          <w:sz w:val="18"/>
          <w:szCs w:val="18"/>
          <w:color w:val="auto"/>
        </w:rPr>
      </w:pPr>
    </w:p>
    <w:p>
      <w:pPr>
        <w:ind w:left="380" w:right="340" w:hanging="378"/>
        <w:spacing w:after="0" w:line="311"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ongoing impact of Brexit on our business and operations, including as a result of updated regulatory guidance, such as that issued by the European Insurance and Occupational Pensions Authority on February 3, 2023, ongoing efforts and resources allocated to the post-Brexit evolution of regulations and laws and the need to relocate talent or roles or both between or within the E.U. and the U.K., or otherwise;</w:t>
      </w:r>
    </w:p>
    <w:p>
      <w:pPr>
        <w:spacing w:after="0" w:line="40" w:lineRule="exact"/>
        <w:rPr>
          <w:rFonts w:ascii="Arial" w:cs="Arial" w:eastAsia="Arial" w:hAnsi="Arial"/>
          <w:sz w:val="16"/>
          <w:szCs w:val="16"/>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enhance our billing, collection and other working capital efforts, and thereby increase our free cash flow;</w:t>
      </w:r>
    </w:p>
    <w:p>
      <w:pPr>
        <w:spacing w:after="0" w:line="117"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properly identify and manage conflicts of interest;</w:t>
      </w:r>
    </w:p>
    <w:p>
      <w:pPr>
        <w:spacing w:after="0" w:line="117"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reputational damage, including from association with third parties;</w:t>
      </w:r>
    </w:p>
    <w:p>
      <w:pPr>
        <w:spacing w:after="0" w:line="117"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reliance on third-party service providers and suppliers;</w:t>
      </w:r>
    </w:p>
    <w:p>
      <w:pPr>
        <w:spacing w:after="0" w:line="117"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changes in our management structures and in senior leadership;</w:t>
      </w:r>
    </w:p>
    <w:p>
      <w:pPr>
        <w:spacing w:after="0" w:line="117"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key employees or a large number of employees and rehiring rates;</w:t>
      </w:r>
    </w:p>
    <w:p>
      <w:pPr>
        <w:spacing w:after="0" w:line="117"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corporate culture;</w:t>
      </w:r>
    </w:p>
    <w:p>
      <w:pPr>
        <w:spacing w:after="0" w:line="117"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doing business internationally, including the impact of foreign currency exchange rates;</w:t>
      </w:r>
    </w:p>
    <w:p>
      <w:pPr>
        <w:spacing w:after="0" w:line="117"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extensive government regulation;</w:t>
      </w:r>
    </w:p>
    <w:p>
      <w:pPr>
        <w:spacing w:after="0" w:line="117" w:lineRule="exact"/>
        <w:rPr>
          <w:rFonts w:ascii="Arial" w:cs="Arial" w:eastAsia="Arial" w:hAnsi="Arial"/>
          <w:sz w:val="18"/>
          <w:szCs w:val="18"/>
          <w:color w:val="auto"/>
        </w:rPr>
      </w:pPr>
    </w:p>
    <w:p>
      <w:pPr>
        <w:ind w:left="380" w:right="200" w:hanging="37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sanctions imposed by governments, or changes to associated sanction regulations (such as sanctions imposed on Russia) and related counter-sanctions;</w:t>
      </w:r>
    </w:p>
    <w:p>
      <w:pPr>
        <w:spacing w:after="0" w:line="62" w:lineRule="exact"/>
        <w:rPr>
          <w:rFonts w:ascii="Arial" w:cs="Arial" w:eastAsia="Arial" w:hAnsi="Arial"/>
          <w:sz w:val="18"/>
          <w:szCs w:val="18"/>
          <w:color w:val="auto"/>
        </w:rPr>
      </w:pPr>
    </w:p>
    <w:p>
      <w:pPr>
        <w:ind w:left="380" w:right="120" w:hanging="37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apply technology, data and analytics changes for internal operations, maintaining industry standards and meeting client preferences;</w:t>
      </w:r>
    </w:p>
    <w:p>
      <w:pPr>
        <w:spacing w:after="0" w:line="62" w:lineRule="exact"/>
        <w:rPr>
          <w:rFonts w:ascii="Arial" w:cs="Arial" w:eastAsia="Arial" w:hAnsi="Arial"/>
          <w:sz w:val="18"/>
          <w:szCs w:val="18"/>
          <w:color w:val="auto"/>
        </w:rPr>
      </w:pPr>
    </w:p>
    <w:p>
      <w:pPr>
        <w:ind w:left="380" w:right="540" w:hanging="378"/>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and developments in the insurance industry or the U.S. healthcare system, including those related to Medicare and any legislative actions from the current U.S. Congress, and any other changes and developments in legal, economic, business or operational conditions impacting our Medicare benefits businesses such as TRANZACT;</w:t>
      </w:r>
    </w:p>
    <w:p>
      <w:pPr>
        <w:spacing w:after="0" w:line="75"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protect our intellectual property rights, or the potential infringement upon the intellectual property rights of others;</w:t>
      </w:r>
    </w:p>
    <w:p>
      <w:pPr>
        <w:spacing w:after="0" w:line="117" w:lineRule="exact"/>
        <w:rPr>
          <w:rFonts w:ascii="Arial" w:cs="Arial" w:eastAsia="Arial" w:hAnsi="Arial"/>
          <w:sz w:val="18"/>
          <w:szCs w:val="18"/>
          <w:color w:val="auto"/>
        </w:rPr>
      </w:pPr>
    </w:p>
    <w:p>
      <w:pPr>
        <w:ind w:left="380" w:right="200" w:hanging="378"/>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pension assets and liabilities and related changes in pension income, including as a result of, related to, or derived from movements in the interest rate environment, investment returns, inflation, or changes in other assumptions that are used to estimate our benefit obligations and its effect on adjusted earnings per share;</w:t>
      </w:r>
    </w:p>
    <w:p>
      <w:pPr>
        <w:spacing w:after="0" w:line="75" w:lineRule="exact"/>
        <w:rPr>
          <w:rFonts w:ascii="Arial" w:cs="Arial" w:eastAsia="Arial" w:hAnsi="Arial"/>
          <w:sz w:val="18"/>
          <w:szCs w:val="18"/>
          <w:color w:val="auto"/>
        </w:rPr>
      </w:pPr>
    </w:p>
    <w:p>
      <w:pPr>
        <w:ind w:left="380" w:right="200" w:hanging="37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capital structure, including indebtedness amounts, the limitations imposed by the covenants in the documents governing such indebtedness and the maintenance of the financial and disclosure controls and procedures of each;</w:t>
      </w:r>
    </w:p>
    <w:p>
      <w:pPr>
        <w:spacing w:after="0" w:line="62"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financing on favorable terms or at all;</w:t>
      </w:r>
    </w:p>
    <w:p>
      <w:pPr>
        <w:spacing w:after="0" w:line="117"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our credit ratings;</w:t>
      </w:r>
    </w:p>
    <w:p>
      <w:pPr>
        <w:spacing w:after="0" w:line="117" w:lineRule="exact"/>
        <w:rPr>
          <w:rFonts w:ascii="Arial" w:cs="Arial" w:eastAsia="Arial" w:hAnsi="Arial"/>
          <w:sz w:val="18"/>
          <w:szCs w:val="18"/>
          <w:color w:val="auto"/>
        </w:rPr>
      </w:pPr>
    </w:p>
    <w:p>
      <w:pPr>
        <w:ind w:left="380" w:hanging="378"/>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recent or potential changes to U.S. or foreign laws, and the enactment of additional, or the revision of existing, state, federal, and/or foreign laws and regulations, recent judicial decisions and development of case law, other regulations and any policy changes and legislative actions, including those that impact our effective tax rate;</w:t>
      </w:r>
    </w:p>
    <w:p>
      <w:pPr>
        <w:spacing w:after="0" w:line="75"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federal income tax consequences to U.S. persons owning at least 10% of our shares;</w:t>
      </w:r>
    </w:p>
    <w:p>
      <w:pPr>
        <w:spacing w:after="0" w:line="18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449" w:right="359" w:bottom="1440" w:gutter="0" w:footer="0" w:header="0"/>
        </w:sectPr>
      </w:pPr>
    </w:p>
    <w:bookmarkStart w:id="5" w:name="page6"/>
    <w:bookmarkEnd w:id="5"/>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accounting principles, estimates or assumptions;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or arising from environmental, social and governance (‘ESG’) practices;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 in revenue against our relatively fixed or higher than expected expenses;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laws of Ireland being different from the laws of the U.S. and potentially affording less protections to the holders of our securities; and</w:t>
      </w:r>
    </w:p>
    <w:p>
      <w:pPr>
        <w:spacing w:after="0" w:line="128" w:lineRule="exact"/>
        <w:rPr>
          <w:rFonts w:ascii="Arial" w:cs="Arial" w:eastAsia="Arial" w:hAnsi="Arial"/>
          <w:sz w:val="17"/>
          <w:szCs w:val="17"/>
          <w:color w:val="auto"/>
        </w:rPr>
      </w:pPr>
    </w:p>
    <w:p>
      <w:pPr>
        <w:ind w:left="760" w:right="12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holding company structure potentially preventing us from being able to receive dividends or other distributions in needed amounts from our subsidiaries.</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foregoing list of factors is not exhaustive and new factors may emerge from time to time that could also affect actual performance and results. For more information, please see Part I, Item 1A in our Annual Report on Form 10-K, and our subsequent filings with the SEC. Copies are available online at http://www.sec.gov or www.wtwco.com.</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Quarterly Report on Form 10-Q, our inclusion of this information is not a representation or guarantee by us that our objectives and plans will be achieved.</w:t>
      </w:r>
    </w:p>
    <w:p>
      <w:pPr>
        <w:spacing w:after="0" w:line="13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1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r>
      <w:tr>
        <w:trPr>
          <w:trHeight w:val="185"/>
        </w:trPr>
        <w:tc>
          <w:tcPr>
            <w:tcW w:w="56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69"/>
        </w:trPr>
        <w:tc>
          <w:tcPr>
            <w:tcW w:w="56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471"/>
              <w:spacing w:after="0"/>
              <w:rPr>
                <w:sz w:val="20"/>
                <w:szCs w:val="20"/>
                <w:color w:val="auto"/>
              </w:rPr>
            </w:pPr>
            <w:r>
              <w:rPr>
                <w:rFonts w:ascii="Arial" w:cs="Arial" w:eastAsia="Arial" w:hAnsi="Arial"/>
                <w:sz w:val="14"/>
                <w:szCs w:val="14"/>
                <w:b w:val="1"/>
                <w:bCs w:val="1"/>
                <w:color w:val="auto"/>
                <w:w w:val="89"/>
              </w:rPr>
              <w:t>2022</w:t>
            </w:r>
          </w:p>
        </w:tc>
      </w:tr>
      <w:tr>
        <w:trPr>
          <w:trHeight w:val="237"/>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720" w:type="dxa"/>
            <w:vAlign w:val="bottom"/>
            <w:tcBorders>
              <w:top w:val="single" w:sz="8" w:color="auto"/>
              <w:bottom w:val="single" w:sz="8" w:color="auto"/>
            </w:tcBorders>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88"/>
              </w:rPr>
              <w:t>2,159</w:t>
            </w:r>
          </w:p>
        </w:tc>
        <w:tc>
          <w:tcPr>
            <w:tcW w:w="16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8"/>
              </w:rPr>
              <w:t>2,031</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4,403</w:t>
            </w: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4,191</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Costs of providing services</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Salaries and benefits</w:t>
            </w: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88"/>
              </w:rPr>
              <w:t>1,347</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8"/>
              </w:rPr>
              <w:t>1,259</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2,660</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2,577</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72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886</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879</w:t>
            </w: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w:t>
            </w: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131</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72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168</w:t>
            </w: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costs</w:t>
            </w: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62</w:t>
            </w: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Transaction and transformation</w:t>
            </w: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58</w:t>
            </w:r>
          </w:p>
        </w:tc>
      </w:tr>
      <w:tr>
        <w:trPr>
          <w:trHeight w:val="237"/>
        </w:trPr>
        <w:tc>
          <w:tcPr>
            <w:tcW w:w="56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costs of providing services</w:t>
            </w:r>
          </w:p>
        </w:tc>
        <w:tc>
          <w:tcPr>
            <w:tcW w:w="7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88"/>
              </w:rPr>
              <w:t>2,017</w:t>
            </w:r>
          </w:p>
        </w:tc>
        <w:tc>
          <w:tcPr>
            <w:tcW w:w="16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8"/>
              </w:rPr>
              <w:t>1,894</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3,976</w:t>
            </w: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3,875</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72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316</w:t>
            </w: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(57 )</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(111 )</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120</w:t>
            </w:r>
          </w:p>
        </w:tc>
      </w:tr>
      <w:tr>
        <w:trPr>
          <w:trHeight w:val="20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 BEFORE</w:t>
            </w:r>
          </w:p>
        </w:tc>
        <w:tc>
          <w:tcPr>
            <w:tcW w:w="7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44"/>
        </w:trPr>
        <w:tc>
          <w:tcPr>
            <w:tcW w:w="56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INCOME TAXES</w:t>
            </w: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376</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336</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6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1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(62 )</w:t>
            </w: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274</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239</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Income attributable to non-controlling interests</w:t>
            </w: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77"/>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ATTRIBUTABLE TO WTW</w:t>
            </w:r>
          </w:p>
        </w:tc>
        <w:tc>
          <w:tcPr>
            <w:tcW w:w="720" w:type="dxa"/>
            <w:vAlign w:val="bottom"/>
            <w:tcBorders>
              <w:bottom w:val="single" w:sz="8" w:color="auto"/>
            </w:tcBorders>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109</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297</w:t>
            </w:r>
          </w:p>
        </w:tc>
        <w:tc>
          <w:tcPr>
            <w:tcW w:w="1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231</w:t>
            </w:r>
          </w:p>
        </w:tc>
      </w:tr>
      <w:tr>
        <w:trPr>
          <w:trHeight w:val="223"/>
        </w:trPr>
        <w:tc>
          <w:tcPr>
            <w:tcW w:w="5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w:t>
            </w: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from continuing operations per share</w:t>
            </w:r>
          </w:p>
        </w:tc>
        <w:tc>
          <w:tcPr>
            <w:tcW w:w="720" w:type="dxa"/>
            <w:vAlign w:val="bottom"/>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0.88</w:t>
            </w:r>
          </w:p>
        </w:tc>
        <w:tc>
          <w:tcPr>
            <w:tcW w:w="88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1.38</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2.78</w:t>
            </w:r>
          </w:p>
        </w:tc>
        <w:tc>
          <w:tcPr>
            <w:tcW w:w="5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2.31</w:t>
            </w: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Loss from discontinued operations per share</w:t>
            </w: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(0.41 )</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(0.30 )</w:t>
            </w:r>
          </w:p>
        </w:tc>
      </w:tr>
      <w:tr>
        <w:trPr>
          <w:trHeight w:val="276"/>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Basic earnings per share</w:t>
            </w:r>
          </w:p>
        </w:tc>
        <w:tc>
          <w:tcPr>
            <w:tcW w:w="720" w:type="dxa"/>
            <w:vAlign w:val="bottom"/>
            <w:tcBorders>
              <w:bottom w:val="single" w:sz="8" w:color="auto"/>
            </w:tcBorders>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0.88</w:t>
            </w: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0.97</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2.78</w:t>
            </w:r>
          </w:p>
        </w:tc>
        <w:tc>
          <w:tcPr>
            <w:tcW w:w="160" w:type="dxa"/>
            <w:vAlign w:val="bottom"/>
            <w:tcBorders>
              <w:bottom w:val="single" w:sz="8" w:color="auto"/>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2.01</w:t>
            </w:r>
          </w:p>
        </w:tc>
      </w:tr>
      <w:tr>
        <w:trPr>
          <w:trHeight w:val="217"/>
        </w:trPr>
        <w:tc>
          <w:tcPr>
            <w:tcW w:w="564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from continuing operations per share</w:t>
            </w:r>
          </w:p>
        </w:tc>
        <w:tc>
          <w:tcPr>
            <w:tcW w:w="720" w:type="dxa"/>
            <w:vAlign w:val="bottom"/>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0.88</w:t>
            </w:r>
          </w:p>
        </w:tc>
        <w:tc>
          <w:tcPr>
            <w:tcW w:w="88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1.38</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2.77</w:t>
            </w:r>
          </w:p>
        </w:tc>
        <w:tc>
          <w:tcPr>
            <w:tcW w:w="5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2.31</w:t>
            </w: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Loss from discontinued operations per share</w:t>
            </w: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(0.41 )</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(0.30 )</w:t>
            </w:r>
          </w:p>
        </w:tc>
      </w:tr>
      <w:tr>
        <w:trPr>
          <w:trHeight w:val="277"/>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 earnings per share</w:t>
            </w:r>
          </w:p>
        </w:tc>
        <w:tc>
          <w:tcPr>
            <w:tcW w:w="720" w:type="dxa"/>
            <w:vAlign w:val="bottom"/>
            <w:tcBorders>
              <w:bottom w:val="single" w:sz="8" w:color="auto"/>
            </w:tcBorders>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0.88</w:t>
            </w: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0.97</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2.77</w:t>
            </w:r>
          </w:p>
        </w:tc>
        <w:tc>
          <w:tcPr>
            <w:tcW w:w="1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2.01</w:t>
            </w:r>
          </w:p>
        </w:tc>
      </w:tr>
      <w:tr>
        <w:trPr>
          <w:trHeight w:val="223"/>
        </w:trPr>
        <w:tc>
          <w:tcPr>
            <w:tcW w:w="5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income/(loss) before non-controlling interests</w:t>
            </w:r>
          </w:p>
        </w:tc>
        <w:tc>
          <w:tcPr>
            <w:tcW w:w="720" w:type="dxa"/>
            <w:vAlign w:val="bottom"/>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124</w:t>
            </w:r>
          </w:p>
        </w:tc>
        <w:tc>
          <w:tcPr>
            <w:tcW w:w="88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(130 )</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383</w:t>
            </w:r>
          </w:p>
        </w:tc>
        <w:tc>
          <w:tcPr>
            <w:tcW w:w="5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(61 )</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77"/>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income/(loss) attributable to WTW</w:t>
            </w:r>
          </w:p>
        </w:tc>
        <w:tc>
          <w:tcPr>
            <w:tcW w:w="720" w:type="dxa"/>
            <w:vAlign w:val="bottom"/>
            <w:tcBorders>
              <w:bottom w:val="single" w:sz="8" w:color="auto"/>
            </w:tcBorders>
            <w:shd w:val="clear" w:color="auto" w:fill="CFF0FC"/>
          </w:tcPr>
          <w:p>
            <w:pPr>
              <w:jc w:val="right"/>
              <w:ind w:right="53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(135 )</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378</w:t>
            </w:r>
          </w:p>
        </w:tc>
        <w:tc>
          <w:tcPr>
            <w:tcW w:w="1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-5262880</wp:posOffset>
            </wp:positionV>
            <wp:extent cx="10287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-5262880</wp:posOffset>
            </wp:positionV>
            <wp:extent cx="10287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-5262880</wp:posOffset>
            </wp:positionV>
            <wp:extent cx="10287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-4011295</wp:posOffset>
            </wp:positionV>
            <wp:extent cx="10287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-4011295</wp:posOffset>
            </wp:positionV>
            <wp:extent cx="10287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-4011295</wp:posOffset>
            </wp:positionV>
            <wp:extent cx="10287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-2287905</wp:posOffset>
            </wp:positionV>
            <wp:extent cx="192913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29130" cy="1797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-1328420</wp:posOffset>
            </wp:positionV>
            <wp:extent cx="102044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0445" cy="18034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-676275</wp:posOffset>
            </wp:positionV>
            <wp:extent cx="192913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29130" cy="1797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102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1028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1028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102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102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U.S. dollars, except share data)</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41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00" w:type="dxa"/>
            <w:vAlign w:val="bottom"/>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2022</w:t>
            </w: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0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1,602</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1,262</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Fiduciary assets</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8,608</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11,772</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0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2,206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2,387</w:t>
            </w:r>
          </w:p>
        </w:tc>
      </w:tr>
      <w:tr>
        <w:trPr>
          <w:trHeight w:val="24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and other current assets</w:t>
            </w:r>
          </w:p>
        </w:tc>
        <w:tc>
          <w:tcPr>
            <w:tcW w:w="10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401</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414</w:t>
            </w:r>
          </w:p>
        </w:tc>
      </w:tr>
      <w:tr>
        <w:trPr>
          <w:trHeight w:val="230"/>
        </w:trPr>
        <w:tc>
          <w:tcPr>
            <w:tcW w:w="760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0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w w:val="90"/>
              </w:rPr>
              <w:t>12,817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15,835</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Fixed assets, net</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718</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0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w w:val="90"/>
              </w:rPr>
              <w:t>10,202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10,173</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intangible assets, net</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2,146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2,273</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Right-of-use assets</w:t>
            </w:r>
          </w:p>
        </w:tc>
        <w:tc>
          <w:tcPr>
            <w:tcW w:w="10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570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586</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Pension benefits assets</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893</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827</w:t>
            </w: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Other non-current assets</w:t>
            </w: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1,420</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1,357</w:t>
            </w:r>
          </w:p>
        </w:tc>
      </w:tr>
      <w:tr>
        <w:trPr>
          <w:trHeight w:val="236"/>
        </w:trPr>
        <w:tc>
          <w:tcPr>
            <w:tcW w:w="76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non-current assets</w:t>
            </w:r>
          </w:p>
        </w:tc>
        <w:tc>
          <w:tcPr>
            <w:tcW w:w="10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0"/>
              </w:rPr>
              <w:t>15,956</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15,934</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w w:val="90"/>
              </w:rPr>
              <w:t>28,773</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31,769</w:t>
            </w:r>
          </w:p>
        </w:tc>
      </w:tr>
      <w:tr>
        <w:trPr>
          <w:trHeight w:val="20"/>
        </w:trPr>
        <w:tc>
          <w:tcPr>
            <w:tcW w:w="76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 AND EQUITY</w:t>
            </w: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Fiduciary liabilities</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8,608</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11,772</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 and accrued expenses</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1,685</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1,915</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Current debt</w:t>
            </w:r>
          </w:p>
        </w:tc>
        <w:tc>
          <w:tcPr>
            <w:tcW w:w="10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899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250</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lease liabilities</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126</w:t>
            </w: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716</w:t>
            </w:r>
          </w:p>
        </w:tc>
      </w:tr>
      <w:tr>
        <w:trPr>
          <w:trHeight w:val="236"/>
        </w:trPr>
        <w:tc>
          <w:tcPr>
            <w:tcW w:w="76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Total current liabilities</w:t>
            </w:r>
          </w:p>
        </w:tc>
        <w:tc>
          <w:tcPr>
            <w:tcW w:w="106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0"/>
              </w:rPr>
              <w:t>11,969</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14,779</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10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4,565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4,471</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Liability for pension benefits</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452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480</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Deferred tax liabilities</w:t>
            </w:r>
          </w:p>
        </w:tc>
        <w:tc>
          <w:tcPr>
            <w:tcW w:w="10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721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748</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liabilities</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357</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Long-term lease liabilities</w:t>
            </w:r>
          </w:p>
        </w:tc>
        <w:tc>
          <w:tcPr>
            <w:tcW w:w="10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602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620</w:t>
            </w:r>
          </w:p>
        </w:tc>
      </w:tr>
      <w:tr>
        <w:trPr>
          <w:trHeight w:val="24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non-current liabilities</w:t>
            </w:r>
          </w:p>
        </w:tc>
        <w:tc>
          <w:tcPr>
            <w:tcW w:w="10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201</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221</w:t>
            </w:r>
          </w:p>
        </w:tc>
      </w:tr>
      <w:tr>
        <w:trPr>
          <w:trHeight w:val="237"/>
        </w:trPr>
        <w:tc>
          <w:tcPr>
            <w:tcW w:w="7600" w:type="dxa"/>
            <w:vAlign w:val="bottom"/>
          </w:tcPr>
          <w:p>
            <w:pPr>
              <w:ind w:left="300"/>
              <w:spacing w:after="0"/>
              <w:rPr>
                <w:sz w:val="20"/>
                <w:szCs w:val="20"/>
                <w:color w:val="auto"/>
              </w:rPr>
            </w:pPr>
            <w:r>
              <w:rPr>
                <w:rFonts w:ascii="Arial" w:cs="Arial" w:eastAsia="Arial" w:hAnsi="Arial"/>
                <w:sz w:val="18"/>
                <w:szCs w:val="18"/>
                <w:color w:val="auto"/>
              </w:rPr>
              <w:t>Total non-current liabilities</w:t>
            </w:r>
          </w:p>
        </w:tc>
        <w:tc>
          <w:tcPr>
            <w:tcW w:w="10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6,927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6,897</w:t>
            </w: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06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0"/>
              </w:rPr>
              <w:t>18,896</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21,676</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EQUITY </w:t>
            </w:r>
            <w:r>
              <w:rPr>
                <w:rFonts w:ascii="Arial" w:cs="Arial" w:eastAsia="Arial" w:hAnsi="Arial"/>
                <w:sz w:val="24"/>
                <w:szCs w:val="24"/>
                <w:color w:val="auto"/>
                <w:vertAlign w:val="superscript"/>
              </w:rPr>
              <w:t>(i)</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w w:val="90"/>
              </w:rPr>
              <w:t>10,910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10,876</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Retained earnings</w:t>
            </w:r>
          </w:p>
        </w:tc>
        <w:tc>
          <w:tcPr>
            <w:tcW w:w="10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1,429</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1,764</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Accumulated other comprehensive loss, net of tax</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3"/>
              </w:rPr>
              <w:t>(2,540 )</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(2,621 )</w:t>
            </w:r>
          </w:p>
        </w:tc>
      </w:tr>
      <w:tr>
        <w:trPr>
          <w:trHeight w:val="24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Treasury shares, at cost, 17,519 shares in 2022</w:t>
            </w:r>
          </w:p>
        </w:tc>
        <w:tc>
          <w:tcPr>
            <w:tcW w:w="10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7600" w:type="dxa"/>
            <w:vAlign w:val="bottom"/>
          </w:tcPr>
          <w:p>
            <w:pPr>
              <w:ind w:left="200"/>
              <w:spacing w:after="0"/>
              <w:rPr>
                <w:sz w:val="20"/>
                <w:szCs w:val="20"/>
                <w:color w:val="auto"/>
              </w:rPr>
            </w:pPr>
            <w:r>
              <w:rPr>
                <w:rFonts w:ascii="Arial" w:cs="Arial" w:eastAsia="Arial" w:hAnsi="Arial"/>
                <w:sz w:val="18"/>
                <w:szCs w:val="18"/>
                <w:color w:val="auto"/>
              </w:rPr>
              <w:t>Total WTW shareholders’ equity</w:t>
            </w:r>
          </w:p>
        </w:tc>
        <w:tc>
          <w:tcPr>
            <w:tcW w:w="10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9,799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10,016</w:t>
            </w:r>
          </w:p>
        </w:tc>
      </w:tr>
      <w:tr>
        <w:trPr>
          <w:trHeight w:val="24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Non-controlling interests</w:t>
            </w:r>
          </w:p>
        </w:tc>
        <w:tc>
          <w:tcPr>
            <w:tcW w:w="10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78</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77</w:t>
            </w:r>
          </w:p>
        </w:tc>
      </w:tr>
      <w:tr>
        <w:trPr>
          <w:trHeight w:val="236"/>
        </w:trPr>
        <w:tc>
          <w:tcPr>
            <w:tcW w:w="7600" w:type="dxa"/>
            <w:vAlign w:val="bottom"/>
          </w:tcPr>
          <w:p>
            <w:pPr>
              <w:ind w:left="200"/>
              <w:spacing w:after="0"/>
              <w:rPr>
                <w:sz w:val="20"/>
                <w:szCs w:val="20"/>
                <w:color w:val="auto"/>
              </w:rPr>
            </w:pPr>
            <w:r>
              <w:rPr>
                <w:rFonts w:ascii="Arial" w:cs="Arial" w:eastAsia="Arial" w:hAnsi="Arial"/>
                <w:sz w:val="18"/>
                <w:szCs w:val="18"/>
                <w:color w:val="auto"/>
              </w:rPr>
              <w:t>Total equity</w:t>
            </w:r>
          </w:p>
        </w:tc>
        <w:tc>
          <w:tcPr>
            <w:tcW w:w="10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9,877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10,093</w:t>
            </w:r>
          </w:p>
        </w:tc>
      </w:tr>
      <w:tr>
        <w:trPr>
          <w:trHeight w:val="27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EQUITY</w:t>
            </w:r>
          </w:p>
        </w:tc>
        <w:tc>
          <w:tcPr>
            <w:tcW w:w="106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0"/>
              </w:rPr>
              <w:t>28,773</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31,769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-5374640</wp:posOffset>
            </wp:positionV>
            <wp:extent cx="12890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-4123055</wp:posOffset>
            </wp:positionV>
            <wp:extent cx="12890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-1919605</wp:posOffset>
            </wp:positionV>
            <wp:extent cx="12890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-668020</wp:posOffset>
            </wp:positionV>
            <wp:extent cx="128905"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6256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-350520</wp:posOffset>
            </wp:positionV>
            <wp:extent cx="12890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289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1289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7" w:lineRule="exact"/>
        <w:rPr>
          <w:sz w:val="20"/>
          <w:szCs w:val="20"/>
          <w:color w:val="auto"/>
        </w:rPr>
      </w:pPr>
    </w:p>
    <w:p>
      <w:pPr>
        <w:ind w:left="280" w:right="380" w:hanging="272"/>
        <w:spacing w:after="0" w:line="253" w:lineRule="auto"/>
        <w:tabs>
          <w:tab w:leader="none" w:pos="280" w:val="left"/>
        </w:tabs>
        <w:numPr>
          <w:ilvl w:val="0"/>
          <w:numId w:val="6"/>
        </w:numPr>
        <w:rPr>
          <w:rFonts w:ascii="Arial" w:cs="Arial" w:eastAsia="Arial" w:hAnsi="Arial"/>
          <w:sz w:val="14"/>
          <w:szCs w:val="14"/>
          <w:color w:val="auto"/>
        </w:rPr>
      </w:pPr>
      <w:r>
        <w:rPr>
          <w:rFonts w:ascii="Arial" w:cs="Arial" w:eastAsia="Arial" w:hAnsi="Arial"/>
          <w:sz w:val="14"/>
          <w:szCs w:val="14"/>
          <w:color w:val="auto"/>
        </w:rPr>
        <w:t>Equity includes (a) Ordinary shares $0.000304635 nominal value; Authorized 1,510,003,775; Issued 104,943,324 (2023) and 106,756,364 (2022); Outstanding 104,943,324 (2023) and 106,756,364 (2022) and (b) Preference shares, $0.000115 nominal value; Authorized 1,000,000,000 and Issued none in 2023 and 2022.</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8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2022</w:t>
            </w:r>
          </w:p>
        </w:tc>
      </w:tr>
      <w:tr>
        <w:trPr>
          <w:trHeight w:val="237"/>
        </w:trPr>
        <w:tc>
          <w:tcPr>
            <w:tcW w:w="8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r>
      <w:tr>
        <w:trPr>
          <w:trHeight w:val="237"/>
        </w:trPr>
        <w:tc>
          <w:tcPr>
            <w:tcW w:w="84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302</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239</w:t>
            </w:r>
          </w:p>
        </w:tc>
      </w:tr>
      <w:tr>
        <w:trPr>
          <w:trHeight w:val="249"/>
        </w:trPr>
        <w:tc>
          <w:tcPr>
            <w:tcW w:w="8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income to total net cash from operating activities: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r>
      <w:tr>
        <w:trPr>
          <w:trHeight w:val="237"/>
        </w:trPr>
        <w:tc>
          <w:tcPr>
            <w:tcW w:w="842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131</w:t>
            </w:r>
          </w:p>
        </w:tc>
      </w:tr>
      <w:tr>
        <w:trPr>
          <w:trHeight w:val="249"/>
        </w:trPr>
        <w:tc>
          <w:tcPr>
            <w:tcW w:w="8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168</w:t>
            </w:r>
          </w:p>
        </w:tc>
      </w:tr>
      <w:tr>
        <w:trPr>
          <w:trHeight w:val="237"/>
        </w:trPr>
        <w:tc>
          <w:tcPr>
            <w:tcW w:w="8420" w:type="dxa"/>
            <w:vAlign w:val="bottom"/>
          </w:tcPr>
          <w:p>
            <w:pPr>
              <w:ind w:left="380"/>
              <w:spacing w:after="0"/>
              <w:rPr>
                <w:sz w:val="20"/>
                <w:szCs w:val="20"/>
                <w:color w:val="auto"/>
              </w:rPr>
            </w:pPr>
            <w:r>
              <w:rPr>
                <w:rFonts w:ascii="Arial" w:cs="Arial" w:eastAsia="Arial" w:hAnsi="Arial"/>
                <w:sz w:val="18"/>
                <w:szCs w:val="18"/>
                <w:color w:val="auto"/>
              </w:rPr>
              <w:t>Impairment</w:t>
            </w:r>
          </w:p>
        </w:tc>
        <w:tc>
          <w:tcPr>
            <w:tcW w:w="28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81</w:t>
            </w:r>
          </w:p>
        </w:tc>
      </w:tr>
      <w:tr>
        <w:trPr>
          <w:trHeight w:val="249"/>
        </w:trPr>
        <w:tc>
          <w:tcPr>
            <w:tcW w:w="8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restructuring charges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49</w:t>
            </w:r>
          </w:p>
        </w:tc>
      </w:tr>
      <w:tr>
        <w:trPr>
          <w:trHeight w:val="237"/>
        </w:trPr>
        <w:tc>
          <w:tcPr>
            <w:tcW w:w="8420" w:type="dxa"/>
            <w:vAlign w:val="bottom"/>
          </w:tcPr>
          <w:p>
            <w:pPr>
              <w:ind w:left="380"/>
              <w:spacing w:after="0"/>
              <w:rPr>
                <w:sz w:val="20"/>
                <w:szCs w:val="20"/>
                <w:color w:val="auto"/>
              </w:rPr>
            </w:pPr>
            <w:r>
              <w:rPr>
                <w:rFonts w:ascii="Arial" w:cs="Arial" w:eastAsia="Arial" w:hAnsi="Arial"/>
                <w:sz w:val="18"/>
                <w:szCs w:val="18"/>
                <w:color w:val="auto"/>
              </w:rPr>
              <w:t>Non-cash lease expense</w:t>
            </w:r>
          </w:p>
        </w:tc>
        <w:tc>
          <w:tcPr>
            <w:tcW w:w="28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64</w:t>
            </w:r>
          </w:p>
        </w:tc>
      </w:tr>
      <w:tr>
        <w:trPr>
          <w:trHeight w:val="249"/>
        </w:trPr>
        <w:tc>
          <w:tcPr>
            <w:tcW w:w="8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periodic benefit of defined benefit pension plans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(80 )</w:t>
            </w:r>
          </w:p>
        </w:tc>
      </w:tr>
      <w:tr>
        <w:trPr>
          <w:trHeight w:val="237"/>
        </w:trPr>
        <w:tc>
          <w:tcPr>
            <w:tcW w:w="8420" w:type="dxa"/>
            <w:vAlign w:val="bottom"/>
          </w:tcPr>
          <w:p>
            <w:pPr>
              <w:ind w:left="380"/>
              <w:spacing w:after="0"/>
              <w:rPr>
                <w:sz w:val="20"/>
                <w:szCs w:val="20"/>
                <w:color w:val="auto"/>
              </w:rPr>
            </w:pPr>
            <w:r>
              <w:rPr>
                <w:rFonts w:ascii="Arial" w:cs="Arial" w:eastAsia="Arial" w:hAnsi="Arial"/>
                <w:sz w:val="18"/>
                <w:szCs w:val="18"/>
                <w:color w:val="auto"/>
              </w:rPr>
              <w:t>Provision for doubtful receivables from clients</w:t>
            </w:r>
          </w:p>
        </w:tc>
        <w:tc>
          <w:tcPr>
            <w:tcW w:w="28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12</w:t>
            </w:r>
          </w:p>
        </w:tc>
      </w:tr>
      <w:tr>
        <w:trPr>
          <w:trHeight w:val="249"/>
        </w:trPr>
        <w:tc>
          <w:tcPr>
            <w:tcW w:w="8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Benefit from deferred income taxes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(37 )</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(45 )</w:t>
            </w:r>
          </w:p>
        </w:tc>
      </w:tr>
      <w:tr>
        <w:trPr>
          <w:trHeight w:val="237"/>
        </w:trPr>
        <w:tc>
          <w:tcPr>
            <w:tcW w:w="842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47</w:t>
            </w:r>
          </w:p>
        </w:tc>
      </w:tr>
      <w:tr>
        <w:trPr>
          <w:trHeight w:val="249"/>
        </w:trPr>
        <w:tc>
          <w:tcPr>
            <w:tcW w:w="8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(gain)/loss on disposal of operations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96</w:t>
            </w:r>
          </w:p>
        </w:tc>
      </w:tr>
      <w:tr>
        <w:trPr>
          <w:trHeight w:val="237"/>
        </w:trPr>
        <w:tc>
          <w:tcPr>
            <w:tcW w:w="8420" w:type="dxa"/>
            <w:vAlign w:val="bottom"/>
          </w:tcPr>
          <w:p>
            <w:pPr>
              <w:ind w:left="380"/>
              <w:spacing w:after="0"/>
              <w:rPr>
                <w:sz w:val="20"/>
                <w:szCs w:val="20"/>
                <w:color w:val="auto"/>
              </w:rPr>
            </w:pPr>
            <w:r>
              <w:rPr>
                <w:rFonts w:ascii="Arial" w:cs="Arial" w:eastAsia="Arial" w:hAnsi="Arial"/>
                <w:sz w:val="18"/>
                <w:szCs w:val="18"/>
                <w:color w:val="auto"/>
              </w:rPr>
              <w:t>Non-cash foreign exchange loss/(gain)</w:t>
            </w:r>
          </w:p>
        </w:tc>
        <w:tc>
          <w:tcPr>
            <w:tcW w:w="28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49"/>
        </w:trPr>
        <w:tc>
          <w:tcPr>
            <w:tcW w:w="8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w:t>
            </w:r>
          </w:p>
        </w:tc>
      </w:tr>
      <w:tr>
        <w:trPr>
          <w:trHeight w:val="215"/>
        </w:trPr>
        <w:tc>
          <w:tcPr>
            <w:tcW w:w="842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net of effects from purchase of</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7"/>
        </w:trPr>
        <w:tc>
          <w:tcPr>
            <w:tcW w:w="8420" w:type="dxa"/>
            <w:vAlign w:val="bottom"/>
          </w:tcPr>
          <w:p>
            <w:pPr>
              <w:ind w:left="340"/>
              <w:spacing w:after="0"/>
              <w:rPr>
                <w:sz w:val="20"/>
                <w:szCs w:val="20"/>
                <w:color w:val="auto"/>
              </w:rPr>
            </w:pPr>
            <w:r>
              <w:rPr>
                <w:rFonts w:ascii="Arial" w:cs="Arial" w:eastAsia="Arial" w:hAnsi="Arial"/>
                <w:sz w:val="18"/>
                <w:szCs w:val="18"/>
                <w:color w:val="auto"/>
              </w:rPr>
              <w:t>subsidiaries: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0"/>
        </w:trPr>
        <w:tc>
          <w:tcPr>
            <w:tcW w:w="8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180</w:t>
            </w:r>
          </w:p>
        </w:tc>
      </w:tr>
      <w:tr>
        <w:trPr>
          <w:trHeight w:val="237"/>
        </w:trPr>
        <w:tc>
          <w:tcPr>
            <w:tcW w:w="842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(81 )</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(111 )</w:t>
            </w:r>
          </w:p>
        </w:tc>
      </w:tr>
      <w:tr>
        <w:trPr>
          <w:trHeight w:val="249"/>
        </w:trPr>
        <w:tc>
          <w:tcPr>
            <w:tcW w:w="8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(346 )</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(573 )</w:t>
            </w:r>
          </w:p>
        </w:tc>
      </w:tr>
      <w:tr>
        <w:trPr>
          <w:trHeight w:val="243"/>
        </w:trPr>
        <w:tc>
          <w:tcPr>
            <w:tcW w:w="8420" w:type="dxa"/>
            <w:vAlign w:val="bottom"/>
          </w:tcPr>
          <w:p>
            <w:pPr>
              <w:ind w:left="380"/>
              <w:spacing w:after="0"/>
              <w:rPr>
                <w:sz w:val="20"/>
                <w:szCs w:val="20"/>
                <w:color w:val="auto"/>
              </w:rPr>
            </w:pPr>
            <w:r>
              <w:rPr>
                <w:rFonts w:ascii="Arial" w:cs="Arial" w:eastAsia="Arial" w:hAnsi="Arial"/>
                <w:sz w:val="18"/>
                <w:szCs w:val="18"/>
                <w:color w:val="auto"/>
              </w:rPr>
              <w:t>Provisions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w:t>
            </w:r>
          </w:p>
        </w:tc>
      </w:tr>
      <w:tr>
        <w:trPr>
          <w:trHeight w:val="237"/>
        </w:trPr>
        <w:tc>
          <w:tcPr>
            <w:tcW w:w="84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from operating activities</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430</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258</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CASH FLOWS (USED IN)/FROM INVESTING ACTIVITIES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9"/>
        </w:trPr>
        <w:tc>
          <w:tcPr>
            <w:tcW w:w="8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Additions to fixed assets and software for internal use</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(80 )</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(60 )</w:t>
            </w:r>
          </w:p>
        </w:tc>
      </w:tr>
      <w:tr>
        <w:trPr>
          <w:trHeight w:val="237"/>
        </w:trPr>
        <w:tc>
          <w:tcPr>
            <w:tcW w:w="8420" w:type="dxa"/>
            <w:vAlign w:val="bottom"/>
          </w:tcPr>
          <w:p>
            <w:pPr>
              <w:ind w:left="200"/>
              <w:spacing w:after="0"/>
              <w:rPr>
                <w:sz w:val="20"/>
                <w:szCs w:val="20"/>
                <w:color w:val="auto"/>
              </w:rPr>
            </w:pPr>
            <w:r>
              <w:rPr>
                <w:rFonts w:ascii="Arial" w:cs="Arial" w:eastAsia="Arial" w:hAnsi="Arial"/>
                <w:sz w:val="18"/>
                <w:szCs w:val="18"/>
                <w:color w:val="auto"/>
              </w:rPr>
              <w:t>Capitalized software costs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(41 )</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49"/>
        </w:trPr>
        <w:tc>
          <w:tcPr>
            <w:tcW w:w="8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Acquisitions of operations, net of cash acquired</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(76 )</w:t>
            </w:r>
          </w:p>
        </w:tc>
      </w:tr>
      <w:tr>
        <w:trPr>
          <w:trHeight w:val="237"/>
        </w:trPr>
        <w:tc>
          <w:tcPr>
            <w:tcW w:w="8420" w:type="dxa"/>
            <w:vAlign w:val="bottom"/>
          </w:tcPr>
          <w:p>
            <w:pPr>
              <w:ind w:left="200"/>
              <w:spacing w:after="0"/>
              <w:rPr>
                <w:sz w:val="20"/>
                <w:szCs w:val="20"/>
                <w:color w:val="auto"/>
              </w:rPr>
            </w:pPr>
            <w:r>
              <w:rPr>
                <w:rFonts w:ascii="Arial" w:cs="Arial" w:eastAsia="Arial" w:hAnsi="Arial"/>
                <w:sz w:val="18"/>
                <w:szCs w:val="18"/>
                <w:color w:val="auto"/>
              </w:rPr>
              <w:t>Proceeds from sale of operations</w:t>
            </w:r>
          </w:p>
        </w:tc>
        <w:tc>
          <w:tcPr>
            <w:tcW w:w="28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8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fiduciary funds transferred in sale of operations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(916 )</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8420" w:type="dxa"/>
            <w:vAlign w:val="bottom"/>
          </w:tcPr>
          <w:p>
            <w:pPr>
              <w:ind w:left="200"/>
              <w:spacing w:after="0"/>
              <w:rPr>
                <w:sz w:val="20"/>
                <w:szCs w:val="20"/>
                <w:color w:val="auto"/>
              </w:rPr>
            </w:pPr>
            <w:r>
              <w:rPr>
                <w:rFonts w:ascii="Arial" w:cs="Arial" w:eastAsia="Arial" w:hAnsi="Arial"/>
                <w:sz w:val="18"/>
                <w:szCs w:val="18"/>
                <w:color w:val="auto"/>
              </w:rPr>
              <w:t>(Purchase)/sale of investments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w:t>
            </w:r>
          </w:p>
        </w:tc>
      </w:tr>
      <w:tr>
        <w:trPr>
          <w:trHeight w:val="237"/>
        </w:trPr>
        <w:tc>
          <w:tcPr>
            <w:tcW w:w="84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(used in)/from investing activities</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(1,035 )</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19</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9"/>
        </w:trPr>
        <w:tc>
          <w:tcPr>
            <w:tcW w:w="8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Senior notes issued</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748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750</w:t>
            </w:r>
          </w:p>
        </w:tc>
      </w:tr>
      <w:tr>
        <w:trPr>
          <w:trHeight w:val="237"/>
        </w:trPr>
        <w:tc>
          <w:tcPr>
            <w:tcW w:w="842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(6 )</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49"/>
        </w:trPr>
        <w:tc>
          <w:tcPr>
            <w:tcW w:w="8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Repayments of debt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(583 )</w:t>
            </w:r>
          </w:p>
        </w:tc>
      </w:tr>
      <w:tr>
        <w:trPr>
          <w:trHeight w:val="237"/>
        </w:trPr>
        <w:tc>
          <w:tcPr>
            <w:tcW w:w="8420" w:type="dxa"/>
            <w:vAlign w:val="bottom"/>
          </w:tcPr>
          <w:p>
            <w:pPr>
              <w:ind w:left="200"/>
              <w:spacing w:after="0"/>
              <w:rPr>
                <w:sz w:val="20"/>
                <w:szCs w:val="20"/>
                <w:color w:val="auto"/>
              </w:rPr>
            </w:pPr>
            <w:r>
              <w:rPr>
                <w:rFonts w:ascii="Arial" w:cs="Arial" w:eastAsia="Arial" w:hAnsi="Arial"/>
                <w:sz w:val="18"/>
                <w:szCs w:val="18"/>
                <w:color w:val="auto"/>
              </w:rPr>
              <w:t>Repurchase of shares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(454 )</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(2,721 )</w:t>
            </w:r>
          </w:p>
        </w:tc>
      </w:tr>
      <w:tr>
        <w:trPr>
          <w:trHeight w:val="249"/>
        </w:trPr>
        <w:tc>
          <w:tcPr>
            <w:tcW w:w="8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shares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w:t>
            </w:r>
          </w:p>
        </w:tc>
      </w:tr>
      <w:tr>
        <w:trPr>
          <w:trHeight w:val="237"/>
        </w:trPr>
        <w:tc>
          <w:tcPr>
            <w:tcW w:w="8420" w:type="dxa"/>
            <w:vAlign w:val="bottom"/>
          </w:tcPr>
          <w:p>
            <w:pPr>
              <w:ind w:left="200"/>
              <w:spacing w:after="0"/>
              <w:rPr>
                <w:sz w:val="20"/>
                <w:szCs w:val="20"/>
                <w:color w:val="auto"/>
              </w:rPr>
            </w:pPr>
            <w:r>
              <w:rPr>
                <w:rFonts w:ascii="Arial" w:cs="Arial" w:eastAsia="Arial" w:hAnsi="Arial"/>
                <w:sz w:val="18"/>
                <w:szCs w:val="18"/>
                <w:color w:val="auto"/>
              </w:rPr>
              <w:t>Net (payments)/proceeds from fiduciary funds held for clients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(194 )</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85</w:t>
            </w:r>
          </w:p>
        </w:tc>
      </w:tr>
      <w:tr>
        <w:trPr>
          <w:trHeight w:val="249"/>
        </w:trPr>
        <w:tc>
          <w:tcPr>
            <w:tcW w:w="8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deferred and contingent consideration related to acquisitions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r>
      <w:tr>
        <w:trPr>
          <w:trHeight w:val="237"/>
        </w:trPr>
        <w:tc>
          <w:tcPr>
            <w:tcW w:w="8420" w:type="dxa"/>
            <w:vAlign w:val="bottom"/>
          </w:tcPr>
          <w:p>
            <w:pPr>
              <w:ind w:left="200"/>
              <w:spacing w:after="0"/>
              <w:rPr>
                <w:sz w:val="20"/>
                <w:szCs w:val="20"/>
                <w:color w:val="auto"/>
              </w:rPr>
            </w:pPr>
            <w:r>
              <w:rPr>
                <w:rFonts w:ascii="Arial" w:cs="Arial" w:eastAsia="Arial" w:hAnsi="Arial"/>
                <w:sz w:val="18"/>
                <w:szCs w:val="18"/>
                <w:color w:val="auto"/>
              </w:rPr>
              <w:t>Cash paid for employee taxes on withholding shares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(17 )</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49"/>
        </w:trPr>
        <w:tc>
          <w:tcPr>
            <w:tcW w:w="8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(177 )</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(189 )</w:t>
            </w:r>
          </w:p>
        </w:tc>
      </w:tr>
      <w:tr>
        <w:trPr>
          <w:trHeight w:val="243"/>
        </w:trPr>
        <w:tc>
          <w:tcPr>
            <w:tcW w:w="8420" w:type="dxa"/>
            <w:vAlign w:val="bottom"/>
          </w:tcPr>
          <w:p>
            <w:pPr>
              <w:ind w:left="200"/>
              <w:spacing w:after="0"/>
              <w:rPr>
                <w:sz w:val="20"/>
                <w:szCs w:val="20"/>
                <w:color w:val="auto"/>
              </w:rPr>
            </w:pPr>
            <w:r>
              <w:rPr>
                <w:rFonts w:ascii="Arial" w:cs="Arial" w:eastAsia="Arial" w:hAnsi="Arial"/>
                <w:sz w:val="18"/>
                <w:szCs w:val="18"/>
                <w:color w:val="auto"/>
              </w:rPr>
              <w:t>Acquisitions of and dividends paid to non-controlling interests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r>
      <w:tr>
        <w:trPr>
          <w:trHeight w:val="237"/>
        </w:trPr>
        <w:tc>
          <w:tcPr>
            <w:tcW w:w="84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(113 )</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(2,690 )</w:t>
            </w:r>
          </w:p>
        </w:tc>
      </w:tr>
      <w:tr>
        <w:trPr>
          <w:trHeight w:val="236"/>
        </w:trPr>
        <w:tc>
          <w:tcPr>
            <w:tcW w:w="8420" w:type="dxa"/>
            <w:vAlign w:val="bottom"/>
          </w:tcPr>
          <w:p>
            <w:pPr>
              <w:ind w:left="20"/>
              <w:spacing w:after="0" w:line="236" w:lineRule="exact"/>
              <w:rPr>
                <w:sz w:val="20"/>
                <w:szCs w:val="20"/>
                <w:color w:val="auto"/>
              </w:rPr>
            </w:pPr>
            <w:r>
              <w:rPr>
                <w:rFonts w:ascii="Arial" w:cs="Arial" w:eastAsia="Arial" w:hAnsi="Arial"/>
                <w:sz w:val="18"/>
                <w:szCs w:val="18"/>
                <w:color w:val="auto"/>
              </w:rPr>
              <w:t xml:space="preserve">DECREASE IN CASH, CASH EQUIVALENTS AND RESTRICTED CASH </w:t>
            </w:r>
            <w:r>
              <w:rPr>
                <w:rFonts w:ascii="Arial" w:cs="Arial" w:eastAsia="Arial" w:hAnsi="Arial"/>
                <w:sz w:val="24"/>
                <w:szCs w:val="24"/>
                <w:color w:val="auto"/>
                <w:vertAlign w:val="superscript"/>
              </w:rPr>
              <w:t>(i)</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(718 )</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(2,413 )</w:t>
            </w:r>
          </w:p>
        </w:tc>
      </w:tr>
      <w:tr>
        <w:trPr>
          <w:trHeight w:val="243"/>
        </w:trPr>
        <w:tc>
          <w:tcPr>
            <w:tcW w:w="8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(170 )</w:t>
            </w:r>
          </w:p>
        </w:tc>
      </w:tr>
      <w:tr>
        <w:trPr>
          <w:trHeight w:val="243"/>
        </w:trPr>
        <w:tc>
          <w:tcPr>
            <w:tcW w:w="84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CASH, CASH EQUIVALENTS AND RESTRICTED CASH, BEGINNING OF PERIOD </w:t>
            </w:r>
            <w:r>
              <w:rPr>
                <w:rFonts w:ascii="Arial" w:cs="Arial" w:eastAsia="Arial" w:hAnsi="Arial"/>
                <w:sz w:val="24"/>
                <w:szCs w:val="24"/>
                <w:color w:val="auto"/>
                <w:vertAlign w:val="superscript"/>
              </w:rPr>
              <w:t>(i)</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4,721</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7,691</w:t>
            </w:r>
          </w:p>
        </w:tc>
      </w:tr>
      <w:tr>
        <w:trPr>
          <w:trHeight w:val="276"/>
        </w:trPr>
        <w:tc>
          <w:tcPr>
            <w:tcW w:w="8420" w:type="dxa"/>
            <w:vAlign w:val="bottom"/>
            <w:tcBorders>
              <w:bottom w:val="single" w:sz="8" w:color="CFF0FC"/>
            </w:tcBorders>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CASH, CASH EQUIVALENTS AND RESTRICTED CASH, END OF PERIOD </w:t>
            </w:r>
            <w:r>
              <w:rPr>
                <w:rFonts w:ascii="Arial" w:cs="Arial" w:eastAsia="Arial" w:hAnsi="Arial"/>
                <w:sz w:val="24"/>
                <w:szCs w:val="24"/>
                <w:color w:val="auto"/>
                <w:vertAlign w:val="superscript"/>
              </w:rPr>
              <w:t>(i)</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4,004</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-3779520</wp:posOffset>
            </wp:positionV>
            <wp:extent cx="12827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270" cy="16256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-2527935</wp:posOffset>
            </wp:positionV>
            <wp:extent cx="12827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270" cy="16256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-659130</wp:posOffset>
            </wp:positionV>
            <wp:extent cx="12827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270" cy="16256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1282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1282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7" w:lineRule="exact"/>
        <w:rPr>
          <w:sz w:val="20"/>
          <w:szCs w:val="20"/>
          <w:color w:val="auto"/>
        </w:rPr>
      </w:pPr>
    </w:p>
    <w:p>
      <w:pPr>
        <w:ind w:left="280" w:right="180" w:hanging="272"/>
        <w:spacing w:after="0" w:line="290" w:lineRule="auto"/>
        <w:tabs>
          <w:tab w:leader="none" w:pos="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 Supplemental Disclosures of Cash Flow Information.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of U.S. dollars and number of shares in thousands)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4"/>
          </w:tcPr>
          <w:p>
            <w:pPr>
              <w:jc w:val="right"/>
              <w:ind w:right="197"/>
              <w:spacing w:after="0"/>
              <w:rPr>
                <w:sz w:val="20"/>
                <w:szCs w:val="20"/>
                <w:color w:val="auto"/>
              </w:rPr>
            </w:pPr>
            <w:r>
              <w:rPr>
                <w:rFonts w:ascii="Arial" w:cs="Arial" w:eastAsia="Arial" w:hAnsi="Arial"/>
                <w:sz w:val="12"/>
                <w:szCs w:val="12"/>
                <w:b w:val="1"/>
                <w:bCs w:val="1"/>
                <w:color w:val="auto"/>
                <w:w w:val="87"/>
              </w:rPr>
              <w:t>Six Months Ended June 30, 2023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8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77"/>
              <w:spacing w:after="0" w:line="136" w:lineRule="exact"/>
              <w:rPr>
                <w:sz w:val="20"/>
                <w:szCs w:val="20"/>
                <w:color w:val="auto"/>
              </w:rPr>
            </w:pPr>
            <w:r>
              <w:rPr>
                <w:rFonts w:ascii="Arial" w:cs="Arial" w:eastAsia="Arial" w:hAnsi="Arial"/>
                <w:sz w:val="12"/>
                <w:szCs w:val="12"/>
                <w:color w:val="auto"/>
                <w:w w:val="93"/>
              </w:rPr>
              <w:t>Total WTW</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960" w:type="dxa"/>
            <w:vAlign w:val="bottom"/>
          </w:tcPr>
          <w:p>
            <w:pPr>
              <w:jc w:val="right"/>
              <w:ind w:right="337"/>
              <w:spacing w:after="0" w:line="135" w:lineRule="exact"/>
              <w:rPr>
                <w:sz w:val="20"/>
                <w:szCs w:val="20"/>
                <w:color w:val="auto"/>
              </w:rPr>
            </w:pPr>
            <w:r>
              <w:rPr>
                <w:rFonts w:ascii="Arial" w:cs="Arial" w:eastAsia="Arial" w:hAnsi="Arial"/>
                <w:sz w:val="12"/>
                <w:szCs w:val="12"/>
                <w:color w:val="auto"/>
              </w:rPr>
              <w:t>Shares</w:t>
            </w:r>
          </w:p>
        </w:tc>
        <w:tc>
          <w:tcPr>
            <w:tcW w:w="14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Additional paid-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257"/>
              <w:spacing w:after="0" w:line="135" w:lineRule="exact"/>
              <w:rPr>
                <w:sz w:val="20"/>
                <w:szCs w:val="20"/>
                <w:color w:val="auto"/>
              </w:rPr>
            </w:pPr>
            <w:r>
              <w:rPr>
                <w:rFonts w:ascii="Arial" w:cs="Arial" w:eastAsia="Arial" w:hAnsi="Arial"/>
                <w:sz w:val="12"/>
                <w:szCs w:val="12"/>
                <w:color w:val="auto"/>
                <w:w w:val="95"/>
              </w:rPr>
              <w:t>Retained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257"/>
              <w:spacing w:after="0"/>
              <w:rPr>
                <w:sz w:val="20"/>
                <w:szCs w:val="20"/>
                <w:color w:val="auto"/>
              </w:rPr>
            </w:pPr>
            <w:r>
              <w:rPr>
                <w:rFonts w:ascii="Arial" w:cs="Arial" w:eastAsia="Arial" w:hAnsi="Arial"/>
                <w:sz w:val="12"/>
                <w:szCs w:val="12"/>
                <w:color w:val="auto"/>
              </w:rPr>
              <w:t xml:space="preserve">AOCL </w:t>
            </w:r>
            <w:r>
              <w:rPr>
                <w:rFonts w:ascii="Arial" w:cs="Arial" w:eastAsia="Arial" w:hAnsi="Arial"/>
                <w:sz w:val="15"/>
                <w:szCs w:val="15"/>
                <w:color w:val="auto"/>
                <w:vertAlign w:val="superscript"/>
              </w:rPr>
              <w:t>(i)</w:t>
            </w:r>
          </w:p>
        </w:tc>
        <w:tc>
          <w:tcPr>
            <w:tcW w:w="120" w:type="dxa"/>
            <w:vAlign w:val="bottom"/>
          </w:tcPr>
          <w:p>
            <w:pPr>
              <w:spacing w:after="0"/>
              <w:rPr>
                <w:sz w:val="11"/>
                <w:szCs w:val="11"/>
                <w:color w:val="auto"/>
              </w:rPr>
            </w:pPr>
          </w:p>
        </w:tc>
        <w:tc>
          <w:tcPr>
            <w:tcW w:w="940" w:type="dxa"/>
            <w:vAlign w:val="bottom"/>
            <w:gridSpan w:val="2"/>
          </w:tcPr>
          <w:p>
            <w:pPr>
              <w:jc w:val="center"/>
              <w:ind w:right="97"/>
              <w:spacing w:after="0" w:line="135" w:lineRule="exact"/>
              <w:rPr>
                <w:sz w:val="20"/>
                <w:szCs w:val="20"/>
                <w:color w:val="auto"/>
              </w:rPr>
            </w:pPr>
            <w:r>
              <w:rPr>
                <w:rFonts w:ascii="Arial" w:cs="Arial" w:eastAsia="Arial" w:hAnsi="Arial"/>
                <w:sz w:val="12"/>
                <w:szCs w:val="12"/>
                <w:color w:val="auto"/>
                <w:w w:val="86"/>
              </w:rPr>
              <w:t>shareholders’</w:t>
            </w:r>
          </w:p>
        </w:tc>
        <w:tc>
          <w:tcPr>
            <w:tcW w:w="1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Non-controlling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2"/>
                <w:szCs w:val="12"/>
                <w:color w:val="auto"/>
              </w:rPr>
              <w:t>outstanding</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2"/>
                <w:szCs w:val="12"/>
                <w:color w:val="auto"/>
                <w:w w:val="97"/>
              </w:rPr>
              <w:t>in capital</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2"/>
                <w:szCs w:val="12"/>
                <w:color w:val="auto"/>
                <w:w w:val="99"/>
              </w:rPr>
              <w:t>earnings</w:t>
            </w:r>
          </w:p>
        </w:tc>
        <w:tc>
          <w:tcPr>
            <w:tcW w:w="140" w:type="dxa"/>
            <w:vAlign w:val="bottom"/>
          </w:tcPr>
          <w:p>
            <w:pPr>
              <w:spacing w:after="0"/>
              <w:rPr>
                <w:sz w:val="13"/>
                <w:szCs w:val="13"/>
                <w:color w:val="auto"/>
              </w:rPr>
            </w:pPr>
          </w:p>
        </w:tc>
        <w:tc>
          <w:tcPr>
            <w:tcW w:w="94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2"/>
                <w:szCs w:val="12"/>
                <w:color w:val="auto"/>
                <w:w w:val="87"/>
              </w:rPr>
              <w:t>Treasury shares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7"/>
              <w:spacing w:after="0"/>
              <w:rPr>
                <w:sz w:val="20"/>
                <w:szCs w:val="20"/>
                <w:color w:val="auto"/>
              </w:rPr>
            </w:pPr>
            <w:r>
              <w:rPr>
                <w:rFonts w:ascii="Arial" w:cs="Arial" w:eastAsia="Arial" w:hAnsi="Arial"/>
                <w:sz w:val="12"/>
                <w:szCs w:val="12"/>
                <w:color w:val="auto"/>
                <w:w w:val="93"/>
              </w:rPr>
              <w:t>equity</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2"/>
                <w:szCs w:val="12"/>
                <w:color w:val="auto"/>
                <w:w w:val="96"/>
              </w:rPr>
              <w:t>interests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2"/>
                <w:szCs w:val="12"/>
                <w:color w:val="auto"/>
                <w:w w:val="90"/>
              </w:rPr>
              <w:t>Total equity</w:t>
            </w:r>
          </w:p>
        </w:tc>
        <w:tc>
          <w:tcPr>
            <w:tcW w:w="0" w:type="dxa"/>
            <w:vAlign w:val="bottom"/>
          </w:tcPr>
          <w:p>
            <w:pPr>
              <w:spacing w:after="0"/>
              <w:rPr>
                <w:sz w:val="1"/>
                <w:szCs w:val="1"/>
                <w:color w:val="auto"/>
              </w:rPr>
            </w:pPr>
          </w:p>
        </w:tc>
      </w:tr>
      <w:tr>
        <w:trPr>
          <w:trHeight w:val="156"/>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as of December 31, 2022</w:t>
            </w:r>
          </w:p>
        </w:tc>
        <w:tc>
          <w:tcPr>
            <w:tcW w:w="9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106,756</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10,876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1,764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(2,621 )</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10,016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77</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10,093</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Shares repurchased</w:t>
            </w:r>
          </w:p>
        </w:tc>
        <w:tc>
          <w:tcPr>
            <w:tcW w:w="960" w:type="dxa"/>
            <w:vAlign w:val="bottom"/>
          </w:tcPr>
          <w:p>
            <w:pPr>
              <w:jc w:val="right"/>
              <w:spacing w:after="0"/>
              <w:rPr>
                <w:sz w:val="20"/>
                <w:szCs w:val="20"/>
                <w:color w:val="auto"/>
              </w:rPr>
            </w:pPr>
            <w:r>
              <w:rPr>
                <w:rFonts w:ascii="Arial" w:cs="Arial" w:eastAsia="Arial" w:hAnsi="Arial"/>
                <w:sz w:val="13"/>
                <w:szCs w:val="13"/>
                <w:color w:val="auto"/>
              </w:rPr>
              <w:t>(432 )</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(104 )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(104 )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(104 )</w:t>
            </w:r>
          </w:p>
        </w:tc>
        <w:tc>
          <w:tcPr>
            <w:tcW w:w="0" w:type="dxa"/>
            <w:vAlign w:val="bottom"/>
          </w:tcPr>
          <w:p>
            <w:pPr>
              <w:spacing w:after="0"/>
              <w:rPr>
                <w:sz w:val="1"/>
                <w:szCs w:val="1"/>
                <w:color w:val="auto"/>
              </w:rPr>
            </w:pPr>
          </w:p>
        </w:tc>
      </w:tr>
      <w:tr>
        <w:trPr>
          <w:trHeight w:val="163"/>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9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203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203</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Dividends declared ($0.84 per share)</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(89 )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(89 )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(89 )</w:t>
            </w:r>
          </w:p>
        </w:tc>
        <w:tc>
          <w:tcPr>
            <w:tcW w:w="0" w:type="dxa"/>
            <w:vAlign w:val="bottom"/>
          </w:tcPr>
          <w:p>
            <w:pPr>
              <w:spacing w:after="0"/>
              <w:rPr>
                <w:sz w:val="1"/>
                <w:szCs w:val="1"/>
                <w:color w:val="auto"/>
              </w:rPr>
            </w:pPr>
          </w:p>
        </w:tc>
      </w:tr>
      <w:tr>
        <w:trPr>
          <w:trHeight w:val="163"/>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w:t>
            </w:r>
          </w:p>
        </w:tc>
        <w:tc>
          <w:tcPr>
            <w:tcW w:w="9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34"/>
        </w:trPr>
        <w:tc>
          <w:tcPr>
            <w:tcW w:w="2820" w:type="dxa"/>
            <w:vAlign w:val="bottom"/>
          </w:tcPr>
          <w:p>
            <w:pPr>
              <w:ind w:left="20"/>
              <w:spacing w:after="0" w:line="134" w:lineRule="exact"/>
              <w:rPr>
                <w:sz w:val="20"/>
                <w:szCs w:val="20"/>
                <w:color w:val="auto"/>
              </w:rPr>
            </w:pPr>
            <w:r>
              <w:rPr>
                <w:rFonts w:ascii="Arial" w:cs="Arial" w:eastAsia="Arial" w:hAnsi="Arial"/>
                <w:sz w:val="13"/>
                <w:szCs w:val="13"/>
                <w:color w:val="auto"/>
              </w:rPr>
              <w:t>Issuance of shares under employee stock</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20" w:type="dxa"/>
            <w:vAlign w:val="bottom"/>
          </w:tcPr>
          <w:p>
            <w:pPr>
              <w:ind w:left="120"/>
              <w:spacing w:after="0"/>
              <w:rPr>
                <w:sz w:val="20"/>
                <w:szCs w:val="20"/>
                <w:color w:val="auto"/>
              </w:rPr>
            </w:pPr>
            <w:r>
              <w:rPr>
                <w:rFonts w:ascii="Arial" w:cs="Arial" w:eastAsia="Arial" w:hAnsi="Arial"/>
                <w:sz w:val="13"/>
                <w:szCs w:val="13"/>
                <w:color w:val="auto"/>
              </w:rPr>
              <w:t>compensation plans</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59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Share-based compensation and net settlements</w:t>
            </w:r>
          </w:p>
        </w:tc>
        <w:tc>
          <w:tcPr>
            <w:tcW w:w="9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(1 )</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(1 )</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56"/>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March 31, 2023</w:t>
            </w:r>
          </w:p>
        </w:tc>
        <w:tc>
          <w:tcPr>
            <w:tcW w:w="9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106,383</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10,890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1,774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(2,568 )</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10,096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10,176</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Shares repurchased</w:t>
            </w:r>
          </w:p>
        </w:tc>
        <w:tc>
          <w:tcPr>
            <w:tcW w:w="960" w:type="dxa"/>
            <w:vAlign w:val="bottom"/>
          </w:tcPr>
          <w:p>
            <w:pPr>
              <w:jc w:val="right"/>
              <w:spacing w:after="0"/>
              <w:rPr>
                <w:sz w:val="20"/>
                <w:szCs w:val="20"/>
                <w:color w:val="auto"/>
              </w:rPr>
            </w:pPr>
            <w:r>
              <w:rPr>
                <w:rFonts w:ascii="Arial" w:cs="Arial" w:eastAsia="Arial" w:hAnsi="Arial"/>
                <w:sz w:val="13"/>
                <w:szCs w:val="13"/>
                <w:color w:val="auto"/>
              </w:rPr>
              <w:t>(1,537 )</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(350 )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(350 )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(350 )</w:t>
            </w:r>
          </w:p>
        </w:tc>
        <w:tc>
          <w:tcPr>
            <w:tcW w:w="0" w:type="dxa"/>
            <w:vAlign w:val="bottom"/>
          </w:tcPr>
          <w:p>
            <w:pPr>
              <w:spacing w:after="0"/>
              <w:rPr>
                <w:sz w:val="1"/>
                <w:szCs w:val="1"/>
                <w:color w:val="auto"/>
              </w:rPr>
            </w:pPr>
          </w:p>
        </w:tc>
      </w:tr>
      <w:tr>
        <w:trPr>
          <w:trHeight w:val="163"/>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9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94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Dividends declared ($0.84 per share)</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(89 )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(89 )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(89 )</w:t>
            </w:r>
          </w:p>
        </w:tc>
        <w:tc>
          <w:tcPr>
            <w:tcW w:w="0" w:type="dxa"/>
            <w:vAlign w:val="bottom"/>
          </w:tcPr>
          <w:p>
            <w:pPr>
              <w:spacing w:after="0"/>
              <w:rPr>
                <w:sz w:val="1"/>
                <w:szCs w:val="1"/>
                <w:color w:val="auto"/>
              </w:rPr>
            </w:pPr>
          </w:p>
        </w:tc>
      </w:tr>
      <w:tr>
        <w:trPr>
          <w:trHeight w:val="163"/>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8"/>
              </w:rPr>
              <w:t>Dividends attributable to non-controlling interests</w:t>
            </w:r>
          </w:p>
        </w:tc>
        <w:tc>
          <w:tcPr>
            <w:tcW w:w="9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35"/>
        </w:trPr>
        <w:tc>
          <w:tcPr>
            <w:tcW w:w="28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Issuance of shares under employee stock</w:t>
            </w: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compensation plans</w:t>
            </w:r>
          </w:p>
        </w:tc>
        <w:tc>
          <w:tcPr>
            <w:tcW w:w="9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97</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Share-based compensation and net settlements</w:t>
            </w: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June 30, 2023</w:t>
            </w:r>
          </w:p>
        </w:tc>
        <w:tc>
          <w:tcPr>
            <w:tcW w:w="96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104,943</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10,910</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1,429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(2,540 )</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9,799</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78</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9,877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-24765</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-7620</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-24765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-7620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-24765</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-7620</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-24765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-7620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85"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Accumulated other comprehensive loss, net of tax (‘AOCL’).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of U.S. dollars and number of shares in thousands)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4"/>
          </w:tcPr>
          <w:p>
            <w:pPr>
              <w:jc w:val="right"/>
              <w:ind w:right="197"/>
              <w:spacing w:after="0"/>
              <w:rPr>
                <w:sz w:val="20"/>
                <w:szCs w:val="20"/>
                <w:color w:val="auto"/>
              </w:rPr>
            </w:pPr>
            <w:r>
              <w:rPr>
                <w:rFonts w:ascii="Arial" w:cs="Arial" w:eastAsia="Arial" w:hAnsi="Arial"/>
                <w:sz w:val="12"/>
                <w:szCs w:val="12"/>
                <w:b w:val="1"/>
                <w:bCs w:val="1"/>
                <w:color w:val="auto"/>
                <w:w w:val="87"/>
              </w:rPr>
              <w:t>Six Months Ended June 30, 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8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77"/>
              <w:spacing w:after="0" w:line="136" w:lineRule="exact"/>
              <w:rPr>
                <w:sz w:val="20"/>
                <w:szCs w:val="20"/>
                <w:color w:val="auto"/>
              </w:rPr>
            </w:pPr>
            <w:r>
              <w:rPr>
                <w:rFonts w:ascii="Arial" w:cs="Arial" w:eastAsia="Arial" w:hAnsi="Arial"/>
                <w:sz w:val="12"/>
                <w:szCs w:val="12"/>
                <w:color w:val="auto"/>
                <w:w w:val="93"/>
              </w:rPr>
              <w:t>Total WTW</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960" w:type="dxa"/>
            <w:vAlign w:val="bottom"/>
          </w:tcPr>
          <w:p>
            <w:pPr>
              <w:jc w:val="right"/>
              <w:ind w:right="337"/>
              <w:spacing w:after="0" w:line="135" w:lineRule="exact"/>
              <w:rPr>
                <w:sz w:val="20"/>
                <w:szCs w:val="20"/>
                <w:color w:val="auto"/>
              </w:rPr>
            </w:pPr>
            <w:r>
              <w:rPr>
                <w:rFonts w:ascii="Arial" w:cs="Arial" w:eastAsia="Arial" w:hAnsi="Arial"/>
                <w:sz w:val="12"/>
                <w:szCs w:val="12"/>
                <w:color w:val="auto"/>
              </w:rPr>
              <w:t>Shares</w:t>
            </w:r>
          </w:p>
        </w:tc>
        <w:tc>
          <w:tcPr>
            <w:tcW w:w="14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Additional paid-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257"/>
              <w:spacing w:after="0" w:line="135" w:lineRule="exact"/>
              <w:rPr>
                <w:sz w:val="20"/>
                <w:szCs w:val="20"/>
                <w:color w:val="auto"/>
              </w:rPr>
            </w:pPr>
            <w:r>
              <w:rPr>
                <w:rFonts w:ascii="Arial" w:cs="Arial" w:eastAsia="Arial" w:hAnsi="Arial"/>
                <w:sz w:val="12"/>
                <w:szCs w:val="12"/>
                <w:color w:val="auto"/>
                <w:w w:val="95"/>
              </w:rPr>
              <w:t>Retained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257"/>
              <w:spacing w:after="0"/>
              <w:rPr>
                <w:sz w:val="20"/>
                <w:szCs w:val="20"/>
                <w:color w:val="auto"/>
              </w:rPr>
            </w:pPr>
            <w:r>
              <w:rPr>
                <w:rFonts w:ascii="Arial" w:cs="Arial" w:eastAsia="Arial" w:hAnsi="Arial"/>
                <w:sz w:val="12"/>
                <w:szCs w:val="12"/>
                <w:color w:val="auto"/>
              </w:rPr>
              <w:t xml:space="preserve">AOCL </w:t>
            </w:r>
            <w:r>
              <w:rPr>
                <w:rFonts w:ascii="Arial" w:cs="Arial" w:eastAsia="Arial" w:hAnsi="Arial"/>
                <w:sz w:val="15"/>
                <w:szCs w:val="15"/>
                <w:color w:val="auto"/>
                <w:vertAlign w:val="superscript"/>
              </w:rPr>
              <w:t>(i)</w:t>
            </w:r>
          </w:p>
        </w:tc>
        <w:tc>
          <w:tcPr>
            <w:tcW w:w="120" w:type="dxa"/>
            <w:vAlign w:val="bottom"/>
          </w:tcPr>
          <w:p>
            <w:pPr>
              <w:spacing w:after="0"/>
              <w:rPr>
                <w:sz w:val="11"/>
                <w:szCs w:val="11"/>
                <w:color w:val="auto"/>
              </w:rPr>
            </w:pPr>
          </w:p>
        </w:tc>
        <w:tc>
          <w:tcPr>
            <w:tcW w:w="940" w:type="dxa"/>
            <w:vAlign w:val="bottom"/>
            <w:gridSpan w:val="2"/>
          </w:tcPr>
          <w:p>
            <w:pPr>
              <w:jc w:val="center"/>
              <w:ind w:right="97"/>
              <w:spacing w:after="0" w:line="135" w:lineRule="exact"/>
              <w:rPr>
                <w:sz w:val="20"/>
                <w:szCs w:val="20"/>
                <w:color w:val="auto"/>
              </w:rPr>
            </w:pPr>
            <w:r>
              <w:rPr>
                <w:rFonts w:ascii="Arial" w:cs="Arial" w:eastAsia="Arial" w:hAnsi="Arial"/>
                <w:sz w:val="12"/>
                <w:szCs w:val="12"/>
                <w:color w:val="auto"/>
                <w:w w:val="86"/>
              </w:rPr>
              <w:t>shareholders’</w:t>
            </w:r>
          </w:p>
        </w:tc>
        <w:tc>
          <w:tcPr>
            <w:tcW w:w="1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color w:val="auto"/>
              </w:rPr>
              <w:t>Non-controlling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2"/>
                <w:szCs w:val="12"/>
                <w:color w:val="auto"/>
              </w:rPr>
              <w:t>outstanding</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2"/>
                <w:szCs w:val="12"/>
                <w:color w:val="auto"/>
                <w:w w:val="97"/>
              </w:rPr>
              <w:t>in capital</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2"/>
                <w:szCs w:val="12"/>
                <w:color w:val="auto"/>
                <w:w w:val="99"/>
              </w:rPr>
              <w:t>earnings</w:t>
            </w:r>
          </w:p>
        </w:tc>
        <w:tc>
          <w:tcPr>
            <w:tcW w:w="140" w:type="dxa"/>
            <w:vAlign w:val="bottom"/>
          </w:tcPr>
          <w:p>
            <w:pPr>
              <w:spacing w:after="0"/>
              <w:rPr>
                <w:sz w:val="13"/>
                <w:szCs w:val="13"/>
                <w:color w:val="auto"/>
              </w:rPr>
            </w:pPr>
          </w:p>
        </w:tc>
        <w:tc>
          <w:tcPr>
            <w:tcW w:w="94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2"/>
                <w:szCs w:val="12"/>
                <w:color w:val="auto"/>
                <w:w w:val="87"/>
              </w:rPr>
              <w:t>Treasury shares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7"/>
              <w:spacing w:after="0"/>
              <w:rPr>
                <w:sz w:val="20"/>
                <w:szCs w:val="20"/>
                <w:color w:val="auto"/>
              </w:rPr>
            </w:pPr>
            <w:r>
              <w:rPr>
                <w:rFonts w:ascii="Arial" w:cs="Arial" w:eastAsia="Arial" w:hAnsi="Arial"/>
                <w:sz w:val="12"/>
                <w:szCs w:val="12"/>
                <w:color w:val="auto"/>
                <w:w w:val="93"/>
              </w:rPr>
              <w:t>equity</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2"/>
                <w:szCs w:val="12"/>
                <w:color w:val="auto"/>
                <w:w w:val="96"/>
              </w:rPr>
              <w:t>interests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2"/>
                <w:szCs w:val="12"/>
                <w:color w:val="auto"/>
                <w:w w:val="90"/>
              </w:rPr>
              <w:t>Total equity</w:t>
            </w:r>
          </w:p>
        </w:tc>
        <w:tc>
          <w:tcPr>
            <w:tcW w:w="0" w:type="dxa"/>
            <w:vAlign w:val="bottom"/>
          </w:tcPr>
          <w:p>
            <w:pPr>
              <w:spacing w:after="0"/>
              <w:rPr>
                <w:sz w:val="1"/>
                <w:szCs w:val="1"/>
                <w:color w:val="auto"/>
              </w:rPr>
            </w:pPr>
          </w:p>
        </w:tc>
      </w:tr>
      <w:tr>
        <w:trPr>
          <w:trHeight w:val="156"/>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as of December 31, 2021</w:t>
            </w:r>
          </w:p>
        </w:tc>
        <w:tc>
          <w:tcPr>
            <w:tcW w:w="9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122,056</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10,804</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4,645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(2,186 )</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13,260</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13,308</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Shares repurchased</w:t>
            </w:r>
          </w:p>
        </w:tc>
        <w:tc>
          <w:tcPr>
            <w:tcW w:w="960" w:type="dxa"/>
            <w:vAlign w:val="bottom"/>
          </w:tcPr>
          <w:p>
            <w:pPr>
              <w:jc w:val="right"/>
              <w:spacing w:after="0"/>
              <w:rPr>
                <w:sz w:val="20"/>
                <w:szCs w:val="20"/>
                <w:color w:val="auto"/>
              </w:rPr>
            </w:pPr>
            <w:r>
              <w:rPr>
                <w:rFonts w:ascii="Arial" w:cs="Arial" w:eastAsia="Arial" w:hAnsi="Arial"/>
                <w:sz w:val="13"/>
                <w:szCs w:val="13"/>
                <w:color w:val="auto"/>
              </w:rPr>
              <w:t>(9,860 )</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(2,250 )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(2,250 )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(2,250 )</w:t>
            </w:r>
          </w:p>
        </w:tc>
        <w:tc>
          <w:tcPr>
            <w:tcW w:w="0" w:type="dxa"/>
            <w:vAlign w:val="bottom"/>
          </w:tcPr>
          <w:p>
            <w:pPr>
              <w:spacing w:after="0"/>
              <w:rPr>
                <w:sz w:val="1"/>
                <w:szCs w:val="1"/>
                <w:color w:val="auto"/>
              </w:rPr>
            </w:pPr>
          </w:p>
        </w:tc>
      </w:tr>
      <w:tr>
        <w:trPr>
          <w:trHeight w:val="163"/>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9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122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122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Dividends declared ($0.82 per share)</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(94 )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(94 )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(94 )</w:t>
            </w:r>
          </w:p>
        </w:tc>
        <w:tc>
          <w:tcPr>
            <w:tcW w:w="0" w:type="dxa"/>
            <w:vAlign w:val="bottom"/>
          </w:tcPr>
          <w:p>
            <w:pPr>
              <w:spacing w:after="0"/>
              <w:rPr>
                <w:sz w:val="1"/>
                <w:szCs w:val="1"/>
                <w:color w:val="auto"/>
              </w:rPr>
            </w:pPr>
          </w:p>
        </w:tc>
      </w:tr>
      <w:tr>
        <w:trPr>
          <w:trHeight w:val="163"/>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8"/>
              </w:rPr>
              <w:t>Dividends attributable to non-controlling interests</w:t>
            </w:r>
          </w:p>
        </w:tc>
        <w:tc>
          <w:tcPr>
            <w:tcW w:w="9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(56 )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(56 )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(56 )</w:t>
            </w:r>
          </w:p>
        </w:tc>
        <w:tc>
          <w:tcPr>
            <w:tcW w:w="0" w:type="dxa"/>
            <w:vAlign w:val="bottom"/>
          </w:tcPr>
          <w:p>
            <w:pPr>
              <w:spacing w:after="0"/>
              <w:rPr>
                <w:sz w:val="1"/>
                <w:szCs w:val="1"/>
                <w:color w:val="auto"/>
              </w:rPr>
            </w:pPr>
          </w:p>
        </w:tc>
      </w:tr>
      <w:tr>
        <w:trPr>
          <w:trHeight w:val="135"/>
        </w:trPr>
        <w:tc>
          <w:tcPr>
            <w:tcW w:w="28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Issuance of shares under employee stock</w:t>
            </w: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compensation plans</w:t>
            </w:r>
          </w:p>
        </w:tc>
        <w:tc>
          <w:tcPr>
            <w:tcW w:w="9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17</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Share-based compensation and net settlements</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3"/>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Additional non-controlling interests</w:t>
            </w:r>
          </w:p>
        </w:tc>
        <w:tc>
          <w:tcPr>
            <w:tcW w:w="9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6"/>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March 31, 2022</w:t>
            </w:r>
          </w:p>
        </w:tc>
        <w:tc>
          <w:tcPr>
            <w:tcW w:w="9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112,213</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10,826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2,423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(2,242 )</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11,004</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11,075</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Shares repurchased</w:t>
            </w:r>
          </w:p>
        </w:tc>
        <w:tc>
          <w:tcPr>
            <w:tcW w:w="960" w:type="dxa"/>
            <w:vAlign w:val="bottom"/>
          </w:tcPr>
          <w:p>
            <w:pPr>
              <w:jc w:val="right"/>
              <w:spacing w:after="0"/>
              <w:rPr>
                <w:sz w:val="20"/>
                <w:szCs w:val="20"/>
                <w:color w:val="auto"/>
              </w:rPr>
            </w:pPr>
            <w:r>
              <w:rPr>
                <w:rFonts w:ascii="Arial" w:cs="Arial" w:eastAsia="Arial" w:hAnsi="Arial"/>
                <w:sz w:val="13"/>
                <w:szCs w:val="13"/>
                <w:color w:val="auto"/>
              </w:rPr>
              <w:t>(2,144 )</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(471 )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(471 )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(471 )</w:t>
            </w:r>
          </w:p>
        </w:tc>
        <w:tc>
          <w:tcPr>
            <w:tcW w:w="0" w:type="dxa"/>
            <w:vAlign w:val="bottom"/>
          </w:tcPr>
          <w:p>
            <w:pPr>
              <w:spacing w:after="0"/>
              <w:rPr>
                <w:sz w:val="1"/>
                <w:szCs w:val="1"/>
                <w:color w:val="auto"/>
              </w:rPr>
            </w:pPr>
          </w:p>
        </w:tc>
      </w:tr>
      <w:tr>
        <w:trPr>
          <w:trHeight w:val="163"/>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9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Dividends declared ($0.82 per share)</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(90 )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(90 )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(90 )</w:t>
            </w:r>
          </w:p>
        </w:tc>
        <w:tc>
          <w:tcPr>
            <w:tcW w:w="0" w:type="dxa"/>
            <w:vAlign w:val="bottom"/>
          </w:tcPr>
          <w:p>
            <w:pPr>
              <w:spacing w:after="0"/>
              <w:rPr>
                <w:sz w:val="1"/>
                <w:szCs w:val="1"/>
                <w:color w:val="auto"/>
              </w:rPr>
            </w:pPr>
          </w:p>
        </w:tc>
      </w:tr>
      <w:tr>
        <w:trPr>
          <w:trHeight w:val="163"/>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8"/>
              </w:rPr>
              <w:t>Dividends attributable to non-controlling interests</w:t>
            </w:r>
          </w:p>
        </w:tc>
        <w:tc>
          <w:tcPr>
            <w:tcW w:w="9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(2 )</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(244 )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(244 )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(244 )</w:t>
            </w:r>
          </w:p>
        </w:tc>
        <w:tc>
          <w:tcPr>
            <w:tcW w:w="0" w:type="dxa"/>
            <w:vAlign w:val="bottom"/>
          </w:tcPr>
          <w:p>
            <w:pPr>
              <w:spacing w:after="0"/>
              <w:rPr>
                <w:sz w:val="1"/>
                <w:szCs w:val="1"/>
                <w:color w:val="auto"/>
              </w:rPr>
            </w:pPr>
          </w:p>
        </w:tc>
      </w:tr>
      <w:tr>
        <w:trPr>
          <w:trHeight w:val="135"/>
        </w:trPr>
        <w:tc>
          <w:tcPr>
            <w:tcW w:w="28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Issuance of shares under employee stock</w:t>
            </w: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compensation plans</w:t>
            </w:r>
          </w:p>
        </w:tc>
        <w:tc>
          <w:tcPr>
            <w:tcW w:w="9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27</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Share-based compensation and net settlements</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3"/>
        </w:trPr>
        <w:tc>
          <w:tcPr>
            <w:tcW w:w="2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Additional non-controlling interests</w:t>
            </w:r>
          </w:p>
        </w:tc>
        <w:tc>
          <w:tcPr>
            <w:tcW w:w="9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1"/>
        </w:trPr>
        <w:tc>
          <w:tcPr>
            <w:tcW w:w="2820" w:type="dxa"/>
            <w:vAlign w:val="bottom"/>
          </w:tcPr>
          <w:p>
            <w:pPr>
              <w:ind w:left="20"/>
              <w:spacing w:after="0"/>
              <w:rPr>
                <w:sz w:val="20"/>
                <w:szCs w:val="20"/>
                <w:color w:val="auto"/>
              </w:rPr>
            </w:pPr>
            <w:r>
              <w:rPr>
                <w:rFonts w:ascii="Arial" w:cs="Arial" w:eastAsia="Arial" w:hAnsi="Arial"/>
                <w:sz w:val="13"/>
                <w:szCs w:val="13"/>
                <w:color w:val="auto"/>
              </w:rPr>
              <w:t>Foreign currency translation</w:t>
            </w: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as of June 30, 2022</w:t>
            </w:r>
          </w:p>
        </w:tc>
        <w:tc>
          <w:tcPr>
            <w:tcW w:w="96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110,096</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10,855</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1,971</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(3 )</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(2,486 )</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10,337</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80</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10,417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-24765</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-7620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-24765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-7620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-24765</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-7620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-24765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-7620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85"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Accumulated other comprehensive loss, net of tax (‘AOCL’).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WILLIS TOWERS WATSON PUBLIC LIMITED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amounts in millions of U.S. dollars,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Willis Towers Watson Public Limited Company is a leading global advisory, broking and solutions company that provides data-driven, insight-led solutions in the areas of people, risk and capital. The Company has more than 46,000 colleagues serving more than 140 countries and markets.</w:t>
      </w:r>
    </w:p>
    <w:p>
      <w:pPr>
        <w:spacing w:after="0" w:line="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design and deliver solutions that manage risk, optimize benefits, cultivate talent and expand the power of capital to protect and strengthen institutions and individuals.</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risk management services include strategic risk consulting (including providing actuarial analysis), a variety of due diligence services, the provision of practical on-site risk control services (such as health and safety and property loss control consulting), and analytical and advisory services (such as hazard modeling). We also assist our clients with planning for addressing incidents or crises when they occur. These services include contingency planning, security audits and product tampering plans.</w:t>
      </w:r>
    </w:p>
    <w:p>
      <w:pPr>
        <w:spacing w:after="0" w:line="133"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We help our clients enhance business performance by delivering consulting services, technology and solutions that optimize benefits and cultivate talent. Our services and solutions encompass such areas as employee benefits, work and rewards, employee experience and benefits outsourcing. In addition, we provide investment advice to help our clients develop disciplined and efficient strategies to meet their investment goals and expand the power of capital.</w:t>
      </w:r>
    </w:p>
    <w:p>
      <w:pPr>
        <w:spacing w:after="0" w:line="95"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global distribution network.</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operate a private Medicare marketplace in the U.S. through which, along with our active employee marketplace, we help our clients move to a more sustainable economic model by capping and controlling the costs associated with healthcare benefits. We also provide direct-to-consumer sales of Medicare coverage.</w:t>
      </w:r>
    </w:p>
    <w:p>
      <w:pPr>
        <w:spacing w:after="0" w:line="130"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accompanying unaudited quarterly condensed consolidated financial statements of WTW and our subsidiaries are presented in accordance with the rules and regulations of the SEC for quarterly reports on Form 10-Q and therefore certain footnote disclosures have been condensed or omitted from these financial statements as they are not required for interim reporting under U.S. GAAP. In the opinion of management, these condensed consolidated financial statements reflect all adjustments, consisting of normal recurring adjustments, which are necessary for a fair presentation of the condensed consolidated financial statements and results for the interim periods. All intercompany accounts and transactions have been eliminated in consolidation. The condensed consolidated financial statements should be read together with the Company’s Annual Report on Form 10-K, filed with the SEC on February 24, 2023, and may be accessed via EDGAR on the SEC’s web site at www.sec.gov.</w:t>
      </w:r>
    </w:p>
    <w:p>
      <w:pPr>
        <w:spacing w:after="0" w:line="1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results of operations for the three and six months ended June 30, 2023 are not necessarily indicative of the results that can be expected for the entire year. The Company experiences seasonal fluctuations of its revenue. Revenue is typically higher during the Company’s first and fourth quarters due primarily to the timing of broking-related activities. The results reflect certain estimates and assumptions made by management, including those estimates used in calculating acquisition consideration and fair value of tangible and intangible assets and acquisition-related liabilities, professional liability claims, estimated bonuses, valuation of billed and unbilled receivables, and anticipated tax liabilities that affect the amounts reported in the condensed consolidated financial statements and related notes.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new pronouncements that are expected to have a significant impact to the Company or its condensed consolidated financial statements.</w:t>
      </w: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Other Legislation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Reduction Act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Inflation Reduction Act (the ‘IRA’) was enacted into law on August 16, 2022 and certain portions of the IRA became effective January 1, 2023. The IRA introduced, among other provisions, a share repurchase excise tax and a new Corporate Alternative Minimum Tax (‘CAMT’) which imposes a 15% tax on the adjusted financial statement income of ‘applicable corporations’. The Company does not expect the excise tax or CAMT to have a significant impact on its condensed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Pillar Two</w:t>
      </w:r>
    </w:p>
    <w:p>
      <w:pPr>
        <w:spacing w:after="0" w:line="17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On December 12, 2022, E.U. member states reached an agreement to implement Pillar Two, which introduces a global corporate minimum tax of 15% for certain large multinational companies beginning in 2023. For the rules to take effect, E.U. member states are required to enact domestic legislation by the end of 2023 to be effective January 1, 2024. The Company is currently evaluating the impact Pillar Two will have on its condensed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Divestitures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Divestment of Russian Business</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the first quarter of 2022, WTW announced its intention to transfer ownership of its Russian subsidiaries to local management who will operate independently in the Russian market. Due to the sanctions and prohibitions on certain types of business and activities, WTW deconsolidated its Russian entities on March 14, 2022. The transfer of its Russian subsidiaries to local management was completed on the agreed-upon terms on July 18, 2022, and the transfer was registered in Russia on July 25, 2022. The deconsolidation in the first quarter of 2022 resulted in a loss of $57 million, which includes an allocation of Risk &amp; Broking goodwill, and was recognized as a loss on disposal of a business within Other income, net on our condensed consolidated statements of comprehensive income. Further, certain Russian insurance contracts were placed historically by our U.K. brokers into the London market, the majority of which were under multi-year terms resulting in both current and non-current accounts receivables. Total net assets impaired, including accounts receivable balances related to our Russian business that are held outside of our Russian entities, were $81 million recorded during the three months ended March 31, 2022 in Other operating expenses on our condensed consolidated statements of comprehensive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Willis Re Divestiture</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August 13, 2021, the Company entered into a definitive security and asset purchase agreement (the ‘Willis Re SAPA’) to sell its treaty-reinsurance business (‘Willis Re’) to Arthur J. Gallagher &amp; Co. (‘Gallagher’), a leading global provider of insurance, risk management and consulting services, for total upfront cash consideration of $3.25 billion plus an earnout payable in 2025 of up to $750 million in cash, subject to certain adjustments. The deal was subject to required regulatory approvals and clearances, as well as other customary closing conditions, and was completed on December 1, 2021 (‘Principal Closing’). Although the majority of the Willis Re businesses transferred to Gallagher at Principal Closing, the assets and liabilities of certain Willis Re businesses were not transferred to Gallagher at the time due to local territory restrictions (‘Deferred Closing’). The Deferred Closing for all but one business was completed during the second quarter of 2022, and all net earnings of the Deferred Closing businesses accumulated between the Principal Closing and Deferred Closing remained payable to Gallagher at June 30, 2022 and September 30, 2022. The Company recognized a preliminary pre-tax gain of $2.3 billion upon completion of the sale in 2021, and during the second quarter of 2022, WTW recognized a $60 million reduction to the pre-tax gain related to an updated estimate of the working capital transferred upon disposal. The Company recognized the final allocation of the proceeds and related tax expense, as well as an adjustment of certain indemnities for the three months ended September 30, 2022. These amounts as well as the amounts payable with respect to the settled Deferred Closing businesses were remitted to Gallagher in October 2022. The remaining Deferred Closing business transferred during the fourth quarter of 2022, and all businesses have now been transferred to Gallagher. The gain is subject to tax in certain jurisdictions, mainly in the U.S., and is predominantly tax-exempt in the U.K.</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transaction, the Company reclassified the results of its Willis Re operations as discontinued operations on its condensed consolidated statements of comprehensive income and reclassified Willis Re assets and liabilities as held for sale on its condensed consolidated balance sheets. The condensed consolidated cash flow statements were not adjusted for the divestiture. Willis Re was previously included in the Company's former Investment, Risk and Reinsurance segment. As noted above, the results of the Deferred Closing businesses following the Principal Closing until their respective Deferred Closing dates have been included in income from discontinued operations on the condensed consolidated statements of comprehensive income during 2022.</w:t>
      </w:r>
    </w:p>
    <w:p>
      <w:pPr>
        <w:spacing w:after="0" w:line="13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will account for the earnout as a gain contingency and therefore did not record any receivables upon close. Rather, the earnout will be recognized in the Company’s condensed consolidated financial statements, if it is received, in 2025.</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 w:name="page14"/>
    <w:bookmarkEnd w:id="13"/>
    <w:p>
      <w:pPr>
        <w:spacing w:after="0" w:line="291" w:lineRule="auto"/>
        <w:rPr>
          <w:sz w:val="20"/>
          <w:szCs w:val="20"/>
          <w:color w:val="auto"/>
        </w:rPr>
      </w:pPr>
      <w:r>
        <w:rPr>
          <w:rFonts w:ascii="Arial" w:cs="Arial" w:eastAsia="Arial" w:hAnsi="Arial"/>
          <w:sz w:val="16"/>
          <w:szCs w:val="16"/>
          <w:color w:val="auto"/>
        </w:rPr>
        <w:t>A number of services are continuing under a cost reimbursement Transition Services Agreement (‘TSA’) in which WTW is providing Gallagher support including real estate leases, information technology, payroll, human resources and accounting. These services are expected to be provided for a period not to exceed two years from the Principal Closing. Fees earned under the TSA were $9 million and $18 million during the three and six months ended June 30, 2023, respectively, and $11 million and $23 million during the three and six months ended June 30, 2022, respectively, and have been recognized as a reduction to the costs incurred to service the TSA and are included in continuing operations within Other operating expenses on the condensed consolidated statements of comprehensive income. Costs incurred to service the TSA are expected to be reduced as part of the Company’s Transformation program (see Note 6 — Restructuring Costs for a description of the program) as quickly as possible when the services are no longer required by Gallagher.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selected financial information relates to the operations of Willis Re for the periods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ind w:right="173"/>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273"/>
              <w:spacing w:after="0"/>
              <w:rPr>
                <w:sz w:val="20"/>
                <w:szCs w:val="20"/>
                <w:color w:val="auto"/>
              </w:rPr>
            </w:pPr>
            <w:r>
              <w:rPr>
                <w:rFonts w:ascii="Arial" w:cs="Arial" w:eastAsia="Arial" w:hAnsi="Arial"/>
                <w:sz w:val="14"/>
                <w:szCs w:val="14"/>
                <w:b w:val="1"/>
                <w:bCs w:val="1"/>
                <w:color w:val="auto"/>
                <w:w w:val="95"/>
              </w:rPr>
              <w:t>Six Months Ended</w:t>
            </w:r>
          </w:p>
        </w:tc>
      </w:tr>
      <w:tr>
        <w:trPr>
          <w:trHeight w:val="185"/>
        </w:trPr>
        <w:tc>
          <w:tcPr>
            <w:tcW w:w="7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June 30, 2022</w:t>
            </w:r>
          </w:p>
        </w:tc>
      </w:tr>
      <w:tr>
        <w:trPr>
          <w:trHeight w:val="237"/>
        </w:trPr>
        <w:tc>
          <w:tcPr>
            <w:tcW w:w="7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1540" w:type="dxa"/>
            <w:vAlign w:val="bottom"/>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from discontinued operations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40</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Costs of providing services</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9"/>
        </w:trPr>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Salaries and benefits</w:t>
            </w: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8</w:t>
            </w: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w:t>
            </w:r>
          </w:p>
        </w:tc>
      </w:tr>
      <w:tr>
        <w:trPr>
          <w:trHeight w:val="236"/>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costs of providing services</w:t>
            </w:r>
          </w:p>
        </w:tc>
        <w:tc>
          <w:tcPr>
            <w:tcW w:w="1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9</w:t>
            </w: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discontinued operations before income taxes</w:t>
            </w: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31</w:t>
            </w: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Adjustment to gain on disposal of Willis Re</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(61 )</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49"/>
        </w:trPr>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Benefit from income taxes</w:t>
            </w: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w:t>
            </w: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Net income receivable/(payable) to Gallagher on Deferred Closing</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7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(46 )</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-976630</wp:posOffset>
            </wp:positionV>
            <wp:extent cx="12890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1289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289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2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expense amounts reflected above represent only the direct costs attributable to the Willis Re business and exclude allocations of corporate costs that will be retained following the sale. Neither the discontinued operations presented above, nor the unallocated corporate costs, reflect the impact of any cost reimbursement that will be received under the TSA.</w:t>
      </w:r>
    </w:p>
    <w:p>
      <w:pPr>
        <w:spacing w:after="0" w:line="13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Certain amounts included in the condensed consolidated balance sheets did not transfer to Gallagher under the terms of the Willis Re SAPA, and instead were to be settled by the Company, noting that certain fiduciary positions continued to be held under the terms of various co-broking agreements between subsidiaries of the Company and Gallagher. At December 31, 2022, the amounts of significant assets and liabilities related to the Willis Re businesses which were not transferred in the sale were $3.2 billion of fiduciary assets and liabilities, $29 million of accounts receivable and $73 million of other current liabilities. On May 31, 2023, the Company and Gallagher entered into a side letter to the Willis Re SAPA which became effective on June 1, 2023 and which (A) ended the co-broking agreements prospectively and which (B) transferred related fiduciary and certain non-fiduciary assets and liabilities to Gallagher at that time based on then-current estimates. These non-fiduciary amounts will be finalized in the third quarter of 2023. The value of the initial transfer amounted to $74 million of other current liabilities less $26 million of accounts receivables due to the Company, totaling $48 million of net cash transferred to Gallagher. Additionally, total fiduciary assets and liabilities of $4.5 billion, including $868 million of fiduciary cash, was transferred to Gallagher. The total cash outflow of $916 million is included in cash used in investing activities in the condensed consolidated statement of cash flows.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67"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 xml:space="preserve">The Company reports revenue by segment in Note 5 </w:t>
      </w:r>
      <w:r>
        <w:rPr>
          <w:rFonts w:ascii="Arial" w:cs="Arial" w:eastAsia="Arial" w:hAnsi="Arial"/>
          <w:sz w:val="18"/>
          <w:szCs w:val="18"/>
          <w:b w:val="1"/>
          <w:bCs w:val="1"/>
          <w:color w:val="auto"/>
        </w:rPr>
        <w:t>—</w:t>
      </w:r>
      <w:r>
        <w:rPr>
          <w:rFonts w:ascii="Arial" w:cs="Arial" w:eastAsia="Arial" w:hAnsi="Arial"/>
          <w:sz w:val="18"/>
          <w:szCs w:val="18"/>
          <w:color w:val="auto"/>
        </w:rPr>
        <w:t xml:space="preserve"> Segment Information. The following tables present revenue by service offering and segment, as well as reconciliations to total revenue for the three and six months ended June 30, 2023 and 2022. Along with reimbursable expenses and other, total revenue by service offering represents our revenue from customer contracts.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w w:val="96"/>
              </w:rPr>
              <w:t>Three Months Ended June 30,</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HWC</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R&amp;B</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28"/>
              <w:spacing w:after="0" w:line="169" w:lineRule="exact"/>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9"/>
                <w:szCs w:val="19"/>
                <w:b w:val="1"/>
                <w:bCs w:val="1"/>
                <w:color w:val="auto"/>
                <w:vertAlign w:val="superscript"/>
              </w:rPr>
              <w:t>(i)</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6"/>
        </w:trPr>
        <w:tc>
          <w:tcPr>
            <w:tcW w:w="32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Broking</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259</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236</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724</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661</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3</w:t>
            </w:r>
          </w:p>
        </w:tc>
        <w:tc>
          <w:tcPr>
            <w:tcW w:w="680" w:type="dxa"/>
            <w:vAlign w:val="bottom"/>
            <w:gridSpan w:val="2"/>
            <w:vMerge w:val="restart"/>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3</w:t>
            </w:r>
          </w:p>
        </w:tc>
        <w:tc>
          <w:tcPr>
            <w:tcW w:w="2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986</w:t>
            </w:r>
          </w:p>
        </w:tc>
        <w:tc>
          <w:tcPr>
            <w:tcW w:w="2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61"/>
        </w:trPr>
        <w:tc>
          <w:tcPr>
            <w:tcW w:w="1500" w:type="dxa"/>
            <w:vAlign w:val="bottom"/>
            <w:shd w:val="clear" w:color="auto" w:fill="CFF0FC"/>
          </w:tcPr>
          <w:p>
            <w:pPr>
              <w:spacing w:after="0"/>
              <w:rPr>
                <w:sz w:val="5"/>
                <w:szCs w:val="5"/>
                <w:color w:val="auto"/>
              </w:rPr>
            </w:pPr>
          </w:p>
        </w:tc>
        <w:tc>
          <w:tcPr>
            <w:tcW w:w="170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680" w:type="dxa"/>
            <w:vAlign w:val="bottom"/>
            <w:gridSpan w:val="2"/>
            <w:vMerge w:val="continue"/>
            <w:shd w:val="clear" w:color="auto" w:fill="CFF0FC"/>
          </w:tcPr>
          <w:p>
            <w:pPr>
              <w:spacing w:after="0"/>
              <w:rPr>
                <w:sz w:val="5"/>
                <w:szCs w:val="5"/>
                <w:color w:val="auto"/>
              </w:rPr>
            </w:pPr>
          </w:p>
        </w:tc>
        <w:tc>
          <w:tcPr>
            <w:tcW w:w="3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Consulting</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643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617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87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2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Outsourced administration</w:t>
            </w: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245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17</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262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61"/>
        </w:trPr>
        <w:tc>
          <w:tcPr>
            <w:tcW w:w="1500" w:type="dxa"/>
            <w:vAlign w:val="bottom"/>
            <w:shd w:val="clear" w:color="auto" w:fill="CFF0FC"/>
          </w:tcPr>
          <w:p>
            <w:pPr>
              <w:spacing w:after="0"/>
              <w:rPr>
                <w:sz w:val="5"/>
                <w:szCs w:val="5"/>
                <w:color w:val="auto"/>
              </w:rPr>
            </w:pPr>
          </w:p>
        </w:tc>
        <w:tc>
          <w:tcPr>
            <w:tcW w:w="170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3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59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55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47"/>
        </w:trPr>
        <w:tc>
          <w:tcPr>
            <w:tcW w:w="15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2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Total revenue by service offering</w:t>
            </w: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1,206</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1,139</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883</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816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7</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2,096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1,961</w:t>
            </w:r>
          </w:p>
        </w:tc>
        <w:tc>
          <w:tcPr>
            <w:tcW w:w="0" w:type="dxa"/>
            <w:vAlign w:val="bottom"/>
          </w:tcPr>
          <w:p>
            <w:pPr>
              <w:spacing w:after="0"/>
              <w:rPr>
                <w:sz w:val="1"/>
                <w:szCs w:val="1"/>
                <w:color w:val="auto"/>
              </w:rPr>
            </w:pPr>
          </w:p>
        </w:tc>
      </w:tr>
      <w:tr>
        <w:trPr>
          <w:trHeight w:val="61"/>
        </w:trPr>
        <w:tc>
          <w:tcPr>
            <w:tcW w:w="1500" w:type="dxa"/>
            <w:vAlign w:val="bottom"/>
            <w:shd w:val="clear" w:color="auto" w:fill="CFF0FC"/>
          </w:tcPr>
          <w:p>
            <w:pPr>
              <w:spacing w:after="0"/>
              <w:rPr>
                <w:sz w:val="5"/>
                <w:szCs w:val="5"/>
                <w:color w:val="auto"/>
              </w:rPr>
            </w:pPr>
          </w:p>
        </w:tc>
        <w:tc>
          <w:tcPr>
            <w:tcW w:w="170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3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 xml:space="preserve">Reimbursable expenses and other </w:t>
            </w:r>
            <w:r>
              <w:rPr>
                <w:rFonts w:ascii="Arial" w:cs="Arial" w:eastAsia="Arial" w:hAnsi="Arial"/>
                <w:sz w:val="7"/>
                <w:szCs w:val="7"/>
                <w:color w:val="auto"/>
              </w:rPr>
              <w:t>(i)</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(3 )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47"/>
        </w:trPr>
        <w:tc>
          <w:tcPr>
            <w:tcW w:w="15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2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Total revenue from customer contracts</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1,224</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1,153</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886</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818</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8</w:t>
            </w:r>
          </w:p>
        </w:tc>
        <w:tc>
          <w:tcPr>
            <w:tcW w:w="680" w:type="dxa"/>
            <w:vAlign w:val="bottom"/>
            <w:gridSpan w:val="2"/>
            <w:vMerge w:val="restart"/>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3</w:t>
            </w:r>
          </w:p>
        </w:tc>
        <w:tc>
          <w:tcPr>
            <w:tcW w:w="2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2,118</w:t>
            </w:r>
          </w:p>
        </w:tc>
        <w:tc>
          <w:tcPr>
            <w:tcW w:w="2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1,974</w:t>
            </w:r>
          </w:p>
        </w:tc>
        <w:tc>
          <w:tcPr>
            <w:tcW w:w="0" w:type="dxa"/>
            <w:vAlign w:val="bottom"/>
          </w:tcPr>
          <w:p>
            <w:pPr>
              <w:spacing w:after="0"/>
              <w:rPr>
                <w:sz w:val="1"/>
                <w:szCs w:val="1"/>
                <w:color w:val="auto"/>
              </w:rPr>
            </w:pPr>
          </w:p>
        </w:tc>
      </w:tr>
      <w:tr>
        <w:trPr>
          <w:trHeight w:val="61"/>
        </w:trPr>
        <w:tc>
          <w:tcPr>
            <w:tcW w:w="1500" w:type="dxa"/>
            <w:vAlign w:val="bottom"/>
            <w:shd w:val="clear" w:color="auto" w:fill="CFF0FC"/>
          </w:tcPr>
          <w:p>
            <w:pPr>
              <w:spacing w:after="0"/>
              <w:rPr>
                <w:sz w:val="5"/>
                <w:szCs w:val="5"/>
                <w:color w:val="auto"/>
              </w:rPr>
            </w:pPr>
          </w:p>
        </w:tc>
        <w:tc>
          <w:tcPr>
            <w:tcW w:w="170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680" w:type="dxa"/>
            <w:vAlign w:val="bottom"/>
            <w:gridSpan w:val="2"/>
            <w:vMerge w:val="continue"/>
            <w:shd w:val="clear" w:color="auto" w:fill="CFF0FC"/>
          </w:tcPr>
          <w:p>
            <w:pPr>
              <w:spacing w:after="0"/>
              <w:rPr>
                <w:sz w:val="5"/>
                <w:szCs w:val="5"/>
                <w:color w:val="auto"/>
              </w:rPr>
            </w:pPr>
          </w:p>
        </w:tc>
        <w:tc>
          <w:tcPr>
            <w:tcW w:w="3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Interest and other income</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47"/>
        </w:trPr>
        <w:tc>
          <w:tcPr>
            <w:tcW w:w="15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Total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1,233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1,173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903</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854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23</w:t>
            </w:r>
          </w:p>
        </w:tc>
        <w:tc>
          <w:tcPr>
            <w:tcW w:w="680" w:type="dxa"/>
            <w:vAlign w:val="bottom"/>
            <w:gridSpan w:val="2"/>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2,159</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20"/>
        </w:trPr>
        <w:tc>
          <w:tcPr>
            <w:tcW w:w="150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500" w:type="dxa"/>
            <w:vAlign w:val="bottom"/>
            <w:tcBorders>
              <w:bottom w:val="single" w:sz="8" w:color="auto"/>
            </w:tcBorders>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5"/>
            <w:vMerge w:val="restart"/>
          </w:tcPr>
          <w:p>
            <w:pPr>
              <w:jc w:val="right"/>
              <w:ind w:right="108"/>
              <w:spacing w:after="0"/>
              <w:rPr>
                <w:sz w:val="20"/>
                <w:szCs w:val="20"/>
                <w:color w:val="auto"/>
              </w:rPr>
            </w:pPr>
            <w:r>
              <w:rPr>
                <w:rFonts w:ascii="Arial" w:cs="Arial" w:eastAsia="Arial" w:hAnsi="Arial"/>
                <w:sz w:val="14"/>
                <w:szCs w:val="14"/>
                <w:b w:val="1"/>
                <w:bCs w:val="1"/>
                <w:color w:val="auto"/>
                <w:w w:val="93"/>
              </w:rPr>
              <w:t>Six Months Ended June 30,</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HWC</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R&amp;B</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28"/>
              <w:spacing w:after="0" w:line="169" w:lineRule="exact"/>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9"/>
                <w:szCs w:val="19"/>
                <w:b w:val="1"/>
                <w:bCs w:val="1"/>
                <w:color w:val="auto"/>
                <w:vertAlign w:val="superscript"/>
              </w:rPr>
              <w:t>(i)</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6"/>
        </w:trPr>
        <w:tc>
          <w:tcPr>
            <w:tcW w:w="32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Broking</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548</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507</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1,415</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1,357</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8</w:t>
            </w:r>
          </w:p>
        </w:tc>
        <w:tc>
          <w:tcPr>
            <w:tcW w:w="680" w:type="dxa"/>
            <w:vAlign w:val="bottom"/>
            <w:gridSpan w:val="2"/>
            <w:vMerge w:val="restart"/>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7</w:t>
            </w:r>
          </w:p>
        </w:tc>
        <w:tc>
          <w:tcPr>
            <w:tcW w:w="2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1,971</w:t>
            </w:r>
          </w:p>
        </w:tc>
        <w:tc>
          <w:tcPr>
            <w:tcW w:w="2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61"/>
        </w:trPr>
        <w:tc>
          <w:tcPr>
            <w:tcW w:w="1500" w:type="dxa"/>
            <w:vAlign w:val="bottom"/>
            <w:shd w:val="clear" w:color="auto" w:fill="CFF0FC"/>
          </w:tcPr>
          <w:p>
            <w:pPr>
              <w:spacing w:after="0"/>
              <w:rPr>
                <w:sz w:val="5"/>
                <w:szCs w:val="5"/>
                <w:color w:val="auto"/>
              </w:rPr>
            </w:pPr>
          </w:p>
        </w:tc>
        <w:tc>
          <w:tcPr>
            <w:tcW w:w="170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680" w:type="dxa"/>
            <w:vAlign w:val="bottom"/>
            <w:gridSpan w:val="2"/>
            <w:vMerge w:val="continue"/>
            <w:shd w:val="clear" w:color="auto" w:fill="CFF0FC"/>
          </w:tcPr>
          <w:p>
            <w:pPr>
              <w:spacing w:after="0"/>
              <w:rPr>
                <w:sz w:val="5"/>
                <w:szCs w:val="5"/>
                <w:color w:val="auto"/>
              </w:rPr>
            </w:pPr>
          </w:p>
        </w:tc>
        <w:tc>
          <w:tcPr>
            <w:tcW w:w="3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Consulting</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1,304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1,270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185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1,497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1,470</w:t>
            </w: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2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Outsourced administration</w:t>
            </w: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507</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474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46</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61"/>
        </w:trPr>
        <w:tc>
          <w:tcPr>
            <w:tcW w:w="1500" w:type="dxa"/>
            <w:vAlign w:val="bottom"/>
            <w:shd w:val="clear" w:color="auto" w:fill="CFF0FC"/>
          </w:tcPr>
          <w:p>
            <w:pPr>
              <w:spacing w:after="0"/>
              <w:rPr>
                <w:sz w:val="5"/>
                <w:szCs w:val="5"/>
                <w:color w:val="auto"/>
              </w:rPr>
            </w:pPr>
          </w:p>
        </w:tc>
        <w:tc>
          <w:tcPr>
            <w:tcW w:w="170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3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128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122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47"/>
        </w:trPr>
        <w:tc>
          <w:tcPr>
            <w:tcW w:w="15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2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Total revenue by service offering</w:t>
            </w: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2,487</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2,377</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1,768</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1,704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4,271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4,093</w:t>
            </w:r>
          </w:p>
        </w:tc>
        <w:tc>
          <w:tcPr>
            <w:tcW w:w="0" w:type="dxa"/>
            <w:vAlign w:val="bottom"/>
          </w:tcPr>
          <w:p>
            <w:pPr>
              <w:spacing w:after="0"/>
              <w:rPr>
                <w:sz w:val="1"/>
                <w:szCs w:val="1"/>
                <w:color w:val="auto"/>
              </w:rPr>
            </w:pPr>
          </w:p>
        </w:tc>
      </w:tr>
      <w:tr>
        <w:trPr>
          <w:trHeight w:val="61"/>
        </w:trPr>
        <w:tc>
          <w:tcPr>
            <w:tcW w:w="1500" w:type="dxa"/>
            <w:vAlign w:val="bottom"/>
            <w:shd w:val="clear" w:color="auto" w:fill="CFF0FC"/>
          </w:tcPr>
          <w:p>
            <w:pPr>
              <w:spacing w:after="0"/>
              <w:rPr>
                <w:sz w:val="5"/>
                <w:szCs w:val="5"/>
                <w:color w:val="auto"/>
              </w:rPr>
            </w:pPr>
          </w:p>
        </w:tc>
        <w:tc>
          <w:tcPr>
            <w:tcW w:w="170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3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 xml:space="preserve">Reimbursable expenses and other </w:t>
            </w:r>
            <w:r>
              <w:rPr>
                <w:rFonts w:ascii="Arial" w:cs="Arial" w:eastAsia="Arial" w:hAnsi="Arial"/>
                <w:sz w:val="7"/>
                <w:szCs w:val="7"/>
                <w:color w:val="auto"/>
              </w:rPr>
              <w:t>(i)</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vMerge w:val="restart"/>
          </w:tcPr>
          <w:p>
            <w:pPr>
              <w:jc w:val="right"/>
              <w:ind w:right="8"/>
              <w:spacing w:after="0"/>
              <w:rPr>
                <w:sz w:val="20"/>
                <w:szCs w:val="20"/>
                <w:color w:val="auto"/>
              </w:rPr>
            </w:pPr>
            <w:r>
              <w:rPr>
                <w:rFonts w:ascii="Arial" w:cs="Arial" w:eastAsia="Arial" w:hAnsi="Arial"/>
                <w:sz w:val="14"/>
                <w:szCs w:val="14"/>
                <w:color w:val="auto"/>
              </w:rPr>
              <w:t>(1 )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47"/>
        </w:trPr>
        <w:tc>
          <w:tcPr>
            <w:tcW w:w="15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2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Total revenue from customer contracts</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2,520</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2,404</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1,774</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1,709</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27</w:t>
            </w:r>
          </w:p>
        </w:tc>
        <w:tc>
          <w:tcPr>
            <w:tcW w:w="680" w:type="dxa"/>
            <w:vAlign w:val="bottom"/>
            <w:gridSpan w:val="2"/>
            <w:vMerge w:val="restart"/>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11</w:t>
            </w:r>
          </w:p>
        </w:tc>
        <w:tc>
          <w:tcPr>
            <w:tcW w:w="2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4,321</w:t>
            </w:r>
          </w:p>
        </w:tc>
        <w:tc>
          <w:tcPr>
            <w:tcW w:w="2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4,124</w:t>
            </w:r>
          </w:p>
        </w:tc>
        <w:tc>
          <w:tcPr>
            <w:tcW w:w="0" w:type="dxa"/>
            <w:vAlign w:val="bottom"/>
          </w:tcPr>
          <w:p>
            <w:pPr>
              <w:spacing w:after="0"/>
              <w:rPr>
                <w:sz w:val="1"/>
                <w:szCs w:val="1"/>
                <w:color w:val="auto"/>
              </w:rPr>
            </w:pPr>
          </w:p>
        </w:tc>
      </w:tr>
      <w:tr>
        <w:trPr>
          <w:trHeight w:val="61"/>
        </w:trPr>
        <w:tc>
          <w:tcPr>
            <w:tcW w:w="1500" w:type="dxa"/>
            <w:vAlign w:val="bottom"/>
            <w:shd w:val="clear" w:color="auto" w:fill="CFF0FC"/>
          </w:tcPr>
          <w:p>
            <w:pPr>
              <w:spacing w:after="0"/>
              <w:rPr>
                <w:sz w:val="5"/>
                <w:szCs w:val="5"/>
                <w:color w:val="auto"/>
              </w:rPr>
            </w:pPr>
          </w:p>
        </w:tc>
        <w:tc>
          <w:tcPr>
            <w:tcW w:w="170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680" w:type="dxa"/>
            <w:vAlign w:val="bottom"/>
            <w:gridSpan w:val="2"/>
            <w:vMerge w:val="continue"/>
            <w:shd w:val="clear" w:color="auto" w:fill="CFF0FC"/>
          </w:tcPr>
          <w:p>
            <w:pPr>
              <w:spacing w:after="0"/>
              <w:rPr>
                <w:sz w:val="5"/>
                <w:szCs w:val="5"/>
                <w:color w:val="auto"/>
              </w:rPr>
            </w:pPr>
          </w:p>
        </w:tc>
        <w:tc>
          <w:tcPr>
            <w:tcW w:w="3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Interest and other income</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47"/>
        </w:trPr>
        <w:tc>
          <w:tcPr>
            <w:tcW w:w="15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Total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2,535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2,430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1,810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1,748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58</w:t>
            </w:r>
          </w:p>
        </w:tc>
        <w:tc>
          <w:tcPr>
            <w:tcW w:w="680" w:type="dxa"/>
            <w:vAlign w:val="bottom"/>
            <w:gridSpan w:val="2"/>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4,403</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4,191</w:t>
            </w:r>
          </w:p>
        </w:tc>
        <w:tc>
          <w:tcPr>
            <w:tcW w:w="0" w:type="dxa"/>
            <w:vAlign w:val="bottom"/>
          </w:tcPr>
          <w:p>
            <w:pPr>
              <w:spacing w:after="0"/>
              <w:rPr>
                <w:sz w:val="1"/>
                <w:szCs w:val="1"/>
                <w:color w:val="auto"/>
              </w:rPr>
            </w:pPr>
          </w:p>
        </w:tc>
      </w:tr>
      <w:tr>
        <w:trPr>
          <w:trHeight w:val="20"/>
        </w:trPr>
        <w:tc>
          <w:tcPr>
            <w:tcW w:w="150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-1902460</wp:posOffset>
            </wp:positionV>
            <wp:extent cx="857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-1885315</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-1902460</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-1885315</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-1902460</wp:posOffset>
            </wp:positionV>
            <wp:extent cx="857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-1885315</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-1902460</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-1885315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-1902460</wp:posOffset>
            </wp:positionV>
            <wp:extent cx="857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-1885315</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-1902460</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-1885315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-1902460</wp:posOffset>
            </wp:positionV>
            <wp:extent cx="857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-1885315</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-24765</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-7620</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-24765</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-7620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12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7" w:lineRule="exact"/>
        <w:rPr>
          <w:sz w:val="20"/>
          <w:szCs w:val="20"/>
          <w:color w:val="auto"/>
        </w:rPr>
      </w:pPr>
    </w:p>
    <w:p>
      <w:pPr>
        <w:ind w:left="280" w:right="860" w:hanging="272"/>
        <w:spacing w:after="0" w:line="335" w:lineRule="auto"/>
        <w:tabs>
          <w:tab w:leader="none" w:pos="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Reimbursable expenses and other, as well as Corporate revenue, are excluded from segment revenue, but included in total revenue on the condensed consolidated statements of comprehensive income. Amounts included in Corporate revenue may include eliminations, adjustments to reserves and impacts from hedged revenue transactions.</w:t>
      </w:r>
    </w:p>
    <w:p>
      <w:pPr>
        <w:spacing w:after="0" w:line="7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Interest and other income is included in segment revenue and total revenue, however it has been presented separately in the above tables because it does not arise directly from contracts with customers. The significant components of interest and other income are as follows for the periods presented above: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w w:val="96"/>
              </w:rPr>
              <w:t>Three Months Ended June 30,</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HWC</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R&amp;B</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Corporate</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Book-of-business settlements</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15</w:t>
            </w:r>
          </w:p>
        </w:tc>
        <w:tc>
          <w:tcPr>
            <w:tcW w:w="28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3</w:t>
            </w:r>
          </w:p>
        </w:tc>
        <w:tc>
          <w:tcPr>
            <w:tcW w:w="28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30</w:t>
            </w:r>
          </w:p>
        </w:tc>
        <w:tc>
          <w:tcPr>
            <w:tcW w:w="30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FF0FC"/>
          </w:tcPr>
          <w:p>
            <w:pPr>
              <w:jc w:val="right"/>
              <w:ind w:right="408"/>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3</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61"/>
        </w:trPr>
        <w:tc>
          <w:tcPr>
            <w:tcW w:w="322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300" w:type="dxa"/>
            <w:vAlign w:val="bottom"/>
            <w:gridSpan w:val="2"/>
            <w:vMerge w:val="continue"/>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700" w:type="dxa"/>
            <w:vAlign w:val="bottom"/>
            <w:gridSpan w:val="2"/>
            <w:vMerge w:val="continue"/>
            <w:shd w:val="clear" w:color="auto" w:fill="CFF0FC"/>
          </w:tcPr>
          <w:p>
            <w:pPr>
              <w:spacing w:after="0"/>
              <w:rPr>
                <w:sz w:val="5"/>
                <w:szCs w:val="5"/>
                <w:color w:val="auto"/>
              </w:rPr>
            </w:pPr>
          </w:p>
        </w:tc>
        <w:tc>
          <w:tcPr>
            <w:tcW w:w="320" w:type="dxa"/>
            <w:vAlign w:val="bottom"/>
            <w:vMerge w:val="continue"/>
            <w:shd w:val="clear" w:color="auto" w:fill="CFF0FC"/>
          </w:tcPr>
          <w:p>
            <w:pPr>
              <w:spacing w:after="0"/>
              <w:rPr>
                <w:sz w:val="5"/>
                <w:szCs w:val="5"/>
                <w:color w:val="auto"/>
              </w:rPr>
            </w:pPr>
          </w:p>
        </w:tc>
        <w:tc>
          <w:tcPr>
            <w:tcW w:w="300" w:type="dxa"/>
            <w:vAlign w:val="bottom"/>
            <w:gridSpan w:val="2"/>
            <w:vMerge w:val="continue"/>
            <w:shd w:val="clear" w:color="auto" w:fill="CFF0FC"/>
          </w:tcPr>
          <w:p>
            <w:pPr>
              <w:spacing w:after="0"/>
              <w:rPr>
                <w:sz w:val="5"/>
                <w:szCs w:val="5"/>
                <w:color w:val="auto"/>
              </w:rPr>
            </w:pPr>
          </w:p>
        </w:tc>
        <w:tc>
          <w:tcPr>
            <w:tcW w:w="72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61"/>
        </w:trPr>
        <w:tc>
          <w:tcPr>
            <w:tcW w:w="3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3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(1 )</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6"/>
        </w:trPr>
        <w:tc>
          <w:tcPr>
            <w:tcW w:w="322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Total interest and other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36</w:t>
            </w: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15</w:t>
            </w:r>
          </w:p>
        </w:tc>
        <w:tc>
          <w:tcPr>
            <w:tcW w:w="14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-162560</wp:posOffset>
            </wp:positionV>
            <wp:extent cx="85725"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-162560</wp:posOffset>
            </wp:positionV>
            <wp:extent cx="76835"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-162560</wp:posOffset>
            </wp:positionV>
            <wp:extent cx="85725"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-162560</wp:posOffset>
            </wp:positionV>
            <wp:extent cx="85725"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-162560</wp:posOffset>
            </wp:positionV>
            <wp:extent cx="7747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-162560</wp:posOffset>
            </wp:positionV>
            <wp:extent cx="85725"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-162560</wp:posOffset>
            </wp:positionV>
            <wp:extent cx="85725"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b w:val="1"/>
                <w:bCs w:val="1"/>
                <w:color w:val="auto"/>
                <w:w w:val="93"/>
              </w:rPr>
              <w:t>Six Months Ended June 30,</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HWC</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R&amp;B</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6"/>
        </w:trPr>
        <w:tc>
          <w:tcPr>
            <w:tcW w:w="3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Book-of-business settlements</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18</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10</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30</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10</w:t>
            </w:r>
          </w:p>
        </w:tc>
        <w:tc>
          <w:tcPr>
            <w:tcW w:w="2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61"/>
        </w:trPr>
        <w:tc>
          <w:tcPr>
            <w:tcW w:w="320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680" w:type="dxa"/>
            <w:vAlign w:val="bottom"/>
            <w:gridSpan w:val="2"/>
            <w:vMerge w:val="continue"/>
            <w:shd w:val="clear" w:color="auto" w:fill="CFF0FC"/>
          </w:tcPr>
          <w:p>
            <w:pPr>
              <w:spacing w:after="0"/>
              <w:rPr>
                <w:sz w:val="5"/>
                <w:szCs w:val="5"/>
                <w:color w:val="auto"/>
              </w:rPr>
            </w:pPr>
          </w:p>
        </w:tc>
        <w:tc>
          <w:tcPr>
            <w:tcW w:w="3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61"/>
        </w:trPr>
        <w:tc>
          <w:tcPr>
            <w:tcW w:w="3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4</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3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tcPr>
          <w:p>
            <w:pPr>
              <w:ind w:left="20"/>
              <w:spacing w:after="0"/>
              <w:rPr>
                <w:sz w:val="20"/>
                <w:szCs w:val="20"/>
                <w:color w:val="auto"/>
              </w:rPr>
            </w:pPr>
            <w:r>
              <w:rPr>
                <w:rFonts w:ascii="Arial" w:cs="Arial" w:eastAsia="Arial" w:hAnsi="Arial"/>
                <w:sz w:val="14"/>
                <w:szCs w:val="14"/>
                <w:color w:val="auto"/>
              </w:rPr>
              <w:t>Total interest and other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680" w:type="dxa"/>
            <w:vAlign w:val="bottom"/>
            <w:gridSpan w:val="2"/>
          </w:tcPr>
          <w:p>
            <w:pPr>
              <w:jc w:val="right"/>
              <w:ind w:right="38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82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-161925</wp:posOffset>
            </wp:positionV>
            <wp:extent cx="85725" cy="162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-161925</wp:posOffset>
            </wp:positionV>
            <wp:extent cx="77470"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-161925</wp:posOffset>
            </wp:positionV>
            <wp:extent cx="85725"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-161925</wp:posOffset>
            </wp:positionV>
            <wp:extent cx="76835"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-161925</wp:posOffset>
            </wp:positionV>
            <wp:extent cx="85725"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-161925</wp:posOffset>
            </wp:positionV>
            <wp:extent cx="77470"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-161925</wp:posOffset>
            </wp:positionV>
            <wp:extent cx="85725"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12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a result of the cessation of the co-broking agreement, (see Note 3 — Acquisitions and Divestitures) interest income associated with fiduciary funds will be allocated more directly to the Risk and Broking segment beginning in the third quarter of 2023. These amounts were previously allocated to the Corporate segment following the disposal of Willis 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5" w:name="page16"/>
    <w:bookmarkEnd w:id="15"/>
    <w:p>
      <w:pPr>
        <w:jc w:val="both"/>
        <w:ind w:right="100"/>
        <w:spacing w:after="0" w:line="263" w:lineRule="auto"/>
        <w:rPr>
          <w:sz w:val="20"/>
          <w:szCs w:val="20"/>
          <w:color w:val="auto"/>
        </w:rPr>
      </w:pPr>
      <w:r>
        <w:rPr>
          <w:rFonts w:ascii="Arial" w:cs="Arial" w:eastAsia="Arial" w:hAnsi="Arial"/>
          <w:sz w:val="18"/>
          <w:szCs w:val="18"/>
          <w:color w:val="auto"/>
        </w:rPr>
        <w:t>The following tables present revenue from service offerings by the geography where our work was performed for the three and six months ended June 30, 2023 and 2022. Reconciliations to total revenue on our condensed consolidated statements of comprehensive income and to segment revenue are shown in the tables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w w:val="96"/>
              </w:rPr>
              <w:t>Three Months Ended June 30,</w:t>
            </w: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HWC</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R&amp;B</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Corporate</w:t>
            </w: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6"/>
        </w:trPr>
        <w:tc>
          <w:tcPr>
            <w:tcW w:w="3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792</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756</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355</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333</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720" w:type="dxa"/>
            <w:vAlign w:val="bottom"/>
            <w:gridSpan w:val="2"/>
            <w:vMerge w:val="restart"/>
            <w:shd w:val="clear" w:color="auto" w:fill="CFF0FC"/>
          </w:tcPr>
          <w:p>
            <w:pPr>
              <w:jc w:val="right"/>
              <w:ind w:right="428"/>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2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1,149</w:t>
            </w:r>
          </w:p>
        </w:tc>
        <w:tc>
          <w:tcPr>
            <w:tcW w:w="2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61"/>
        </w:trPr>
        <w:tc>
          <w:tcPr>
            <w:tcW w:w="320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720" w:type="dxa"/>
            <w:vAlign w:val="bottom"/>
            <w:gridSpan w:val="2"/>
            <w:vMerge w:val="continue"/>
            <w:shd w:val="clear" w:color="auto" w:fill="CFF0FC"/>
          </w:tcPr>
          <w:p>
            <w:pPr>
              <w:spacing w:after="0"/>
              <w:rPr>
                <w:sz w:val="5"/>
                <w:szCs w:val="5"/>
                <w:color w:val="auto"/>
              </w:rPr>
            </w:pPr>
          </w:p>
        </w:tc>
        <w:tc>
          <w:tcPr>
            <w:tcW w:w="30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315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389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vMerge w:val="restart"/>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61"/>
        </w:trPr>
        <w:tc>
          <w:tcPr>
            <w:tcW w:w="3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International</w:t>
            </w: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99</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139</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132</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239</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0"/>
        </w:trPr>
        <w:tc>
          <w:tcPr>
            <w:tcW w:w="3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tcPr>
          <w:p>
            <w:pPr>
              <w:ind w:left="20"/>
              <w:spacing w:after="0"/>
              <w:rPr>
                <w:sz w:val="20"/>
                <w:szCs w:val="20"/>
                <w:color w:val="auto"/>
              </w:rPr>
            </w:pPr>
            <w:r>
              <w:rPr>
                <w:rFonts w:ascii="Arial" w:cs="Arial" w:eastAsia="Arial" w:hAnsi="Arial"/>
                <w:sz w:val="14"/>
                <w:szCs w:val="14"/>
                <w:color w:val="auto"/>
              </w:rPr>
              <w:t>Total revenue by geography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1,206</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1,139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883</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816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72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2,096</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1,961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-162560</wp:posOffset>
            </wp:positionV>
            <wp:extent cx="85725"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-162560</wp:posOffset>
            </wp:positionV>
            <wp:extent cx="7747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-162560</wp:posOffset>
            </wp:positionV>
            <wp:extent cx="85725"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-162560</wp:posOffset>
            </wp:positionV>
            <wp:extent cx="76835"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-162560</wp:posOffset>
            </wp:positionV>
            <wp:extent cx="85725"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-162560</wp:posOffset>
            </wp:positionV>
            <wp:extent cx="7747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-162560</wp:posOffset>
            </wp:positionV>
            <wp:extent cx="85725"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b w:val="1"/>
                <w:bCs w:val="1"/>
                <w:color w:val="auto"/>
                <w:w w:val="93"/>
              </w:rPr>
              <w:t>Six Months Ended June 30,</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HWC</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R&amp;B</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Corporate</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6"/>
        </w:trPr>
        <w:tc>
          <w:tcPr>
            <w:tcW w:w="3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1,615</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1,535</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646</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610</w:t>
            </w: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3</w:t>
            </w:r>
          </w:p>
        </w:tc>
        <w:tc>
          <w:tcPr>
            <w:tcW w:w="680" w:type="dxa"/>
            <w:vAlign w:val="bottom"/>
            <w:gridSpan w:val="2"/>
            <w:vMerge w:val="restart"/>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4</w:t>
            </w:r>
          </w:p>
        </w:tc>
        <w:tc>
          <w:tcPr>
            <w:tcW w:w="2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2,264</w:t>
            </w:r>
          </w:p>
        </w:tc>
        <w:tc>
          <w:tcPr>
            <w:tcW w:w="2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2,149</w:t>
            </w:r>
          </w:p>
        </w:tc>
        <w:tc>
          <w:tcPr>
            <w:tcW w:w="0" w:type="dxa"/>
            <w:vAlign w:val="bottom"/>
          </w:tcPr>
          <w:p>
            <w:pPr>
              <w:spacing w:after="0"/>
              <w:rPr>
                <w:sz w:val="1"/>
                <w:szCs w:val="1"/>
                <w:color w:val="auto"/>
              </w:rPr>
            </w:pPr>
          </w:p>
        </w:tc>
      </w:tr>
      <w:tr>
        <w:trPr>
          <w:trHeight w:val="61"/>
        </w:trPr>
        <w:tc>
          <w:tcPr>
            <w:tcW w:w="3200" w:type="dxa"/>
            <w:vAlign w:val="bottom"/>
            <w:shd w:val="clear" w:color="auto" w:fill="CFF0FC"/>
          </w:tcPr>
          <w:p>
            <w:pPr>
              <w:spacing w:after="0"/>
              <w:rPr>
                <w:sz w:val="5"/>
                <w:szCs w:val="5"/>
                <w:color w:val="auto"/>
              </w:rPr>
            </w:pPr>
          </w:p>
        </w:tc>
        <w:tc>
          <w:tcPr>
            <w:tcW w:w="160" w:type="dxa"/>
            <w:vAlign w:val="bottom"/>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680" w:type="dxa"/>
            <w:vAlign w:val="bottom"/>
            <w:gridSpan w:val="2"/>
            <w:vMerge w:val="continue"/>
            <w:shd w:val="clear" w:color="auto" w:fill="CFF0FC"/>
          </w:tcPr>
          <w:p>
            <w:pPr>
              <w:spacing w:after="0"/>
              <w:rPr>
                <w:sz w:val="5"/>
                <w:szCs w:val="5"/>
                <w:color w:val="auto"/>
              </w:rPr>
            </w:pPr>
          </w:p>
        </w:tc>
        <w:tc>
          <w:tcPr>
            <w:tcW w:w="3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280" w:type="dxa"/>
            <w:vAlign w:val="bottom"/>
            <w:gridSpan w:val="2"/>
            <w:vMerge w:val="continue"/>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661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860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831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1,532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1,484</w:t>
            </w:r>
          </w:p>
        </w:tc>
        <w:tc>
          <w:tcPr>
            <w:tcW w:w="0" w:type="dxa"/>
            <w:vAlign w:val="bottom"/>
          </w:tcPr>
          <w:p>
            <w:pPr>
              <w:spacing w:after="0"/>
              <w:rPr>
                <w:sz w:val="1"/>
                <w:szCs w:val="1"/>
                <w:color w:val="auto"/>
              </w:rPr>
            </w:pPr>
          </w:p>
        </w:tc>
      </w:tr>
      <w:tr>
        <w:trPr>
          <w:trHeight w:val="61"/>
        </w:trPr>
        <w:tc>
          <w:tcPr>
            <w:tcW w:w="3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International</w:t>
            </w: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211</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196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262</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263</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475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0"/>
        </w:trPr>
        <w:tc>
          <w:tcPr>
            <w:tcW w:w="3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tcPr>
          <w:p>
            <w:pPr>
              <w:ind w:left="20"/>
              <w:spacing w:after="0"/>
              <w:rPr>
                <w:sz w:val="20"/>
                <w:szCs w:val="20"/>
                <w:color w:val="auto"/>
              </w:rPr>
            </w:pPr>
            <w:r>
              <w:rPr>
                <w:rFonts w:ascii="Arial" w:cs="Arial" w:eastAsia="Arial" w:hAnsi="Arial"/>
                <w:sz w:val="14"/>
                <w:szCs w:val="14"/>
                <w:color w:val="auto"/>
              </w:rPr>
              <w:t>Total revenue by geography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2,487</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2,377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1,768</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1,704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680" w:type="dxa"/>
            <w:vAlign w:val="bottom"/>
            <w:gridSpan w:val="2"/>
          </w:tcPr>
          <w:p>
            <w:pPr>
              <w:jc w:val="right"/>
              <w:ind w:right="38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4,271</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4,093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-162560</wp:posOffset>
            </wp:positionV>
            <wp:extent cx="85725"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-162560</wp:posOffset>
            </wp:positionV>
            <wp:extent cx="77470"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-162560</wp:posOffset>
            </wp:positionV>
            <wp:extent cx="85725"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-162560</wp:posOffset>
            </wp:positionV>
            <wp:extent cx="76835"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-162560</wp:posOffset>
            </wp:positionV>
            <wp:extent cx="85725"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-162560</wp:posOffset>
            </wp:positionV>
            <wp:extent cx="7747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-162560</wp:posOffset>
            </wp:positionV>
            <wp:extent cx="85725"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Company reports accounts receivable, net on the condensed consolidated balance sheets, which includes billed and unbilled receivables and current contract assets. In addition to accounts receivable, net, the Company had the following non-current contract assets and deferred revenue balances at June 30, 2023 and December 31,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8"/>
              </w:rPr>
              <w:t>June 30, 2023</w:t>
            </w:r>
          </w:p>
        </w:tc>
        <w:tc>
          <w:tcPr>
            <w:tcW w:w="200" w:type="dxa"/>
            <w:vAlign w:val="bottom"/>
          </w:tcPr>
          <w:p>
            <w:pPr>
              <w:spacing w:after="0"/>
              <w:rPr>
                <w:sz w:val="16"/>
                <w:szCs w:val="16"/>
                <w:color w:val="auto"/>
              </w:rPr>
            </w:pPr>
          </w:p>
        </w:tc>
        <w:tc>
          <w:tcPr>
            <w:tcW w:w="14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98"/>
              </w:rPr>
              <w:t>December 31, 2022</w:t>
            </w:r>
          </w:p>
        </w:tc>
      </w:tr>
      <w:tr>
        <w:trPr>
          <w:trHeight w:val="236"/>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Billed receivables, net of allowance for doubtful accounts of $37 million and $46 million</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1,408</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4"/>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1,464</w:t>
            </w: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180" w:type="dxa"/>
            <w:vAlign w:val="bottom"/>
          </w:tcPr>
          <w:p>
            <w:pPr>
              <w:spacing w:after="0"/>
              <w:rPr>
                <w:sz w:val="20"/>
                <w:szCs w:val="20"/>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497</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457</w:t>
            </w:r>
          </w:p>
        </w:tc>
      </w:tr>
      <w:tr>
        <w:trPr>
          <w:trHeight w:val="243"/>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Current contract assets</w:t>
            </w:r>
          </w:p>
        </w:tc>
        <w:tc>
          <w:tcPr>
            <w:tcW w:w="1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301</w:t>
            </w:r>
          </w:p>
        </w:tc>
        <w:tc>
          <w:tcPr>
            <w:tcW w:w="2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466</w:t>
            </w:r>
          </w:p>
        </w:tc>
      </w:tr>
      <w:tr>
        <w:trPr>
          <w:trHeight w:val="237"/>
        </w:trPr>
        <w:tc>
          <w:tcPr>
            <w:tcW w:w="80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2,206</w:t>
            </w:r>
          </w:p>
        </w:tc>
        <w:tc>
          <w:tcPr>
            <w:tcW w:w="200" w:type="dxa"/>
            <w:vAlign w:val="bottom"/>
          </w:tcPr>
          <w:p>
            <w:pPr>
              <w:spacing w:after="0"/>
              <w:rPr>
                <w:sz w:val="20"/>
                <w:szCs w:val="20"/>
                <w:color w:val="auto"/>
              </w:rPr>
            </w:pP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2,387</w:t>
            </w:r>
          </w:p>
        </w:tc>
      </w:tr>
      <w:tr>
        <w:trPr>
          <w:trHeight w:val="20"/>
        </w:trPr>
        <w:tc>
          <w:tcPr>
            <w:tcW w:w="8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3"/>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accounts receivable,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w:t>
            </w: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Non-current contract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792</w:t>
            </w:r>
          </w:p>
        </w:tc>
        <w:tc>
          <w:tcPr>
            <w:tcW w:w="720" w:type="dxa"/>
            <w:vAlign w:val="bottom"/>
            <w:gridSpan w:val="2"/>
          </w:tcPr>
          <w:p>
            <w:pPr>
              <w:jc w:val="right"/>
              <w:ind w:right="334"/>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745</w:t>
            </w:r>
          </w:p>
        </w:tc>
      </w:tr>
      <w:tr>
        <w:trPr>
          <w:trHeight w:val="236"/>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694</w:t>
            </w:r>
          </w:p>
        </w:tc>
        <w:tc>
          <w:tcPr>
            <w:tcW w:w="2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ind w:right="33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-676910</wp:posOffset>
            </wp:positionV>
            <wp:extent cx="128905"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-334010</wp:posOffset>
            </wp:positionV>
            <wp:extent cx="12890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12890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During the three and six months ended June 30, 2023, revenue of $58 million and $385 million, respectively, was recognized that was reflected as deferred revenue at December 31, 2022. During the three months ended June 30, 2023, revenue of $262 million was recognized that was reflected as deferred revenue at March 31, 2023.</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three and six months ended June 30, 2023, the Company recognized revenue of $3 million and $7 million, respectively, related to performance obligations satisfied prior to 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contracts for which performance obligations have not been satisfied as of June 30, 2023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In addition,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Company has elected not to disclose the remaining performance obligations when one or both of the following circumstances apply:</w:t>
      </w:r>
    </w:p>
    <w:p>
      <w:pPr>
        <w:spacing w:after="0" w:line="62"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obligations which are part of a contract that has an original expected duration of less than one year,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obligations satisfied in accordance with ASC 606-10-55-18 (‘right to invoice’).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2"/>
          </w:tcPr>
          <w:p>
            <w:pPr>
              <w:jc w:val="center"/>
              <w:ind w:right="99"/>
              <w:spacing w:after="0"/>
              <w:rPr>
                <w:sz w:val="20"/>
                <w:szCs w:val="20"/>
                <w:color w:val="auto"/>
              </w:rPr>
            </w:pPr>
            <w:r>
              <w:rPr>
                <w:rFonts w:ascii="Arial" w:cs="Arial" w:eastAsia="Arial" w:hAnsi="Arial"/>
                <w:sz w:val="14"/>
                <w:szCs w:val="14"/>
                <w:b w:val="1"/>
                <w:bCs w:val="1"/>
                <w:color w:val="auto"/>
                <w:w w:val="93"/>
              </w:rPr>
              <w:t>Remainder of</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4"/>
              </w:rPr>
              <w:t>2025 onward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Revenue expected to be recognized on contracts as of June 30, 2023</w:t>
            </w: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560</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607"/>
        </w:trPr>
        <w:tc>
          <w:tcPr>
            <w:tcW w:w="5240" w:type="dxa"/>
            <w:vAlign w:val="bottom"/>
          </w:tcPr>
          <w:p>
            <w:pPr>
              <w:spacing w:after="0"/>
              <w:rPr>
                <w:sz w:val="24"/>
                <w:szCs w:val="24"/>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 w:name="page17"/>
    <w:bookmarkEnd w:id="16"/>
    <w:p>
      <w:pPr>
        <w:ind w:right="60"/>
        <w:spacing w:after="0" w:line="277" w:lineRule="auto"/>
        <w:rPr>
          <w:sz w:val="20"/>
          <w:szCs w:val="20"/>
          <w:color w:val="auto"/>
        </w:rPr>
      </w:pPr>
      <w:r>
        <w:rPr>
          <w:rFonts w:ascii="Arial" w:cs="Arial" w:eastAsia="Arial" w:hAnsi="Arial"/>
          <w:sz w:val="18"/>
          <w:szCs w:val="18"/>
          <w:color w:val="auto"/>
        </w:rPr>
        <w:t>Since most of the Company’s contracts are cancellable with less than one year’s notice and have no substantive penalty for cancellation, the majority of the Company’s remaining performance obligations as of June 30, 2023 have been excluded from the table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WTW has two reportable operating segments or business areas:</w:t>
      </w:r>
    </w:p>
    <w:p>
      <w:pPr>
        <w:spacing w:after="0" w:line="117" w:lineRule="exact"/>
        <w:rPr>
          <w:sz w:val="20"/>
          <w:szCs w:val="20"/>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Health, Wealth &amp; Career (‘HWC’);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 &amp; Broking (‘R&amp;B’).</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WTW’s chief operating decision maker is its chief executive officer. We determined that the operational data used by the chief operating decision maker is at the segment level. Management bases strategic goals and decisions on these segments and the data presented below is used to assess the adequacy of strategic decisions and the methods of achieving these strategies and related financial results. Management evaluates the performance of its segments and allocates resources to them based on net operating income on a pre-tax basis.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experiences seasonal fluctuations of its revenue. Revenue is typically higher during the Company’s first and fourth quarters due primarily to the timing of broking-related activities.</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presents segment revenue and segment operating income for our reportable segments for the three months ended June 30, 2023 and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ind w:right="216"/>
              <w:spacing w:after="0"/>
              <w:rPr>
                <w:sz w:val="20"/>
                <w:szCs w:val="20"/>
                <w:color w:val="auto"/>
              </w:rPr>
            </w:pPr>
            <w:r>
              <w:rPr>
                <w:rFonts w:ascii="Arial" w:cs="Arial" w:eastAsia="Arial" w:hAnsi="Arial"/>
                <w:sz w:val="14"/>
                <w:szCs w:val="14"/>
                <w:b w:val="1"/>
                <w:bCs w:val="1"/>
                <w:color w:val="auto"/>
                <w:w w:val="92"/>
              </w:rPr>
              <w:t>Three Months Ended June 30,</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69"/>
        </w:trPr>
        <w:tc>
          <w:tcPr>
            <w:tcW w:w="3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HWC</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741"/>
              <w:spacing w:after="0"/>
              <w:rPr>
                <w:sz w:val="20"/>
                <w:szCs w:val="20"/>
                <w:color w:val="auto"/>
              </w:rPr>
            </w:pPr>
            <w:r>
              <w:rPr>
                <w:rFonts w:ascii="Arial" w:cs="Arial" w:eastAsia="Arial" w:hAnsi="Arial"/>
                <w:sz w:val="14"/>
                <w:szCs w:val="14"/>
                <w:b w:val="1"/>
                <w:bCs w:val="1"/>
                <w:color w:val="auto"/>
              </w:rPr>
              <w:t>R&amp;B</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w w:val="89"/>
              </w:rPr>
              <w:t>Total</w:t>
            </w:r>
          </w:p>
        </w:tc>
        <w:tc>
          <w:tcPr>
            <w:tcW w:w="920" w:type="dxa"/>
            <w:vAlign w:val="bottom"/>
            <w:tcBorders>
              <w:bottom w:val="single" w:sz="8" w:color="auto"/>
            </w:tcBorders>
          </w:tcPr>
          <w:p>
            <w:pPr>
              <w:spacing w:after="0"/>
              <w:rPr>
                <w:sz w:val="14"/>
                <w:szCs w:val="14"/>
                <w:color w:val="auto"/>
              </w:rPr>
            </w:pPr>
          </w:p>
        </w:tc>
      </w:tr>
      <w:tr>
        <w:trPr>
          <w:trHeight w:val="169"/>
        </w:trPr>
        <w:tc>
          <w:tcPr>
            <w:tcW w:w="3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r>
      <w:tr>
        <w:trPr>
          <w:trHeight w:val="270"/>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rPr>
              <w:t>1,215</w:t>
            </w:r>
          </w:p>
        </w:tc>
        <w:tc>
          <w:tcPr>
            <w:tcW w:w="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1,159</w:t>
            </w:r>
          </w:p>
        </w:tc>
        <w:tc>
          <w:tcPr>
            <w:tcW w:w="1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8"/>
                <w:szCs w:val="18"/>
                <w:color w:val="auto"/>
              </w:rPr>
              <w:t>900</w:t>
            </w:r>
          </w:p>
        </w:tc>
        <w:tc>
          <w:tcPr>
            <w:tcW w:w="14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852</w:t>
            </w:r>
          </w:p>
        </w:tc>
        <w:tc>
          <w:tcPr>
            <w:tcW w:w="1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140" w:type="dxa"/>
            <w:vAlign w:val="bottom"/>
            <w:tcBorders>
              <w:bottom w:val="single" w:sz="8" w:color="auto"/>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2,011</w:t>
            </w:r>
          </w:p>
        </w:tc>
      </w:tr>
      <w:tr>
        <w:trPr>
          <w:trHeight w:val="23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3"/>
          </w:tcPr>
          <w:p>
            <w:pPr>
              <w:spacing w:after="0"/>
              <w:rPr>
                <w:sz w:val="19"/>
                <w:szCs w:val="19"/>
                <w:color w:val="auto"/>
              </w:rPr>
            </w:pPr>
          </w:p>
        </w:tc>
        <w:tc>
          <w:tcPr>
            <w:tcW w:w="920" w:type="dxa"/>
            <w:vAlign w:val="bottom"/>
          </w:tcPr>
          <w:p>
            <w:pPr>
              <w:spacing w:after="0"/>
              <w:rPr>
                <w:sz w:val="19"/>
                <w:szCs w:val="19"/>
                <w:color w:val="auto"/>
              </w:rPr>
            </w:pPr>
          </w:p>
        </w:tc>
      </w:tr>
      <w:tr>
        <w:trPr>
          <w:trHeight w:val="277"/>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operating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rPr>
              <w:t>222</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217</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8"/>
                <w:szCs w:val="18"/>
                <w:color w:val="auto"/>
              </w:rPr>
              <w:t>145</w:t>
            </w:r>
          </w:p>
        </w:tc>
        <w:tc>
          <w:tcPr>
            <w:tcW w:w="1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168</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385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-359410</wp:posOffset>
            </wp:positionV>
            <wp:extent cx="3386455"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86455" cy="17970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-25400</wp:posOffset>
            </wp:positionV>
            <wp:extent cx="946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-7620</wp:posOffset>
            </wp:positionV>
            <wp:extent cx="946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-25400</wp:posOffset>
            </wp:positionV>
            <wp:extent cx="93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939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946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946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93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939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946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946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segment revenue and segment operating income for our reportable segments for the six months ended June 30, 2023 and 2022.</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256"/>
              <w:spacing w:after="0"/>
              <w:rPr>
                <w:sz w:val="20"/>
                <w:szCs w:val="20"/>
                <w:color w:val="auto"/>
              </w:rPr>
            </w:pPr>
            <w:r>
              <w:rPr>
                <w:rFonts w:ascii="Arial" w:cs="Arial" w:eastAsia="Arial" w:hAnsi="Arial"/>
                <w:sz w:val="14"/>
                <w:szCs w:val="14"/>
                <w:b w:val="1"/>
                <w:bCs w:val="1"/>
                <w:color w:val="auto"/>
                <w:w w:val="92"/>
              </w:rPr>
              <w:t>Six Months Ended June 30,</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69"/>
        </w:trPr>
        <w:tc>
          <w:tcPr>
            <w:tcW w:w="3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HWC</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701"/>
              <w:spacing w:after="0"/>
              <w:rPr>
                <w:sz w:val="20"/>
                <w:szCs w:val="20"/>
                <w:color w:val="auto"/>
              </w:rPr>
            </w:pPr>
            <w:r>
              <w:rPr>
                <w:rFonts w:ascii="Arial" w:cs="Arial" w:eastAsia="Arial" w:hAnsi="Arial"/>
                <w:sz w:val="14"/>
                <w:szCs w:val="14"/>
                <w:b w:val="1"/>
                <w:bCs w:val="1"/>
                <w:color w:val="auto"/>
              </w:rPr>
              <w:t>R&amp;B</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w w:val="89"/>
              </w:rPr>
              <w:t>Total</w:t>
            </w:r>
          </w:p>
        </w:tc>
        <w:tc>
          <w:tcPr>
            <w:tcW w:w="920" w:type="dxa"/>
            <w:vAlign w:val="bottom"/>
            <w:tcBorders>
              <w:bottom w:val="single" w:sz="8" w:color="auto"/>
            </w:tcBorders>
          </w:tcPr>
          <w:p>
            <w:pPr>
              <w:spacing w:after="0"/>
              <w:rPr>
                <w:sz w:val="14"/>
                <w:szCs w:val="14"/>
                <w:color w:val="auto"/>
              </w:rPr>
            </w:pPr>
          </w:p>
        </w:tc>
      </w:tr>
      <w:tr>
        <w:trPr>
          <w:trHeight w:val="169"/>
        </w:trPr>
        <w:tc>
          <w:tcPr>
            <w:tcW w:w="3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r>
      <w:tr>
        <w:trPr>
          <w:trHeight w:val="270"/>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rPr>
              <w:t>2,502</w:t>
            </w:r>
          </w:p>
        </w:tc>
        <w:tc>
          <w:tcPr>
            <w:tcW w:w="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2,403</w:t>
            </w: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8"/>
                <w:szCs w:val="18"/>
                <w:color w:val="auto"/>
              </w:rPr>
              <w:t>1,804</w:t>
            </w:r>
          </w:p>
        </w:tc>
        <w:tc>
          <w:tcPr>
            <w:tcW w:w="14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auto"/>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1,743</w:t>
            </w:r>
          </w:p>
        </w:tc>
        <w:tc>
          <w:tcPr>
            <w:tcW w:w="1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4,306</w:t>
            </w:r>
          </w:p>
        </w:tc>
        <w:tc>
          <w:tcPr>
            <w:tcW w:w="140" w:type="dxa"/>
            <w:vAlign w:val="bottom"/>
            <w:tcBorders>
              <w:bottom w:val="single" w:sz="8" w:color="auto"/>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4,146</w:t>
            </w:r>
          </w:p>
        </w:tc>
      </w:tr>
      <w:tr>
        <w:trPr>
          <w:trHeight w:val="23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3"/>
          </w:tcPr>
          <w:p>
            <w:pPr>
              <w:spacing w:after="0"/>
              <w:rPr>
                <w:sz w:val="19"/>
                <w:szCs w:val="19"/>
                <w:color w:val="auto"/>
              </w:rPr>
            </w:pPr>
          </w:p>
        </w:tc>
        <w:tc>
          <w:tcPr>
            <w:tcW w:w="920" w:type="dxa"/>
            <w:vAlign w:val="bottom"/>
          </w:tcPr>
          <w:p>
            <w:pPr>
              <w:spacing w:after="0"/>
              <w:rPr>
                <w:sz w:val="19"/>
                <w:szCs w:val="19"/>
                <w:color w:val="auto"/>
              </w:rPr>
            </w:pPr>
          </w:p>
        </w:tc>
      </w:tr>
      <w:tr>
        <w:trPr>
          <w:trHeight w:val="277"/>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operating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531</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474</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81"/>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360</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52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834</w:t>
            </w:r>
          </w:p>
        </w:tc>
      </w:tr>
      <w:tr>
        <w:trPr>
          <w:trHeight w:val="594"/>
        </w:trPr>
        <w:tc>
          <w:tcPr>
            <w:tcW w:w="36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255"/>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101"/>
        </w:trPr>
        <w:tc>
          <w:tcPr>
            <w:tcW w:w="36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-822325</wp:posOffset>
            </wp:positionV>
            <wp:extent cx="3386455"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86455" cy="17970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-487680</wp:posOffset>
            </wp:positionV>
            <wp:extent cx="946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-471170</wp:posOffset>
            </wp:positionV>
            <wp:extent cx="946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-487680</wp:posOffset>
            </wp:positionV>
            <wp:extent cx="939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-471170</wp:posOffset>
            </wp:positionV>
            <wp:extent cx="93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-487680</wp:posOffset>
            </wp:positionV>
            <wp:extent cx="946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-471170</wp:posOffset>
            </wp:positionV>
            <wp:extent cx="946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-487680</wp:posOffset>
            </wp:positionV>
            <wp:extent cx="939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-471170</wp:posOffset>
            </wp:positionV>
            <wp:extent cx="93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-487680</wp:posOffset>
            </wp:positionV>
            <wp:extent cx="946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-471170</wp:posOffset>
            </wp:positionV>
            <wp:extent cx="946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right="1140"/>
        <w:spacing w:after="0" w:line="277" w:lineRule="auto"/>
        <w:rPr>
          <w:sz w:val="20"/>
          <w:szCs w:val="20"/>
          <w:color w:val="auto"/>
        </w:rPr>
      </w:pPr>
      <w:r>
        <w:rPr>
          <w:rFonts w:ascii="Arial" w:cs="Arial" w:eastAsia="Arial" w:hAnsi="Arial"/>
          <w:sz w:val="18"/>
          <w:szCs w:val="18"/>
          <w:color w:val="auto"/>
        </w:rPr>
        <w:t>The following table presents reconciliations of the information reported by segment to the Company’s condensed consolidated statements of comprehensive income amounts reported for the three and six months ended June 30, 2023 and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16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r>
      <w:tr>
        <w:trPr>
          <w:trHeight w:val="185"/>
        </w:trPr>
        <w:tc>
          <w:tcPr>
            <w:tcW w:w="56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69"/>
        </w:trPr>
        <w:tc>
          <w:tcPr>
            <w:tcW w:w="56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471"/>
              <w:spacing w:after="0"/>
              <w:rPr>
                <w:sz w:val="20"/>
                <w:szCs w:val="20"/>
                <w:color w:val="auto"/>
              </w:rPr>
            </w:pPr>
            <w:r>
              <w:rPr>
                <w:rFonts w:ascii="Arial" w:cs="Arial" w:eastAsia="Arial" w:hAnsi="Arial"/>
                <w:sz w:val="14"/>
                <w:szCs w:val="14"/>
                <w:b w:val="1"/>
                <w:bCs w:val="1"/>
                <w:color w:val="auto"/>
                <w:w w:val="89"/>
              </w:rPr>
              <w:t>2022</w:t>
            </w:r>
          </w:p>
        </w:tc>
      </w:tr>
      <w:tr>
        <w:trPr>
          <w:trHeight w:val="237"/>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72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rPr>
              <w:t>Total segment revenue</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51"/>
              <w:spacing w:after="0"/>
              <w:rPr>
                <w:sz w:val="20"/>
                <w:szCs w:val="20"/>
                <w:color w:val="auto"/>
              </w:rPr>
            </w:pPr>
            <w:r>
              <w:rPr>
                <w:rFonts w:ascii="Arial" w:cs="Arial" w:eastAsia="Arial" w:hAnsi="Arial"/>
                <w:sz w:val="18"/>
                <w:szCs w:val="18"/>
                <w:color w:val="auto"/>
                <w:w w:val="88"/>
              </w:rPr>
              <w:t>2,115</w:t>
            </w:r>
          </w:p>
        </w:tc>
        <w:tc>
          <w:tcPr>
            <w:tcW w:w="88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2,011</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4,306</w:t>
            </w:r>
          </w:p>
        </w:tc>
        <w:tc>
          <w:tcPr>
            <w:tcW w:w="5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4,146</w:t>
            </w:r>
          </w:p>
        </w:tc>
      </w:tr>
      <w:tr>
        <w:trPr>
          <w:trHeight w:val="243"/>
        </w:trPr>
        <w:tc>
          <w:tcPr>
            <w:tcW w:w="5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Reimbursable expenses and other</w:t>
            </w:r>
          </w:p>
        </w:tc>
        <w:tc>
          <w:tcPr>
            <w:tcW w:w="7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97</w:t>
            </w:r>
          </w:p>
        </w:tc>
        <w:tc>
          <w:tcPr>
            <w:tcW w:w="1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45</w:t>
            </w: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Revenue</w:t>
            </w:r>
          </w:p>
        </w:tc>
        <w:tc>
          <w:tcPr>
            <w:tcW w:w="72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88"/>
              </w:rPr>
              <w:t>2,159</w:t>
            </w:r>
          </w:p>
        </w:tc>
        <w:tc>
          <w:tcPr>
            <w:tcW w:w="160" w:type="dxa"/>
            <w:vAlign w:val="bottom"/>
          </w:tcPr>
          <w:p>
            <w:pPr>
              <w:spacing w:after="0"/>
              <w:rPr>
                <w:sz w:val="20"/>
                <w:szCs w:val="20"/>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8"/>
              </w:rPr>
              <w:t>2,031</w:t>
            </w:r>
          </w:p>
        </w:tc>
        <w:tc>
          <w:tcPr>
            <w:tcW w:w="16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4,403</w:t>
            </w:r>
          </w:p>
        </w:tc>
        <w:tc>
          <w:tcPr>
            <w:tcW w:w="16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4,191</w:t>
            </w:r>
          </w:p>
        </w:tc>
      </w:tr>
      <w:tr>
        <w:trPr>
          <w:trHeight w:val="20"/>
        </w:trPr>
        <w:tc>
          <w:tcPr>
            <w:tcW w:w="5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56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rPr>
              <w:t>Total segment operating income</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367</w:t>
            </w:r>
          </w:p>
        </w:tc>
        <w:tc>
          <w:tcPr>
            <w:tcW w:w="88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385</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856</w:t>
            </w:r>
          </w:p>
        </w:tc>
        <w:tc>
          <w:tcPr>
            <w:tcW w:w="5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834</w:t>
            </w:r>
          </w:p>
        </w:tc>
      </w:tr>
      <w:tr>
        <w:trPr>
          <w:trHeight w:val="249"/>
        </w:trPr>
        <w:tc>
          <w:tcPr>
            <w:tcW w:w="5620" w:type="dxa"/>
            <w:vAlign w:val="bottom"/>
            <w:shd w:val="clear" w:color="auto" w:fill="CFF0FC"/>
          </w:tcPr>
          <w:p>
            <w:pPr>
              <w:ind w:left="200"/>
              <w:spacing w:after="0" w:line="249" w:lineRule="exact"/>
              <w:rPr>
                <w:sz w:val="20"/>
                <w:szCs w:val="20"/>
                <w:color w:val="auto"/>
              </w:rPr>
            </w:pPr>
            <w:r>
              <w:rPr>
                <w:rFonts w:ascii="Arial" w:cs="Arial" w:eastAsia="Arial" w:hAnsi="Arial"/>
                <w:sz w:val="18"/>
                <w:szCs w:val="18"/>
                <w:color w:val="auto"/>
              </w:rPr>
              <w:t xml:space="preserve">Impairment </w:t>
            </w:r>
            <w:r>
              <w:rPr>
                <w:rFonts w:ascii="Arial" w:cs="Arial" w:eastAsia="Arial" w:hAnsi="Arial"/>
                <w:sz w:val="24"/>
                <w:szCs w:val="24"/>
                <w:color w:val="auto"/>
                <w:vertAlign w:val="superscript"/>
              </w:rPr>
              <w:t>(i)</w:t>
            </w: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(81 )</w:t>
            </w: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7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(70 )</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(141 )</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(168 )</w:t>
            </w:r>
          </w:p>
        </w:tc>
      </w:tr>
      <w:tr>
        <w:trPr>
          <w:trHeight w:val="249"/>
        </w:trPr>
        <w:tc>
          <w:tcPr>
            <w:tcW w:w="5620" w:type="dxa"/>
            <w:vAlign w:val="bottom"/>
            <w:shd w:val="clear" w:color="auto" w:fill="CFF0FC"/>
          </w:tcPr>
          <w:p>
            <w:pPr>
              <w:ind w:left="200"/>
              <w:spacing w:after="0" w:line="249"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4"/>
                <w:szCs w:val="24"/>
                <w:color w:val="auto"/>
                <w:vertAlign w:val="superscript"/>
              </w:rPr>
              <w:t>(ii)</w:t>
            </w: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(62 )</w:t>
            </w:r>
          </w:p>
        </w:tc>
      </w:tr>
      <w:tr>
        <w:trPr>
          <w:trHeight w:val="243"/>
        </w:trPr>
        <w:tc>
          <w:tcPr>
            <w:tcW w:w="5620" w:type="dxa"/>
            <w:vAlign w:val="bottom"/>
          </w:tcPr>
          <w:p>
            <w:pPr>
              <w:ind w:left="200"/>
              <w:spacing w:after="0" w:line="243" w:lineRule="exact"/>
              <w:rPr>
                <w:sz w:val="20"/>
                <w:szCs w:val="20"/>
                <w:color w:val="auto"/>
              </w:rPr>
            </w:pPr>
            <w:r>
              <w:rPr>
                <w:rFonts w:ascii="Arial" w:cs="Arial" w:eastAsia="Arial" w:hAnsi="Arial"/>
                <w:sz w:val="18"/>
                <w:szCs w:val="18"/>
                <w:color w:val="auto"/>
              </w:rPr>
              <w:t xml:space="preserve">Transaction and transformation </w:t>
            </w:r>
            <w:r>
              <w:rPr>
                <w:rFonts w:ascii="Arial" w:cs="Arial" w:eastAsia="Arial" w:hAnsi="Arial"/>
                <w:sz w:val="24"/>
                <w:szCs w:val="24"/>
                <w:color w:val="auto"/>
                <w:vertAlign w:val="superscript"/>
              </w:rPr>
              <w:t>(iii)</w:t>
            </w:r>
          </w:p>
        </w:tc>
        <w:tc>
          <w:tcPr>
            <w:tcW w:w="7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(93 )</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(38 )</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(152 )</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43"/>
        </w:trPr>
        <w:tc>
          <w:tcPr>
            <w:tcW w:w="5620" w:type="dxa"/>
            <w:vAlign w:val="bottom"/>
            <w:tcBorders>
              <w:bottom w:val="single" w:sz="8" w:color="CFF0FC"/>
            </w:tcBorders>
            <w:shd w:val="clear" w:color="auto" w:fill="CFF0FC"/>
          </w:tcPr>
          <w:p>
            <w:pPr>
              <w:ind w:left="200"/>
              <w:spacing w:after="0" w:line="243" w:lineRule="exact"/>
              <w:rPr>
                <w:sz w:val="20"/>
                <w:szCs w:val="20"/>
                <w:color w:val="auto"/>
              </w:rPr>
            </w:pPr>
            <w:r>
              <w:rPr>
                <w:rFonts w:ascii="Arial" w:cs="Arial" w:eastAsia="Arial" w:hAnsi="Arial"/>
                <w:sz w:val="18"/>
                <w:szCs w:val="18"/>
                <w:color w:val="auto"/>
              </w:rPr>
              <w:t xml:space="preserve">Unallocated, net </w:t>
            </w:r>
            <w:r>
              <w:rPr>
                <w:rFonts w:ascii="Arial" w:cs="Arial" w:eastAsia="Arial" w:hAnsi="Arial"/>
                <w:sz w:val="24"/>
                <w:szCs w:val="24"/>
                <w:color w:val="auto"/>
                <w:vertAlign w:val="superscript"/>
              </w:rPr>
              <w:t>(iv)</w:t>
            </w:r>
          </w:p>
        </w:tc>
        <w:tc>
          <w:tcPr>
            <w:tcW w:w="7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(52 )</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(71 )</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(123 )</w:t>
            </w:r>
          </w:p>
        </w:tc>
        <w:tc>
          <w:tcPr>
            <w:tcW w:w="1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(149 )</w:t>
            </w: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Income from operations</w:t>
            </w:r>
          </w:p>
        </w:tc>
        <w:tc>
          <w:tcPr>
            <w:tcW w:w="72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316</w:t>
            </w:r>
          </w:p>
        </w:tc>
      </w:tr>
      <w:tr>
        <w:trPr>
          <w:trHeight w:val="249"/>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(57 )</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(111 )</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7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120</w:t>
            </w:r>
          </w:p>
        </w:tc>
      </w:tr>
      <w:tr>
        <w:trPr>
          <w:trHeight w:val="276"/>
        </w:trPr>
        <w:tc>
          <w:tcPr>
            <w:tcW w:w="5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from continuing operations before income taxes</w:t>
            </w: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120</w:t>
            </w:r>
          </w:p>
        </w:tc>
        <w:tc>
          <w:tcPr>
            <w:tcW w:w="1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179</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376</w:t>
            </w:r>
          </w:p>
        </w:tc>
        <w:tc>
          <w:tcPr>
            <w:tcW w:w="1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-1928495</wp:posOffset>
            </wp:positionV>
            <wp:extent cx="111125"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-1928495</wp:posOffset>
            </wp:positionV>
            <wp:extent cx="10287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-1928495</wp:posOffset>
            </wp:positionV>
            <wp:extent cx="10287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-659130</wp:posOffset>
            </wp:positionV>
            <wp:extent cx="111125"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-659130</wp:posOffset>
            </wp:positionV>
            <wp:extent cx="102870"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-659130</wp:posOffset>
            </wp:positionV>
            <wp:extent cx="102870" cy="162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1111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1111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1028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102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1028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1028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7"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the impairment related to the net assets of our Russian business that are held outside of our Russian entities (see Note 3 — Acquisitions and Divestitures for further information).</w:t>
      </w:r>
    </w:p>
    <w:p>
      <w:pPr>
        <w:spacing w:after="0" w:line="39" w:lineRule="exact"/>
        <w:rPr>
          <w:rFonts w:ascii="Arial" w:cs="Arial" w:eastAsia="Arial" w:hAnsi="Arial"/>
          <w:sz w:val="13"/>
          <w:szCs w:val="13"/>
          <w:color w:val="auto"/>
        </w:rPr>
      </w:pPr>
    </w:p>
    <w:p>
      <w:pPr>
        <w:ind w:left="280" w:hanging="272"/>
        <w:spacing w:after="0"/>
        <w:tabs>
          <w:tab w:leader="none" w:pos="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See Note 6 — Restructuring Costs for the composition of costs for 2023 and 2022.</w:t>
      </w:r>
    </w:p>
    <w:p>
      <w:pPr>
        <w:spacing w:after="0" w:line="21" w:lineRule="exact"/>
        <w:rPr>
          <w:rFonts w:ascii="Arial" w:cs="Arial" w:eastAsia="Arial" w:hAnsi="Arial"/>
          <w:sz w:val="14"/>
          <w:szCs w:val="14"/>
          <w:color w:val="auto"/>
        </w:rPr>
      </w:pPr>
    </w:p>
    <w:p>
      <w:pPr>
        <w:ind w:left="280" w:right="440" w:hanging="272"/>
        <w:spacing w:after="0" w:line="242" w:lineRule="auto"/>
        <w:tabs>
          <w:tab w:leader="none" w:pos="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2023 and 2022, in addition to legal fees and other transaction costs, includes primarily consulting fees and compensation costs related to the Transformation program (see Note 6 — Restructuring Costs).</w:t>
      </w:r>
    </w:p>
    <w:p>
      <w:pPr>
        <w:spacing w:after="0" w:line="6" w:lineRule="exact"/>
        <w:rPr>
          <w:rFonts w:ascii="Arial" w:cs="Arial" w:eastAsia="Arial" w:hAnsi="Arial"/>
          <w:sz w:val="14"/>
          <w:szCs w:val="14"/>
          <w:color w:val="auto"/>
        </w:rPr>
      </w:pPr>
    </w:p>
    <w:p>
      <w:pPr>
        <w:ind w:left="280" w:right="80" w:hanging="272"/>
        <w:spacing w:after="0" w:line="253" w:lineRule="auto"/>
        <w:tabs>
          <w:tab w:leader="none" w:pos="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currently provide asset information by reportable segment as it does not routinely evaluate the total asset position by segment.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Restructuring Costs</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the fourth quarter of 2021, the Company initiated a three-year ‘Transformation program’ designed to enhance operations, optimize technology and align its real estate footprint to its new ways of working. During the second quarter of 2023, we revised the expected costs and savings under the program and we now expect the program to generate annual cost savings in excess of $380 million by the end of 2024. The program is expected to incur cumulative costs of approximately $630 million and capital expenditures of approximately $270 million, for a total investment of $900 million. The main categories of charges will be in the following four areas:</w:t>
      </w:r>
    </w:p>
    <w:p>
      <w:pPr>
        <w:spacing w:after="0" w:line="80" w:lineRule="exact"/>
        <w:rPr>
          <w:sz w:val="20"/>
          <w:szCs w:val="20"/>
          <w:color w:val="auto"/>
        </w:rPr>
      </w:pPr>
    </w:p>
    <w:p>
      <w:pPr>
        <w:ind w:left="760" w:right="300" w:hanging="378"/>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Real estate rationalization — includes costs to align the real estate footprint to the new ways of working (hybrid work) and includes breakage fees and the impairment of right-of-use (‘ROU’) assets and other related leasehold assets.</w:t>
      </w:r>
    </w:p>
    <w:p>
      <w:pPr>
        <w:spacing w:after="0" w:line="62" w:lineRule="exact"/>
        <w:rPr>
          <w:rFonts w:ascii="Arial" w:cs="Arial" w:eastAsia="Arial" w:hAnsi="Arial"/>
          <w:sz w:val="18"/>
          <w:szCs w:val="18"/>
          <w:color w:val="auto"/>
        </w:rPr>
      </w:pPr>
    </w:p>
    <w:p>
      <w:pPr>
        <w:ind w:left="760" w:right="40" w:hanging="378"/>
        <w:spacing w:after="0" w:line="263"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Technology modernization — these charges are incurred in moving to common platforms and technologies, including migrating certain platforms and applications to the cloud. This category will include the impairment of technology assets that are duplicative or no longer revenue-producing, as well as costs for technology investments that do not qualify for capitalization.</w:t>
      </w:r>
    </w:p>
    <w:p>
      <w:pPr>
        <w:spacing w:after="0" w:line="75" w:lineRule="exact"/>
        <w:rPr>
          <w:rFonts w:ascii="Arial" w:cs="Arial" w:eastAsia="Arial" w:hAnsi="Arial"/>
          <w:sz w:val="18"/>
          <w:szCs w:val="18"/>
          <w:color w:val="auto"/>
        </w:rPr>
      </w:pPr>
    </w:p>
    <w:p>
      <w:pPr>
        <w:ind w:left="760" w:right="20" w:hanging="378"/>
        <w:spacing w:after="0" w:line="263"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Process optimization — these costs will be incurred in the right-shoring strategy and automation of our operations, which will include optimizing resource deployment and appropriate colleague alignment. These costs will include process and organizational design costs, severance and separation-related costs and temporary retention costs.</w:t>
      </w:r>
    </w:p>
    <w:p>
      <w:pPr>
        <w:spacing w:after="0" w:line="75" w:lineRule="exact"/>
        <w:rPr>
          <w:rFonts w:ascii="Arial" w:cs="Arial" w:eastAsia="Arial" w:hAnsi="Arial"/>
          <w:sz w:val="18"/>
          <w:szCs w:val="18"/>
          <w:color w:val="auto"/>
        </w:rPr>
      </w:pPr>
    </w:p>
    <w:p>
      <w:pPr>
        <w:ind w:left="760" w:right="220" w:hanging="378"/>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 other costs not included above including fees for professional services, other contract terminations not related to the above categories and supplier migration costs.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Certain costs under the Transformation program are accounted for under ASC 420, </w:t>
      </w:r>
      <w:r>
        <w:rPr>
          <w:rFonts w:ascii="Arial" w:cs="Arial" w:eastAsia="Arial" w:hAnsi="Arial"/>
          <w:sz w:val="18"/>
          <w:szCs w:val="18"/>
          <w:i w:val="1"/>
          <w:iCs w:val="1"/>
          <w:color w:val="auto"/>
        </w:rPr>
        <w:t>Exit or Disposal Cost Obligation,</w:t>
      </w:r>
      <w:r>
        <w:rPr>
          <w:rFonts w:ascii="Arial" w:cs="Arial" w:eastAsia="Arial" w:hAnsi="Arial"/>
          <w:sz w:val="18"/>
          <w:szCs w:val="18"/>
          <w:color w:val="auto"/>
        </w:rPr>
        <w:t xml:space="preserve"> and are included as restructuring costs in the condensed consolidated statements of comprehensive income. Other costs incurred under the Transformation program are included in transaction and transformation and were $82 million and $127 million during the three and six months ended June 30, 2023, respectively, and $26 million and $31 million during the three and six months ended June 30, 2022,</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right="100"/>
        <w:spacing w:after="0" w:line="277" w:lineRule="auto"/>
        <w:rPr>
          <w:sz w:val="20"/>
          <w:szCs w:val="20"/>
          <w:color w:val="auto"/>
        </w:rPr>
      </w:pPr>
      <w:r>
        <w:rPr>
          <w:rFonts w:ascii="Arial" w:cs="Arial" w:eastAsia="Arial" w:hAnsi="Arial"/>
          <w:sz w:val="18"/>
          <w:szCs w:val="18"/>
          <w:color w:val="auto"/>
        </w:rPr>
        <w:t>respectively. An analysis of total restructuring costs incurred under the Transformation program by category and by segment and corporate functions, from commencement to June 30, 2023,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HWC</w:t>
            </w:r>
          </w:p>
        </w:tc>
        <w:tc>
          <w:tcPr>
            <w:tcW w:w="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R&amp;B</w:t>
            </w: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Total</w:t>
            </w: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2021</w:t>
            </w:r>
          </w:p>
        </w:tc>
        <w:tc>
          <w:tcPr>
            <w:tcW w:w="8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Real estate rationalization</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19</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19</w:t>
            </w: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Technology modernization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Process optimization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w:t>
            </w:r>
          </w:p>
        </w:tc>
      </w:tr>
      <w:tr>
        <w:trPr>
          <w:trHeight w:val="239"/>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7"/>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Real estate rationalization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79</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Technology modernization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19</w:t>
            </w: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Process optimization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4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2023</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Real estate rationalization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12</w:t>
            </w: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Technology modernization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Process optimization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39"/>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7"/>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Real estate rationalization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110</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Technology modernization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25</w:t>
            </w: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Process optimization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w:t>
            </w:r>
          </w:p>
        </w:tc>
      </w:tr>
      <w:tr>
        <w:trPr>
          <w:trHeight w:val="276"/>
        </w:trPr>
        <w:tc>
          <w:tcPr>
            <w:tcW w:w="56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129</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1028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1028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1028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1028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1028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1028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 rollforward of the liability associated with cash-based charges related to restructuring costs associated with the Transformation program is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232"/>
              <w:spacing w:after="0"/>
              <w:rPr>
                <w:sz w:val="20"/>
                <w:szCs w:val="20"/>
                <w:color w:val="auto"/>
              </w:rPr>
            </w:pPr>
            <w:r>
              <w:rPr>
                <w:rFonts w:ascii="Arial" w:cs="Arial" w:eastAsia="Arial" w:hAnsi="Arial"/>
                <w:sz w:val="14"/>
                <w:szCs w:val="14"/>
                <w:b w:val="1"/>
                <w:bCs w:val="1"/>
                <w:color w:val="auto"/>
                <w:w w:val="91"/>
              </w:rPr>
              <w:t>Real estate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ind w:left="120"/>
              <w:spacing w:after="0"/>
              <w:rPr>
                <w:sz w:val="20"/>
                <w:szCs w:val="20"/>
                <w:color w:val="auto"/>
              </w:rPr>
            </w:pPr>
            <w:r>
              <w:rPr>
                <w:rFonts w:ascii="Arial" w:cs="Arial" w:eastAsia="Arial" w:hAnsi="Arial"/>
                <w:sz w:val="14"/>
                <w:szCs w:val="14"/>
                <w:b w:val="1"/>
                <w:bCs w:val="1"/>
                <w:color w:val="auto"/>
              </w:rPr>
              <w:t>Technology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w w:val="95"/>
              </w:rPr>
              <w:t>Process</w:t>
            </w:r>
          </w:p>
        </w:tc>
        <w:tc>
          <w:tcPr>
            <w:tcW w:w="14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rationalization</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modernization</w:t>
            </w:r>
          </w:p>
        </w:tc>
        <w:tc>
          <w:tcPr>
            <w:tcW w:w="160" w:type="dxa"/>
            <w:vAlign w:val="bottom"/>
          </w:tcPr>
          <w:p>
            <w:pPr>
              <w:spacing w:after="0"/>
              <w:rPr>
                <w:sz w:val="16"/>
                <w:szCs w:val="16"/>
                <w:color w:val="auto"/>
              </w:rPr>
            </w:pPr>
          </w:p>
        </w:tc>
        <w:tc>
          <w:tcPr>
            <w:tcW w:w="11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optimization</w:t>
            </w:r>
          </w:p>
        </w:tc>
        <w:tc>
          <w:tcPr>
            <w:tcW w:w="14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October 1, 2021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Charges incurred</w:t>
            </w: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6"/>
        </w:trPr>
        <w:tc>
          <w:tcPr>
            <w:tcW w:w="462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Charges incurred</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4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Charges incurred</w:t>
            </w: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6"/>
        </w:trPr>
        <w:tc>
          <w:tcPr>
            <w:tcW w:w="462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-1130935</wp:posOffset>
            </wp:positionV>
            <wp:extent cx="85725"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-1130935</wp:posOffset>
            </wp:positionV>
            <wp:extent cx="94615" cy="163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4615" cy="16319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-1130935</wp:posOffset>
            </wp:positionV>
            <wp:extent cx="85725" cy="1631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-1130935</wp:posOffset>
            </wp:positionV>
            <wp:extent cx="93980"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-187960</wp:posOffset>
            </wp:positionV>
            <wp:extent cx="85725"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-187960</wp:posOffset>
            </wp:positionV>
            <wp:extent cx="94615"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-187960</wp:posOffset>
            </wp:positionV>
            <wp:extent cx="85725"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-187960</wp:posOffset>
            </wp:positionV>
            <wp:extent cx="9398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17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Provision for income taxes for the three and six months ended June 30, 2023 was $24 million and $74 million, respectively, compared to $19 million and $62 million for the three and six months ended June 30, 2022, respectively. The effective tax rates were 19.8% and 19.6% for the three and six months ended June 30, 2023, respectively, and 10.5% and 18.4% for the three and six months ended June 30, 2022, respectively. These effective tax rates are calculated using extended values from our condensed consolidated statements of comprehensive income and are therefore more precise tax rates than can be calculated from rounded values. The prior-year quarter effective tax rate was lower due to certain discrete tax benefits primarily related to return-to-provision true ups.</w:t>
      </w:r>
    </w:p>
    <w:p>
      <w:pPr>
        <w:spacing w:after="0" w:line="13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Company recognizes deferred tax balances related to the undistributed earnings of subsidiaries when it expects that it will recover those undistributed earnings in a taxable manner, such as through receipt of dividends or sale of the investments. Historically, the Company has not provided taxes on cumulative earnings of its subsidiaries that have been reinvested indefinitely. As a result of its plans to restructure or distribute accumulated earnings of certain foreign operations, the Company has recorded an estimate of non-U.S. withholding and state income taxes. However, the Company asserts that the historical cumulative earnings of its other subsidiaries are reinvested indefinitely and therefore does not provide deferred tax liabilities on these amounts.</w:t>
      </w:r>
    </w:p>
    <w:p>
      <w:pPr>
        <w:spacing w:after="0" w:line="1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Company records valuation allowances against net deferred tax assets based on whether it is more likely than not that the deferred tax assets will be realized. We have liabilities for uncertain tax positions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of $39 million, excluding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right="120"/>
        <w:spacing w:after="0" w:line="277" w:lineRule="auto"/>
        <w:rPr>
          <w:sz w:val="20"/>
          <w:szCs w:val="20"/>
          <w:color w:val="auto"/>
        </w:rPr>
      </w:pPr>
      <w:r>
        <w:rPr>
          <w:rFonts w:ascii="Arial" w:cs="Arial" w:eastAsia="Arial" w:hAnsi="Arial"/>
          <w:sz w:val="18"/>
          <w:szCs w:val="18"/>
          <w:color w:val="auto"/>
        </w:rPr>
        <w:t>interest and penalties. The Company believes the outcomes that are reasonably possible within the next 12 months may result in a reduction in the liability for uncertain tax positions of approximately $1 million to $2 million, excluding interest and penalties.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goodwill are outlined below for the six months ended June 30,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HWC</w:t>
            </w: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R&amp;B</w:t>
            </w: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37"/>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Goodwill, gross</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7,870</w:t>
            </w:r>
          </w:p>
        </w:tc>
        <w:tc>
          <w:tcPr>
            <w:tcW w:w="104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2,795</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10,665</w:t>
            </w:r>
          </w:p>
        </w:tc>
      </w:tr>
      <w:tr>
        <w:trPr>
          <w:trHeight w:val="243"/>
        </w:trPr>
        <w:tc>
          <w:tcPr>
            <w:tcW w:w="6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Accumulated impairment losses</w:t>
            </w:r>
          </w:p>
        </w:tc>
        <w:tc>
          <w:tcPr>
            <w:tcW w:w="8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(130 )</w:t>
            </w:r>
          </w:p>
        </w:tc>
        <w:tc>
          <w:tcPr>
            <w:tcW w:w="18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(362 )</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(492 )</w:t>
            </w:r>
          </w:p>
        </w:tc>
      </w:tr>
      <w:tr>
        <w:trPr>
          <w:trHeight w:val="236"/>
        </w:trPr>
        <w:tc>
          <w:tcPr>
            <w:tcW w:w="6460" w:type="dxa"/>
            <w:vAlign w:val="bottom"/>
          </w:tcPr>
          <w:p>
            <w:pPr>
              <w:ind w:left="20"/>
              <w:spacing w:after="0"/>
              <w:rPr>
                <w:sz w:val="20"/>
                <w:szCs w:val="20"/>
                <w:color w:val="auto"/>
              </w:rPr>
            </w:pPr>
            <w:r>
              <w:rPr>
                <w:rFonts w:ascii="Arial" w:cs="Arial" w:eastAsia="Arial" w:hAnsi="Arial"/>
                <w:sz w:val="18"/>
                <w:szCs w:val="18"/>
                <w:color w:val="auto"/>
              </w:rPr>
              <w:t>Goodwill, net - December 31, 2022</w:t>
            </w:r>
          </w:p>
        </w:tc>
        <w:tc>
          <w:tcPr>
            <w:tcW w:w="88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3"/>
              </w:rPr>
              <w:t>7,740</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2,433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10,173</w:t>
            </w:r>
          </w:p>
        </w:tc>
      </w:tr>
      <w:tr>
        <w:trPr>
          <w:trHeight w:val="243"/>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exchange</w:t>
            </w:r>
          </w:p>
        </w:tc>
        <w:tc>
          <w:tcPr>
            <w:tcW w:w="8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29</w:t>
            </w:r>
          </w:p>
        </w:tc>
      </w:tr>
      <w:tr>
        <w:trPr>
          <w:trHeight w:val="236"/>
        </w:trPr>
        <w:tc>
          <w:tcPr>
            <w:tcW w:w="646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 gross</w:t>
            </w:r>
          </w:p>
        </w:tc>
        <w:tc>
          <w:tcPr>
            <w:tcW w:w="88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3"/>
              </w:rPr>
              <w:t>7,883</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7"/>
              </w:rPr>
              <w:t>2,811</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10,694</w:t>
            </w: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Accumulated impairment losses</w:t>
            </w:r>
          </w:p>
        </w:tc>
        <w:tc>
          <w:tcPr>
            <w:tcW w:w="8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(362 )</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(492 )</w:t>
            </w:r>
          </w:p>
        </w:tc>
      </w:tr>
      <w:tr>
        <w:trPr>
          <w:trHeight w:val="276"/>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 net - June 30, 2023</w:t>
            </w: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3"/>
              </w:rPr>
              <w:t>7,753</w:t>
            </w:r>
          </w:p>
        </w:tc>
        <w:tc>
          <w:tcPr>
            <w:tcW w:w="1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7"/>
              </w:rPr>
              <w:t>2,449</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10,202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-976630</wp:posOffset>
            </wp:positionV>
            <wp:extent cx="120015" cy="163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-976630</wp:posOffset>
            </wp:positionV>
            <wp:extent cx="120015" cy="163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-659765</wp:posOffset>
            </wp:positionV>
            <wp:extent cx="120015"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-659765</wp:posOffset>
            </wp:positionV>
            <wp:extent cx="120015"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1200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1200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1200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1200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changes in the net carrying amounts of the components of finite-lived intangible assets for the six months ended June 30,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393"/>
              <w:spacing w:after="0"/>
              <w:rPr>
                <w:sz w:val="20"/>
                <w:szCs w:val="20"/>
                <w:color w:val="auto"/>
              </w:rPr>
            </w:pPr>
            <w:r>
              <w:rPr>
                <w:rFonts w:ascii="Arial" w:cs="Arial" w:eastAsia="Arial" w:hAnsi="Arial"/>
                <w:sz w:val="14"/>
                <w:szCs w:val="14"/>
                <w:b w:val="1"/>
                <w:bCs w:val="1"/>
                <w:color w:val="auto"/>
              </w:rPr>
              <w:t>Client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Software</w:t>
            </w:r>
          </w:p>
        </w:tc>
        <w:tc>
          <w:tcPr>
            <w:tcW w:w="3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Trademark and</w:t>
            </w:r>
          </w:p>
        </w:tc>
        <w:tc>
          <w:tcPr>
            <w:tcW w:w="3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89"/>
              </w:rPr>
              <w:t>relationships</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3"/>
              </w:rPr>
              <w:t>trade name</w:t>
            </w:r>
          </w:p>
        </w:tc>
        <w:tc>
          <w:tcPr>
            <w:tcW w:w="3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00"/>
              <w:spacing w:after="0"/>
              <w:rPr>
                <w:sz w:val="20"/>
                <w:szCs w:val="20"/>
                <w:color w:val="auto"/>
              </w:rPr>
            </w:pPr>
            <w:r>
              <w:rPr>
                <w:rFonts w:ascii="Arial" w:cs="Arial" w:eastAsia="Arial" w:hAnsi="Arial"/>
                <w:sz w:val="18"/>
                <w:szCs w:val="18"/>
                <w:color w:val="auto"/>
              </w:rPr>
              <w:t>Intangible assets, gross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3,760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725</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1,038</w:t>
            </w:r>
          </w:p>
        </w:tc>
        <w:tc>
          <w:tcPr>
            <w:tcW w:w="106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98</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Accumulated amortization</w:t>
            </w: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(2,282 )</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(712 )</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(298 )</w:t>
            </w:r>
          </w:p>
        </w:tc>
        <w:tc>
          <w:tcPr>
            <w:tcW w:w="3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(56 )</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(3,348 )</w:t>
            </w:r>
          </w:p>
        </w:tc>
        <w:tc>
          <w:tcPr>
            <w:tcW w:w="0" w:type="dxa"/>
            <w:vAlign w:val="bottom"/>
          </w:tcPr>
          <w:p>
            <w:pPr>
              <w:spacing w:after="0"/>
              <w:rPr>
                <w:sz w:val="1"/>
                <w:szCs w:val="1"/>
                <w:color w:val="auto"/>
              </w:rPr>
            </w:pPr>
          </w:p>
        </w:tc>
      </w:tr>
      <w:tr>
        <w:trPr>
          <w:trHeight w:val="236"/>
        </w:trPr>
        <w:tc>
          <w:tcPr>
            <w:tcW w:w="4120" w:type="dxa"/>
            <w:vAlign w:val="bottom"/>
          </w:tcPr>
          <w:p>
            <w:pPr>
              <w:ind w:left="20"/>
              <w:spacing w:after="0"/>
              <w:rPr>
                <w:sz w:val="20"/>
                <w:szCs w:val="20"/>
                <w:color w:val="auto"/>
              </w:rPr>
            </w:pPr>
            <w:r>
              <w:rPr>
                <w:rFonts w:ascii="Arial" w:cs="Arial" w:eastAsia="Arial" w:hAnsi="Arial"/>
                <w:sz w:val="18"/>
                <w:szCs w:val="18"/>
                <w:color w:val="auto"/>
              </w:rPr>
              <w:t>Intangible assets, net - December 31, 2022</w:t>
            </w:r>
          </w:p>
        </w:tc>
        <w:tc>
          <w:tcPr>
            <w:tcW w:w="120" w:type="dxa"/>
            <w:vAlign w:val="bottom"/>
          </w:tcPr>
          <w:p>
            <w:pPr>
              <w:spacing w:after="0"/>
              <w:rPr>
                <w:sz w:val="20"/>
                <w:szCs w:val="20"/>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1,478</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740</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49"/>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acquired</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(107 )</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(9 )</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(21 )</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(4 )</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Intangible assets, gross</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3,798</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727</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1,039</w:t>
            </w: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5,663</w:t>
            </w:r>
          </w:p>
        </w:tc>
        <w:tc>
          <w:tcPr>
            <w:tcW w:w="0" w:type="dxa"/>
            <w:vAlign w:val="bottom"/>
          </w:tcPr>
          <w:p>
            <w:pPr>
              <w:spacing w:after="0"/>
              <w:rPr>
                <w:sz w:val="1"/>
                <w:szCs w:val="1"/>
                <w:color w:val="auto"/>
              </w:rPr>
            </w:pPr>
          </w:p>
        </w:tc>
      </w:tr>
      <w:tr>
        <w:trPr>
          <w:trHeight w:val="237"/>
        </w:trPr>
        <w:tc>
          <w:tcPr>
            <w:tcW w:w="4120" w:type="dxa"/>
            <w:vAlign w:val="bottom"/>
          </w:tcPr>
          <w:p>
            <w:pPr>
              <w:ind w:left="200"/>
              <w:spacing w:after="0"/>
              <w:rPr>
                <w:sz w:val="20"/>
                <w:szCs w:val="20"/>
                <w:color w:val="auto"/>
              </w:rPr>
            </w:pPr>
            <w:r>
              <w:rPr>
                <w:rFonts w:ascii="Arial" w:cs="Arial" w:eastAsia="Arial" w:hAnsi="Arial"/>
                <w:sz w:val="18"/>
                <w:szCs w:val="18"/>
                <w:color w:val="auto"/>
              </w:rPr>
              <w:t>Accumulated amortization</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(2,413 )</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(723 )</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(320 )</w:t>
            </w:r>
          </w:p>
        </w:tc>
        <w:tc>
          <w:tcPr>
            <w:tcW w:w="3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(61 )</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(3,517 )</w:t>
            </w:r>
          </w:p>
        </w:tc>
        <w:tc>
          <w:tcPr>
            <w:tcW w:w="0" w:type="dxa"/>
            <w:vAlign w:val="bottom"/>
          </w:tcPr>
          <w:p>
            <w:pPr>
              <w:spacing w:after="0"/>
              <w:rPr>
                <w:sz w:val="1"/>
                <w:szCs w:val="1"/>
                <w:color w:val="auto"/>
              </w:rPr>
            </w:pPr>
          </w:p>
        </w:tc>
      </w:tr>
      <w:tr>
        <w:trPr>
          <w:trHeight w:val="277"/>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Intangible assets, net - June 30, 2023</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1,385</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719</w:t>
            </w:r>
          </w:p>
        </w:tc>
        <w:tc>
          <w:tcPr>
            <w:tcW w:w="3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-1285240</wp:posOffset>
            </wp:positionV>
            <wp:extent cx="196850" cy="1631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6850" cy="1631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-1285240</wp:posOffset>
            </wp:positionV>
            <wp:extent cx="196850"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96850" cy="16319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-1285240</wp:posOffset>
            </wp:positionV>
            <wp:extent cx="197485"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7485"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-1285240</wp:posOffset>
            </wp:positionV>
            <wp:extent cx="196850"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6850" cy="1631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-659765</wp:posOffset>
            </wp:positionV>
            <wp:extent cx="196850"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6850" cy="1631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-659765</wp:posOffset>
            </wp:positionV>
            <wp:extent cx="196850" cy="163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6850" cy="16319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-659765</wp:posOffset>
            </wp:positionV>
            <wp:extent cx="197485"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7485" cy="1631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-659765</wp:posOffset>
            </wp:positionV>
            <wp:extent cx="196850" cy="1631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96850" cy="1631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-24765</wp:posOffset>
            </wp:positionV>
            <wp:extent cx="1968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1968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1968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1968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19748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19748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1968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968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remaining life of amortizable intangible assets at June 30, 2023 was 12.0 years.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reflects the future estimated amortization expense for amortizable intangible assets for the remainder of 2023 and for subsequent years: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Amortization</w:t>
            </w:r>
          </w:p>
        </w:tc>
      </w:tr>
      <w:tr>
        <w:trPr>
          <w:trHeight w:val="237"/>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124</w:t>
            </w: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20"/>
                <w:szCs w:val="20"/>
                <w:color w:val="auto"/>
              </w:rPr>
            </w:pPr>
          </w:p>
        </w:tc>
        <w:tc>
          <w:tcPr>
            <w:tcW w:w="1740" w:type="dxa"/>
            <w:vAlign w:val="bottom"/>
          </w:tcPr>
          <w:p>
            <w:pPr>
              <w:jc w:val="right"/>
              <w:ind w:right="72"/>
              <w:spacing w:after="0"/>
              <w:rPr>
                <w:sz w:val="20"/>
                <w:szCs w:val="20"/>
                <w:color w:val="auto"/>
              </w:rPr>
            </w:pPr>
            <w:r>
              <w:rPr>
                <w:rFonts w:ascii="Arial" w:cs="Arial" w:eastAsia="Arial" w:hAnsi="Arial"/>
                <w:sz w:val="18"/>
                <w:szCs w:val="18"/>
                <w:color w:val="auto"/>
              </w:rPr>
              <w:t>233</w:t>
            </w: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210</w:t>
            </w: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20"/>
                <w:szCs w:val="20"/>
                <w:color w:val="auto"/>
              </w:rPr>
            </w:pPr>
          </w:p>
        </w:tc>
        <w:tc>
          <w:tcPr>
            <w:tcW w:w="1740" w:type="dxa"/>
            <w:vAlign w:val="bottom"/>
          </w:tcPr>
          <w:p>
            <w:pPr>
              <w:jc w:val="right"/>
              <w:ind w:right="72"/>
              <w:spacing w:after="0"/>
              <w:rPr>
                <w:sz w:val="20"/>
                <w:szCs w:val="20"/>
                <w:color w:val="auto"/>
              </w:rPr>
            </w:pPr>
            <w:r>
              <w:rPr>
                <w:rFonts w:ascii="Arial" w:cs="Arial" w:eastAsia="Arial" w:hAnsi="Arial"/>
                <w:sz w:val="18"/>
                <w:szCs w:val="18"/>
                <w:color w:val="auto"/>
              </w:rPr>
              <w:t>203</w:t>
            </w: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199</w:t>
            </w: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1,177</w:t>
            </w:r>
          </w:p>
        </w:tc>
      </w:tr>
      <w:tr>
        <w:trPr>
          <w:trHeight w:val="276"/>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2,146</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Financial Instruments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11 — Fair Value Measurements and Note 17 — Accumulated Other Comprehensive Loss.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Foreign Currency Risk</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non-U.S. subsidiaries receive revenue and incur expenses in currencies other than their functional currency, and as a result, the foreign subsidiary’s 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condensed consolidated balance sheets. To reduce such variability, we use foreign exchange contracts to hedge against this currency risk.</w:t>
      </w:r>
    </w:p>
    <w:p>
      <w:pPr>
        <w:spacing w:after="0" w:line="13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These derivatives were designated as hedging instruments and at June 30, 2023 and December 31, 2022 had total notional amounts of $107 million and $134 million, respectively, and had a net fair value asset of $2 million and a net fair value liability of $3 million, respectively.</w:t>
      </w:r>
    </w:p>
    <w:p>
      <w:pPr>
        <w:spacing w:after="0" w:line="9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At June 30, 2023, the Company estimates, based on current exchange rates, there will be less than $1 million of net derivative gains on forward exchange rates reclassified from accumulated other comprehensive loss into earnings within the next twelve months as the forecast transactions affect earnings. At June 30, 2023, our longest outstanding maturity was 1.7 years.</w:t>
      </w:r>
    </w:p>
    <w:p>
      <w:pPr>
        <w:spacing w:after="0" w:line="13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effects of the material derivative instruments that are designated as hedging instruments on the condensed consolidated statements of comprehensive income for the three and six months ended June 30, 2023 and 2022 are below. Amounts pertaining to the ineffective portion of hedging instruments and those excluded from effectiveness testing were immaterial for the three and six months ended June 30, 2023 and 2022.</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4"/>
                <w:szCs w:val="14"/>
                <w:b w:val="1"/>
                <w:bCs w:val="1"/>
                <w:color w:val="auto"/>
                <w:w w:val="91"/>
              </w:rPr>
              <w:t>Gain/(loss) recognized in OCI (effective element)</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69"/>
        </w:trPr>
        <w:tc>
          <w:tcPr>
            <w:tcW w:w="4360" w:type="dxa"/>
            <w:vAlign w:val="bottom"/>
          </w:tcPr>
          <w:p>
            <w:pPr>
              <w:spacing w:after="0"/>
              <w:rPr>
                <w:sz w:val="14"/>
                <w:szCs w:val="14"/>
                <w:color w:val="auto"/>
              </w:rPr>
            </w:pPr>
          </w:p>
        </w:tc>
        <w:tc>
          <w:tcPr>
            <w:tcW w:w="3320" w:type="dxa"/>
            <w:vAlign w:val="bottom"/>
            <w:tcBorders>
              <w:bottom w:val="single" w:sz="8" w:color="auto"/>
            </w:tcBorders>
            <w:gridSpan w:val="5"/>
          </w:tcPr>
          <w:p>
            <w:pPr>
              <w:jc w:val="right"/>
              <w:ind w:right="745"/>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right"/>
              <w:ind w:right="844"/>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360" w:type="dxa"/>
            <w:vAlign w:val="bottom"/>
          </w:tcPr>
          <w:p>
            <w:pPr>
              <w:spacing w:after="0"/>
              <w:rPr>
                <w:sz w:val="14"/>
                <w:szCs w:val="14"/>
                <w:color w:val="auto"/>
              </w:rPr>
            </w:pPr>
          </w:p>
        </w:tc>
        <w:tc>
          <w:tcPr>
            <w:tcW w:w="108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0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2022</w:t>
            </w:r>
          </w:p>
        </w:tc>
      </w:tr>
      <w:tr>
        <w:trPr>
          <w:trHeight w:val="217"/>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Forward exchange contracts</w:t>
            </w:r>
          </w:p>
        </w:tc>
        <w:tc>
          <w:tcPr>
            <w:tcW w:w="1080" w:type="dxa"/>
            <w:vAlign w:val="bottom"/>
            <w:tcBorders>
              <w:bottom w:val="single" w:sz="8" w:color="auto"/>
            </w:tcBorders>
            <w:shd w:val="clear" w:color="auto" w:fill="CFF0FC"/>
          </w:tcPr>
          <w:p>
            <w:pPr>
              <w:jc w:val="right"/>
              <w:ind w:right="905"/>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(5 )</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-7620</wp:posOffset>
            </wp:positionV>
            <wp:extent cx="1454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1460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1543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p>
      <w:pPr>
        <w:spacing w:after="0" w:line="166" w:lineRule="exact"/>
        <w:rPr>
          <w:sz w:val="20"/>
          <w:szCs w:val="20"/>
          <w:color w:val="auto"/>
        </w:rPr>
      </w:pPr>
    </w:p>
    <w:p>
      <w:pPr>
        <w:ind w:left="20"/>
        <w:spacing w:after="0" w:line="258" w:lineRule="auto"/>
        <w:rPr>
          <w:sz w:val="20"/>
          <w:szCs w:val="20"/>
          <w:color w:val="auto"/>
        </w:rPr>
      </w:pPr>
      <w:r>
        <w:rPr>
          <w:rFonts w:ascii="Arial" w:cs="Arial" w:eastAsia="Arial" w:hAnsi="Arial"/>
          <w:sz w:val="14"/>
          <w:szCs w:val="14"/>
          <w:b w:val="1"/>
          <w:bCs w:val="1"/>
          <w:color w:val="auto"/>
        </w:rPr>
        <w:t>Location of gain/(loss) reclassified from Accumulated OCL into income (effective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2318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Gain/(loss) reclassified from Accumulated OCL into income (effective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wp:posOffset>
            </wp:positionV>
            <wp:extent cx="43637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63720" cy="8255"/>
                    </a:xfrm>
                    <a:prstGeom prst="rect">
                      <a:avLst/>
                    </a:prstGeom>
                    <a:noFill/>
                  </pic:spPr>
                </pic:pic>
              </a:graphicData>
            </a:graphic>
          </wp:anchor>
        </w:drawing>
      </w:r>
    </w:p>
    <w:p>
      <w:pPr>
        <w:spacing w:after="0" w:line="145" w:lineRule="exact"/>
        <w:rPr>
          <w:sz w:val="20"/>
          <w:szCs w:val="20"/>
          <w:color w:val="auto"/>
        </w:rPr>
      </w:pPr>
    </w:p>
    <w:p>
      <w:pPr>
        <w:sectPr>
          <w:pgSz w:w="11900" w:h="16838" w:orient="portrait"/>
          <w:cols w:equalWidth="0" w:num="2">
            <w:col w:w="3900" w:space="480"/>
            <w:col w:w="6860"/>
          </w:cols>
          <w:pgMar w:left="320" w:top="503" w:right="3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44"/>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4360" w:type="dxa"/>
            <w:vAlign w:val="bottom"/>
          </w:tcPr>
          <w:p>
            <w:pPr>
              <w:spacing w:after="0"/>
              <w:rPr>
                <w:sz w:val="22"/>
                <w:szCs w:val="22"/>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2022</w:t>
            </w:r>
          </w:p>
        </w:tc>
      </w:tr>
      <w:tr>
        <w:trPr>
          <w:trHeight w:val="263"/>
        </w:trPr>
        <w:tc>
          <w:tcPr>
            <w:tcW w:w="4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1040" w:type="dxa"/>
            <w:vAlign w:val="bottom"/>
            <w:shd w:val="clear" w:color="auto" w:fill="CFF0FC"/>
          </w:tcPr>
          <w:p>
            <w:pPr>
              <w:jc w:val="right"/>
              <w:ind w:right="86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864"/>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c>
          <w:tcPr>
            <w:tcW w:w="56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FF0FC"/>
          </w:tcPr>
          <w:p>
            <w:pPr>
              <w:jc w:val="right"/>
              <w:ind w:right="164"/>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w:t>
            </w:r>
          </w:p>
        </w:tc>
      </w:tr>
      <w:tr>
        <w:trPr>
          <w:trHeight w:val="267"/>
        </w:trPr>
        <w:tc>
          <w:tcPr>
            <w:tcW w:w="4360" w:type="dxa"/>
            <w:vAlign w:val="bottom"/>
          </w:tcPr>
          <w:p>
            <w:pPr>
              <w:ind w:left="20"/>
              <w:spacing w:after="0"/>
              <w:rPr>
                <w:sz w:val="20"/>
                <w:szCs w:val="20"/>
                <w:color w:val="auto"/>
              </w:rPr>
            </w:pPr>
            <w:r>
              <w:rPr>
                <w:rFonts w:ascii="Arial" w:cs="Arial" w:eastAsia="Arial" w:hAnsi="Arial"/>
                <w:sz w:val="16"/>
                <w:szCs w:val="16"/>
                <w:color w:val="auto"/>
              </w:rPr>
              <w:t>Salaries and benefits</w:t>
            </w:r>
          </w:p>
        </w:tc>
        <w:tc>
          <w:tcPr>
            <w:tcW w:w="10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2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2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r>
      <w:tr>
        <w:trPr>
          <w:trHeight w:val="300"/>
        </w:trPr>
        <w:tc>
          <w:tcPr>
            <w:tcW w:w="43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6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6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(1 )</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-24765</wp:posOffset>
            </wp:positionV>
            <wp:extent cx="1454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-8255</wp:posOffset>
            </wp:positionV>
            <wp:extent cx="1454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1460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14605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543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15430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June 30, 2023 and December 31, 2022, we had notional amounts of $1.6 billion and $1.7 billion, respectively. At June 30, 2023 and December 31, 2022, we had a net fair value liability of $2 million and a net fair value asset of $24 million, respectively. Such derivatives typically mature within three months.</w:t>
      </w:r>
    </w:p>
    <w:p>
      <w:pPr>
        <w:spacing w:after="0" w:line="13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effects of derivatives that have not been designated as hedging instruments on the condensed consolidated statements of comprehensive income for the three and six months ended June 30, 2023 and 2022 are as follows (see Note 16 — Other Income, Net for the net foreign currency impact on the Company’s condensed consolidated statements of comprehensive income which includes the results of the offset of underlying exposures):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Gain(loss) recognized in income</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20" w:type="dxa"/>
            <w:vAlign w:val="bottom"/>
            <w:gridSpan w:val="7"/>
          </w:tcPr>
          <w:p>
            <w:pPr>
              <w:jc w:val="right"/>
              <w:ind w:right="980"/>
              <w:spacing w:after="0" w:line="133" w:lineRule="exact"/>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1"/>
                <w:szCs w:val="11"/>
                <w:color w:val="auto"/>
              </w:rPr>
            </w:pPr>
          </w:p>
        </w:tc>
        <w:tc>
          <w:tcPr>
            <w:tcW w:w="1940" w:type="dxa"/>
            <w:vAlign w:val="bottom"/>
            <w:gridSpan w:val="6"/>
          </w:tcPr>
          <w:p>
            <w:pPr>
              <w:jc w:val="right"/>
              <w:ind w:right="698"/>
              <w:spacing w:after="0" w:line="133" w:lineRule="exact"/>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60" w:type="dxa"/>
            <w:vAlign w:val="bottom"/>
          </w:tcPr>
          <w:p>
            <w:pPr>
              <w:spacing w:after="0"/>
              <w:rPr>
                <w:sz w:val="11"/>
                <w:szCs w:val="11"/>
                <w:color w:val="auto"/>
              </w:rPr>
            </w:pPr>
          </w:p>
        </w:tc>
        <w:tc>
          <w:tcPr>
            <w:tcW w:w="1780" w:type="dxa"/>
            <w:vAlign w:val="bottom"/>
          </w:tcPr>
          <w:p>
            <w:pPr>
              <w:jc w:val="center"/>
              <w:ind w:left="305"/>
              <w:spacing w:after="0" w:line="133" w:lineRule="exact"/>
              <w:rPr>
                <w:sz w:val="20"/>
                <w:szCs w:val="20"/>
                <w:color w:val="auto"/>
              </w:rPr>
            </w:pPr>
            <w:r>
              <w:rPr>
                <w:rFonts w:ascii="Arial" w:cs="Arial" w:eastAsia="Arial" w:hAnsi="Arial"/>
                <w:sz w:val="14"/>
                <w:szCs w:val="14"/>
                <w:b w:val="1"/>
                <w:bCs w:val="1"/>
                <w:color w:val="auto"/>
                <w:w w:val="91"/>
              </w:rPr>
              <w:t>Location of gain/(loss)</w:t>
            </w:r>
          </w:p>
        </w:tc>
        <w:tc>
          <w:tcPr>
            <w:tcW w:w="38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jc w:val="right"/>
              <w:ind w:right="64"/>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5"/>
        </w:trPr>
        <w:tc>
          <w:tcPr>
            <w:tcW w:w="35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Borders>
              <w:bottom w:val="single" w:sz="8" w:color="auto"/>
            </w:tcBorders>
          </w:tcPr>
          <w:p>
            <w:pPr>
              <w:jc w:val="center"/>
              <w:ind w:left="325"/>
              <w:spacing w:after="0"/>
              <w:rPr>
                <w:sz w:val="20"/>
                <w:szCs w:val="20"/>
                <w:color w:val="auto"/>
              </w:rPr>
            </w:pPr>
            <w:r>
              <w:rPr>
                <w:rFonts w:ascii="Arial" w:cs="Arial" w:eastAsia="Arial" w:hAnsi="Arial"/>
                <w:sz w:val="14"/>
                <w:szCs w:val="14"/>
                <w:b w:val="1"/>
                <w:bCs w:val="1"/>
                <w:color w:val="auto"/>
                <w:w w:val="90"/>
              </w:rPr>
              <w:t>recognized in income</w:t>
            </w:r>
          </w:p>
        </w:tc>
        <w:tc>
          <w:tcPr>
            <w:tcW w:w="38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Forward exchange contracts</w:t>
            </w:r>
          </w:p>
        </w:tc>
        <w:tc>
          <w:tcPr>
            <w:tcW w:w="160" w:type="dxa"/>
            <w:vAlign w:val="bottom"/>
            <w:shd w:val="clear" w:color="auto" w:fill="CFF0FC"/>
          </w:tcPr>
          <w:p>
            <w:pPr>
              <w:spacing w:after="0"/>
              <w:rPr>
                <w:sz w:val="22"/>
                <w:szCs w:val="22"/>
                <w:color w:val="auto"/>
              </w:rPr>
            </w:pPr>
          </w:p>
        </w:tc>
        <w:tc>
          <w:tcPr>
            <w:tcW w:w="1780" w:type="dxa"/>
            <w:vAlign w:val="bottom"/>
            <w:shd w:val="clear" w:color="auto" w:fill="CFF0FC"/>
          </w:tcPr>
          <w:p>
            <w:pPr>
              <w:jc w:val="center"/>
              <w:ind w:left="305"/>
              <w:spacing w:after="0"/>
              <w:rPr>
                <w:sz w:val="20"/>
                <w:szCs w:val="20"/>
                <w:color w:val="auto"/>
              </w:rPr>
            </w:pPr>
            <w:r>
              <w:rPr>
                <w:rFonts w:ascii="Arial" w:cs="Arial" w:eastAsia="Arial" w:hAnsi="Arial"/>
                <w:sz w:val="16"/>
                <w:szCs w:val="16"/>
                <w:color w:val="auto"/>
                <w:w w:val="91"/>
              </w:rPr>
              <w:t>Other income, net</w:t>
            </w:r>
          </w:p>
        </w:tc>
        <w:tc>
          <w:tcPr>
            <w:tcW w:w="1340" w:type="dxa"/>
            <w:vAlign w:val="bottom"/>
            <w:gridSpan w:val="3"/>
            <w:shd w:val="clear" w:color="auto" w:fill="CFF0FC"/>
          </w:tcPr>
          <w:p>
            <w:pPr>
              <w:jc w:val="right"/>
              <w:ind w:right="628"/>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ind w:left="160"/>
              <w:spacing w:after="0"/>
              <w:rPr>
                <w:sz w:val="20"/>
                <w:szCs w:val="20"/>
                <w:color w:val="auto"/>
              </w:rPr>
            </w:pPr>
            <w:r>
              <w:rPr>
                <w:rFonts w:ascii="Arial" w:cs="Arial" w:eastAsia="Arial" w:hAnsi="Arial"/>
                <w:sz w:val="16"/>
                <w:szCs w:val="16"/>
                <w:color w:val="auto"/>
              </w:rPr>
              <w:t>8</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(20 )   $</w:t>
            </w:r>
          </w:p>
        </w:tc>
        <w:tc>
          <w:tcPr>
            <w:tcW w:w="44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345"/>
        </w:trPr>
        <w:tc>
          <w:tcPr>
            <w:tcW w:w="356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Note 10 — Debt</w:t>
            </w:r>
          </w:p>
        </w:tc>
        <w:tc>
          <w:tcPr>
            <w:tcW w:w="160" w:type="dxa"/>
            <w:vAlign w:val="bottom"/>
            <w:tcBorders>
              <w:top w:val="single" w:sz="8" w:color="CFF0FC"/>
            </w:tcBorders>
          </w:tcPr>
          <w:p>
            <w:pPr>
              <w:spacing w:after="0"/>
              <w:rPr>
                <w:sz w:val="24"/>
                <w:szCs w:val="24"/>
                <w:color w:val="auto"/>
              </w:rPr>
            </w:pPr>
          </w:p>
        </w:tc>
        <w:tc>
          <w:tcPr>
            <w:tcW w:w="178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60" w:type="dxa"/>
            <w:vAlign w:val="bottom"/>
          </w:tcPr>
          <w:p>
            <w:pPr>
              <w:spacing w:after="0"/>
              <w:rPr>
                <w:sz w:val="20"/>
                <w:szCs w:val="20"/>
                <w:color w:val="auto"/>
              </w:rPr>
            </w:pPr>
            <w:r>
              <w:rPr>
                <w:rFonts w:ascii="Arial" w:cs="Arial" w:eastAsia="Arial" w:hAnsi="Arial"/>
                <w:sz w:val="18"/>
                <w:szCs w:val="18"/>
                <w:color w:val="auto"/>
              </w:rPr>
              <w:t>Current debt consists of the following:</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center"/>
              <w:ind w:left="202"/>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4"/>
          </w:tcPr>
          <w:p>
            <w:pPr>
              <w:jc w:val="right"/>
              <w:ind w:right="43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8"/>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6"/>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4.625% senior notes due 2023</w:t>
            </w:r>
          </w:p>
        </w:tc>
        <w:tc>
          <w:tcPr>
            <w:tcW w:w="16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93"/>
              </w:rPr>
              <w:t>250</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color w:val="auto"/>
              </w:rPr>
              <w:t>3.600% senior notes due 2024</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3"/>
              </w:rPr>
              <w:t>649</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5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7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w w:val="93"/>
              </w:rPr>
              <w:t>899</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ind w:right="78"/>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594"/>
        </w:trPr>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jc w:val="right"/>
              <w:ind w:right="75"/>
              <w:spacing w:after="0"/>
              <w:rPr>
                <w:sz w:val="20"/>
                <w:szCs w:val="20"/>
                <w:color w:val="auto"/>
              </w:rPr>
            </w:pPr>
            <w:r>
              <w:rPr>
                <w:rFonts w:ascii="Arial" w:cs="Arial" w:eastAsia="Arial" w:hAnsi="Arial"/>
                <w:sz w:val="18"/>
                <w:szCs w:val="18"/>
                <w:color w:val="auto"/>
                <w:w w:val="99"/>
              </w:rPr>
              <w:t>21</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5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-1782445</wp:posOffset>
            </wp:positionV>
            <wp:extent cx="939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-1765300</wp:posOffset>
            </wp:positionV>
            <wp:extent cx="939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-1782445</wp:posOffset>
            </wp:positionV>
            <wp:extent cx="946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-1765300</wp:posOffset>
            </wp:positionV>
            <wp:extent cx="946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-1782445</wp:posOffset>
            </wp:positionV>
            <wp:extent cx="1028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-1765300</wp:posOffset>
            </wp:positionV>
            <wp:extent cx="1028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-488315</wp:posOffset>
            </wp:positionV>
            <wp:extent cx="1371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-471170</wp:posOffset>
            </wp:positionV>
            <wp:extent cx="137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color w:val="auto"/>
        </w:rPr>
        <w:t>Long-term debt consists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43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00" w:type="dxa"/>
            <w:vAlign w:val="bottom"/>
          </w:tcPr>
          <w:p>
            <w:pPr>
              <w:spacing w:after="0"/>
              <w:rPr>
                <w:sz w:val="16"/>
                <w:szCs w:val="16"/>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2022</w:t>
            </w: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$1.5 billion credit facility</w:t>
            </w:r>
          </w:p>
        </w:tc>
        <w:tc>
          <w:tcPr>
            <w:tcW w:w="108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3.600% senior notes due 2024</w:t>
            </w:r>
          </w:p>
        </w:tc>
        <w:tc>
          <w:tcPr>
            <w:tcW w:w="108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649</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4.400% senior notes due 2026</w:t>
            </w:r>
          </w:p>
        </w:tc>
        <w:tc>
          <w:tcPr>
            <w:tcW w:w="108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547</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4.650% senior notes due 2027</w:t>
            </w:r>
          </w:p>
        </w:tc>
        <w:tc>
          <w:tcPr>
            <w:tcW w:w="108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744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744</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4.500% senior notes due 2028</w:t>
            </w:r>
          </w:p>
        </w:tc>
        <w:tc>
          <w:tcPr>
            <w:tcW w:w="108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597</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2.950% senior notes due 2029</w:t>
            </w:r>
          </w:p>
        </w:tc>
        <w:tc>
          <w:tcPr>
            <w:tcW w:w="108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726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726</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5.350% senior notes due 2033</w:t>
            </w:r>
          </w:p>
        </w:tc>
        <w:tc>
          <w:tcPr>
            <w:tcW w:w="108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742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6.125% senior notes due 2043</w:t>
            </w:r>
          </w:p>
        </w:tc>
        <w:tc>
          <w:tcPr>
            <w:tcW w:w="1080" w:type="dxa"/>
            <w:vAlign w:val="bottom"/>
          </w:tcPr>
          <w:p>
            <w:pPr>
              <w:spacing w:after="0"/>
              <w:rPr>
                <w:sz w:val="20"/>
                <w:szCs w:val="20"/>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271</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5.050% senior notes due 2048</w:t>
            </w:r>
          </w:p>
        </w:tc>
        <w:tc>
          <w:tcPr>
            <w:tcW w:w="108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395</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3.875% senior notes due 2049</w:t>
            </w:r>
          </w:p>
        </w:tc>
        <w:tc>
          <w:tcPr>
            <w:tcW w:w="10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542</w:t>
            </w:r>
          </w:p>
        </w:tc>
      </w:tr>
      <w:tr>
        <w:trPr>
          <w:trHeight w:val="276"/>
        </w:trPr>
        <w:tc>
          <w:tcPr>
            <w:tcW w:w="76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4,565</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4,471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1371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137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May 17, 2023, the Company, together with its wholly-owned subsidiary, Willis North America Inc. as issuer, completed an offering of $750 million aggregate principal amount of 5.350% senior notes due 2033 (‘2033 senior notes’). The effective interest rate of the 2033 senior notes is 5.47%, which includes the impact of the discount upon issuance. The 2033 senior notes will mature on May 15, 2033. Interest on the 2033 senior notes accrues from May 17, 2023 and will be paid in cash on May 15 and November 15 of each year, commencing on November 15, 2023. The net proceeds from this offering, after deducting the underwriting discount and estimated offering expenses, were approximately $742 million and will be used to fully repay the $250 million aggregate principal amount of the 4.625% senior notes, which will mature during the third quarter of 2023, and related accrued interest, and for general corporate purposes.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7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On June 29, 2023, Trinity Acquisition plc amended its revolving credit facility to replace the use of London Interbank Offered Rate (‘LIBOR’) with the Secured Overnight Financing Rate (‘SOFR’) in connection with its base-rate borrowings. This amendment was done in connection with the cessation of LIBOR and all other terms remain the same.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and December 31, 2022, we were in compliance with all financial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62" w:lineRule="exact"/>
        <w:rPr>
          <w:sz w:val="20"/>
          <w:szCs w:val="20"/>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refers to fair values determined based on quoted market prices in active markets for identical assets;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Level 2: refers to fair values estimated using observable market-based inputs or unobservable inputs that are corroborated by market data; and</w:t>
      </w:r>
    </w:p>
    <w:p>
      <w:pPr>
        <w:spacing w:after="0" w:line="140" w:lineRule="exact"/>
        <w:rPr>
          <w:rFonts w:ascii="Arial" w:cs="Arial" w:eastAsia="Arial" w:hAnsi="Arial"/>
          <w:sz w:val="16"/>
          <w:szCs w:val="16"/>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includes fair values estimated using unobservable inputs that are not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 for financial instruments:</w:t>
      </w:r>
    </w:p>
    <w:p>
      <w:pPr>
        <w:spacing w:after="0" w:line="117" w:lineRule="exact"/>
        <w:rPr>
          <w:sz w:val="20"/>
          <w:szCs w:val="20"/>
          <w:color w:val="auto"/>
        </w:rPr>
      </w:pPr>
    </w:p>
    <w:p>
      <w:pPr>
        <w:ind w:left="760" w:right="12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Mutual funds and exchange-traded funds are classified as Level 1 because we use quoted market prices in active markets in determining the fair value of these securities.</w:t>
      </w:r>
    </w:p>
    <w:p>
      <w:pPr>
        <w:spacing w:after="0" w:line="62" w:lineRule="exact"/>
        <w:rPr>
          <w:rFonts w:ascii="Arial" w:cs="Arial" w:eastAsia="Arial" w:hAnsi="Arial"/>
          <w:sz w:val="18"/>
          <w:szCs w:val="18"/>
          <w:color w:val="auto"/>
        </w:rPr>
      </w:pPr>
    </w:p>
    <w:p>
      <w:pPr>
        <w:ind w:left="760" w:right="56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Commingled funds are not leveled within the fair value hierarchy as the funds are valued at the net value of shares held as reported by the manager of the funds. These funds are not exchange-traded.</w:t>
      </w:r>
    </w:p>
    <w:p>
      <w:pPr>
        <w:spacing w:after="0" w:line="62" w:lineRule="exact"/>
        <w:rPr>
          <w:rFonts w:ascii="Arial" w:cs="Arial" w:eastAsia="Arial" w:hAnsi="Arial"/>
          <w:sz w:val="18"/>
          <w:szCs w:val="18"/>
          <w:color w:val="auto"/>
        </w:rPr>
      </w:pPr>
    </w:p>
    <w:p>
      <w:pPr>
        <w:ind w:left="760" w:right="300" w:hanging="378"/>
        <w:spacing w:after="0" w:line="263"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Hedge funds are not leveled within the fair value hierarchy as the fair values for these investments are estimated based on the net asset values derived from the latest audited financial statements or most recent capital account statements provided by the funds’ investment manager or third-party administrator, as a practical expedient.</w:t>
      </w:r>
    </w:p>
    <w:p>
      <w:pPr>
        <w:spacing w:after="0" w:line="75" w:lineRule="exact"/>
        <w:rPr>
          <w:rFonts w:ascii="Arial" w:cs="Arial" w:eastAsia="Arial" w:hAnsi="Arial"/>
          <w:sz w:val="18"/>
          <w:szCs w:val="18"/>
          <w:color w:val="auto"/>
        </w:rPr>
      </w:pPr>
    </w:p>
    <w:p>
      <w:pPr>
        <w:ind w:left="760" w:right="60" w:hanging="378"/>
        <w:spacing w:after="0" w:line="263"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values for our derivative instruments have been used to determine the fair values of forward foreign exchange contracts based on estimated amounts the Company would receive or have to pay to terminate the agreements, taking into account observable information about the current foreign currency forward rates. Such financial instruments are classified as Level 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2" w:name="page23"/>
    <w:bookmarkEnd w:id="22"/>
    <w:p>
      <w:pPr>
        <w:ind w:left="760" w:right="40" w:hanging="378"/>
        <w:spacing w:after="0" w:line="259"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assets and liabilities measured at fair value on a recurring basis at June 30, 2023 and December 31, 2022:</w:t>
      </w:r>
    </w:p>
    <w:p>
      <w:pPr>
        <w:spacing w:after="0" w:line="200" w:lineRule="exact"/>
        <w:rPr>
          <w:sz w:val="20"/>
          <w:szCs w:val="20"/>
          <w:color w:val="auto"/>
        </w:rPr>
      </w:pPr>
    </w:p>
    <w:p>
      <w:pPr>
        <w:jc w:val="center"/>
        <w:ind w:left="6700"/>
        <w:spacing w:after="0"/>
        <w:rPr>
          <w:sz w:val="20"/>
          <w:szCs w:val="20"/>
          <w:color w:val="auto"/>
        </w:rPr>
      </w:pPr>
      <w:r>
        <w:rPr>
          <w:rFonts w:ascii="Arial" w:cs="Arial" w:eastAsia="Arial" w:hAnsi="Arial"/>
          <w:sz w:val="13"/>
          <w:szCs w:val="13"/>
          <w:b w:val="1"/>
          <w:bCs w:val="1"/>
          <w:color w:val="auto"/>
        </w:rPr>
        <w:t>Fair Value Measurements on a Recurring Basis at</w:t>
      </w:r>
    </w:p>
    <w:p>
      <w:pPr>
        <w:spacing w:after="0" w:line="13" w:lineRule="exact"/>
        <w:rPr>
          <w:sz w:val="20"/>
          <w:szCs w:val="20"/>
          <w:color w:val="auto"/>
        </w:rPr>
      </w:pPr>
    </w:p>
    <w:p>
      <w:pPr>
        <w:jc w:val="center"/>
        <w:ind w:left="6700"/>
        <w:spacing w:after="0"/>
        <w:rPr>
          <w:sz w:val="20"/>
          <w:szCs w:val="20"/>
          <w:color w:val="auto"/>
        </w:rPr>
      </w:pPr>
      <w:r>
        <w:rPr>
          <w:rFonts w:ascii="Arial" w:cs="Arial" w:eastAsia="Arial" w:hAnsi="Arial"/>
          <w:sz w:val="13"/>
          <w:szCs w:val="13"/>
          <w:b w:val="1"/>
          <w:bCs w:val="1"/>
          <w:color w:val="auto"/>
        </w:rPr>
        <w:t>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6985</wp:posOffset>
            </wp:positionV>
            <wp:extent cx="27946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6" w:lineRule="exact"/>
        <w:rPr>
          <w:sz w:val="20"/>
          <w:szCs w:val="20"/>
          <w:color w:val="auto"/>
        </w:rPr>
      </w:pPr>
    </w:p>
    <w:p>
      <w:pPr>
        <w:ind w:left="4380"/>
        <w:spacing w:after="0"/>
        <w:tabs>
          <w:tab w:leader="none" w:pos="7040" w:val="left"/>
          <w:tab w:leader="none" w:pos="8180" w:val="left"/>
          <w:tab w:leader="none" w:pos="9320" w:val="left"/>
          <w:tab w:leader="none" w:pos="10500" w:val="left"/>
        </w:tabs>
        <w:rPr>
          <w:sz w:val="20"/>
          <w:szCs w:val="20"/>
          <w:color w:val="auto"/>
        </w:rPr>
      </w:pPr>
      <w:r>
        <w:rPr>
          <w:rFonts w:ascii="Arial" w:cs="Arial" w:eastAsia="Arial" w:hAnsi="Arial"/>
          <w:sz w:val="13"/>
          <w:szCs w:val="13"/>
          <w:b w:val="1"/>
          <w:bCs w:val="1"/>
          <w:color w:val="auto"/>
        </w:rPr>
        <w:t>Balance Sheet Location</w:t>
      </w:r>
      <w:r>
        <w:rPr>
          <w:sz w:val="20"/>
          <w:szCs w:val="20"/>
          <w:color w:val="auto"/>
        </w:rPr>
        <w:tab/>
      </w:r>
      <w:r>
        <w:rPr>
          <w:rFonts w:ascii="Arial" w:cs="Arial" w:eastAsia="Arial" w:hAnsi="Arial"/>
          <w:sz w:val="13"/>
          <w:szCs w:val="13"/>
          <w:b w:val="1"/>
          <w:bCs w:val="1"/>
          <w:color w:val="auto"/>
        </w:rPr>
        <w:t>Level 1</w:t>
      </w:r>
      <w:r>
        <w:rPr>
          <w:sz w:val="20"/>
          <w:szCs w:val="20"/>
          <w:color w:val="auto"/>
        </w:rPr>
        <w:tab/>
      </w:r>
      <w:r>
        <w:rPr>
          <w:rFonts w:ascii="Arial" w:cs="Arial" w:eastAsia="Arial" w:hAnsi="Arial"/>
          <w:sz w:val="13"/>
          <w:szCs w:val="13"/>
          <w:b w:val="1"/>
          <w:bCs w:val="1"/>
          <w:color w:val="auto"/>
        </w:rPr>
        <w:t>Level 2</w:t>
      </w:r>
      <w:r>
        <w:rPr>
          <w:sz w:val="20"/>
          <w:szCs w:val="20"/>
          <w:color w:val="auto"/>
        </w:rPr>
        <w:tab/>
      </w:r>
      <w:r>
        <w:rPr>
          <w:rFonts w:ascii="Arial" w:cs="Arial" w:eastAsia="Arial" w:hAnsi="Arial"/>
          <w:sz w:val="13"/>
          <w:szCs w:val="13"/>
          <w:b w:val="1"/>
          <w:bCs w:val="1"/>
          <w:color w:val="auto"/>
        </w:rPr>
        <w:t>Level 3</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15875</wp:posOffset>
            </wp:positionV>
            <wp:extent cx="49637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63795" cy="825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Available-for-sale securities:</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Mutual funds / exchange-traded funds </w:t>
      </w:r>
      <w:r>
        <w:rPr>
          <w:rFonts w:ascii="Arial" w:cs="Arial" w:eastAsia="Arial" w:hAnsi="Arial"/>
          <w:sz w:val="18"/>
          <w:szCs w:val="18"/>
          <w:color w:val="auto"/>
          <w:vertAlign w:val="superscript"/>
        </w:rPr>
        <w:t>(i)</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Commingled funds </w:t>
      </w:r>
      <w:r>
        <w:rPr>
          <w:rFonts w:ascii="Arial" w:cs="Arial" w:eastAsia="Arial" w:hAnsi="Arial"/>
          <w:sz w:val="21"/>
          <w:szCs w:val="21"/>
          <w:color w:val="auto"/>
          <w:vertAlign w:val="superscript"/>
        </w:rPr>
        <w:t>(i) (ii)</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Hedge funds </w:t>
      </w:r>
      <w:r>
        <w:rPr>
          <w:rFonts w:ascii="Arial" w:cs="Arial" w:eastAsia="Arial" w:hAnsi="Arial"/>
          <w:sz w:val="21"/>
          <w:szCs w:val="21"/>
          <w:color w:val="auto"/>
          <w:vertAlign w:val="superscript"/>
        </w:rPr>
        <w:t>(i) (iii)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Derivatives: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Derivative financial instruments </w:t>
      </w:r>
      <w:r>
        <w:rPr>
          <w:rFonts w:ascii="Arial" w:cs="Arial" w:eastAsia="Arial" w:hAnsi="Arial"/>
          <w:sz w:val="21"/>
          <w:szCs w:val="21"/>
          <w:color w:val="auto"/>
          <w:vertAlign w:val="superscript"/>
        </w:rPr>
        <w:t>(iv)</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-497205</wp:posOffset>
            </wp:positionV>
            <wp:extent cx="7132320" cy="145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-205740</wp:posOffset>
            </wp:positionV>
            <wp:extent cx="7132320" cy="2057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Fiduciary assets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-98425</wp:posOffset>
            </wp:positionV>
            <wp:extent cx="71323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55245</wp:posOffset>
            </wp:positionV>
            <wp:extent cx="713232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5"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-5715</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3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182</w:t>
            </w:r>
          </w:p>
        </w:tc>
        <w:tc>
          <w:tcPr>
            <w:tcW w:w="52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3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2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567"/>
        </w:trPr>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60" w:lineRule="exact"/>
        <w:rPr>
          <w:sz w:val="20"/>
          <w:szCs w:val="20"/>
          <w:color w:val="auto"/>
        </w:rPr>
      </w:pPr>
    </w:p>
    <w:p>
      <w:pPr>
        <w:sectPr>
          <w:pgSz w:w="11900" w:h="16838" w:orient="portrait"/>
          <w:cols w:equalWidth="0" w:num="3">
            <w:col w:w="2800" w:space="640"/>
            <w:col w:w="3120" w:space="300"/>
            <w:col w:w="4380"/>
          </w:cols>
          <w:pgMar w:left="320" w:top="449" w:right="339" w:bottom="1440" w:gutter="0" w:footer="0" w:header="0"/>
          <w:type w:val="continuous"/>
        </w:sectPr>
      </w:pPr>
    </w:p>
    <w:p>
      <w:pPr>
        <w:ind w:left="20"/>
        <w:spacing w:after="0"/>
        <w:rPr>
          <w:sz w:val="20"/>
          <w:szCs w:val="20"/>
          <w:color w:val="auto"/>
        </w:rPr>
      </w:pPr>
      <w:r>
        <w:rPr>
          <w:rFonts w:ascii="Arial" w:cs="Arial" w:eastAsia="Arial" w:hAnsi="Arial"/>
          <w:sz w:val="16"/>
          <w:szCs w:val="16"/>
          <w:i w:val="1"/>
          <w:iCs w:val="1"/>
          <w:color w:val="auto"/>
        </w:rPr>
        <w:t>Contingent consideration:</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Contingent consideration </w:t>
      </w:r>
      <w:r>
        <w:rPr>
          <w:rFonts w:ascii="Arial" w:cs="Arial" w:eastAsia="Arial" w:hAnsi="Arial"/>
          <w:sz w:val="21"/>
          <w:szCs w:val="21"/>
          <w:color w:val="auto"/>
          <w:vertAlign w:val="superscript"/>
        </w:rPr>
        <w:t>(v) (vi)</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Derivatives: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Derivative financial instruments </w:t>
      </w:r>
      <w:r>
        <w:rPr>
          <w:rFonts w:ascii="Arial" w:cs="Arial" w:eastAsia="Arial" w:hAnsi="Arial"/>
          <w:sz w:val="18"/>
          <w:szCs w:val="18"/>
          <w:color w:val="auto"/>
          <w:vertAlign w:val="superscript"/>
        </w:rPr>
        <w:t>(iv)</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3400" w:type="dxa"/>
            <w:vAlign w:val="bottom"/>
          </w:tcPr>
          <w:p>
            <w:pPr>
              <w:spacing w:after="0"/>
              <w:rPr>
                <w:sz w:val="20"/>
                <w:szCs w:val="20"/>
                <w:color w:val="auto"/>
              </w:rPr>
            </w:pPr>
            <w:r>
              <w:rPr>
                <w:rFonts w:ascii="Arial" w:cs="Arial" w:eastAsia="Arial" w:hAnsi="Arial"/>
                <w:sz w:val="14"/>
                <w:szCs w:val="14"/>
                <w:color w:val="auto"/>
              </w:rPr>
              <w:t>Other current liabilities and other non-current liabilities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43</w:t>
            </w:r>
          </w:p>
        </w:tc>
      </w:tr>
      <w:tr>
        <w:trPr>
          <w:trHeight w:val="486"/>
        </w:trPr>
        <w:tc>
          <w:tcPr>
            <w:tcW w:w="3400" w:type="dxa"/>
            <w:vAlign w:val="bottom"/>
          </w:tcPr>
          <w:p>
            <w:pPr>
              <w:spacing w:after="0"/>
              <w:rPr>
                <w:sz w:val="20"/>
                <w:szCs w:val="20"/>
                <w:color w:val="auto"/>
              </w:rPr>
            </w:pPr>
            <w:r>
              <w:rPr>
                <w:rFonts w:ascii="Arial" w:cs="Arial" w:eastAsia="Arial" w:hAnsi="Arial"/>
                <w:sz w:val="14"/>
                <w:szCs w:val="14"/>
                <w:color w:val="auto"/>
              </w:rPr>
              <w:t>Other current liabilities and other non-current liabilities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8"/>
              <w:spacing w:after="0"/>
              <w:rPr>
                <w:sz w:val="20"/>
                <w:szCs w:val="20"/>
                <w:color w:val="auto"/>
              </w:rPr>
            </w:pPr>
            <w:r>
              <w:rPr>
                <w:rFonts w:ascii="Arial" w:cs="Arial" w:eastAsia="Arial" w:hAnsi="Arial"/>
                <w:sz w:val="18"/>
                <w:szCs w:val="18"/>
                <w:color w:val="auto"/>
              </w:rPr>
              <w:t>3</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3</w:t>
            </w:r>
          </w:p>
        </w:tc>
      </w:tr>
      <w:tr>
        <w:trPr>
          <w:trHeight w:val="338"/>
        </w:trPr>
        <w:tc>
          <w:tcPr>
            <w:tcW w:w="3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gridSpan w:val="6"/>
          </w:tcPr>
          <w:p>
            <w:pPr>
              <w:ind w:left="320"/>
              <w:spacing w:after="0"/>
              <w:rPr>
                <w:sz w:val="20"/>
                <w:szCs w:val="20"/>
                <w:color w:val="auto"/>
              </w:rPr>
            </w:pPr>
            <w:r>
              <w:rPr>
                <w:rFonts w:ascii="Arial" w:cs="Arial" w:eastAsia="Arial" w:hAnsi="Arial"/>
                <w:sz w:val="13"/>
                <w:szCs w:val="13"/>
                <w:b w:val="1"/>
                <w:bCs w:val="1"/>
                <w:color w:val="auto"/>
              </w:rPr>
              <w:t>Fair Value Measurements on a Recurring Basis at</w:t>
            </w:r>
          </w:p>
        </w:tc>
        <w:tc>
          <w:tcPr>
            <w:tcW w:w="580" w:type="dxa"/>
            <w:vAlign w:val="bottom"/>
          </w:tcPr>
          <w:p>
            <w:pPr>
              <w:spacing w:after="0"/>
              <w:rPr>
                <w:sz w:val="24"/>
                <w:szCs w:val="24"/>
                <w:color w:val="auto"/>
              </w:rPr>
            </w:pPr>
          </w:p>
        </w:tc>
      </w:tr>
      <w:tr>
        <w:trPr>
          <w:trHeight w:val="175"/>
        </w:trPr>
        <w:tc>
          <w:tcPr>
            <w:tcW w:w="34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3"/>
                <w:szCs w:val="13"/>
                <w:b w:val="1"/>
                <w:bCs w:val="1"/>
                <w:color w:val="auto"/>
              </w:rPr>
              <w:t>December 31, 2022</w:t>
            </w: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-788035</wp:posOffset>
            </wp:positionV>
            <wp:extent cx="713232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-479425</wp:posOffset>
            </wp:positionV>
            <wp:extent cx="7132320"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2720" w:space="720"/>
            <w:col w:w="7800"/>
          </w:cols>
          <w:pgMar w:left="320" w:top="449" w:right="339" w:bottom="1440" w:gutter="0" w:footer="0" w:header="0"/>
          <w:type w:val="continuous"/>
        </w:sectPr>
      </w:pP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Available-for-sale securities: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Mutual funds / exchange-traded funds</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Derivatives: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Derivative financial instruments </w:t>
      </w:r>
      <w:r>
        <w:rPr>
          <w:rFonts w:ascii="Arial" w:cs="Arial" w:eastAsia="Arial" w:hAnsi="Arial"/>
          <w:sz w:val="21"/>
          <w:szCs w:val="21"/>
          <w:color w:val="auto"/>
          <w:vertAlign w:val="superscript"/>
        </w:rPr>
        <w:t>(iv)</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Contingent consideration:</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Contingent consideration </w:t>
      </w:r>
      <w:r>
        <w:rPr>
          <w:rFonts w:ascii="Arial" w:cs="Arial" w:eastAsia="Arial" w:hAnsi="Arial"/>
          <w:sz w:val="21"/>
          <w:szCs w:val="21"/>
          <w:color w:val="auto"/>
          <w:vertAlign w:val="superscript"/>
        </w:rPr>
        <w:t>(v) (vi)</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Derivatives: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Derivative financial instruments </w:t>
      </w:r>
      <w:r>
        <w:rPr>
          <w:rFonts w:ascii="Arial" w:cs="Arial" w:eastAsia="Arial" w:hAnsi="Arial"/>
          <w:sz w:val="21"/>
          <w:szCs w:val="21"/>
          <w:color w:val="auto"/>
          <w:vertAlign w:val="superscript"/>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95123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940"/>
        <w:spacing w:after="0"/>
        <w:tabs>
          <w:tab w:leader="none" w:pos="3600" w:val="left"/>
          <w:tab w:leader="none" w:pos="4740" w:val="left"/>
          <w:tab w:leader="none" w:pos="5880" w:val="left"/>
          <w:tab w:leader="none" w:pos="7060" w:val="left"/>
        </w:tabs>
        <w:rPr>
          <w:sz w:val="20"/>
          <w:szCs w:val="20"/>
          <w:color w:val="auto"/>
        </w:rPr>
      </w:pPr>
      <w:r>
        <w:rPr>
          <w:rFonts w:ascii="Arial" w:cs="Arial" w:eastAsia="Arial" w:hAnsi="Arial"/>
          <w:sz w:val="13"/>
          <w:szCs w:val="13"/>
          <w:b w:val="1"/>
          <w:bCs w:val="1"/>
          <w:color w:val="auto"/>
        </w:rPr>
        <w:t>Balance Sheet Location</w:t>
      </w:r>
      <w:r>
        <w:rPr>
          <w:sz w:val="20"/>
          <w:szCs w:val="20"/>
          <w:color w:val="auto"/>
        </w:rPr>
        <w:tab/>
      </w:r>
      <w:r>
        <w:rPr>
          <w:rFonts w:ascii="Arial" w:cs="Arial" w:eastAsia="Arial" w:hAnsi="Arial"/>
          <w:sz w:val="13"/>
          <w:szCs w:val="13"/>
          <w:b w:val="1"/>
          <w:bCs w:val="1"/>
          <w:color w:val="auto"/>
        </w:rPr>
        <w:t>Level 1</w:t>
      </w:r>
      <w:r>
        <w:rPr>
          <w:sz w:val="20"/>
          <w:szCs w:val="20"/>
          <w:color w:val="auto"/>
        </w:rPr>
        <w:tab/>
      </w:r>
      <w:r>
        <w:rPr>
          <w:rFonts w:ascii="Arial" w:cs="Arial" w:eastAsia="Arial" w:hAnsi="Arial"/>
          <w:sz w:val="13"/>
          <w:szCs w:val="13"/>
          <w:b w:val="1"/>
          <w:bCs w:val="1"/>
          <w:color w:val="auto"/>
        </w:rPr>
        <w:t>Level 2</w:t>
      </w:r>
      <w:r>
        <w:rPr>
          <w:sz w:val="20"/>
          <w:szCs w:val="20"/>
          <w:color w:val="auto"/>
        </w:rPr>
        <w:tab/>
      </w:r>
      <w:r>
        <w:rPr>
          <w:rFonts w:ascii="Arial" w:cs="Arial" w:eastAsia="Arial" w:hAnsi="Arial"/>
          <w:sz w:val="13"/>
          <w:szCs w:val="13"/>
          <w:b w:val="1"/>
          <w:bCs w:val="1"/>
          <w:color w:val="auto"/>
        </w:rPr>
        <w:t>Level 3</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15875</wp:posOffset>
            </wp:positionV>
            <wp:extent cx="7132320"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20"/>
                <w:szCs w:val="20"/>
                <w:color w:val="auto"/>
              </w:rPr>
            </w:pPr>
            <w:r>
              <w:rPr>
                <w:rFonts w:ascii="Arial" w:cs="Arial" w:eastAsia="Arial" w:hAnsi="Arial"/>
                <w:sz w:val="14"/>
                <w:szCs w:val="14"/>
                <w:color w:val="auto"/>
                <w:w w:val="96"/>
              </w:rPr>
              <w:t>Prepaid and other current assets and other non-current</w:t>
            </w:r>
          </w:p>
        </w:tc>
        <w:tc>
          <w:tcPr>
            <w:tcW w:w="44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52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20"/>
                <w:szCs w:val="20"/>
                <w:color w:val="auto"/>
              </w:rPr>
            </w:pPr>
            <w:r>
              <w:rPr>
                <w:rFonts w:ascii="Arial" w:cs="Arial" w:eastAsia="Arial" w:hAnsi="Arial"/>
                <w:sz w:val="14"/>
                <w:szCs w:val="14"/>
                <w:color w:val="auto"/>
              </w:rPr>
              <w:t>assets</w:t>
            </w:r>
          </w:p>
        </w:tc>
        <w:tc>
          <w:tcPr>
            <w:tcW w:w="4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300" w:type="dxa"/>
            <w:vAlign w:val="bottom"/>
          </w:tcPr>
          <w:p>
            <w:pPr>
              <w:spacing w:after="0"/>
              <w:rPr>
                <w:sz w:val="20"/>
                <w:szCs w:val="20"/>
                <w:color w:val="auto"/>
              </w:rPr>
            </w:pPr>
            <w:r>
              <w:rPr>
                <w:rFonts w:ascii="Arial" w:cs="Arial" w:eastAsia="Arial" w:hAnsi="Arial"/>
                <w:sz w:val="14"/>
                <w:szCs w:val="14"/>
                <w:color w:val="auto"/>
              </w:rPr>
              <w:t>Fiduciary assets</w:t>
            </w:r>
          </w:p>
        </w:tc>
        <w:tc>
          <w:tcPr>
            <w:tcW w:w="44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142</w:t>
            </w:r>
          </w:p>
        </w:tc>
        <w:tc>
          <w:tcPr>
            <w:tcW w:w="52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400"/>
        </w:trPr>
        <w:tc>
          <w:tcPr>
            <w:tcW w:w="3300" w:type="dxa"/>
            <w:vAlign w:val="bottom"/>
          </w:tcPr>
          <w:p>
            <w:pPr>
              <w:spacing w:after="0"/>
              <w:rPr>
                <w:sz w:val="20"/>
                <w:szCs w:val="20"/>
                <w:color w:val="auto"/>
              </w:rPr>
            </w:pPr>
            <w:r>
              <w:rPr>
                <w:rFonts w:ascii="Arial" w:cs="Arial" w:eastAsia="Arial" w:hAnsi="Arial"/>
                <w:sz w:val="14"/>
                <w:szCs w:val="14"/>
                <w:color w:val="auto"/>
                <w:w w:val="96"/>
              </w:rPr>
              <w:t>Prepaid and other current assets and other non-current</w:t>
            </w:r>
          </w:p>
        </w:tc>
        <w:tc>
          <w:tcPr>
            <w:tcW w:w="44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ind w:right="70"/>
              <w:spacing w:after="0"/>
              <w:rPr>
                <w:sz w:val="20"/>
                <w:szCs w:val="20"/>
                <w:color w:val="auto"/>
              </w:rPr>
            </w:pPr>
            <w:r>
              <w:rPr>
                <w:rFonts w:ascii="Arial" w:cs="Arial" w:eastAsia="Arial" w:hAnsi="Arial"/>
                <w:sz w:val="18"/>
                <w:szCs w:val="18"/>
                <w:color w:val="auto"/>
              </w:rPr>
              <w:t>26</w:t>
            </w:r>
          </w:p>
        </w:tc>
        <w:tc>
          <w:tcPr>
            <w:tcW w:w="52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2"/>
        </w:trPr>
        <w:tc>
          <w:tcPr>
            <w:tcW w:w="3300" w:type="dxa"/>
            <w:vAlign w:val="bottom"/>
          </w:tcPr>
          <w:p>
            <w:pPr>
              <w:spacing w:after="0"/>
              <w:rPr>
                <w:sz w:val="20"/>
                <w:szCs w:val="20"/>
                <w:color w:val="auto"/>
              </w:rPr>
            </w:pPr>
            <w:r>
              <w:rPr>
                <w:rFonts w:ascii="Arial" w:cs="Arial" w:eastAsia="Arial" w:hAnsi="Arial"/>
                <w:sz w:val="14"/>
                <w:szCs w:val="14"/>
                <w:color w:val="auto"/>
              </w:rPr>
              <w:t>assets</w:t>
            </w:r>
          </w:p>
        </w:tc>
        <w:tc>
          <w:tcPr>
            <w:tcW w:w="4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14"/>
        </w:trPr>
        <w:tc>
          <w:tcPr>
            <w:tcW w:w="3300" w:type="dxa"/>
            <w:vAlign w:val="bottom"/>
          </w:tcPr>
          <w:p>
            <w:pPr>
              <w:spacing w:after="0"/>
              <w:rPr>
                <w:sz w:val="20"/>
                <w:szCs w:val="20"/>
                <w:color w:val="auto"/>
              </w:rPr>
            </w:pPr>
            <w:r>
              <w:rPr>
                <w:rFonts w:ascii="Arial" w:cs="Arial" w:eastAsia="Arial" w:hAnsi="Arial"/>
                <w:sz w:val="14"/>
                <w:szCs w:val="14"/>
                <w:color w:val="auto"/>
                <w:w w:val="98"/>
              </w:rPr>
              <w:t>Other current liabilities and other non-current liabilities</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00" w:type="dxa"/>
            <w:vAlign w:val="bottom"/>
          </w:tcPr>
          <w:p>
            <w:pPr>
              <w:ind w:left="280"/>
              <w:spacing w:after="0"/>
              <w:rPr>
                <w:sz w:val="20"/>
                <w:szCs w:val="20"/>
                <w:color w:val="auto"/>
              </w:rPr>
            </w:pPr>
            <w:r>
              <w:rPr>
                <w:rFonts w:ascii="Arial" w:cs="Arial" w:eastAsia="Arial" w:hAnsi="Arial"/>
                <w:sz w:val="18"/>
                <w:szCs w:val="18"/>
                <w:color w:val="auto"/>
              </w:rPr>
              <w:t>40</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86"/>
        </w:trPr>
        <w:tc>
          <w:tcPr>
            <w:tcW w:w="3300" w:type="dxa"/>
            <w:vAlign w:val="bottom"/>
          </w:tcPr>
          <w:p>
            <w:pPr>
              <w:spacing w:after="0"/>
              <w:rPr>
                <w:sz w:val="20"/>
                <w:szCs w:val="20"/>
                <w:color w:val="auto"/>
              </w:rPr>
            </w:pPr>
            <w:r>
              <w:rPr>
                <w:rFonts w:ascii="Arial" w:cs="Arial" w:eastAsia="Arial" w:hAnsi="Arial"/>
                <w:sz w:val="14"/>
                <w:szCs w:val="14"/>
                <w:color w:val="auto"/>
                <w:w w:val="98"/>
              </w:rPr>
              <w:t>Other current liabilities and other non-current liabilities</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-1482090</wp:posOffset>
            </wp:positionV>
            <wp:extent cx="7132320" cy="2057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-1122680</wp:posOffset>
            </wp:positionV>
            <wp:extent cx="71323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-762635</wp:posOffset>
            </wp:positionV>
            <wp:extent cx="713232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-453390</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-145415</wp:posOffset>
            </wp:positionV>
            <wp:extent cx="713232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720"/>
            <w:col w:w="7800"/>
          </w:cols>
          <w:pgMar w:left="320" w:top="449" w:right="339" w:bottom="1440" w:gutter="0" w:footer="0" w:header="0"/>
          <w:type w:val="continuous"/>
        </w:sectPr>
      </w:pPr>
    </w:p>
    <w:p>
      <w:pPr>
        <w:spacing w:after="0" w:line="11" w:lineRule="exact"/>
        <w:rPr>
          <w:sz w:val="20"/>
          <w:szCs w:val="20"/>
          <w:color w:val="auto"/>
        </w:rPr>
      </w:pPr>
    </w:p>
    <w:p>
      <w:pPr>
        <w:ind w:left="280" w:right="220" w:hanging="272"/>
        <w:spacing w:after="0" w:line="251" w:lineRule="auto"/>
        <w:tabs>
          <w:tab w:leader="none" w:pos="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With the exception of the funds included in fiduciary assets, the majority of these balances are held as part of deferred compensation plans with related liabilities in other current liabilities and other non-current liabilities on the condensed consolidated balance sheets.</w:t>
      </w:r>
    </w:p>
    <w:p>
      <w:pPr>
        <w:ind w:left="280" w:hanging="272"/>
        <w:spacing w:after="0"/>
        <w:tabs>
          <w:tab w:leader="none" w:pos="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Consists of the Towers Watson Global Equity Focus Fund, for which redemptions can occur on any business day, and require a minimum of one business day’s notice.</w:t>
      </w:r>
    </w:p>
    <w:p>
      <w:pPr>
        <w:spacing w:after="0" w:line="21" w:lineRule="exact"/>
        <w:rPr>
          <w:rFonts w:ascii="Arial" w:cs="Arial" w:eastAsia="Arial" w:hAnsi="Arial"/>
          <w:sz w:val="14"/>
          <w:szCs w:val="14"/>
          <w:color w:val="auto"/>
        </w:rPr>
      </w:pPr>
    </w:p>
    <w:p>
      <w:pPr>
        <w:ind w:left="280" w:hanging="272"/>
        <w:spacing w:after="0"/>
        <w:tabs>
          <w:tab w:leader="none" w:pos="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Consists of the Towers Watson Alternative Credit Fund, for which the redemption period is generally quarterly, however requires a 50-day notice.</w:t>
      </w:r>
    </w:p>
    <w:p>
      <w:pPr>
        <w:spacing w:after="0" w:line="21" w:lineRule="exact"/>
        <w:rPr>
          <w:rFonts w:ascii="Arial" w:cs="Arial" w:eastAsia="Arial" w:hAnsi="Arial"/>
          <w:sz w:val="14"/>
          <w:szCs w:val="14"/>
          <w:color w:val="auto"/>
        </w:rPr>
      </w:pPr>
    </w:p>
    <w:p>
      <w:pPr>
        <w:ind w:left="280" w:hanging="272"/>
        <w:spacing w:after="0"/>
        <w:tabs>
          <w:tab w:leader="none" w:pos="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See Note 9 — Derivative Financial Instruments for further information on our derivative investments.</w:t>
      </w:r>
    </w:p>
    <w:p>
      <w:pPr>
        <w:spacing w:after="0" w:line="28" w:lineRule="exact"/>
        <w:rPr>
          <w:rFonts w:ascii="Arial" w:cs="Arial" w:eastAsia="Arial" w:hAnsi="Arial"/>
          <w:sz w:val="14"/>
          <w:szCs w:val="14"/>
          <w:color w:val="auto"/>
        </w:rPr>
      </w:pPr>
    </w:p>
    <w:p>
      <w:pPr>
        <w:ind w:left="280" w:right="40" w:hanging="272"/>
        <w:spacing w:after="0" w:line="244" w:lineRule="auto"/>
        <w:tabs>
          <w:tab w:leader="none" w:pos="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Probability weightings are based on our knowledge of the past and planned performance of the acquired entity to which the contingent consideration applies. The fair value weighted-average discount rates used in our material contingent consideration calculations were 10.03% and 10.26% at June 30, 2023 and December 31, 2022, respectively. The range of these discount rates was 3.53% - 13.80% at June 30, 2023. Using different probability weightings and discount rates could result in an increase or decrease of the contingent consideration payable.</w:t>
      </w:r>
    </w:p>
    <w:p>
      <w:pPr>
        <w:spacing w:after="0" w:line="1" w:lineRule="exact"/>
        <w:rPr>
          <w:rFonts w:ascii="Arial" w:cs="Arial" w:eastAsia="Arial" w:hAnsi="Arial"/>
          <w:sz w:val="13"/>
          <w:szCs w:val="13"/>
          <w:color w:val="auto"/>
        </w:rPr>
      </w:pPr>
    </w:p>
    <w:p>
      <w:pPr>
        <w:ind w:left="280" w:hanging="272"/>
        <w:spacing w:after="0"/>
        <w:tabs>
          <w:tab w:leader="none" w:pos="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Consideration due to be paid across multiple years until 2027.</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summarizes the change in fair value of the Level 3 liabilities: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180" w:type="dxa"/>
            <w:vAlign w:val="bottom"/>
          </w:tcPr>
          <w:p>
            <w:pPr>
              <w:ind w:left="20"/>
              <w:spacing w:after="0"/>
              <w:rPr>
                <w:sz w:val="20"/>
                <w:szCs w:val="20"/>
                <w:color w:val="auto"/>
              </w:rPr>
            </w:pPr>
            <w:r>
              <w:rPr>
                <w:rFonts w:ascii="Arial" w:cs="Arial" w:eastAsia="Arial" w:hAnsi="Arial"/>
                <w:sz w:val="16"/>
                <w:szCs w:val="16"/>
                <w:b w:val="1"/>
                <w:bCs w:val="1"/>
                <w:color w:val="auto"/>
              </w:rPr>
              <w:t>Fair Value Measurements Using Significant Unobservable Inputs (Level 3)</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June 30, 2023</w:t>
            </w:r>
          </w:p>
        </w:tc>
      </w:tr>
      <w:tr>
        <w:trPr>
          <w:trHeight w:val="23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40</w:t>
            </w:r>
          </w:p>
        </w:tc>
      </w:tr>
      <w:tr>
        <w:trPr>
          <w:trHeight w:val="237"/>
        </w:trPr>
        <w:tc>
          <w:tcPr>
            <w:tcW w:w="9180" w:type="dxa"/>
            <w:vAlign w:val="bottom"/>
          </w:tcPr>
          <w:p>
            <w:pPr>
              <w:ind w:left="200"/>
              <w:spacing w:after="0"/>
              <w:rPr>
                <w:sz w:val="20"/>
                <w:szCs w:val="20"/>
                <w:color w:val="auto"/>
              </w:rPr>
            </w:pPr>
            <w:r>
              <w:rPr>
                <w:rFonts w:ascii="Arial" w:cs="Arial" w:eastAsia="Arial" w:hAnsi="Arial"/>
                <w:sz w:val="18"/>
                <w:szCs w:val="18"/>
                <w:color w:val="auto"/>
              </w:rPr>
              <w:t>Obligations assumed</w:t>
            </w:r>
          </w:p>
        </w:tc>
        <w:tc>
          <w:tcPr>
            <w:tcW w:w="300" w:type="dxa"/>
            <w:vAlign w:val="bottom"/>
          </w:tcPr>
          <w:p>
            <w:pPr>
              <w:spacing w:after="0"/>
              <w:rPr>
                <w:sz w:val="20"/>
                <w:szCs w:val="20"/>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49"/>
        </w:trPr>
        <w:tc>
          <w:tcPr>
            <w:tcW w:w="9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w:t>
            </w:r>
          </w:p>
        </w:tc>
        <w:tc>
          <w:tcPr>
            <w:tcW w:w="30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9180" w:type="dxa"/>
            <w:vAlign w:val="bottom"/>
          </w:tcPr>
          <w:p>
            <w:pPr>
              <w:ind w:left="200"/>
              <w:spacing w:after="0" w:line="243" w:lineRule="exact"/>
              <w:rPr>
                <w:sz w:val="20"/>
                <w:szCs w:val="20"/>
                <w:color w:val="auto"/>
              </w:rPr>
            </w:pPr>
            <w:r>
              <w:rPr>
                <w:rFonts w:ascii="Arial" w:cs="Arial" w:eastAsia="Arial" w:hAnsi="Arial"/>
                <w:sz w:val="18"/>
                <w:szCs w:val="18"/>
                <w:color w:val="auto"/>
              </w:rPr>
              <w:t xml:space="preserve">Realized and unrealized losses </w:t>
            </w:r>
            <w:r>
              <w:rPr>
                <w:rFonts w:ascii="Arial" w:cs="Arial" w:eastAsia="Arial" w:hAnsi="Arial"/>
                <w:sz w:val="24"/>
                <w:szCs w:val="24"/>
                <w:color w:val="auto"/>
                <w:vertAlign w:val="superscript"/>
              </w:rPr>
              <w:t>(i)</w:t>
            </w:r>
          </w:p>
        </w:tc>
        <w:tc>
          <w:tcPr>
            <w:tcW w:w="30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5</w:t>
            </w:r>
          </w:p>
        </w:tc>
      </w:tr>
      <w:tr>
        <w:trPr>
          <w:trHeight w:val="243"/>
        </w:trPr>
        <w:tc>
          <w:tcPr>
            <w:tcW w:w="9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Foreign exchange</w:t>
            </w:r>
          </w:p>
        </w:tc>
        <w:tc>
          <w:tcPr>
            <w:tcW w:w="30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43</w:t>
            </w:r>
          </w:p>
        </w:tc>
      </w:tr>
      <w:tr>
        <w:trPr>
          <w:trHeight w:val="20"/>
        </w:trPr>
        <w:tc>
          <w:tcPr>
            <w:tcW w:w="9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7" w:lineRule="exact"/>
        <w:rPr>
          <w:sz w:val="20"/>
          <w:szCs w:val="20"/>
          <w:color w:val="auto"/>
        </w:rPr>
      </w:pPr>
    </w:p>
    <w:p>
      <w:pPr>
        <w:ind w:left="280" w:right="720" w:hanging="272"/>
        <w:spacing w:after="0" w:line="253" w:lineRule="auto"/>
        <w:tabs>
          <w:tab w:leader="none" w:pos="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Realized and unrealized losses include accretion and adjustments to contingent consideration liabilities, which are included within Interest expense and Other operating expenses, respectively, on the condensed consolidated statements of comprehensive income.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transfers to or from Level 3 in the six months ended June 30,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information about financial instruments not measured at fair value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liabilities not measured at fair value on a recurring basis at June 30, 2023 and December 31,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935"/>
              <w:spacing w:after="0"/>
              <w:rPr>
                <w:sz w:val="20"/>
                <w:szCs w:val="20"/>
                <w:color w:val="auto"/>
              </w:rPr>
            </w:pPr>
            <w:r>
              <w:rPr>
                <w:rFonts w:ascii="Arial" w:cs="Arial" w:eastAsia="Arial" w:hAnsi="Arial"/>
                <w:sz w:val="14"/>
                <w:szCs w:val="14"/>
                <w:b w:val="1"/>
                <w:bCs w:val="1"/>
                <w:color w:val="auto"/>
              </w:rPr>
              <w:t>June 30, 2023</w:t>
            </w: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4"/>
                <w:szCs w:val="14"/>
                <w:b w:val="1"/>
                <w:bCs w:val="1"/>
                <w:color w:val="auto"/>
              </w:rPr>
              <w:t>December 31, 2022</w:t>
            </w:r>
          </w:p>
        </w:tc>
      </w:tr>
      <w:tr>
        <w:trPr>
          <w:trHeight w:val="169"/>
        </w:trPr>
        <w:tc>
          <w:tcPr>
            <w:tcW w:w="562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155"/>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Fair Value</w:t>
            </w:r>
          </w:p>
        </w:tc>
      </w:tr>
      <w:tr>
        <w:trPr>
          <w:trHeight w:val="237"/>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4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rPr>
              <w:t>Long-term note receivable</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71</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61</w:t>
            </w:r>
          </w:p>
        </w:tc>
        <w:tc>
          <w:tcPr>
            <w:tcW w:w="5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68</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63</w:t>
            </w:r>
          </w:p>
        </w:tc>
      </w:tr>
      <w:tr>
        <w:trPr>
          <w:trHeight w:val="24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rPr>
              <w:t>Current debt</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899</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884</w:t>
            </w:r>
          </w:p>
        </w:tc>
        <w:tc>
          <w:tcPr>
            <w:tcW w:w="5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250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248</w:t>
            </w:r>
          </w:p>
        </w:tc>
      </w:tr>
      <w:tr>
        <w:trPr>
          <w:trHeight w:val="249"/>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Long-term debt</w:t>
            </w: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4,565</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4,202</w:t>
            </w:r>
          </w:p>
        </w:tc>
        <w:tc>
          <w:tcPr>
            <w:tcW w:w="58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4,471</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4,069</w:t>
            </w:r>
          </w:p>
        </w:tc>
      </w:tr>
    </w:tbl>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carrying value of our revolving credit facility approximates its fair value.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and long-term note receivable are considered Level 2 financial instruments as they are corroborated by observable market data.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Retirement Benefits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7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WTW sponsors both qualified and non-qualified defined benefit pension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98% of WTW’s pension obligations and are disclosed herein. We have removed prior-period disclosures pertaining to our post-retirement welfare plans as the Company considers such disclosure to no longer be material.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Benefit (Income)/Cost for Defined Benefit Pension Plans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tables set forth the components of net periodic benefit (income)/cost for the Company’s defined benefit pension plans for the three and six months ended June 30, 2023 and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2"/>
              </w:rPr>
              <w:t>Three Months Ended June 30,</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69"/>
        </w:trPr>
        <w:tc>
          <w:tcPr>
            <w:tcW w:w="44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69"/>
        </w:trPr>
        <w:tc>
          <w:tcPr>
            <w:tcW w:w="44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U.K.</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U.K.</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Other</w:t>
            </w:r>
          </w:p>
        </w:tc>
      </w:tr>
      <w:tr>
        <w:trPr>
          <w:trHeight w:val="223"/>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620" w:type="dxa"/>
            <w:vAlign w:val="bottom"/>
            <w:shd w:val="clear" w:color="auto" w:fill="CFF0FC"/>
          </w:tcPr>
          <w:p>
            <w:pPr>
              <w:jc w:val="right"/>
              <w:ind w:right="442"/>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14</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4</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19</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4</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w:t>
            </w: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620" w:type="dxa"/>
            <w:vAlign w:val="bottom"/>
          </w:tcPr>
          <w:p>
            <w:pPr>
              <w:spacing w:after="0"/>
              <w:rPr>
                <w:sz w:val="19"/>
                <w:szCs w:val="19"/>
                <w:color w:val="auto"/>
              </w:rPr>
            </w:pP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4</w:t>
            </w: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6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(76 )</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(41 )</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(10 )</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(82 )</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(9 )</w:t>
            </w: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Settlements</w:t>
            </w:r>
          </w:p>
        </w:tc>
        <w:tc>
          <w:tcPr>
            <w:tcW w:w="620" w:type="dxa"/>
            <w:vAlign w:val="bottom"/>
          </w:tcPr>
          <w:p>
            <w:pPr>
              <w:spacing w:after="0"/>
              <w:rPr>
                <w:sz w:val="19"/>
                <w:szCs w:val="19"/>
                <w:color w:val="auto"/>
              </w:rPr>
            </w:pP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net loss</w:t>
            </w:r>
          </w:p>
        </w:tc>
        <w:tc>
          <w:tcPr>
            <w:tcW w:w="62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7</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r>
      <w:tr>
        <w:trPr>
          <w:trHeight w:val="223"/>
        </w:trPr>
        <w:tc>
          <w:tcPr>
            <w:tcW w:w="440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6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r>
      <w:tr>
        <w:trPr>
          <w:trHeight w:val="243"/>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periodic benefit (income)/cost</w:t>
            </w:r>
          </w:p>
        </w:tc>
        <w:tc>
          <w:tcPr>
            <w:tcW w:w="620" w:type="dxa"/>
            <w:vAlign w:val="bottom"/>
            <w:shd w:val="clear" w:color="auto" w:fill="CFF0FC"/>
          </w:tcPr>
          <w:p>
            <w:pPr>
              <w:jc w:val="right"/>
              <w:ind w:right="442"/>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(9 )</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(12 )</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-25400</wp:posOffset>
            </wp:positionV>
            <wp:extent cx="857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-8255</wp:posOffset>
            </wp:positionV>
            <wp:extent cx="857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-25400</wp:posOffset>
            </wp:positionV>
            <wp:extent cx="857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-8255</wp:posOffset>
            </wp:positionV>
            <wp:extent cx="857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857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857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857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857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857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857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4"/>
              </w:rPr>
              <w:t>Six Months Ended June 30,</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69"/>
        </w:trPr>
        <w:tc>
          <w:tcPr>
            <w:tcW w:w="44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69"/>
        </w:trPr>
        <w:tc>
          <w:tcPr>
            <w:tcW w:w="44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U.K.</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U.K.</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Other</w:t>
            </w:r>
          </w:p>
        </w:tc>
      </w:tr>
      <w:tr>
        <w:trPr>
          <w:trHeight w:val="223"/>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Service cost</w:t>
            </w:r>
          </w:p>
        </w:tc>
        <w:tc>
          <w:tcPr>
            <w:tcW w:w="580" w:type="dxa"/>
            <w:vAlign w:val="bottom"/>
            <w:shd w:val="clear" w:color="auto" w:fill="CFF0FC"/>
          </w:tcPr>
          <w:p>
            <w:pPr>
              <w:jc w:val="right"/>
              <w:ind w:right="40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28</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3</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7</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38</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7</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580" w:type="dxa"/>
            <w:vAlign w:val="bottom"/>
          </w:tcPr>
          <w:p>
            <w:pPr>
              <w:spacing w:after="0"/>
              <w:rPr>
                <w:sz w:val="19"/>
                <w:szCs w:val="19"/>
                <w:color w:val="auto"/>
              </w:rPr>
            </w:pP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8</w:t>
            </w: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return on plan assets</w:t>
            </w: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0"/>
              </w:rPr>
              <w:t>(152 )</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(80 )</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(19 )</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(165 )</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(19 )</w:t>
            </w:r>
          </w:p>
        </w:tc>
      </w:tr>
      <w:tr>
        <w:trPr>
          <w:trHeight w:val="220"/>
        </w:trPr>
        <w:tc>
          <w:tcPr>
            <w:tcW w:w="4400" w:type="dxa"/>
            <w:vAlign w:val="bottom"/>
          </w:tcPr>
          <w:p>
            <w:pPr>
              <w:ind w:left="20"/>
              <w:spacing w:after="0"/>
              <w:rPr>
                <w:sz w:val="20"/>
                <w:szCs w:val="20"/>
                <w:color w:val="auto"/>
              </w:rPr>
            </w:pPr>
            <w:r>
              <w:rPr>
                <w:rFonts w:ascii="Arial" w:cs="Arial" w:eastAsia="Arial" w:hAnsi="Arial"/>
                <w:sz w:val="16"/>
                <w:szCs w:val="16"/>
                <w:color w:val="auto"/>
              </w:rPr>
              <w:t>Settlements</w:t>
            </w:r>
          </w:p>
        </w:tc>
        <w:tc>
          <w:tcPr>
            <w:tcW w:w="580" w:type="dxa"/>
            <w:vAlign w:val="bottom"/>
          </w:tcPr>
          <w:p>
            <w:pPr>
              <w:spacing w:after="0"/>
              <w:rPr>
                <w:sz w:val="19"/>
                <w:szCs w:val="19"/>
                <w:color w:val="auto"/>
              </w:rPr>
            </w:pPr>
          </w:p>
        </w:tc>
        <w:tc>
          <w:tcPr>
            <w:tcW w:w="46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39"/>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net loss</w:t>
            </w: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r>
      <w:tr>
        <w:trPr>
          <w:trHeight w:val="223"/>
        </w:trPr>
        <w:tc>
          <w:tcPr>
            <w:tcW w:w="440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(6 )</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r>
      <w:tr>
        <w:trPr>
          <w:trHeight w:val="243"/>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periodic benefit (income)/cost</w:t>
            </w:r>
          </w:p>
        </w:tc>
        <w:tc>
          <w:tcPr>
            <w:tcW w:w="580" w:type="dxa"/>
            <w:vAlign w:val="bottom"/>
            <w:shd w:val="clear" w:color="auto" w:fill="CFF0FC"/>
          </w:tcPr>
          <w:p>
            <w:pPr>
              <w:jc w:val="right"/>
              <w:ind w:right="40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(19 )</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2</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(61 )</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(24 )</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-24765</wp:posOffset>
            </wp:positionV>
            <wp:extent cx="857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857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857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857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857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85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857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857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857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857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 to Defined Benefit Pension Plans</w:t>
      </w:r>
    </w:p>
    <w:p>
      <w:pPr>
        <w:spacing w:after="0" w:line="17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Company did not make any contributions to its U.S. plans during the six months ended June 30, 2023 and currently does not anticipate making contributions over the remainder of the fiscal year. The Company made contributions of $10 million to its U.K. plans for the six months ended June 30, 2023 and anticipates making additional contributions of $8 million for the remainder of the fiscal year. The Company made contributions of $18 million to its other plans for the six months ended June 30, 2023 and anticipates making additional contributions of $5 million for the remainder of the fiscal year.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made contributions to its defined contribution plans of $41 million and $81 million during the three and six months ended June 30, 2023, respectively, and $38 million and $80 million during the three and six months ended June 30, 2022,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lease costs recorded on our condensed consolidated statements of comprehensive income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2022:</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53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9"/>
                <w:szCs w:val="19"/>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36"/>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 cost:</w:t>
            </w:r>
          </w:p>
        </w:tc>
        <w:tc>
          <w:tcPr>
            <w:tcW w:w="90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r>
      <w:tr>
        <w:trPr>
          <w:trHeight w:val="237"/>
        </w:trPr>
        <w:tc>
          <w:tcPr>
            <w:tcW w:w="5340" w:type="dxa"/>
            <w:vAlign w:val="bottom"/>
          </w:tcPr>
          <w:p>
            <w:pPr>
              <w:ind w:left="120"/>
              <w:spacing w:after="0"/>
              <w:rPr>
                <w:sz w:val="20"/>
                <w:szCs w:val="20"/>
                <w:color w:val="auto"/>
              </w:rPr>
            </w:pPr>
            <w:r>
              <w:rPr>
                <w:rFonts w:ascii="Arial" w:cs="Arial" w:eastAsia="Arial" w:hAnsi="Arial"/>
                <w:sz w:val="18"/>
                <w:szCs w:val="18"/>
                <w:color w:val="auto"/>
              </w:rPr>
              <w:t>Amortization of right-of-use assets</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0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w:t>
            </w:r>
          </w:p>
        </w:tc>
      </w:tr>
      <w:tr>
        <w:trPr>
          <w:trHeight w:val="249"/>
        </w:trPr>
        <w:tc>
          <w:tcPr>
            <w:tcW w:w="5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on lease liabilities</w:t>
            </w: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w:t>
            </w: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90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95</w:t>
            </w:r>
          </w:p>
        </w:tc>
      </w:tr>
      <w:tr>
        <w:trPr>
          <w:trHeight w:val="249"/>
        </w:trPr>
        <w:tc>
          <w:tcPr>
            <w:tcW w:w="5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Variable lease cost</w:t>
            </w: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34</w:t>
            </w: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r>
      <w:tr>
        <w:trPr>
          <w:trHeight w:val="277"/>
        </w:trPr>
        <w:tc>
          <w:tcPr>
            <w:tcW w:w="53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lease cost, net</w:t>
            </w: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95</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-24765</wp:posOffset>
            </wp:positionV>
            <wp:extent cx="939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939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939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939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939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939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8"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 xml:space="preserve">The total lease cost is recognized in different locations in our condensed consolidated statements of comprehensive income. Amortization of the finance lease ROU assets is included in depreciation, while the interest cost component of these finance leases is included in interest expense. All other costs are included in other operating expenses, with the exception of $4 million and $5 million incurred during the three and six months ended June 30, 2023, respectively, and $26 million and $31 million incurred during the three and six months ended June 30, 2022, respectively, that were included in restructuring costs (see Note 6 </w:t>
      </w:r>
      <w:r>
        <w:rPr>
          <w:rFonts w:ascii="Arial" w:cs="Arial" w:eastAsia="Arial" w:hAnsi="Arial"/>
          <w:sz w:val="17"/>
          <w:szCs w:val="17"/>
          <w:b w:val="1"/>
          <w:bCs w:val="1"/>
          <w:color w:val="auto"/>
        </w:rPr>
        <w:t>—</w:t>
      </w:r>
      <w:r>
        <w:rPr>
          <w:rFonts w:ascii="Arial" w:cs="Arial" w:eastAsia="Arial" w:hAnsi="Arial"/>
          <w:sz w:val="17"/>
          <w:szCs w:val="17"/>
          <w:color w:val="auto"/>
        </w:rPr>
        <w:t xml:space="preserve"> Restructuring Costs) that primarily related to the acceleration of amortization of certain abandoned ROU assets and the payment of early termination fees. There are no significant lease costs that have been included as discontinued operations in the condensed consolidated statements of comprehensive income during the three and six months ended June 30, 2022.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WTW has various agreements which provide that it may be obligated to indemnify the other party to the agreement with respect to certain matters. Generally, these indemnification provisions are included in contracts arising in the normal course of business and in connection with the purchase and sale of certain businesses, including the disposal of Willis Re. It is not possible to predict the maximum potential amount of future payments that may become due under these indemnification agreements because of the conditional nature of the Company’s obligations and the unique facts of each particular agreement. However, we do not believe that any potential liability that may arise from such indemnity provisions is probable or material.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In the ordinary course of business, the Company is subject to various actual and potential claims, lawsuits and other proceedings. Some of the claims, lawsuits and other proceedings seek damages in amounts which could, if assessed, be significant. The Company also receives subpoenas in the ordinary course of business and, from time to time, receives requests for information in connection with governmental investigations.</w:t>
      </w:r>
    </w:p>
    <w:p>
      <w:pPr>
        <w:spacing w:after="0" w:line="9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15 </w:t>
      </w:r>
      <w:r>
        <w:rPr>
          <w:rFonts w:ascii="Arial" w:cs="Arial" w:eastAsia="Arial" w:hAnsi="Arial"/>
          <w:sz w:val="13"/>
          <w:szCs w:val="13"/>
          <w:color w:val="auto"/>
        </w:rPr>
        <w:t>—</w:t>
      </w:r>
      <w:r>
        <w:rPr>
          <w:rFonts w:ascii="Arial" w:cs="Arial" w:eastAsia="Arial" w:hAnsi="Arial"/>
          <w:sz w:val="17"/>
          <w:szCs w:val="17"/>
          <w:color w:val="auto"/>
        </w:rPr>
        <w:t xml:space="preserve"> Supplementary Information for Certain Balance Sheet Accounts for the amounts accrued at June 30, 2023 and December 31, 2022 in the condensed consolidated balance sheets.</w:t>
      </w:r>
    </w:p>
    <w:p>
      <w:pPr>
        <w:spacing w:after="0" w:line="12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a particular quarterly or annual period.</w:t>
      </w:r>
    </w:p>
    <w:p>
      <w:pPr>
        <w:spacing w:after="0" w:line="10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 xml:space="preserve">The Company provides for contingent liabilities based on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when it is determined that a liability, inclusive of defense costs, is probable and reasonably estimable. The contingent liabilities recorded are primarily developed actuarially. Litigation is subject to many factors which are difficult to predict so there can be no assurance that in the event of a material unfavorable result in one or more claims, we will not incur material costs.</w:t>
      </w:r>
    </w:p>
    <w:p>
      <w:pPr>
        <w:spacing w:after="0" w:line="307" w:lineRule="exact"/>
        <w:rPr>
          <w:sz w:val="20"/>
          <w:szCs w:val="20"/>
          <w:color w:val="auto"/>
        </w:rPr>
      </w:pPr>
    </w:p>
    <w:p>
      <w:pPr>
        <w:ind w:right="5440"/>
        <w:spacing w:after="0" w:line="473" w:lineRule="auto"/>
        <w:rPr>
          <w:sz w:val="20"/>
          <w:szCs w:val="20"/>
          <w:color w:val="auto"/>
        </w:rPr>
      </w:pPr>
      <w:r>
        <w:rPr>
          <w:rFonts w:ascii="Arial" w:cs="Arial" w:eastAsia="Arial" w:hAnsi="Arial"/>
          <w:sz w:val="17"/>
          <w:szCs w:val="17"/>
          <w:b w:val="1"/>
          <w:bCs w:val="1"/>
          <w:color w:val="auto"/>
        </w:rPr>
        <w:t xml:space="preserve">Note 15 — Supplementary Information for Certain Balance Sheet Accounts </w:t>
      </w:r>
      <w:r>
        <w:rPr>
          <w:rFonts w:ascii="Arial" w:cs="Arial" w:eastAsia="Arial" w:hAnsi="Arial"/>
          <w:sz w:val="17"/>
          <w:szCs w:val="17"/>
          <w:color w:val="auto"/>
        </w:rPr>
        <w:t>Additional details of specific balance sheet accounts are detailed below. Deferred revenue and accrued expenses consist of the following:</w:t>
      </w: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00" w:type="dxa"/>
            <w:vAlign w:val="bottom"/>
          </w:tcPr>
          <w:p>
            <w:pPr>
              <w:jc w:val="center"/>
              <w:ind w:left="376"/>
              <w:spacing w:after="0" w:line="149" w:lineRule="exact"/>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center"/>
              <w:ind w:right="276"/>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4880" w:type="dxa"/>
            <w:vAlign w:val="bottom"/>
          </w:tcPr>
          <w:p>
            <w:pPr>
              <w:spacing w:after="0"/>
              <w:rPr>
                <w:sz w:val="16"/>
                <w:szCs w:val="16"/>
                <w:color w:val="auto"/>
              </w:rPr>
            </w:pPr>
          </w:p>
        </w:tc>
        <w:tc>
          <w:tcPr>
            <w:tcW w:w="3820" w:type="dxa"/>
            <w:vAlign w:val="bottom"/>
            <w:gridSpan w:val="2"/>
          </w:tcPr>
          <w:p>
            <w:pPr>
              <w:jc w:val="center"/>
              <w:ind w:left="3142"/>
              <w:spacing w:after="0"/>
              <w:rPr>
                <w:sz w:val="20"/>
                <w:szCs w:val="20"/>
                <w:color w:val="auto"/>
              </w:rPr>
            </w:pPr>
            <w:r>
              <w:rPr>
                <w:rFonts w:ascii="Arial" w:cs="Arial" w:eastAsia="Arial" w:hAnsi="Arial"/>
                <w:sz w:val="14"/>
                <w:szCs w:val="14"/>
                <w:b w:val="1"/>
                <w:bCs w:val="1"/>
                <w:color w:val="auto"/>
                <w:w w:val="89"/>
              </w:rPr>
              <w:t>2023</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center"/>
              <w:ind w:right="256"/>
              <w:spacing w:after="0"/>
              <w:rPr>
                <w:sz w:val="20"/>
                <w:szCs w:val="20"/>
                <w:color w:val="auto"/>
              </w:rPr>
            </w:pPr>
            <w:r>
              <w:rPr>
                <w:rFonts w:ascii="Arial" w:cs="Arial" w:eastAsia="Arial" w:hAnsi="Arial"/>
                <w:sz w:val="14"/>
                <w:szCs w:val="14"/>
                <w:b w:val="1"/>
                <w:bCs w:val="1"/>
                <w:color w:val="auto"/>
                <w:w w:val="96"/>
              </w:rPr>
              <w:t>2022</w:t>
            </w:r>
          </w:p>
        </w:tc>
      </w:tr>
      <w:tr>
        <w:trPr>
          <w:trHeight w:val="237"/>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 accrued liabilities and deferred revenue</w:t>
            </w:r>
          </w:p>
        </w:tc>
        <w:tc>
          <w:tcPr>
            <w:tcW w:w="272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7"/>
              </w:rPr>
              <w:t>1,016</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975</w:t>
            </w: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Accrued discretionary and incentive compensation</w:t>
            </w:r>
          </w:p>
        </w:tc>
        <w:tc>
          <w:tcPr>
            <w:tcW w:w="2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6"/>
              <w:spacing w:after="0"/>
              <w:rPr>
                <w:sz w:val="20"/>
                <w:szCs w:val="20"/>
                <w:color w:val="auto"/>
              </w:rPr>
            </w:pPr>
            <w:r>
              <w:rPr>
                <w:rFonts w:ascii="Arial" w:cs="Arial" w:eastAsia="Arial" w:hAnsi="Arial"/>
                <w:sz w:val="18"/>
                <w:szCs w:val="18"/>
                <w:color w:val="auto"/>
              </w:rPr>
              <w:t>708</w:t>
            </w:r>
          </w:p>
        </w:tc>
      </w:tr>
      <w:tr>
        <w:trPr>
          <w:trHeight w:val="249"/>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vacation</w:t>
            </w:r>
          </w:p>
        </w:tc>
        <w:tc>
          <w:tcPr>
            <w:tcW w:w="27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142</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Other employee-related liabilities</w:t>
            </w:r>
          </w:p>
        </w:tc>
        <w:tc>
          <w:tcPr>
            <w:tcW w:w="27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90</w:t>
            </w:r>
          </w:p>
        </w:tc>
      </w:tr>
      <w:tr>
        <w:trPr>
          <w:trHeight w:val="277"/>
        </w:trPr>
        <w:tc>
          <w:tcPr>
            <w:tcW w:w="4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deferred revenue and accrued expenses</w:t>
            </w:r>
          </w:p>
        </w:tc>
        <w:tc>
          <w:tcPr>
            <w:tcW w:w="27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7"/>
              </w:rPr>
              <w:t>1,685</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1,915</w:t>
            </w:r>
          </w:p>
        </w:tc>
      </w:tr>
      <w:tr>
        <w:trPr>
          <w:trHeight w:val="345"/>
        </w:trPr>
        <w:tc>
          <w:tcPr>
            <w:tcW w:w="4880" w:type="dxa"/>
            <w:vAlign w:val="bottom"/>
          </w:tcPr>
          <w:p>
            <w:pPr>
              <w:spacing w:after="0"/>
              <w:rPr>
                <w:sz w:val="20"/>
                <w:szCs w:val="20"/>
                <w:color w:val="auto"/>
              </w:rPr>
            </w:pPr>
            <w:r>
              <w:rPr>
                <w:rFonts w:ascii="Arial" w:cs="Arial" w:eastAsia="Arial" w:hAnsi="Arial"/>
                <w:sz w:val="18"/>
                <w:szCs w:val="18"/>
                <w:color w:val="auto"/>
              </w:rPr>
              <w:t>Provision for liabilities consists of the following:</w:t>
            </w:r>
          </w:p>
        </w:tc>
        <w:tc>
          <w:tcPr>
            <w:tcW w:w="2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5"/>
        </w:trPr>
        <w:tc>
          <w:tcPr>
            <w:tcW w:w="48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100" w:type="dxa"/>
            <w:vAlign w:val="bottom"/>
          </w:tcPr>
          <w:p>
            <w:pPr>
              <w:jc w:val="center"/>
              <w:ind w:left="376"/>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center"/>
              <w:ind w:right="276"/>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4880" w:type="dxa"/>
            <w:vAlign w:val="bottom"/>
          </w:tcPr>
          <w:p>
            <w:pPr>
              <w:spacing w:after="0"/>
              <w:rPr>
                <w:sz w:val="16"/>
                <w:szCs w:val="16"/>
                <w:color w:val="auto"/>
              </w:rPr>
            </w:pPr>
          </w:p>
        </w:tc>
        <w:tc>
          <w:tcPr>
            <w:tcW w:w="3820" w:type="dxa"/>
            <w:vAlign w:val="bottom"/>
            <w:gridSpan w:val="2"/>
          </w:tcPr>
          <w:p>
            <w:pPr>
              <w:jc w:val="center"/>
              <w:ind w:left="3142"/>
              <w:spacing w:after="0"/>
              <w:rPr>
                <w:sz w:val="20"/>
                <w:szCs w:val="20"/>
                <w:color w:val="auto"/>
              </w:rPr>
            </w:pPr>
            <w:r>
              <w:rPr>
                <w:rFonts w:ascii="Arial" w:cs="Arial" w:eastAsia="Arial" w:hAnsi="Arial"/>
                <w:sz w:val="14"/>
                <w:szCs w:val="14"/>
                <w:b w:val="1"/>
                <w:bCs w:val="1"/>
                <w:color w:val="auto"/>
                <w:w w:val="89"/>
              </w:rPr>
              <w:t>2023</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center"/>
              <w:ind w:right="256"/>
              <w:spacing w:after="0"/>
              <w:rPr>
                <w:sz w:val="20"/>
                <w:szCs w:val="20"/>
                <w:color w:val="auto"/>
              </w:rPr>
            </w:pPr>
            <w:r>
              <w:rPr>
                <w:rFonts w:ascii="Arial" w:cs="Arial" w:eastAsia="Arial" w:hAnsi="Arial"/>
                <w:sz w:val="14"/>
                <w:szCs w:val="14"/>
                <w:b w:val="1"/>
                <w:bCs w:val="1"/>
                <w:color w:val="auto"/>
                <w:w w:val="96"/>
              </w:rPr>
              <w:t>2022</w:t>
            </w:r>
          </w:p>
        </w:tc>
      </w:tr>
      <w:tr>
        <w:trPr>
          <w:trHeight w:val="236"/>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Claims, lawsuits and other proceedings</w:t>
            </w:r>
          </w:p>
        </w:tc>
        <w:tc>
          <w:tcPr>
            <w:tcW w:w="272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296</w:t>
            </w:r>
          </w:p>
        </w:tc>
      </w:tr>
      <w:tr>
        <w:trPr>
          <w:trHeight w:val="237"/>
        </w:trPr>
        <w:tc>
          <w:tcPr>
            <w:tcW w:w="4880" w:type="dxa"/>
            <w:vAlign w:val="bottom"/>
          </w:tcPr>
          <w:p>
            <w:pPr>
              <w:ind w:left="20"/>
              <w:spacing w:after="0"/>
              <w:rPr>
                <w:sz w:val="20"/>
                <w:szCs w:val="20"/>
                <w:color w:val="auto"/>
              </w:rPr>
            </w:pPr>
            <w:r>
              <w:rPr>
                <w:rFonts w:ascii="Arial" w:cs="Arial" w:eastAsia="Arial" w:hAnsi="Arial"/>
                <w:sz w:val="18"/>
                <w:szCs w:val="18"/>
                <w:color w:val="auto"/>
              </w:rPr>
              <w:t>Other provisions</w:t>
            </w:r>
          </w:p>
        </w:tc>
        <w:tc>
          <w:tcPr>
            <w:tcW w:w="27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61</w:t>
            </w:r>
          </w:p>
        </w:tc>
      </w:tr>
      <w:tr>
        <w:trPr>
          <w:trHeight w:val="277"/>
        </w:trPr>
        <w:tc>
          <w:tcPr>
            <w:tcW w:w="4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provision for liabilities</w:t>
            </w:r>
          </w:p>
        </w:tc>
        <w:tc>
          <w:tcPr>
            <w:tcW w:w="27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386</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357</w:t>
            </w:r>
          </w:p>
        </w:tc>
      </w:tr>
      <w:tr>
        <w:trPr>
          <w:trHeight w:val="594"/>
        </w:trPr>
        <w:tc>
          <w:tcPr>
            <w:tcW w:w="4880" w:type="dxa"/>
            <w:vAlign w:val="bottom"/>
          </w:tcPr>
          <w:p>
            <w:pPr>
              <w:spacing w:after="0"/>
              <w:rPr>
                <w:sz w:val="24"/>
                <w:szCs w:val="24"/>
                <w:color w:val="auto"/>
              </w:rPr>
            </w:pPr>
          </w:p>
        </w:tc>
        <w:tc>
          <w:tcPr>
            <w:tcW w:w="2720" w:type="dxa"/>
            <w:vAlign w:val="bottom"/>
          </w:tcPr>
          <w:p>
            <w:pPr>
              <w:jc w:val="right"/>
              <w:ind w:right="1802"/>
              <w:spacing w:after="0"/>
              <w:rPr>
                <w:sz w:val="20"/>
                <w:szCs w:val="20"/>
                <w:color w:val="auto"/>
              </w:rPr>
            </w:pPr>
            <w:r>
              <w:rPr>
                <w:rFonts w:ascii="Arial" w:cs="Arial" w:eastAsia="Arial" w:hAnsi="Arial"/>
                <w:sz w:val="18"/>
                <w:szCs w:val="18"/>
                <w:color w:val="auto"/>
              </w:rPr>
              <w:t>26</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-1550670</wp:posOffset>
            </wp:positionV>
            <wp:extent cx="137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-1533525</wp:posOffset>
            </wp:positionV>
            <wp:extent cx="137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-496570</wp:posOffset>
            </wp:positionV>
            <wp:extent cx="137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-479425</wp:posOffset>
            </wp:positionV>
            <wp:extent cx="137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16 — Other Income,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consists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28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r>
      <w:tr>
        <w:trPr>
          <w:trHeight w:val="185"/>
        </w:trPr>
        <w:tc>
          <w:tcPr>
            <w:tcW w:w="56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223"/>
        </w:trPr>
        <w:tc>
          <w:tcPr>
            <w:tcW w:w="564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9"/>
                <w:szCs w:val="19"/>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ind w:right="473"/>
              <w:spacing w:after="0"/>
              <w:rPr>
                <w:sz w:val="20"/>
                <w:szCs w:val="20"/>
                <w:color w:val="auto"/>
              </w:rPr>
            </w:pPr>
            <w:r>
              <w:rPr>
                <w:rFonts w:ascii="Arial" w:cs="Arial" w:eastAsia="Arial" w:hAnsi="Arial"/>
                <w:sz w:val="14"/>
                <w:szCs w:val="14"/>
                <w:b w:val="1"/>
                <w:bCs w:val="1"/>
                <w:color w:val="auto"/>
                <w:w w:val="89"/>
              </w:rPr>
              <w:t>2022</w:t>
            </w:r>
          </w:p>
        </w:tc>
      </w:tr>
      <w:tr>
        <w:trPr>
          <w:trHeight w:val="237"/>
        </w:trPr>
        <w:tc>
          <w:tcPr>
            <w:tcW w:w="564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Gain/(loss) on disposal of operations </w:t>
            </w:r>
            <w:r>
              <w:rPr>
                <w:rFonts w:ascii="Arial" w:cs="Arial" w:eastAsia="Arial" w:hAnsi="Arial"/>
                <w:sz w:val="24"/>
                <w:szCs w:val="24"/>
                <w:color w:val="auto"/>
                <w:vertAlign w:val="superscript"/>
              </w:rPr>
              <w:t>(i)</w:t>
            </w: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(32 )</w:t>
            </w: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Net periodic pension and postretirement benefit credits</w:t>
            </w:r>
          </w:p>
        </w:tc>
        <w:tc>
          <w:tcPr>
            <w:tcW w:w="840" w:type="dxa"/>
            <w:vAlign w:val="bottom"/>
          </w:tcPr>
          <w:p>
            <w:pPr>
              <w:spacing w:after="0"/>
              <w:rPr>
                <w:sz w:val="20"/>
                <w:szCs w:val="20"/>
                <w:color w:val="auto"/>
              </w:rPr>
            </w:pPr>
          </w:p>
        </w:tc>
        <w:tc>
          <w:tcPr>
            <w:tcW w:w="440" w:type="dxa"/>
            <w:vAlign w:val="bottom"/>
          </w:tcPr>
          <w:p>
            <w:pPr>
              <w:jc w:val="right"/>
              <w:ind w:right="53"/>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140</w:t>
            </w:r>
          </w:p>
        </w:tc>
      </w:tr>
      <w:tr>
        <w:trPr>
          <w:trHeight w:val="24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 earnings of associates and other investments</w:t>
            </w:r>
          </w:p>
        </w:tc>
        <w:tc>
          <w:tcPr>
            <w:tcW w:w="8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w:t>
            </w:r>
          </w:p>
        </w:tc>
      </w:tr>
      <w:tr>
        <w:trPr>
          <w:trHeight w:val="243"/>
        </w:trPr>
        <w:tc>
          <w:tcPr>
            <w:tcW w:w="56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Foreign exchange gain/(loss) </w:t>
            </w:r>
            <w:r>
              <w:rPr>
                <w:rFonts w:ascii="Arial" w:cs="Arial" w:eastAsia="Arial" w:hAnsi="Arial"/>
                <w:sz w:val="24"/>
                <w:szCs w:val="24"/>
                <w:color w:val="auto"/>
                <w:vertAlign w:val="superscript"/>
              </w:rPr>
              <w:t>(ii)</w:t>
            </w:r>
          </w:p>
        </w:tc>
        <w:tc>
          <w:tcPr>
            <w:tcW w:w="840" w:type="dxa"/>
            <w:vAlign w:val="bottom"/>
          </w:tcPr>
          <w:p>
            <w:pPr>
              <w:spacing w:after="0"/>
              <w:rPr>
                <w:sz w:val="21"/>
                <w:szCs w:val="21"/>
                <w:color w:val="auto"/>
              </w:rPr>
            </w:pPr>
          </w:p>
        </w:tc>
        <w:tc>
          <w:tcPr>
            <w:tcW w:w="44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5</w:t>
            </w:r>
          </w:p>
        </w:tc>
      </w:tr>
      <w:tr>
        <w:trPr>
          <w:trHeight w:val="237"/>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w:t>
            </w: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53"/>
              <w:spacing w:after="0"/>
              <w:rPr>
                <w:sz w:val="20"/>
                <w:szCs w:val="20"/>
                <w:color w:val="auto"/>
              </w:rPr>
            </w:pPr>
            <w:r>
              <w:rPr>
                <w:rFonts w:ascii="Arial" w:cs="Arial" w:eastAsia="Arial" w:hAnsi="Arial"/>
                <w:sz w:val="18"/>
                <w:szCs w:val="18"/>
                <w:color w:val="auto"/>
              </w:rPr>
              <w:t>35</w:t>
            </w:r>
          </w:p>
        </w:tc>
        <w:tc>
          <w:tcPr>
            <w:tcW w:w="100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60</w:t>
            </w:r>
          </w:p>
        </w:tc>
        <w:tc>
          <w:tcPr>
            <w:tcW w:w="5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120</w:t>
            </w:r>
          </w:p>
        </w:tc>
      </w:tr>
      <w:tr>
        <w:trPr>
          <w:trHeight w:val="20"/>
        </w:trPr>
        <w:tc>
          <w:tcPr>
            <w:tcW w:w="5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-187960</wp:posOffset>
            </wp:positionV>
            <wp:extent cx="102870"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102870"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-187960</wp:posOffset>
            </wp:positionV>
            <wp:extent cx="102870" cy="1885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7"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both the three and six months ended June 30, 2022, includes a $24 million non-cash revaluation gain related to an acquisition completed in stages.</w:t>
      </w:r>
    </w:p>
    <w:p>
      <w:pPr>
        <w:spacing w:after="0" w:line="28" w:lineRule="exact"/>
        <w:rPr>
          <w:rFonts w:ascii="Arial" w:cs="Arial" w:eastAsia="Arial" w:hAnsi="Arial"/>
          <w:sz w:val="14"/>
          <w:szCs w:val="14"/>
          <w:color w:val="auto"/>
        </w:rPr>
      </w:pPr>
    </w:p>
    <w:p>
      <w:pPr>
        <w:ind w:left="280" w:hanging="272"/>
        <w:spacing w:after="0"/>
        <w:tabs>
          <w:tab w:leader="none" w:pos="2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the offsetting effects of the Company's foreign currency hedging program. See Note 9 — Derivative Financial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Accumulated Other Comprehensive Loss</w:t>
      </w:r>
    </w:p>
    <w:p>
      <w:pPr>
        <w:spacing w:after="0" w:line="175"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Changes in accumulated other comprehensive loss, net of non-controlling interests, and net of tax are provided in the following tables for the three and six months ended June 30, 2023 and 2022. This table excludes amounts attributable to non-controlling interests, which are not material for further disclosure.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2C2C2C"/>
              </w:rPr>
              <w:t>Foreign currency</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2C2C2C"/>
              </w:rPr>
              <w:t>Derivative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2C2C2C"/>
                <w:w w:val="91"/>
              </w:rPr>
              <w:t>Defined pension and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center"/>
              <w:ind w:right="200"/>
              <w:spacing w:after="0" w:line="145" w:lineRule="exact"/>
              <w:rPr>
                <w:sz w:val="20"/>
                <w:szCs w:val="20"/>
                <w:color w:val="auto"/>
              </w:rPr>
            </w:pPr>
            <w:r>
              <w:rPr>
                <w:rFonts w:ascii="Arial" w:cs="Arial" w:eastAsia="Arial" w:hAnsi="Arial"/>
                <w:sz w:val="14"/>
                <w:szCs w:val="14"/>
                <w:b w:val="1"/>
                <w:bCs w:val="1"/>
                <w:color w:val="2C2C2C"/>
                <w:w w:val="93"/>
              </w:rPr>
              <w:t>post-retirement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2C2C2C"/>
              </w:rPr>
              <w:t>Total</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480"/>
              <w:spacing w:after="0" w:line="189" w:lineRule="exact"/>
              <w:rPr>
                <w:sz w:val="20"/>
                <w:szCs w:val="20"/>
                <w:color w:val="auto"/>
              </w:rPr>
            </w:pPr>
            <w:r>
              <w:rPr>
                <w:rFonts w:ascii="Arial" w:cs="Arial" w:eastAsia="Arial" w:hAnsi="Arial"/>
                <w:sz w:val="14"/>
                <w:szCs w:val="14"/>
                <w:b w:val="1"/>
                <w:bCs w:val="1"/>
                <w:color w:val="2C2C2C"/>
              </w:rPr>
              <w:t xml:space="preserve">translation </w:t>
            </w:r>
            <w:r>
              <w:rPr>
                <w:rFonts w:ascii="Arial" w:cs="Arial" w:eastAsia="Arial" w:hAnsi="Arial"/>
                <w:sz w:val="19"/>
                <w:szCs w:val="19"/>
                <w:b w:val="1"/>
                <w:bCs w:val="1"/>
                <w:color w:val="2C2C2C"/>
                <w:vertAlign w:val="superscript"/>
              </w:rPr>
              <w:t>(i)</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460"/>
              <w:spacing w:after="0" w:line="189" w:lineRule="exact"/>
              <w:rPr>
                <w:sz w:val="20"/>
                <w:szCs w:val="20"/>
                <w:color w:val="auto"/>
              </w:rPr>
            </w:pPr>
            <w:r>
              <w:rPr>
                <w:rFonts w:ascii="Arial" w:cs="Arial" w:eastAsia="Arial" w:hAnsi="Arial"/>
                <w:sz w:val="14"/>
                <w:szCs w:val="14"/>
                <w:b w:val="1"/>
                <w:bCs w:val="1"/>
                <w:color w:val="2C2C2C"/>
              </w:rPr>
              <w:t xml:space="preserve">instruments </w:t>
            </w:r>
            <w:r>
              <w:rPr>
                <w:rFonts w:ascii="Arial" w:cs="Arial" w:eastAsia="Arial" w:hAnsi="Arial"/>
                <w:sz w:val="19"/>
                <w:szCs w:val="19"/>
                <w:b w:val="1"/>
                <w:bCs w:val="1"/>
                <w:color w:val="2C2C2C"/>
                <w:vertAlign w:val="superscript"/>
              </w:rPr>
              <w:t>(i)</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ind w:right="200"/>
              <w:spacing w:after="0" w:line="189" w:lineRule="exact"/>
              <w:rPr>
                <w:sz w:val="20"/>
                <w:szCs w:val="20"/>
                <w:color w:val="auto"/>
              </w:rPr>
            </w:pPr>
            <w:r>
              <w:rPr>
                <w:rFonts w:ascii="Arial" w:cs="Arial" w:eastAsia="Arial" w:hAnsi="Arial"/>
                <w:sz w:val="14"/>
                <w:szCs w:val="14"/>
                <w:b w:val="1"/>
                <w:bCs w:val="1"/>
                <w:color w:val="2C2C2C"/>
                <w:w w:val="86"/>
              </w:rPr>
              <w:t xml:space="preserve">benefit costs </w:t>
            </w:r>
            <w:r>
              <w:rPr>
                <w:rFonts w:ascii="Arial" w:cs="Arial" w:eastAsia="Arial" w:hAnsi="Arial"/>
                <w:sz w:val="19"/>
                <w:szCs w:val="19"/>
                <w:b w:val="1"/>
                <w:bCs w:val="1"/>
                <w:color w:val="2C2C2C"/>
                <w:w w:val="86"/>
                <w:vertAlign w:val="superscript"/>
              </w:rPr>
              <w:t>(ii)</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2C2C2C"/>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2C2C2C"/>
              </w:rPr>
              <w:t>2022</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2C2C2C"/>
              </w:rPr>
              <w:t>2023</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2C2C2C"/>
                <w:w w:val="89"/>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2C2C2C"/>
              </w:rPr>
              <w:t>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2C2C2C"/>
              </w:rPr>
              <w:t>2022</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2C2C2C"/>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2C2C2C"/>
              </w:rPr>
              <w:t>2022</w:t>
            </w:r>
          </w:p>
        </w:tc>
        <w:tc>
          <w:tcPr>
            <w:tcW w:w="0" w:type="dxa"/>
            <w:vAlign w:val="bottom"/>
          </w:tcPr>
          <w:p>
            <w:pPr>
              <w:spacing w:after="0"/>
              <w:rPr>
                <w:sz w:val="1"/>
                <w:szCs w:val="1"/>
                <w:color w:val="auto"/>
              </w:rPr>
            </w:pPr>
          </w:p>
        </w:tc>
      </w:tr>
      <w:tr>
        <w:trPr>
          <w:trHeight w:val="236"/>
        </w:trPr>
        <w:tc>
          <w:tcPr>
            <w:tcW w:w="3640" w:type="dxa"/>
            <w:vAlign w:val="bottom"/>
            <w:shd w:val="clear" w:color="auto" w:fill="CFF0FC"/>
          </w:tcPr>
          <w:p>
            <w:pPr>
              <w:ind w:left="20"/>
              <w:spacing w:after="0"/>
              <w:rPr>
                <w:sz w:val="20"/>
                <w:szCs w:val="20"/>
                <w:color w:val="auto"/>
              </w:rPr>
            </w:pPr>
            <w:r>
              <w:rPr>
                <w:rFonts w:ascii="Arial" w:cs="Arial" w:eastAsia="Arial" w:hAnsi="Arial"/>
                <w:sz w:val="14"/>
                <w:szCs w:val="14"/>
                <w:color w:val="2C2C2C"/>
              </w:rPr>
              <w:t>Quarter-to-date activity:</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4"/>
                <w:szCs w:val="14"/>
                <w:color w:val="2C2C2C"/>
              </w:rPr>
              <w:t>Balance at March 31, 2023 and 2022, respectively</w:t>
            </w:r>
          </w:p>
        </w:tc>
        <w:tc>
          <w:tcPr>
            <w:tcW w:w="140" w:type="dxa"/>
            <w:vAlign w:val="bottom"/>
          </w:tcPr>
          <w:p>
            <w:pPr>
              <w:jc w:val="right"/>
              <w:spacing w:after="0"/>
              <w:rPr>
                <w:sz w:val="20"/>
                <w:szCs w:val="20"/>
                <w:color w:val="auto"/>
              </w:rPr>
            </w:pPr>
            <w:r>
              <w:rPr>
                <w:rFonts w:ascii="Arial" w:cs="Arial" w:eastAsia="Arial" w:hAnsi="Arial"/>
                <w:sz w:val="16"/>
                <w:szCs w:val="16"/>
                <w:color w:val="2C2C2C"/>
                <w:w w:val="89"/>
              </w:rPr>
              <w:t>$</w:t>
            </w:r>
          </w:p>
        </w:tc>
        <w:tc>
          <w:tcPr>
            <w:tcW w:w="700" w:type="dxa"/>
            <w:vAlign w:val="bottom"/>
          </w:tcPr>
          <w:p>
            <w:pPr>
              <w:jc w:val="right"/>
              <w:spacing w:after="0"/>
              <w:rPr>
                <w:sz w:val="20"/>
                <w:szCs w:val="20"/>
                <w:color w:val="auto"/>
              </w:rPr>
            </w:pPr>
            <w:r>
              <w:rPr>
                <w:rFonts w:ascii="Arial" w:cs="Arial" w:eastAsia="Arial" w:hAnsi="Arial"/>
                <w:sz w:val="16"/>
                <w:szCs w:val="16"/>
                <w:color w:val="2C2C2C"/>
              </w:rPr>
              <w:t>(944 )</w:t>
            </w:r>
          </w:p>
        </w:tc>
        <w:tc>
          <w:tcPr>
            <w:tcW w:w="28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80" w:type="dxa"/>
            <w:vAlign w:val="bottom"/>
          </w:tcPr>
          <w:p>
            <w:pPr>
              <w:jc w:val="right"/>
              <w:spacing w:after="0"/>
              <w:rPr>
                <w:sz w:val="20"/>
                <w:szCs w:val="20"/>
                <w:color w:val="auto"/>
              </w:rPr>
            </w:pPr>
            <w:r>
              <w:rPr>
                <w:rFonts w:ascii="Arial" w:cs="Arial" w:eastAsia="Arial" w:hAnsi="Arial"/>
                <w:sz w:val="16"/>
                <w:szCs w:val="16"/>
                <w:color w:val="2C2C2C"/>
              </w:rPr>
              <w:t>(548 )</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2C2C2C"/>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2C2C2C"/>
              </w:rPr>
              <w:t>11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2C2C2C"/>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2C2C2C"/>
              </w:rPr>
              <w:t>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2C2C2C"/>
              </w:rPr>
              <w:t>$</w:t>
            </w:r>
          </w:p>
        </w:tc>
        <w:tc>
          <w:tcPr>
            <w:tcW w:w="680" w:type="dxa"/>
            <w:vAlign w:val="bottom"/>
          </w:tcPr>
          <w:p>
            <w:pPr>
              <w:jc w:val="right"/>
              <w:spacing w:after="0"/>
              <w:rPr>
                <w:sz w:val="20"/>
                <w:szCs w:val="20"/>
                <w:color w:val="auto"/>
              </w:rPr>
            </w:pPr>
            <w:r>
              <w:rPr>
                <w:rFonts w:ascii="Arial" w:cs="Arial" w:eastAsia="Arial" w:hAnsi="Arial"/>
                <w:sz w:val="16"/>
                <w:szCs w:val="16"/>
                <w:color w:val="2C2C2C"/>
              </w:rPr>
              <w:t>(1,635 )</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2C2C2C"/>
              </w:rPr>
              <w:t>$</w:t>
            </w:r>
          </w:p>
        </w:tc>
        <w:tc>
          <w:tcPr>
            <w:tcW w:w="680" w:type="dxa"/>
            <w:vAlign w:val="bottom"/>
          </w:tcPr>
          <w:p>
            <w:pPr>
              <w:jc w:val="right"/>
              <w:spacing w:after="0"/>
              <w:rPr>
                <w:sz w:val="20"/>
                <w:szCs w:val="20"/>
                <w:color w:val="auto"/>
              </w:rPr>
            </w:pPr>
            <w:r>
              <w:rPr>
                <w:rFonts w:ascii="Arial" w:cs="Arial" w:eastAsia="Arial" w:hAnsi="Arial"/>
                <w:sz w:val="16"/>
                <w:szCs w:val="16"/>
                <w:color w:val="2C2C2C"/>
              </w:rPr>
              <w:t>(1,702 )</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2C2C2C"/>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2C2C2C"/>
              </w:rPr>
              <w:t>(2,568 )</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2C2C2C"/>
              </w:rPr>
              <w:t>$</w:t>
            </w:r>
          </w:p>
        </w:tc>
        <w:tc>
          <w:tcPr>
            <w:tcW w:w="700" w:type="dxa"/>
            <w:vAlign w:val="bottom"/>
          </w:tcPr>
          <w:p>
            <w:pPr>
              <w:jc w:val="right"/>
              <w:spacing w:after="0"/>
              <w:rPr>
                <w:sz w:val="20"/>
                <w:szCs w:val="20"/>
                <w:color w:val="auto"/>
              </w:rPr>
            </w:pPr>
            <w:r>
              <w:rPr>
                <w:rFonts w:ascii="Arial" w:cs="Arial" w:eastAsia="Arial" w:hAnsi="Arial"/>
                <w:sz w:val="16"/>
                <w:szCs w:val="16"/>
                <w:color w:val="2C2C2C"/>
              </w:rPr>
              <w:t>(2,242 )</w:t>
            </w:r>
          </w:p>
        </w:tc>
        <w:tc>
          <w:tcPr>
            <w:tcW w:w="0" w:type="dxa"/>
            <w:vAlign w:val="bottom"/>
          </w:tcPr>
          <w:p>
            <w:pPr>
              <w:spacing w:after="0"/>
              <w:rPr>
                <w:sz w:val="1"/>
                <w:szCs w:val="1"/>
                <w:color w:val="auto"/>
              </w:rPr>
            </w:pPr>
          </w:p>
        </w:tc>
      </w:tr>
      <w:tr>
        <w:trPr>
          <w:trHeight w:val="143"/>
        </w:trPr>
        <w:tc>
          <w:tcPr>
            <w:tcW w:w="36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2C2C2C"/>
              </w:rPr>
              <w:t>Other comprehensive income/(loss) before</w:t>
            </w:r>
          </w:p>
        </w:tc>
        <w:tc>
          <w:tcPr>
            <w:tcW w:w="14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ind w:right="81"/>
              <w:spacing w:after="0"/>
              <w:rPr>
                <w:sz w:val="20"/>
                <w:szCs w:val="20"/>
                <w:color w:val="auto"/>
              </w:rPr>
            </w:pPr>
            <w:r>
              <w:rPr>
                <w:rFonts w:ascii="Arial" w:cs="Arial" w:eastAsia="Arial" w:hAnsi="Arial"/>
                <w:sz w:val="16"/>
                <w:szCs w:val="16"/>
                <w:color w:val="2C2C2C"/>
              </w:rPr>
              <w:t>18</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rPr>
              <w:t>(246 )</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16"/>
                <w:szCs w:val="16"/>
                <w:color w:val="2C2C2C"/>
              </w:rPr>
              <w:t>1</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rPr>
              <w:t>(2 )</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62"/>
              <w:spacing w:after="0"/>
              <w:rPr>
                <w:sz w:val="20"/>
                <w:szCs w:val="20"/>
                <w:color w:val="auto"/>
              </w:rPr>
            </w:pPr>
            <w:r>
              <w:rPr>
                <w:rFonts w:ascii="Arial" w:cs="Arial" w:eastAsia="Arial" w:hAnsi="Arial"/>
                <w:sz w:val="16"/>
                <w:szCs w:val="16"/>
                <w:color w:val="2C2C2C"/>
              </w:rPr>
              <w:t>1</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rPr>
              <w:t>(4 )</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ind w:right="81"/>
              <w:spacing w:after="0"/>
              <w:rPr>
                <w:sz w:val="20"/>
                <w:szCs w:val="20"/>
                <w:color w:val="auto"/>
              </w:rPr>
            </w:pPr>
            <w:r>
              <w:rPr>
                <w:rFonts w:ascii="Arial" w:cs="Arial" w:eastAsia="Arial" w:hAnsi="Arial"/>
                <w:sz w:val="16"/>
                <w:szCs w:val="16"/>
                <w:color w:val="2C2C2C"/>
              </w:rPr>
              <w:t>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rPr>
              <w:t>(252 )</w:t>
            </w:r>
          </w:p>
        </w:tc>
        <w:tc>
          <w:tcPr>
            <w:tcW w:w="0" w:type="dxa"/>
            <w:vAlign w:val="bottom"/>
          </w:tcPr>
          <w:p>
            <w:pPr>
              <w:spacing w:after="0"/>
              <w:rPr>
                <w:sz w:val="1"/>
                <w:szCs w:val="1"/>
                <w:color w:val="auto"/>
              </w:rPr>
            </w:pPr>
          </w:p>
        </w:tc>
      </w:tr>
      <w:tr>
        <w:trPr>
          <w:trHeight w:val="181"/>
        </w:trPr>
        <w:tc>
          <w:tcPr>
            <w:tcW w:w="3640" w:type="dxa"/>
            <w:vAlign w:val="bottom"/>
            <w:shd w:val="clear" w:color="auto" w:fill="CFF0FC"/>
          </w:tcPr>
          <w:p>
            <w:pPr>
              <w:ind w:left="120"/>
              <w:spacing w:after="0"/>
              <w:rPr>
                <w:sz w:val="20"/>
                <w:szCs w:val="20"/>
                <w:color w:val="auto"/>
              </w:rPr>
            </w:pPr>
            <w:r>
              <w:rPr>
                <w:rFonts w:ascii="Arial" w:cs="Arial" w:eastAsia="Arial" w:hAnsi="Arial"/>
                <w:sz w:val="14"/>
                <w:szCs w:val="14"/>
                <w:color w:val="2C2C2C"/>
              </w:rPr>
              <w:t>reclassifications</w:t>
            </w:r>
          </w:p>
        </w:tc>
        <w:tc>
          <w:tcPr>
            <w:tcW w:w="14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640" w:type="dxa"/>
            <w:vAlign w:val="bottom"/>
          </w:tcPr>
          <w:p>
            <w:pPr>
              <w:ind w:left="20"/>
              <w:spacing w:after="0" w:line="143" w:lineRule="exact"/>
              <w:rPr>
                <w:sz w:val="20"/>
                <w:szCs w:val="20"/>
                <w:color w:val="auto"/>
              </w:rPr>
            </w:pPr>
            <w:r>
              <w:rPr>
                <w:rFonts w:ascii="Arial" w:cs="Arial" w:eastAsia="Arial" w:hAnsi="Arial"/>
                <w:sz w:val="14"/>
                <w:szCs w:val="14"/>
                <w:color w:val="2C2C2C"/>
              </w:rPr>
              <w:t>Loss reclassified from accumulated 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tcPr>
          <w:p>
            <w:pPr>
              <w:ind w:left="120"/>
              <w:spacing w:after="0" w:line="149" w:lineRule="exact"/>
              <w:rPr>
                <w:sz w:val="20"/>
                <w:szCs w:val="20"/>
                <w:color w:val="auto"/>
              </w:rPr>
            </w:pPr>
            <w:r>
              <w:rPr>
                <w:rFonts w:ascii="Arial" w:cs="Arial" w:eastAsia="Arial" w:hAnsi="Arial"/>
                <w:sz w:val="14"/>
                <w:szCs w:val="14"/>
                <w:color w:val="2C2C2C"/>
              </w:rPr>
              <w:t>comprehensive loss (net of income tax benefit of</w:t>
            </w:r>
          </w:p>
        </w:tc>
        <w:tc>
          <w:tcPr>
            <w:tcW w:w="140" w:type="dxa"/>
            <w:vAlign w:val="bottom"/>
          </w:tcPr>
          <w:p>
            <w:pPr>
              <w:spacing w:after="0"/>
              <w:rPr>
                <w:sz w:val="12"/>
                <w:szCs w:val="12"/>
                <w:color w:val="auto"/>
              </w:rPr>
            </w:pPr>
          </w:p>
        </w:tc>
        <w:tc>
          <w:tcPr>
            <w:tcW w:w="700" w:type="dxa"/>
            <w:vAlign w:val="bottom"/>
            <w:vMerge w:val="restart"/>
          </w:tcPr>
          <w:p>
            <w:pPr>
              <w:jc w:val="right"/>
              <w:ind w:right="81"/>
              <w:spacing w:after="0"/>
              <w:rPr>
                <w:sz w:val="20"/>
                <w:szCs w:val="20"/>
                <w:color w:val="auto"/>
              </w:rPr>
            </w:pPr>
            <w:r>
              <w:rPr>
                <w:rFonts w:ascii="Arial" w:cs="Arial" w:eastAsia="Arial" w:hAnsi="Arial"/>
                <w:sz w:val="16"/>
                <w:szCs w:val="16"/>
                <w:color w:val="2C2C2C"/>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60"/>
              <w:spacing w:after="0"/>
              <w:rPr>
                <w:sz w:val="20"/>
                <w:szCs w:val="20"/>
                <w:color w:val="auto"/>
              </w:rPr>
            </w:pPr>
            <w:r>
              <w:rPr>
                <w:rFonts w:ascii="Arial" w:cs="Arial" w:eastAsia="Arial" w:hAnsi="Arial"/>
                <w:sz w:val="16"/>
                <w:szCs w:val="16"/>
                <w:color w:val="2C2C2C"/>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61"/>
              <w:spacing w:after="0"/>
              <w:rPr>
                <w:sz w:val="20"/>
                <w:szCs w:val="20"/>
                <w:color w:val="auto"/>
              </w:rPr>
            </w:pPr>
            <w:r>
              <w:rPr>
                <w:rFonts w:ascii="Arial" w:cs="Arial" w:eastAsia="Arial" w:hAnsi="Arial"/>
                <w:sz w:val="16"/>
                <w:szCs w:val="16"/>
                <w:color w:val="2C2C2C"/>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ind w:right="60"/>
              <w:spacing w:after="0"/>
              <w:rPr>
                <w:sz w:val="20"/>
                <w:szCs w:val="20"/>
                <w:color w:val="auto"/>
              </w:rPr>
            </w:pPr>
            <w:r>
              <w:rPr>
                <w:rFonts w:ascii="Arial" w:cs="Arial" w:eastAsia="Arial" w:hAnsi="Arial"/>
                <w:sz w:val="16"/>
                <w:szCs w:val="16"/>
                <w:color w:val="2C2C2C"/>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62"/>
              <w:spacing w:after="0"/>
              <w:rPr>
                <w:sz w:val="20"/>
                <w:szCs w:val="20"/>
                <w:color w:val="auto"/>
              </w:rPr>
            </w:pPr>
            <w:r>
              <w:rPr>
                <w:rFonts w:ascii="Arial" w:cs="Arial" w:eastAsia="Arial" w:hAnsi="Arial"/>
                <w:sz w:val="16"/>
                <w:szCs w:val="16"/>
                <w:color w:val="2C2C2C"/>
              </w:rPr>
              <w:t>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60"/>
              <w:spacing w:after="0"/>
              <w:rPr>
                <w:sz w:val="20"/>
                <w:szCs w:val="20"/>
                <w:color w:val="auto"/>
              </w:rPr>
            </w:pPr>
            <w:r>
              <w:rPr>
                <w:rFonts w:ascii="Arial" w:cs="Arial" w:eastAsia="Arial" w:hAnsi="Arial"/>
                <w:sz w:val="16"/>
                <w:szCs w:val="16"/>
                <w:color w:val="2C2C2C"/>
              </w:rPr>
              <w:t>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81"/>
              <w:spacing w:after="0"/>
              <w:rPr>
                <w:sz w:val="20"/>
                <w:szCs w:val="20"/>
                <w:color w:val="auto"/>
              </w:rPr>
            </w:pPr>
            <w:r>
              <w:rPr>
                <w:rFonts w:ascii="Arial" w:cs="Arial" w:eastAsia="Arial" w:hAnsi="Arial"/>
                <w:sz w:val="16"/>
                <w:szCs w:val="16"/>
                <w:color w:val="2C2C2C"/>
              </w:rPr>
              <w:t>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6"/>
                <w:szCs w:val="16"/>
                <w:color w:val="2C2C2C"/>
              </w:rPr>
              <w:t>8</w:t>
            </w:r>
          </w:p>
        </w:tc>
        <w:tc>
          <w:tcPr>
            <w:tcW w:w="0" w:type="dxa"/>
            <w:vAlign w:val="bottom"/>
          </w:tcPr>
          <w:p>
            <w:pPr>
              <w:spacing w:after="0"/>
              <w:rPr>
                <w:sz w:val="1"/>
                <w:szCs w:val="1"/>
                <w:color w:val="auto"/>
              </w:rPr>
            </w:pPr>
          </w:p>
        </w:tc>
      </w:tr>
      <w:tr>
        <w:trPr>
          <w:trHeight w:val="167"/>
        </w:trPr>
        <w:tc>
          <w:tcPr>
            <w:tcW w:w="3640" w:type="dxa"/>
            <w:vAlign w:val="bottom"/>
          </w:tcPr>
          <w:p>
            <w:pPr>
              <w:ind w:left="120"/>
              <w:spacing w:after="0"/>
              <w:rPr>
                <w:sz w:val="20"/>
                <w:szCs w:val="20"/>
                <w:color w:val="auto"/>
              </w:rPr>
            </w:pPr>
            <w:r>
              <w:rPr>
                <w:rFonts w:ascii="Arial" w:cs="Arial" w:eastAsia="Arial" w:hAnsi="Arial"/>
                <w:sz w:val="14"/>
                <w:szCs w:val="14"/>
                <w:color w:val="2C2C2C"/>
              </w:rPr>
              <w:t>$3 and $1, respectively)</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2C2C2C"/>
              </w:rPr>
              <w:t>Net current-period other comprehensive income/(loss)</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2C2C2C"/>
              </w:rPr>
              <w:t>18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2C2C2C"/>
              </w:rPr>
              <w:t>(246 )</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2C2C2C"/>
              </w:rPr>
              <w:t>1</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2C2C2C"/>
              </w:rPr>
              <w:t>(2 )</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2C2C2C"/>
              </w:rPr>
              <w:t>9</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2C2C2C"/>
              </w:rPr>
              <w:t>4</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2C2C2C"/>
              </w:rPr>
              <w:t>28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2C2C2C"/>
              </w:rPr>
              <w:t>(244 )</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4"/>
                <w:szCs w:val="14"/>
                <w:color w:val="2C2C2C"/>
              </w:rPr>
              <w:t>Balance at June 30, 2023 and 2022, respectively</w:t>
            </w:r>
          </w:p>
        </w:tc>
        <w:tc>
          <w:tcPr>
            <w:tcW w:w="140" w:type="dxa"/>
            <w:vAlign w:val="bottom"/>
          </w:tcPr>
          <w:p>
            <w:pPr>
              <w:jc w:val="right"/>
              <w:spacing w:after="0"/>
              <w:rPr>
                <w:sz w:val="20"/>
                <w:szCs w:val="20"/>
                <w:color w:val="auto"/>
              </w:rPr>
            </w:pPr>
            <w:r>
              <w:rPr>
                <w:rFonts w:ascii="Arial" w:cs="Arial" w:eastAsia="Arial" w:hAnsi="Arial"/>
                <w:sz w:val="16"/>
                <w:szCs w:val="16"/>
                <w:color w:val="2C2C2C"/>
                <w:w w:val="89"/>
              </w:rPr>
              <w:t>$</w:t>
            </w:r>
          </w:p>
        </w:tc>
        <w:tc>
          <w:tcPr>
            <w:tcW w:w="700" w:type="dxa"/>
            <w:vAlign w:val="bottom"/>
          </w:tcPr>
          <w:p>
            <w:pPr>
              <w:jc w:val="right"/>
              <w:spacing w:after="0"/>
              <w:rPr>
                <w:sz w:val="20"/>
                <w:szCs w:val="20"/>
                <w:color w:val="auto"/>
              </w:rPr>
            </w:pPr>
            <w:r>
              <w:rPr>
                <w:rFonts w:ascii="Arial" w:cs="Arial" w:eastAsia="Arial" w:hAnsi="Arial"/>
                <w:sz w:val="16"/>
                <w:szCs w:val="16"/>
                <w:color w:val="2C2C2C"/>
              </w:rPr>
              <w:t>(926 )</w:t>
            </w:r>
          </w:p>
        </w:tc>
        <w:tc>
          <w:tcPr>
            <w:tcW w:w="280" w:type="dxa"/>
            <w:vAlign w:val="bottom"/>
            <w:gridSpan w:val="2"/>
          </w:tcPr>
          <w:p>
            <w:pPr>
              <w:jc w:val="right"/>
              <w:spacing w:after="0"/>
              <w:rPr>
                <w:sz w:val="20"/>
                <w:szCs w:val="20"/>
                <w:color w:val="auto"/>
              </w:rPr>
            </w:pPr>
            <w:r>
              <w:rPr>
                <w:rFonts w:ascii="Arial" w:cs="Arial" w:eastAsia="Arial" w:hAnsi="Arial"/>
                <w:sz w:val="16"/>
                <w:szCs w:val="16"/>
                <w:color w:val="2C2C2C"/>
              </w:rPr>
              <w:t>$</w:t>
            </w:r>
          </w:p>
        </w:tc>
        <w:tc>
          <w:tcPr>
            <w:tcW w:w="680" w:type="dxa"/>
            <w:vAlign w:val="bottom"/>
          </w:tcPr>
          <w:p>
            <w:pPr>
              <w:jc w:val="right"/>
              <w:spacing w:after="0"/>
              <w:rPr>
                <w:sz w:val="20"/>
                <w:szCs w:val="20"/>
                <w:color w:val="auto"/>
              </w:rPr>
            </w:pPr>
            <w:r>
              <w:rPr>
                <w:rFonts w:ascii="Arial" w:cs="Arial" w:eastAsia="Arial" w:hAnsi="Arial"/>
                <w:sz w:val="16"/>
                <w:szCs w:val="16"/>
                <w:color w:val="2C2C2C"/>
              </w:rPr>
              <w:t>(794 )</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2C2C2C"/>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2C2C2C"/>
              </w:rPr>
              <w:t>12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2C2C2C"/>
              </w:rPr>
              <w:t>$</w:t>
            </w:r>
          </w:p>
        </w:tc>
        <w:tc>
          <w:tcPr>
            <w:tcW w:w="640" w:type="dxa"/>
            <w:vAlign w:val="bottom"/>
          </w:tcPr>
          <w:p>
            <w:pPr>
              <w:jc w:val="right"/>
              <w:ind w:right="60"/>
              <w:spacing w:after="0"/>
              <w:rPr>
                <w:sz w:val="20"/>
                <w:szCs w:val="20"/>
                <w:color w:val="auto"/>
              </w:rPr>
            </w:pPr>
            <w:r>
              <w:rPr>
                <w:rFonts w:ascii="Arial" w:cs="Arial" w:eastAsia="Arial" w:hAnsi="Arial"/>
                <w:sz w:val="16"/>
                <w:szCs w:val="16"/>
                <w:color w:val="2C2C2C"/>
              </w:rPr>
              <w:t>6</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2C2C2C"/>
              </w:rPr>
              <w:t>$</w:t>
            </w:r>
          </w:p>
        </w:tc>
        <w:tc>
          <w:tcPr>
            <w:tcW w:w="680" w:type="dxa"/>
            <w:vAlign w:val="bottom"/>
          </w:tcPr>
          <w:p>
            <w:pPr>
              <w:jc w:val="right"/>
              <w:spacing w:after="0"/>
              <w:rPr>
                <w:sz w:val="20"/>
                <w:szCs w:val="20"/>
                <w:color w:val="auto"/>
              </w:rPr>
            </w:pPr>
            <w:r>
              <w:rPr>
                <w:rFonts w:ascii="Arial" w:cs="Arial" w:eastAsia="Arial" w:hAnsi="Arial"/>
                <w:sz w:val="16"/>
                <w:szCs w:val="16"/>
                <w:color w:val="2C2C2C"/>
              </w:rPr>
              <w:t>(1,626 )</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2C2C2C"/>
              </w:rPr>
              <w:t>$</w:t>
            </w:r>
          </w:p>
        </w:tc>
        <w:tc>
          <w:tcPr>
            <w:tcW w:w="680" w:type="dxa"/>
            <w:vAlign w:val="bottom"/>
          </w:tcPr>
          <w:p>
            <w:pPr>
              <w:jc w:val="right"/>
              <w:spacing w:after="0"/>
              <w:rPr>
                <w:sz w:val="20"/>
                <w:szCs w:val="20"/>
                <w:color w:val="auto"/>
              </w:rPr>
            </w:pPr>
            <w:r>
              <w:rPr>
                <w:rFonts w:ascii="Arial" w:cs="Arial" w:eastAsia="Arial" w:hAnsi="Arial"/>
                <w:sz w:val="16"/>
                <w:szCs w:val="16"/>
                <w:color w:val="2C2C2C"/>
              </w:rPr>
              <w:t>(1,698 )</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2C2C2C"/>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2C2C2C"/>
              </w:rPr>
              <w:t>(2,540 )</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2C2C2C"/>
              </w:rPr>
              <w:t>$</w:t>
            </w:r>
          </w:p>
        </w:tc>
        <w:tc>
          <w:tcPr>
            <w:tcW w:w="700" w:type="dxa"/>
            <w:vAlign w:val="bottom"/>
          </w:tcPr>
          <w:p>
            <w:pPr>
              <w:jc w:val="right"/>
              <w:spacing w:after="0"/>
              <w:rPr>
                <w:sz w:val="20"/>
                <w:szCs w:val="20"/>
                <w:color w:val="auto"/>
              </w:rPr>
            </w:pPr>
            <w:r>
              <w:rPr>
                <w:rFonts w:ascii="Arial" w:cs="Arial" w:eastAsia="Arial" w:hAnsi="Arial"/>
                <w:sz w:val="16"/>
                <w:szCs w:val="16"/>
                <w:color w:val="2C2C2C"/>
              </w:rPr>
              <w:t>(2,486 )</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4"/>
                <w:szCs w:val="14"/>
                <w:color w:val="2C2C2C"/>
              </w:rPr>
              <w:t>Year-to-date activity:</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ind w:left="20"/>
              <w:spacing w:after="0"/>
              <w:rPr>
                <w:sz w:val="20"/>
                <w:szCs w:val="20"/>
                <w:color w:val="auto"/>
              </w:rPr>
            </w:pPr>
            <w:r>
              <w:rPr>
                <w:rFonts w:ascii="Arial" w:cs="Arial" w:eastAsia="Arial" w:hAnsi="Arial"/>
                <w:sz w:val="14"/>
                <w:szCs w:val="14"/>
                <w:color w:val="2C2C2C"/>
              </w:rPr>
              <w:t>Balance at December 31, 2022 and 2021, respectively</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2C2C2C"/>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2C2C2C"/>
              </w:rPr>
              <w:t>(987 )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2C2C2C"/>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2C2C2C"/>
              </w:rPr>
              <w:t>(489 )</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2C2C2C"/>
              </w:rPr>
              <w:t>$</w:t>
            </w:r>
          </w:p>
        </w:tc>
        <w:tc>
          <w:tcPr>
            <w:tcW w:w="6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2C2C2C"/>
              </w:rPr>
              <w:t>9</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2C2C2C"/>
              </w:rPr>
              <w:t>$</w:t>
            </w:r>
          </w:p>
        </w:tc>
        <w:tc>
          <w:tcPr>
            <w:tcW w:w="6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2C2C2C"/>
              </w:rPr>
              <w:t>11</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2C2C2C"/>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2C2C2C"/>
              </w:rPr>
              <w:t>(1,643 )</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2C2C2C"/>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2C2C2C"/>
              </w:rPr>
              <w:t>(1,708 )</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2C2C2C"/>
              </w:rPr>
              <w:t>$</w:t>
            </w:r>
          </w:p>
        </w:tc>
        <w:tc>
          <w:tcPr>
            <w:tcW w:w="7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2C2C2C"/>
              </w:rPr>
              <w:t>(2,621 )</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2C2C2C"/>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2C2C2C"/>
              </w:rPr>
              <w:t>(2,186 )</w:t>
            </w:r>
          </w:p>
        </w:tc>
        <w:tc>
          <w:tcPr>
            <w:tcW w:w="0" w:type="dxa"/>
            <w:vAlign w:val="bottom"/>
          </w:tcPr>
          <w:p>
            <w:pPr>
              <w:spacing w:after="0"/>
              <w:rPr>
                <w:sz w:val="1"/>
                <w:szCs w:val="1"/>
                <w:color w:val="auto"/>
              </w:rPr>
            </w:pPr>
          </w:p>
        </w:tc>
      </w:tr>
      <w:tr>
        <w:trPr>
          <w:trHeight w:val="143"/>
        </w:trPr>
        <w:tc>
          <w:tcPr>
            <w:tcW w:w="3640" w:type="dxa"/>
            <w:vAlign w:val="bottom"/>
          </w:tcPr>
          <w:p>
            <w:pPr>
              <w:ind w:left="20"/>
              <w:spacing w:after="0" w:line="143" w:lineRule="exact"/>
              <w:rPr>
                <w:sz w:val="20"/>
                <w:szCs w:val="20"/>
                <w:color w:val="auto"/>
              </w:rPr>
            </w:pPr>
            <w:r>
              <w:rPr>
                <w:rFonts w:ascii="Arial" w:cs="Arial" w:eastAsia="Arial" w:hAnsi="Arial"/>
                <w:sz w:val="14"/>
                <w:szCs w:val="14"/>
                <w:color w:val="2C2C2C"/>
              </w:rPr>
              <w:t>Other comprehensive income/(loss) before</w:t>
            </w:r>
          </w:p>
        </w:tc>
        <w:tc>
          <w:tcPr>
            <w:tcW w:w="140" w:type="dxa"/>
            <w:vAlign w:val="bottom"/>
          </w:tcPr>
          <w:p>
            <w:pPr>
              <w:spacing w:after="0"/>
              <w:rPr>
                <w:sz w:val="12"/>
                <w:szCs w:val="12"/>
                <w:color w:val="auto"/>
              </w:rPr>
            </w:pPr>
          </w:p>
        </w:tc>
        <w:tc>
          <w:tcPr>
            <w:tcW w:w="700" w:type="dxa"/>
            <w:vAlign w:val="bottom"/>
            <w:vMerge w:val="restart"/>
          </w:tcPr>
          <w:p>
            <w:pPr>
              <w:jc w:val="right"/>
              <w:ind w:right="81"/>
              <w:spacing w:after="0"/>
              <w:rPr>
                <w:sz w:val="20"/>
                <w:szCs w:val="20"/>
                <w:color w:val="auto"/>
              </w:rPr>
            </w:pPr>
            <w:r>
              <w:rPr>
                <w:rFonts w:ascii="Arial" w:cs="Arial" w:eastAsia="Arial" w:hAnsi="Arial"/>
                <w:sz w:val="16"/>
                <w:szCs w:val="16"/>
                <w:color w:val="2C2C2C"/>
              </w:rPr>
              <w:t>61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2C2C2C"/>
              </w:rPr>
              <w:t>(305 )</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61"/>
              <w:spacing w:after="0"/>
              <w:rPr>
                <w:sz w:val="20"/>
                <w:szCs w:val="20"/>
                <w:color w:val="auto"/>
              </w:rPr>
            </w:pPr>
            <w:r>
              <w:rPr>
                <w:rFonts w:ascii="Arial" w:cs="Arial" w:eastAsia="Arial" w:hAnsi="Arial"/>
                <w:sz w:val="16"/>
                <w:szCs w:val="16"/>
                <w:color w:val="2C2C2C"/>
              </w:rPr>
              <w:t>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2C2C2C"/>
              </w:rPr>
              <w:t>(3 )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62"/>
              <w:spacing w:after="0"/>
              <w:rPr>
                <w:sz w:val="20"/>
                <w:szCs w:val="20"/>
                <w:color w:val="auto"/>
              </w:rPr>
            </w:pPr>
            <w:r>
              <w:rPr>
                <w:rFonts w:ascii="Arial" w:cs="Arial" w:eastAsia="Arial" w:hAnsi="Arial"/>
                <w:sz w:val="16"/>
                <w:szCs w:val="16"/>
                <w:color w:val="2C2C2C"/>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2C2C2C"/>
              </w:rPr>
              <w:t>(2 )</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81"/>
              <w:spacing w:after="0"/>
              <w:rPr>
                <w:sz w:val="20"/>
                <w:szCs w:val="20"/>
                <w:color w:val="auto"/>
              </w:rPr>
            </w:pPr>
            <w:r>
              <w:rPr>
                <w:rFonts w:ascii="Arial" w:cs="Arial" w:eastAsia="Arial" w:hAnsi="Arial"/>
                <w:sz w:val="16"/>
                <w:szCs w:val="16"/>
                <w:color w:val="2C2C2C"/>
              </w:rPr>
              <w:t>64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2C2C2C"/>
              </w:rPr>
              <w:t>(310 )</w:t>
            </w:r>
          </w:p>
        </w:tc>
        <w:tc>
          <w:tcPr>
            <w:tcW w:w="0" w:type="dxa"/>
            <w:vAlign w:val="bottom"/>
          </w:tcPr>
          <w:p>
            <w:pPr>
              <w:spacing w:after="0"/>
              <w:rPr>
                <w:sz w:val="1"/>
                <w:szCs w:val="1"/>
                <w:color w:val="auto"/>
              </w:rPr>
            </w:pPr>
          </w:p>
        </w:tc>
      </w:tr>
      <w:tr>
        <w:trPr>
          <w:trHeight w:val="181"/>
        </w:trPr>
        <w:tc>
          <w:tcPr>
            <w:tcW w:w="3640" w:type="dxa"/>
            <w:vAlign w:val="bottom"/>
          </w:tcPr>
          <w:p>
            <w:pPr>
              <w:ind w:left="120"/>
              <w:spacing w:after="0"/>
              <w:rPr>
                <w:sz w:val="20"/>
                <w:szCs w:val="20"/>
                <w:color w:val="auto"/>
              </w:rPr>
            </w:pPr>
            <w:r>
              <w:rPr>
                <w:rFonts w:ascii="Arial" w:cs="Arial" w:eastAsia="Arial" w:hAnsi="Arial"/>
                <w:sz w:val="14"/>
                <w:szCs w:val="14"/>
                <w:color w:val="2C2C2C"/>
              </w:rPr>
              <w:t>reclassifications</w:t>
            </w: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64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2C2C2C"/>
              </w:rPr>
              <w:t>(Gain)/loss reclassified from accumulated other</w:t>
            </w: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2C2C2C"/>
              </w:rPr>
              <w:t>comprehensive loss (net of income tax benefit of</w:t>
            </w:r>
          </w:p>
        </w:tc>
        <w:tc>
          <w:tcPr>
            <w:tcW w:w="14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ind w:right="81"/>
              <w:spacing w:after="0"/>
              <w:rPr>
                <w:sz w:val="20"/>
                <w:szCs w:val="20"/>
                <w:color w:val="auto"/>
              </w:rPr>
            </w:pPr>
            <w:r>
              <w:rPr>
                <w:rFonts w:ascii="Arial" w:cs="Arial" w:eastAsia="Arial" w:hAnsi="Arial"/>
                <w:sz w:val="16"/>
                <w:szCs w:val="16"/>
                <w:color w:val="2C2C2C"/>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60"/>
              <w:spacing w:after="0"/>
              <w:rPr>
                <w:sz w:val="20"/>
                <w:szCs w:val="20"/>
                <w:color w:val="auto"/>
              </w:rPr>
            </w:pPr>
            <w:r>
              <w:rPr>
                <w:rFonts w:ascii="Arial" w:cs="Arial" w:eastAsia="Arial" w:hAnsi="Arial"/>
                <w:sz w:val="16"/>
                <w:szCs w:val="16"/>
                <w:color w:val="2C2C2C"/>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16"/>
                <w:szCs w:val="16"/>
                <w:color w:val="2C2C2C"/>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2C2C2C"/>
              </w:rPr>
              <w:t>(2 )</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62"/>
              <w:spacing w:after="0"/>
              <w:rPr>
                <w:sz w:val="20"/>
                <w:szCs w:val="20"/>
                <w:color w:val="auto"/>
              </w:rPr>
            </w:pPr>
            <w:r>
              <w:rPr>
                <w:rFonts w:ascii="Arial" w:cs="Arial" w:eastAsia="Arial" w:hAnsi="Arial"/>
                <w:sz w:val="16"/>
                <w:szCs w:val="16"/>
                <w:color w:val="2C2C2C"/>
              </w:rPr>
              <w:t>17</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60"/>
              <w:spacing w:after="0"/>
              <w:rPr>
                <w:sz w:val="20"/>
                <w:szCs w:val="20"/>
                <w:color w:val="auto"/>
              </w:rPr>
            </w:pPr>
            <w:r>
              <w:rPr>
                <w:rFonts w:ascii="Arial" w:cs="Arial" w:eastAsia="Arial" w:hAnsi="Arial"/>
                <w:sz w:val="16"/>
                <w:szCs w:val="16"/>
                <w:color w:val="2C2C2C"/>
              </w:rPr>
              <w:t>12</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ind w:right="81"/>
              <w:spacing w:after="0"/>
              <w:rPr>
                <w:sz w:val="20"/>
                <w:szCs w:val="20"/>
                <w:color w:val="auto"/>
              </w:rPr>
            </w:pPr>
            <w:r>
              <w:rPr>
                <w:rFonts w:ascii="Arial" w:cs="Arial" w:eastAsia="Arial" w:hAnsi="Arial"/>
                <w:sz w:val="16"/>
                <w:szCs w:val="16"/>
                <w:color w:val="2C2C2C"/>
              </w:rPr>
              <w:t>17</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ind w:right="60"/>
              <w:spacing w:after="0"/>
              <w:rPr>
                <w:sz w:val="20"/>
                <w:szCs w:val="20"/>
                <w:color w:val="auto"/>
              </w:rPr>
            </w:pPr>
            <w:r>
              <w:rPr>
                <w:rFonts w:ascii="Arial" w:cs="Arial" w:eastAsia="Arial" w:hAnsi="Arial"/>
                <w:sz w:val="16"/>
                <w:szCs w:val="16"/>
                <w:color w:val="2C2C2C"/>
              </w:rPr>
              <w:t>10</w:t>
            </w:r>
          </w:p>
        </w:tc>
        <w:tc>
          <w:tcPr>
            <w:tcW w:w="0" w:type="dxa"/>
            <w:vAlign w:val="bottom"/>
          </w:tcPr>
          <w:p>
            <w:pPr>
              <w:spacing w:after="0"/>
              <w:rPr>
                <w:sz w:val="1"/>
                <w:szCs w:val="1"/>
                <w:color w:val="auto"/>
              </w:rPr>
            </w:pPr>
          </w:p>
        </w:tc>
      </w:tr>
      <w:tr>
        <w:trPr>
          <w:trHeight w:val="167"/>
        </w:trPr>
        <w:tc>
          <w:tcPr>
            <w:tcW w:w="36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2C2C2C"/>
              </w:rPr>
              <w:t>$6 and $4, respectively)</w:t>
            </w:r>
          </w:p>
        </w:tc>
        <w:tc>
          <w:tcPr>
            <w:tcW w:w="1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4"/>
                <w:szCs w:val="14"/>
                <w:color w:val="2C2C2C"/>
              </w:rPr>
              <w:t>Net current-period other comprehensive income/(loss)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2C2C2C"/>
              </w:rPr>
              <w:t>61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(305 )</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2C2C2C"/>
              </w:rPr>
              <w:t>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(5 )</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2C2C2C"/>
              </w:rPr>
              <w:t>17</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2C2C2C"/>
              </w:rPr>
              <w:t>10</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2C2C2C"/>
              </w:rPr>
              <w:t>81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2C2C2C"/>
              </w:rPr>
              <w:t>(300 )</w:t>
            </w: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ind w:left="20"/>
              <w:spacing w:after="0"/>
              <w:rPr>
                <w:sz w:val="20"/>
                <w:szCs w:val="20"/>
                <w:color w:val="auto"/>
              </w:rPr>
            </w:pPr>
            <w:r>
              <w:rPr>
                <w:rFonts w:ascii="Arial" w:cs="Arial" w:eastAsia="Arial" w:hAnsi="Arial"/>
                <w:sz w:val="14"/>
                <w:szCs w:val="14"/>
                <w:color w:val="2C2C2C"/>
              </w:rPr>
              <w:t>Balance at June 30, 2023 and 2022, respectively</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2C2C2C"/>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2C2C2C"/>
              </w:rPr>
              <w:t>(926 )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2C2C2C"/>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2C2C2C"/>
              </w:rPr>
              <w:t>(794 )</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2C2C2C"/>
              </w:rPr>
              <w:t>$</w:t>
            </w:r>
          </w:p>
        </w:tc>
        <w:tc>
          <w:tcPr>
            <w:tcW w:w="6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2C2C2C"/>
              </w:rPr>
              <w:t>12</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2C2C2C"/>
              </w:rPr>
              <w:t>$</w:t>
            </w:r>
          </w:p>
        </w:tc>
        <w:tc>
          <w:tcPr>
            <w:tcW w:w="64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2C2C2C"/>
              </w:rPr>
              <w:t>6</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2C2C2C"/>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2C2C2C"/>
              </w:rPr>
              <w:t>(1,626 )</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2C2C2C"/>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2C2C2C"/>
              </w:rPr>
              <w:t>(1,698 )</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2C2C2C"/>
              </w:rPr>
              <w:t>$</w:t>
            </w:r>
          </w:p>
        </w:tc>
        <w:tc>
          <w:tcPr>
            <w:tcW w:w="7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2C2C2C"/>
              </w:rPr>
              <w:t>(2,540 )</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2C2C2C"/>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2C2C2C"/>
              </w:rPr>
              <w:t>(2,486 )</w:t>
            </w: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-1464945</wp:posOffset>
            </wp:positionV>
            <wp:extent cx="76835" cy="1797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-1464945</wp:posOffset>
            </wp:positionV>
            <wp:extent cx="85725" cy="1797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-1464945</wp:posOffset>
            </wp:positionV>
            <wp:extent cx="85725" cy="1797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-1464945</wp:posOffset>
            </wp:positionV>
            <wp:extent cx="76835" cy="1797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-1464945</wp:posOffset>
            </wp:positionV>
            <wp:extent cx="85725" cy="1797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-1464945</wp:posOffset>
            </wp:positionV>
            <wp:extent cx="85725" cy="1797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-1464945</wp:posOffset>
            </wp:positionV>
            <wp:extent cx="77470" cy="1797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-333375</wp:posOffset>
            </wp:positionV>
            <wp:extent cx="76835" cy="162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-333375</wp:posOffset>
            </wp:positionV>
            <wp:extent cx="85725" cy="1625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-333375</wp:posOffset>
            </wp:positionV>
            <wp:extent cx="85725" cy="162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-333375</wp:posOffset>
            </wp:positionV>
            <wp:extent cx="76835" cy="1625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-333375</wp:posOffset>
            </wp:positionV>
            <wp:extent cx="85725" cy="162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-333375</wp:posOffset>
            </wp:positionV>
            <wp:extent cx="85725" cy="1625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-333375</wp:posOffset>
            </wp:positionV>
            <wp:extent cx="77470" cy="1625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-24765</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-7620</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-24765</wp:posOffset>
            </wp:positionV>
            <wp:extent cx="857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857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857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857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857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857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857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857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774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774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7" w:lineRule="exact"/>
        <w:rPr>
          <w:sz w:val="20"/>
          <w:szCs w:val="20"/>
          <w:color w:val="auto"/>
        </w:rPr>
      </w:pPr>
    </w:p>
    <w:p>
      <w:pPr>
        <w:ind w:left="280" w:right="80" w:hanging="272"/>
        <w:spacing w:after="0" w:line="238" w:lineRule="auto"/>
        <w:tabs>
          <w:tab w:leader="none" w:pos="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Reclassification adjustments from accumulated other comprehensive loss related to derivative instruments are included in Revenue and Salaries and benefits in the accompanying condensed consolidated statements of comprehensive income. See Note 9 — Derivative Financial Instruments for additional details regarding the reclassification adjustments for the derivative settlements.</w:t>
      </w:r>
    </w:p>
    <w:p>
      <w:pPr>
        <w:ind w:left="280" w:right="660" w:hanging="272"/>
        <w:spacing w:after="0" w:line="243" w:lineRule="auto"/>
        <w:tabs>
          <w:tab w:leader="none" w:pos="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Reclassification adjustments from accumulated other comprehensive loss are included in the computation of net periodic pension cost (see Note 12 — Retirement Benefits). These components are included in Other income, net in the accompanying condensed consolidated statements of comprehensive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17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Basic and diluted earnings per share from continuing operations attributable to WTW and discontinued operations, net of tax are calculated by dividing net income from continuing operations attributable to WTW and discontinued operations, net of tax, respectively, by the average number of ordinary shares outstanding during each period. The computation of diluted earnings per share reflects the potential dilution that could occur if dilutive securities and other contracts to issue shares were exercised or converted into shares or resulted in the issuance of shares that then shared in the net income of the Company.</w:t>
      </w:r>
    </w:p>
    <w:p>
      <w:pPr>
        <w:spacing w:after="0" w:line="10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June 30, 2023 and 2022, there were 0.6 million and 0.7 million restricted performance-based stock units outstanding, respectively, and 0.5 million and 0.4 million restricted time-based stock units outstanding, respectively. The Company’s time-based share options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right="840"/>
        <w:spacing w:after="0" w:line="277" w:lineRule="auto"/>
        <w:rPr>
          <w:sz w:val="20"/>
          <w:szCs w:val="20"/>
          <w:color w:val="auto"/>
        </w:rPr>
      </w:pPr>
      <w:r>
        <w:rPr>
          <w:rFonts w:ascii="Arial" w:cs="Arial" w:eastAsia="Arial" w:hAnsi="Arial"/>
          <w:sz w:val="18"/>
          <w:szCs w:val="18"/>
          <w:color w:val="auto"/>
        </w:rPr>
        <w:t>were immaterial at both June 30, 2023 and 2022. There were no performance-based options outstanding at June 30, 2023; there were 0.1 million performance-based options outstanding at June 30,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tcBorders>
              <w:top w:val="single" w:sz="8" w:color="auto"/>
            </w:tcBorders>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7"/>
        </w:trPr>
        <w:tc>
          <w:tcPr>
            <w:tcW w:w="5420" w:type="dxa"/>
            <w:vAlign w:val="bottom"/>
          </w:tcPr>
          <w:p>
            <w:pPr>
              <w:ind w:left="120"/>
              <w:spacing w:after="0"/>
              <w:rPr>
                <w:sz w:val="20"/>
                <w:szCs w:val="20"/>
                <w:color w:val="auto"/>
              </w:rPr>
            </w:pPr>
            <w:r>
              <w:rPr>
                <w:rFonts w:ascii="Arial" w:cs="Arial" w:eastAsia="Arial" w:hAnsi="Arial"/>
                <w:sz w:val="18"/>
                <w:szCs w:val="18"/>
                <w:color w:val="auto"/>
              </w:rPr>
              <w:t>Less: income attributable to non-controllable interests</w:t>
            </w: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7"/>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 attributable to WTW</w:t>
            </w:r>
          </w:p>
        </w:tc>
        <w:tc>
          <w:tcPr>
            <w:tcW w:w="840" w:type="dxa"/>
            <w:vAlign w:val="bottom"/>
            <w:tcBorders>
              <w:bottom w:val="single" w:sz="8" w:color="auto"/>
            </w:tcBorders>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155</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297</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84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(46 )</w:t>
            </w:r>
          </w:p>
        </w:tc>
        <w:tc>
          <w:tcPr>
            <w:tcW w:w="4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5420" w:type="dxa"/>
            <w:vAlign w:val="bottom"/>
            <w:tcBorders>
              <w:top w:val="single" w:sz="8" w:color="CFF0FC"/>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average number of shares outstanding</w:t>
            </w:r>
          </w:p>
        </w:tc>
        <w:tc>
          <w:tcPr>
            <w:tcW w:w="8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Dilutive effect of potentially issuable shares</w:t>
            </w: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Diluted average number of shares outstanding</w:t>
            </w:r>
          </w:p>
        </w:tc>
        <w:tc>
          <w:tcPr>
            <w:tcW w:w="84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107</w:t>
            </w:r>
          </w:p>
        </w:tc>
        <w:tc>
          <w:tcPr>
            <w:tcW w:w="1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112</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107</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earnings per share from continuing operations attributable to</w:t>
            </w: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WTW</w:t>
            </w:r>
          </w:p>
        </w:tc>
        <w:tc>
          <w:tcPr>
            <w:tcW w:w="84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0.88</w:t>
            </w:r>
          </w:p>
        </w:tc>
        <w:tc>
          <w:tcPr>
            <w:tcW w:w="98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1.38</w:t>
            </w:r>
          </w:p>
        </w:tc>
        <w:tc>
          <w:tcPr>
            <w:tcW w:w="4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2.78</w:t>
            </w:r>
          </w:p>
        </w:tc>
        <w:tc>
          <w:tcPr>
            <w:tcW w:w="4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Dilutive effect of potentially issuable shares</w:t>
            </w: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Diluted earnings per share from continuing operations attributable to</w:t>
            </w:r>
          </w:p>
        </w:tc>
        <w:tc>
          <w:tcPr>
            <w:tcW w:w="840" w:type="dxa"/>
            <w:vAlign w:val="bottom"/>
            <w:vMerge w:val="restart"/>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0.88</w:t>
            </w:r>
          </w:p>
        </w:tc>
        <w:tc>
          <w:tcPr>
            <w:tcW w:w="160" w:type="dxa"/>
            <w:vAlign w:val="bottom"/>
            <w:vMerge w:val="restart"/>
            <w:shd w:val="clear" w:color="auto" w:fill="CFF0FC"/>
          </w:tcPr>
          <w:p>
            <w:pPr>
              <w:spacing w:after="0"/>
              <w:rPr>
                <w:sz w:val="18"/>
                <w:szCs w:val="18"/>
                <w:color w:val="auto"/>
              </w:rPr>
            </w:pPr>
          </w:p>
        </w:tc>
        <w:tc>
          <w:tcPr>
            <w:tcW w:w="820" w:type="dxa"/>
            <w:vAlign w:val="bottom"/>
            <w:vMerge w:val="restart"/>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1.38</w:t>
            </w:r>
          </w:p>
        </w:tc>
        <w:tc>
          <w:tcPr>
            <w:tcW w:w="180" w:type="dxa"/>
            <w:vAlign w:val="bottom"/>
            <w:vMerge w:val="restart"/>
            <w:shd w:val="clear" w:color="auto" w:fill="CFF0FC"/>
          </w:tcPr>
          <w:p>
            <w:pPr>
              <w:spacing w:after="0"/>
              <w:rPr>
                <w:sz w:val="18"/>
                <w:szCs w:val="18"/>
                <w:color w:val="auto"/>
              </w:rPr>
            </w:pP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color w:val="auto"/>
              </w:rPr>
              <w:t>2.77</w:t>
            </w:r>
          </w:p>
        </w:tc>
        <w:tc>
          <w:tcPr>
            <w:tcW w:w="160" w:type="dxa"/>
            <w:vAlign w:val="bottom"/>
            <w:vMerge w:val="restart"/>
            <w:shd w:val="clear" w:color="auto" w:fill="CFF0FC"/>
          </w:tcPr>
          <w:p>
            <w:pPr>
              <w:spacing w:after="0"/>
              <w:rPr>
                <w:sz w:val="18"/>
                <w:szCs w:val="18"/>
                <w:color w:val="auto"/>
              </w:rPr>
            </w:pPr>
          </w:p>
        </w:tc>
        <w:tc>
          <w:tcPr>
            <w:tcW w:w="2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FF0FC"/>
          </w:tcPr>
          <w:p>
            <w:pPr>
              <w:jc w:val="right"/>
              <w:ind w:right="5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542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WTW</w:t>
            </w:r>
          </w:p>
        </w:tc>
        <w:tc>
          <w:tcPr>
            <w:tcW w:w="840" w:type="dxa"/>
            <w:vAlign w:val="bottom"/>
            <w:tcBorders>
              <w:bottom w:val="single" w:sz="8" w:color="auto"/>
            </w:tcBorders>
            <w:vMerge w:val="continue"/>
            <w:shd w:val="clear" w:color="auto" w:fill="CFF0FC"/>
          </w:tcPr>
          <w:p>
            <w:pPr>
              <w:spacing w:after="0"/>
              <w:rPr>
                <w:sz w:val="21"/>
                <w:szCs w:val="21"/>
                <w:color w:val="auto"/>
              </w:rPr>
            </w:pPr>
          </w:p>
        </w:tc>
        <w:tc>
          <w:tcPr>
            <w:tcW w:w="54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vMerge w:val="continue"/>
            <w:shd w:val="clear" w:color="auto" w:fill="CFF0FC"/>
          </w:tcPr>
          <w:p>
            <w:pPr>
              <w:spacing w:after="0"/>
              <w:rPr>
                <w:sz w:val="21"/>
                <w:szCs w:val="21"/>
                <w:color w:val="auto"/>
              </w:rPr>
            </w:pPr>
          </w:p>
        </w:tc>
        <w:tc>
          <w:tcPr>
            <w:tcW w:w="820" w:type="dxa"/>
            <w:vAlign w:val="bottom"/>
            <w:tcBorders>
              <w:bottom w:val="single" w:sz="8" w:color="auto"/>
            </w:tcBorders>
            <w:vMerge w:val="continue"/>
            <w:shd w:val="clear" w:color="auto" w:fill="CFF0FC"/>
          </w:tcPr>
          <w:p>
            <w:pPr>
              <w:spacing w:after="0"/>
              <w:rPr>
                <w:sz w:val="21"/>
                <w:szCs w:val="21"/>
                <w:color w:val="auto"/>
              </w:rPr>
            </w:pPr>
          </w:p>
        </w:tc>
        <w:tc>
          <w:tcPr>
            <w:tcW w:w="54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vMerge w:val="continue"/>
            <w:shd w:val="clear" w:color="auto" w:fill="CFF0FC"/>
          </w:tcPr>
          <w:p>
            <w:pPr>
              <w:spacing w:after="0"/>
              <w:rPr>
                <w:sz w:val="21"/>
                <w:szCs w:val="21"/>
                <w:color w:val="auto"/>
              </w:rPr>
            </w:pPr>
          </w:p>
        </w:tc>
        <w:tc>
          <w:tcPr>
            <w:tcW w:w="260" w:type="dxa"/>
            <w:vAlign w:val="bottom"/>
            <w:tcBorders>
              <w:bottom w:val="single" w:sz="8" w:color="auto"/>
            </w:tcBorders>
            <w:vMerge w:val="continue"/>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vMerge w:val="continue"/>
            <w:shd w:val="clear" w:color="auto" w:fill="CFF0FC"/>
          </w:tcPr>
          <w:p>
            <w:pPr>
              <w:spacing w:after="0"/>
              <w:rPr>
                <w:sz w:val="21"/>
                <w:szCs w:val="21"/>
                <w:color w:val="auto"/>
              </w:rPr>
            </w:pPr>
          </w:p>
        </w:tc>
        <w:tc>
          <w:tcPr>
            <w:tcW w:w="280" w:type="dxa"/>
            <w:vAlign w:val="bottom"/>
            <w:tcBorders>
              <w:bottom w:val="single" w:sz="8" w:color="auto"/>
            </w:tcBorders>
            <w:vMerge w:val="continue"/>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loss per share from discontinued operations, net of tax</w:t>
            </w:r>
          </w:p>
        </w:tc>
        <w:tc>
          <w:tcPr>
            <w:tcW w:w="84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(0.41 )</w:t>
            </w:r>
          </w:p>
        </w:tc>
        <w:tc>
          <w:tcPr>
            <w:tcW w:w="4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(0.30 )</w:t>
            </w:r>
          </w:p>
        </w:tc>
        <w:tc>
          <w:tcPr>
            <w:tcW w:w="0" w:type="dxa"/>
            <w:vAlign w:val="bottom"/>
          </w:tcPr>
          <w:p>
            <w:pPr>
              <w:spacing w:after="0"/>
              <w:rPr>
                <w:sz w:val="1"/>
                <w:szCs w:val="1"/>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Dilutive effect of potentially issuable shares</w:t>
            </w: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Diluted loss per share from discontinued operations, net of tax</w:t>
            </w:r>
          </w:p>
        </w:tc>
        <w:tc>
          <w:tcPr>
            <w:tcW w:w="840" w:type="dxa"/>
            <w:vAlign w:val="bottom"/>
            <w:tcBorders>
              <w:bottom w:val="single" w:sz="8" w:color="auto"/>
            </w:tcBorders>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(0.41 )</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-2562860</wp:posOffset>
            </wp:positionV>
            <wp:extent cx="1997075" cy="1797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997075" cy="17970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-2228215</wp:posOffset>
            </wp:positionV>
            <wp:extent cx="1997075" cy="1797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997075" cy="17970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-1576705</wp:posOffset>
            </wp:positionV>
            <wp:extent cx="1997075" cy="1797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997075" cy="17970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-676910</wp:posOffset>
            </wp:positionV>
            <wp:extent cx="1997075" cy="1797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997075" cy="17970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1028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10287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1111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1111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1028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1028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1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Anti-dilutive restricted stock units were immaterial for the three and six months ended June 30, 2023; for the three and six months ended June 30, 2022, 0.3 million and 0.2 million restricted stock units, respectively, were not included in the computation of the dilutive effect of potentially issuable shares because their effect was anti-dilutive. There were no anti-dilutive options for the three and six months ended June 30, 2023 and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Supplemental Disclosures of Cash Flow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regarding cash flow information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0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82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1,602</w:t>
            </w:r>
          </w:p>
        </w:tc>
        <w:tc>
          <w:tcPr>
            <w:tcW w:w="104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49"/>
        </w:trPr>
        <w:tc>
          <w:tcPr>
            <w:tcW w:w="8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Fiduciary funds (included in fiduciary assets)</w:t>
            </w:r>
          </w:p>
        </w:tc>
        <w:tc>
          <w:tcPr>
            <w:tcW w:w="8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2,402</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15"/>
        </w:trPr>
        <w:tc>
          <w:tcPr>
            <w:tcW w:w="8100" w:type="dxa"/>
            <w:vAlign w:val="bottom"/>
          </w:tcPr>
          <w:p>
            <w:pPr>
              <w:ind w:left="200"/>
              <w:spacing w:after="0"/>
              <w:rPr>
                <w:sz w:val="20"/>
                <w:szCs w:val="20"/>
                <w:color w:val="auto"/>
              </w:rPr>
            </w:pPr>
            <w:r>
              <w:rPr>
                <w:rFonts w:ascii="Arial" w:cs="Arial" w:eastAsia="Arial" w:hAnsi="Arial"/>
                <w:sz w:val="18"/>
                <w:szCs w:val="18"/>
                <w:color w:val="auto"/>
              </w:rPr>
              <w:t>Cash and cash equivalents and fiduciary funds (included in current assets held</w:t>
            </w:r>
          </w:p>
        </w:tc>
        <w:tc>
          <w:tcPr>
            <w:tcW w:w="820" w:type="dxa"/>
            <w:vAlign w:val="bottom"/>
          </w:tcPr>
          <w:p>
            <w:pPr>
              <w:spacing w:after="0"/>
              <w:rPr>
                <w:sz w:val="18"/>
                <w:szCs w:val="18"/>
                <w:color w:val="auto"/>
              </w:rPr>
            </w:pPr>
          </w:p>
        </w:tc>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vMerge w:val="restart"/>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100" w:type="dxa"/>
            <w:vAlign w:val="bottom"/>
          </w:tcPr>
          <w:p>
            <w:pPr>
              <w:ind w:left="340"/>
              <w:spacing w:after="0"/>
              <w:rPr>
                <w:sz w:val="20"/>
                <w:szCs w:val="20"/>
                <w:color w:val="auto"/>
              </w:rPr>
            </w:pPr>
            <w:r>
              <w:rPr>
                <w:rFonts w:ascii="Arial" w:cs="Arial" w:eastAsia="Arial" w:hAnsi="Arial"/>
                <w:sz w:val="18"/>
                <w:szCs w:val="18"/>
                <w:color w:val="auto"/>
              </w:rPr>
              <w:t>for sale)</w:t>
            </w:r>
          </w:p>
        </w:tc>
        <w:tc>
          <w:tcPr>
            <w:tcW w:w="8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cash, cash equivalents and restricted cash</w:t>
            </w: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4,004</w:t>
            </w:r>
          </w:p>
        </w:tc>
        <w:tc>
          <w:tcPr>
            <w:tcW w:w="20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30"/>
        </w:trPr>
        <w:tc>
          <w:tcPr>
            <w:tcW w:w="8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Increase/(decrease) in cash, cash equivalents and other restricted cash</w:t>
            </w: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345</w:t>
            </w:r>
          </w:p>
        </w:tc>
        <w:tc>
          <w:tcPr>
            <w:tcW w:w="104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(2,515 )</w:t>
            </w:r>
          </w:p>
        </w:tc>
        <w:tc>
          <w:tcPr>
            <w:tcW w:w="0" w:type="dxa"/>
            <w:vAlign w:val="bottom"/>
          </w:tcPr>
          <w:p>
            <w:pPr>
              <w:spacing w:after="0"/>
              <w:rPr>
                <w:sz w:val="1"/>
                <w:szCs w:val="1"/>
                <w:color w:val="auto"/>
              </w:rPr>
            </w:pPr>
          </w:p>
        </w:tc>
      </w:tr>
      <w:tr>
        <w:trPr>
          <w:trHeight w:val="237"/>
        </w:trPr>
        <w:tc>
          <w:tcPr>
            <w:tcW w:w="8100" w:type="dxa"/>
            <w:vAlign w:val="bottom"/>
          </w:tcPr>
          <w:p>
            <w:pPr>
              <w:ind w:left="200"/>
              <w:spacing w:after="0"/>
              <w:rPr>
                <w:sz w:val="20"/>
                <w:szCs w:val="20"/>
                <w:color w:val="auto"/>
              </w:rPr>
            </w:pPr>
            <w:r>
              <w:rPr>
                <w:rFonts w:ascii="Arial" w:cs="Arial" w:eastAsia="Arial" w:hAnsi="Arial"/>
                <w:sz w:val="18"/>
                <w:szCs w:val="18"/>
                <w:color w:val="auto"/>
              </w:rPr>
              <w:t>(Decrease)/increase in fiduciary funds</w:t>
            </w:r>
          </w:p>
        </w:tc>
        <w:tc>
          <w:tcPr>
            <w:tcW w:w="8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(1,063 )</w:t>
            </w:r>
          </w:p>
        </w:tc>
        <w:tc>
          <w:tcPr>
            <w:tcW w:w="2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7"/>
        </w:trPr>
        <w:tc>
          <w:tcPr>
            <w:tcW w:w="8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(718 )</w:t>
            </w: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(2,413 )</w:t>
            </w:r>
          </w:p>
        </w:tc>
        <w:tc>
          <w:tcPr>
            <w:tcW w:w="0" w:type="dxa"/>
            <w:vAlign w:val="bottom"/>
          </w:tcPr>
          <w:p>
            <w:pPr>
              <w:spacing w:after="0"/>
              <w:rPr>
                <w:sz w:val="1"/>
                <w:szCs w:val="1"/>
                <w:color w:val="auto"/>
              </w:rPr>
            </w:pPr>
          </w:p>
        </w:tc>
      </w:tr>
      <w:tr>
        <w:trPr>
          <w:trHeight w:val="594"/>
        </w:trPr>
        <w:tc>
          <w:tcPr>
            <w:tcW w:w="8100" w:type="dxa"/>
            <w:vAlign w:val="bottom"/>
          </w:tcPr>
          <w:p>
            <w:pPr>
              <w:ind w:left="5540"/>
              <w:spacing w:after="0"/>
              <w:rPr>
                <w:sz w:val="20"/>
                <w:szCs w:val="20"/>
                <w:color w:val="auto"/>
              </w:rPr>
            </w:pPr>
            <w:r>
              <w:rPr>
                <w:rFonts w:ascii="Arial" w:cs="Arial" w:eastAsia="Arial" w:hAnsi="Arial"/>
                <w:sz w:val="18"/>
                <w:szCs w:val="18"/>
                <w:color w:val="auto"/>
              </w:rPr>
              <w:t>28</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-1148080</wp:posOffset>
            </wp:positionV>
            <wp:extent cx="128905" cy="1803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8905" cy="18034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-496570</wp:posOffset>
            </wp:positionV>
            <wp:extent cx="12890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-479425</wp:posOffset>
            </wp:positionV>
            <wp:extent cx="12890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i w:val="1"/>
          <w:iCs w:val="1"/>
          <w:color w:val="auto"/>
        </w:rPr>
        <w:t>This discussion includes forward-looking statements. See ‘Disclaimer Regarding Forward-looking Statements’ for certain cautionary information regarding forward-looking statements and a list of factors that could cause actual results to differ materially from those predicted in those statements.</w:t>
      </w:r>
    </w:p>
    <w:p>
      <w:pPr>
        <w:spacing w:after="0" w:line="70"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‘Non-GAAP Financial Measures’ below for further discussion of our adjusted, constant currency and organic non-GAAP financial measures.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Conditions</w:t>
      </w:r>
    </w:p>
    <w:p>
      <w:pPr>
        <w:spacing w:after="0" w:line="171"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Typically, our business benefits from regulatory change, political risk or economic uncertainty. Insurance broking generally tracks the economy, but demand for both insurance broking and consulting services usually remains steady during times of uncertainty. We have some businesses, such as our health and benefits and administration businesses, which can be counter cyclical during the early period of a significant economic change.</w:t>
      </w:r>
    </w:p>
    <w:p>
      <w:pPr>
        <w:spacing w:after="0" w:line="9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we are currently seeing a modest but definite increase in pricing in the market.</w:t>
      </w:r>
    </w:p>
    <w:p>
      <w:pPr>
        <w:spacing w:after="0" w:line="124"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Market conditions in the broking industry in which we operate are generally defined by factors such as the strength of the economies in the various geographic regions in which we serve around the world, insurance rate movements, and insurance and reinsurance buying patterns of our clients.</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markets for our consulting, technology and solutions, and marketplace services are affected by economic, regulatory and legislative changes, technological developments, and increased competition from established and new competitors. We believe that the primary factors in selecting a human resources or risk management consulting firm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 and for maintaining industry standards and meeting client preferences. We have made such investments from time to time and may decide, based on perceived business needs, to make investments in the future that may be different from past practice or what we currently anticipate.</w:t>
      </w:r>
    </w:p>
    <w:p>
      <w:pPr>
        <w:spacing w:after="0" w:line="14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With regard to the market for exchanges, we believe that clients base their decisions on a variety of factors that include the ability of the provider to deliver measurable cost savings for clients, a strong reputation for efficient execution and an innovative service delivery model and platform. Part of the employer-sponsored insurance market has matured and become more fragmented while other segments remain in the entry phase. As these market segments continue to evolve, we may experience growth in intervals, with periods of accelerated expansion balanced by periods of modest growth. In recent years, growth in the market for exchanges has slowed, and this trend may continue.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of the Economic Environment</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U.S. and global markets are continuing to experience volatility and disruption as a result of the war between Russia and Ukraine. Although the length and impact of the ongoing situation is highly unpredictable, as the war in Ukraine continues, it has and could continue to lead to further market disruptions. The war in Ukraine has contributed to negative impacts on the global economy and capital markets including significant inflation in many of the markets in which we operate. This impacts not only the cost of and access to liquidity, but also other costs to run and invest in our business.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9" w:name="page30"/>
    <w:bookmarkEnd w:id="29"/>
    <w:p>
      <w:pPr>
        <w:ind w:right="20"/>
        <w:spacing w:after="0" w:line="255" w:lineRule="auto"/>
        <w:rPr>
          <w:sz w:val="20"/>
          <w:szCs w:val="20"/>
          <w:color w:val="auto"/>
        </w:rPr>
      </w:pPr>
      <w:r>
        <w:rPr>
          <w:rFonts w:ascii="Arial" w:cs="Arial" w:eastAsia="Arial" w:hAnsi="Arial"/>
          <w:sz w:val="18"/>
          <w:szCs w:val="18"/>
          <w:color w:val="auto"/>
        </w:rPr>
        <w:t>Other global economic events, such as accommodative monetary and fiscal policy and geopolitical tensions beyond the war in Ukraine, have also contributed to significant inflation across the globe. In particular, inflation in the United States, Europe, and other geographies has risen to levels not experienced in recent decades and we are seeing its impact on various aspects of our business. Moreover, U.S. and global economic conditions have created market uncertainty and volatility. Such general economic conditions, including inflation, stagflation, political volatility, costs of labor, cost of capital, interest rates, bank stability, credit availability, and tax rates, affect our operating and general and administrative expenses, and we have no control or limited ability to control such factors.</w:t>
      </w:r>
    </w:p>
    <w:p>
      <w:pPr>
        <w:spacing w:after="0" w:line="138"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If our costs grow significantly in excess of our ability to raise revenue, whether as a result of the foregoing global economic factors or otherwise, our margins and results of operations may be materially and adversely impacted and we may not be able to achieve our strategic and financial objectives.</w:t>
      </w:r>
    </w:p>
    <w:p>
      <w:pPr>
        <w:spacing w:after="0" w:line="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2022, our financial results were negatively impacted by adverse workforce factors in a number of businesses, particularly commercial risk broking and health and benefits broking. Additionally, our 2022 performance benefited from revenue from book sales, which is non-repeatable revenue. The net impact of these factors, which caused our growth in 2022 to be meaningfully slower than other competitors, may affect the comparability of our 2022 results against the same period (or periods) in 2023 or other future periods. See Part I, Item 1A ‘Risk Factors’ in our Annual Report on Form 10-K, filed with the SEC on February 24, 2023, for a discussion of risks that may affect our growth relative to expectation and our ability to compete.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Transformation Program</w:t>
      </w:r>
    </w:p>
    <w:p>
      <w:pPr>
        <w:spacing w:after="0" w:line="17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the fourth quarter of 2021, the Company initiated a three-year ‘Transformation program’ designed to enhance operations, optimize technology and align its real estate footprint to its new ways of working. During the second quarter of 2023, we revised the expected costs and savings under the program and we now expect the program to generate annual cost savings in excess of $380 million by the end of 2024. The program is expected to incur cumulative costs of approximately $630 million and capital expenditures of approximately $270 million, for a total investment of $900 million. The main categories of charges will be in the following four areas:</w:t>
      </w:r>
    </w:p>
    <w:p>
      <w:pPr>
        <w:spacing w:after="0" w:line="80" w:lineRule="exact"/>
        <w:rPr>
          <w:sz w:val="20"/>
          <w:szCs w:val="20"/>
          <w:color w:val="auto"/>
        </w:rPr>
      </w:pPr>
    </w:p>
    <w:p>
      <w:pPr>
        <w:ind w:left="760" w:right="30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Real estate rationalization — includes costs to align the real estate footprint to the new ways of working (hybrid work) and includes breakage fees and the impairment of right-of-use assets and other related leasehold assets.</w:t>
      </w:r>
    </w:p>
    <w:p>
      <w:pPr>
        <w:spacing w:after="0" w:line="62" w:lineRule="exact"/>
        <w:rPr>
          <w:rFonts w:ascii="Arial" w:cs="Arial" w:eastAsia="Arial" w:hAnsi="Arial"/>
          <w:sz w:val="18"/>
          <w:szCs w:val="18"/>
          <w:color w:val="auto"/>
        </w:rPr>
      </w:pPr>
    </w:p>
    <w:p>
      <w:pPr>
        <w:ind w:left="760" w:right="40" w:hanging="378"/>
        <w:spacing w:after="0" w:line="263"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Technology modernization — these charges are incurred in moving to common platforms and technologies, including migrating certain platforms and applications to the cloud. This category will include the impairment of technology assets that are duplicative or no longer revenue-producing, as well as costs for technology investments that do not qualify for capitalization.</w:t>
      </w:r>
    </w:p>
    <w:p>
      <w:pPr>
        <w:spacing w:after="0" w:line="75" w:lineRule="exact"/>
        <w:rPr>
          <w:rFonts w:ascii="Arial" w:cs="Arial" w:eastAsia="Arial" w:hAnsi="Arial"/>
          <w:sz w:val="18"/>
          <w:szCs w:val="18"/>
          <w:color w:val="auto"/>
        </w:rPr>
      </w:pPr>
    </w:p>
    <w:p>
      <w:pPr>
        <w:ind w:left="760" w:right="20" w:hanging="378"/>
        <w:spacing w:after="0" w:line="263"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Process optimization — these costs will be incurred in the right-shoring strategy and automation of our operations, which will include optimizing resource deployment and appropriate colleague alignment. These costs will include process and organizational design costs, severance and separation-related costs and temporary retention costs.</w:t>
      </w:r>
    </w:p>
    <w:p>
      <w:pPr>
        <w:spacing w:after="0" w:line="75" w:lineRule="exact"/>
        <w:rPr>
          <w:rFonts w:ascii="Arial" w:cs="Arial" w:eastAsia="Arial" w:hAnsi="Arial"/>
          <w:sz w:val="18"/>
          <w:szCs w:val="18"/>
          <w:color w:val="auto"/>
        </w:rPr>
      </w:pPr>
    </w:p>
    <w:p>
      <w:pPr>
        <w:ind w:left="760" w:right="22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 other costs not included above including fees for professional services, other contract terminations not related to the above categories and supplier migration costs.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Certain costs under the Transformation program are accounted for under ASC 420, </w:t>
      </w:r>
      <w:r>
        <w:rPr>
          <w:rFonts w:ascii="Arial" w:cs="Arial" w:eastAsia="Arial" w:hAnsi="Arial"/>
          <w:sz w:val="16"/>
          <w:szCs w:val="16"/>
          <w:i w:val="1"/>
          <w:iCs w:val="1"/>
          <w:color w:val="auto"/>
        </w:rPr>
        <w:t>Exit or Disposal Cost Obligation</w:t>
      </w:r>
      <w:r>
        <w:rPr>
          <w:rFonts w:ascii="Arial" w:cs="Arial" w:eastAsia="Arial" w:hAnsi="Arial"/>
          <w:sz w:val="16"/>
          <w:szCs w:val="16"/>
          <w:color w:val="auto"/>
        </w:rPr>
        <w:t xml:space="preserve">, and are included as restructuring costs in the condensed consolidated statements of comprehensive income. For the three and six months ended June 30, 2023, restructuring charges under our Transformation program totaled $10 million and $13 million, respectively; for the three and six months ended June 30, 2022, restructuring charges under our Transformation program totaled $56 million and $62 million, respectively. Other costs incurred under the Transformation program are included in transaction and transformation and were $82 million and $127 million for the three and six months ended June 30, 2023, respectively, and $26 million and $31 million for the three and six months ended June 30, 2022, respectively. From the actions taken during the second quarter of 2023, we have identified an additional $53 million of annualized run-rate savings during the year due to newly-realized opportunities and incremental sources of value. Since the inception of the program, we have identified $277 million of cumulative annualized run-rate savings, which overall are primarily </w:t>
      </w:r>
      <w:r>
        <w:rPr>
          <w:rFonts w:ascii="Arial" w:cs="Arial" w:eastAsia="Arial" w:hAnsi="Arial"/>
          <w:sz w:val="16"/>
          <w:szCs w:val="16"/>
          <w:color w:val="212121"/>
        </w:rPr>
        <w:t>attributable to the</w:t>
      </w:r>
      <w:r>
        <w:rPr>
          <w:rFonts w:ascii="Arial" w:cs="Arial" w:eastAsia="Arial" w:hAnsi="Arial"/>
          <w:sz w:val="16"/>
          <w:szCs w:val="16"/>
          <w:color w:val="auto"/>
        </w:rPr>
        <w:t xml:space="preserve"> </w:t>
      </w:r>
      <w:r>
        <w:rPr>
          <w:rFonts w:ascii="Arial" w:cs="Arial" w:eastAsia="Arial" w:hAnsi="Arial"/>
          <w:sz w:val="16"/>
          <w:szCs w:val="16"/>
          <w:color w:val="212121"/>
        </w:rPr>
        <w:t xml:space="preserve">reduction of real estate and technology costs. The benefits </w:t>
      </w:r>
      <w:r>
        <w:rPr>
          <w:rFonts w:ascii="Arial" w:cs="Arial" w:eastAsia="Arial" w:hAnsi="Arial"/>
          <w:sz w:val="16"/>
          <w:szCs w:val="16"/>
          <w:color w:val="000000"/>
        </w:rPr>
        <w:t>from the program began to be recognized during 2022.</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a discussion of some of the risks associated with the Transformation program, see Part I, Item 1A ‘Risk Factors’ in our Annual Report on Form 10-K, filed with the SEC on February 24, 2023.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7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table below sets forth our summarized condensed consolidated statements of comprehensive income and data as a percentage of revenue for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7"/>
          </w:tcPr>
          <w:p>
            <w:pPr>
              <w:ind w:left="320"/>
              <w:spacing w:after="0"/>
              <w:rPr>
                <w:sz w:val="20"/>
                <w:szCs w:val="20"/>
                <w:color w:val="auto"/>
              </w:rPr>
            </w:pPr>
            <w:r>
              <w:rPr>
                <w:rFonts w:ascii="Arial" w:cs="Arial" w:eastAsia="Arial" w:hAnsi="Arial"/>
                <w:sz w:val="14"/>
                <w:szCs w:val="14"/>
                <w:b w:val="1"/>
                <w:bCs w:val="1"/>
                <w:color w:val="auto"/>
                <w:w w:val="94"/>
              </w:rPr>
              <w:t>($ in millions, except per share data)</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2"/>
        </w:trPr>
        <w:tc>
          <w:tcPr>
            <w:tcW w:w="478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1"/>
              <w:spacing w:after="0" w:line="201" w:lineRule="exact"/>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51"/>
              <w:spacing w:after="0" w:line="201" w:lineRule="exact"/>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47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97"/>
              </w:rPr>
              <w:t>2,159</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0 % $</w:t>
            </w: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2,031</w:t>
            </w:r>
          </w:p>
        </w:tc>
        <w:tc>
          <w:tcPr>
            <w:tcW w:w="26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100 % $</w:t>
            </w: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4,403</w:t>
            </w:r>
          </w:p>
        </w:tc>
        <w:tc>
          <w:tcPr>
            <w:tcW w:w="260" w:type="dxa"/>
            <w:vAlign w:val="bottom"/>
            <w:shd w:val="clear" w:color="auto" w:fill="CFF0FC"/>
          </w:tcPr>
          <w:p>
            <w:pPr>
              <w:spacing w:after="0"/>
              <w:rPr>
                <w:sz w:val="21"/>
                <w:szCs w:val="21"/>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0 % $</w:t>
            </w:r>
          </w:p>
        </w:tc>
        <w:tc>
          <w:tcPr>
            <w:tcW w:w="6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4,191</w:t>
            </w:r>
          </w:p>
        </w:tc>
        <w:tc>
          <w:tcPr>
            <w:tcW w:w="2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r>
      <w:tr>
        <w:trPr>
          <w:trHeight w:val="224"/>
        </w:trPr>
        <w:tc>
          <w:tcPr>
            <w:tcW w:w="4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Costs of providing services</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5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8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580" w:type="dxa"/>
            <w:vAlign w:val="bottom"/>
            <w:tcBorders>
              <w:top w:val="single" w:sz="8" w:color="CFF0FC"/>
            </w:tcBorders>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Salaries and benefits</w:t>
            </w:r>
          </w:p>
        </w:tc>
        <w:tc>
          <w:tcPr>
            <w:tcW w:w="18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97"/>
              </w:rPr>
              <w:t>1,347</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62 %</w:t>
            </w:r>
          </w:p>
        </w:tc>
        <w:tc>
          <w:tcPr>
            <w:tcW w:w="18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1,259</w:t>
            </w:r>
          </w:p>
        </w:tc>
        <w:tc>
          <w:tcPr>
            <w:tcW w:w="26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62 %</w:t>
            </w:r>
          </w:p>
        </w:tc>
        <w:tc>
          <w:tcPr>
            <w:tcW w:w="18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2,660</w:t>
            </w:r>
          </w:p>
        </w:tc>
        <w:tc>
          <w:tcPr>
            <w:tcW w:w="26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2"/>
              </w:rPr>
              <w:t>60 %</w:t>
            </w:r>
          </w:p>
        </w:tc>
        <w:tc>
          <w:tcPr>
            <w:tcW w:w="18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2,577</w:t>
            </w:r>
          </w:p>
        </w:tc>
        <w:tc>
          <w:tcPr>
            <w:tcW w:w="24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22"/>
                <w:szCs w:val="22"/>
                <w:color w:val="auto"/>
              </w:rPr>
            </w:pPr>
          </w:p>
        </w:tc>
      </w:tr>
      <w:tr>
        <w:trPr>
          <w:trHeight w:val="230"/>
        </w:trPr>
        <w:tc>
          <w:tcPr>
            <w:tcW w:w="478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180" w:type="dxa"/>
            <w:vAlign w:val="bottom"/>
          </w:tcPr>
          <w:p>
            <w:pPr>
              <w:spacing w:after="0"/>
              <w:rPr>
                <w:sz w:val="20"/>
                <w:szCs w:val="20"/>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433</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20 %</w:t>
            </w:r>
          </w:p>
        </w:tc>
        <w:tc>
          <w:tcPr>
            <w:tcW w:w="18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393</w:t>
            </w:r>
          </w:p>
        </w:tc>
        <w:tc>
          <w:tcPr>
            <w:tcW w:w="2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19 %</w:t>
            </w:r>
          </w:p>
        </w:tc>
        <w:tc>
          <w:tcPr>
            <w:tcW w:w="18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886</w:t>
            </w:r>
          </w:p>
        </w:tc>
        <w:tc>
          <w:tcPr>
            <w:tcW w:w="26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20 %</w:t>
            </w:r>
          </w:p>
        </w:tc>
        <w:tc>
          <w:tcPr>
            <w:tcW w:w="180" w:type="dxa"/>
            <w:vAlign w:val="bottom"/>
          </w:tcPr>
          <w:p>
            <w:pPr>
              <w:spacing w:after="0"/>
              <w:rPr>
                <w:sz w:val="20"/>
                <w:szCs w:val="20"/>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879</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0"/>
                <w:szCs w:val="20"/>
                <w:color w:val="auto"/>
              </w:rPr>
            </w:pPr>
          </w:p>
        </w:tc>
      </w:tr>
      <w:tr>
        <w:trPr>
          <w:trHeight w:val="256"/>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64</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3 %</w:t>
            </w:r>
          </w:p>
        </w:tc>
        <w:tc>
          <w:tcPr>
            <w:tcW w:w="18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3 %</w:t>
            </w:r>
          </w:p>
        </w:tc>
        <w:tc>
          <w:tcPr>
            <w:tcW w:w="18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3 %</w:t>
            </w:r>
          </w:p>
        </w:tc>
        <w:tc>
          <w:tcPr>
            <w:tcW w:w="18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2"/>
                <w:szCs w:val="22"/>
                <w:color w:val="auto"/>
              </w:rPr>
            </w:pPr>
          </w:p>
        </w:tc>
      </w:tr>
      <w:tr>
        <w:trPr>
          <w:trHeight w:val="230"/>
        </w:trPr>
        <w:tc>
          <w:tcPr>
            <w:tcW w:w="478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0"/>
                <w:szCs w:val="20"/>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70</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4 %</w:t>
            </w:r>
          </w:p>
        </w:tc>
        <w:tc>
          <w:tcPr>
            <w:tcW w:w="18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0"/>
                <w:szCs w:val="20"/>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0"/>
                <w:szCs w:val="20"/>
                <w:color w:val="auto"/>
              </w:rPr>
            </w:pPr>
          </w:p>
        </w:tc>
      </w:tr>
      <w:tr>
        <w:trPr>
          <w:trHeight w:val="256"/>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costs</w:t>
            </w:r>
          </w:p>
        </w:tc>
        <w:tc>
          <w:tcPr>
            <w:tcW w:w="18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10</w:t>
            </w:r>
          </w:p>
        </w:tc>
        <w:tc>
          <w:tcPr>
            <w:tcW w:w="92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 %</w:t>
            </w: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3 %</w:t>
            </w:r>
          </w:p>
        </w:tc>
        <w:tc>
          <w:tcPr>
            <w:tcW w:w="18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22"/>
                <w:szCs w:val="22"/>
                <w:color w:val="auto"/>
              </w:rPr>
            </w:pPr>
          </w:p>
        </w:tc>
        <w:tc>
          <w:tcPr>
            <w:tcW w:w="680" w:type="dxa"/>
            <w:vAlign w:val="bottom"/>
            <w:gridSpan w:val="3"/>
            <w:shd w:val="clear" w:color="auto" w:fill="CFF0FC"/>
          </w:tcPr>
          <w:p>
            <w:pPr>
              <w:jc w:val="right"/>
              <w:ind w:right="190"/>
              <w:spacing w:after="0"/>
              <w:rPr>
                <w:sz w:val="20"/>
                <w:szCs w:val="20"/>
                <w:color w:val="auto"/>
              </w:rPr>
            </w:pPr>
            <w:r>
              <w:rPr>
                <w:rFonts w:ascii="Arial" w:cs="Arial" w:eastAsia="Arial" w:hAnsi="Arial"/>
                <w:sz w:val="18"/>
                <w:szCs w:val="18"/>
                <w:color w:val="auto"/>
                <w:w w:val="97"/>
              </w:rPr>
              <w:t>— %</w:t>
            </w:r>
          </w:p>
        </w:tc>
        <w:tc>
          <w:tcPr>
            <w:tcW w:w="6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2"/>
                <w:szCs w:val="22"/>
                <w:color w:val="auto"/>
              </w:rPr>
            </w:pPr>
          </w:p>
        </w:tc>
      </w:tr>
      <w:tr>
        <w:trPr>
          <w:trHeight w:val="243"/>
        </w:trPr>
        <w:tc>
          <w:tcPr>
            <w:tcW w:w="4780" w:type="dxa"/>
            <w:vAlign w:val="bottom"/>
          </w:tcPr>
          <w:p>
            <w:pPr>
              <w:ind w:left="200"/>
              <w:spacing w:after="0"/>
              <w:rPr>
                <w:sz w:val="20"/>
                <w:szCs w:val="20"/>
                <w:color w:val="auto"/>
              </w:rPr>
            </w:pPr>
            <w:r>
              <w:rPr>
                <w:rFonts w:ascii="Arial" w:cs="Arial" w:eastAsia="Arial" w:hAnsi="Arial"/>
                <w:sz w:val="18"/>
                <w:szCs w:val="18"/>
                <w:color w:val="auto"/>
              </w:rPr>
              <w:t>Transaction and transformation</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93</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4 %</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2 %</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3 %</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1 %</w:t>
            </w:r>
          </w:p>
        </w:tc>
      </w:tr>
      <w:tr>
        <w:trPr>
          <w:trHeight w:val="230"/>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costs of providing services</w:t>
            </w: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w w:val="97"/>
              </w:rPr>
              <w:t>2,017</w:t>
            </w:r>
          </w:p>
        </w:tc>
        <w:tc>
          <w:tcPr>
            <w:tcW w:w="6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1,894</w:t>
            </w:r>
          </w:p>
        </w:tc>
        <w:tc>
          <w:tcPr>
            <w:tcW w:w="26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3,976</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3,875</w:t>
            </w:r>
          </w:p>
        </w:tc>
        <w:tc>
          <w:tcPr>
            <w:tcW w:w="24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20"/>
                <w:szCs w:val="20"/>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142</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7 %</w:t>
            </w:r>
          </w:p>
        </w:tc>
        <w:tc>
          <w:tcPr>
            <w:tcW w:w="18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7 %</w:t>
            </w:r>
          </w:p>
        </w:tc>
        <w:tc>
          <w:tcPr>
            <w:tcW w:w="18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427</w:t>
            </w:r>
          </w:p>
        </w:tc>
        <w:tc>
          <w:tcPr>
            <w:tcW w:w="26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10 %</w:t>
            </w:r>
          </w:p>
        </w:tc>
        <w:tc>
          <w:tcPr>
            <w:tcW w:w="180" w:type="dxa"/>
            <w:vAlign w:val="bottom"/>
          </w:tcPr>
          <w:p>
            <w:pPr>
              <w:spacing w:after="0"/>
              <w:rPr>
                <w:sz w:val="20"/>
                <w:szCs w:val="20"/>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r>
      <w:tr>
        <w:trPr>
          <w:trHeight w:val="242"/>
        </w:trPr>
        <w:tc>
          <w:tcPr>
            <w:tcW w:w="4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(57 )</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(51 )</w:t>
            </w:r>
          </w:p>
        </w:tc>
        <w:tc>
          <w:tcPr>
            <w:tcW w:w="26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(111 )</w:t>
            </w:r>
          </w:p>
        </w:tc>
        <w:tc>
          <w:tcPr>
            <w:tcW w:w="26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(100 )</w:t>
            </w:r>
          </w:p>
        </w:tc>
        <w:tc>
          <w:tcPr>
            <w:tcW w:w="2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57"/>
        </w:trPr>
        <w:tc>
          <w:tcPr>
            <w:tcW w:w="47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35</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2 %</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5 %</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2"/>
                <w:szCs w:val="2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r>
      <w:tr>
        <w:trPr>
          <w:trHeight w:val="20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 BEFORE</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120</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6 %</w:t>
            </w: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9 %</w:t>
            </w: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376</w:t>
            </w:r>
          </w:p>
        </w:tc>
        <w:tc>
          <w:tcPr>
            <w:tcW w:w="2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9 %</w:t>
            </w: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336</w:t>
            </w:r>
          </w:p>
        </w:tc>
        <w:tc>
          <w:tcPr>
            <w:tcW w:w="2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26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26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(62 )</w:t>
            </w:r>
          </w:p>
        </w:tc>
        <w:tc>
          <w:tcPr>
            <w:tcW w:w="2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96</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4 %</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8 %</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302</w:t>
            </w:r>
          </w:p>
        </w:tc>
        <w:tc>
          <w:tcPr>
            <w:tcW w:w="2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7 %</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0"/>
                <w:szCs w:val="20"/>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TAX</w:t>
            </w:r>
          </w:p>
        </w:tc>
        <w:tc>
          <w:tcPr>
            <w:tcW w:w="180" w:type="dxa"/>
            <w:vAlign w:val="bottom"/>
          </w:tcPr>
          <w:p>
            <w:pPr>
              <w:spacing w:after="0"/>
              <w:rPr>
                <w:sz w:val="20"/>
                <w:szCs w:val="20"/>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70"/>
              <w:spacing w:after="0"/>
              <w:rPr>
                <w:sz w:val="20"/>
                <w:szCs w:val="20"/>
                <w:color w:val="auto"/>
              </w:rPr>
            </w:pPr>
            <w:r>
              <w:rPr>
                <w:rFonts w:ascii="Arial" w:cs="Arial" w:eastAsia="Arial" w:hAnsi="Arial"/>
                <w:sz w:val="18"/>
                <w:szCs w:val="18"/>
                <w:color w:val="auto"/>
              </w:rPr>
              <w:t>— %</w:t>
            </w:r>
          </w:p>
        </w:tc>
        <w:tc>
          <w:tcPr>
            <w:tcW w:w="620" w:type="dxa"/>
            <w:vAlign w:val="bottom"/>
          </w:tcPr>
          <w:p>
            <w:pPr>
              <w:jc w:val="right"/>
              <w:spacing w:after="0"/>
              <w:rPr>
                <w:sz w:val="20"/>
                <w:szCs w:val="20"/>
                <w:color w:val="auto"/>
              </w:rPr>
            </w:pPr>
            <w:r>
              <w:rPr>
                <w:rFonts w:ascii="Arial" w:cs="Arial" w:eastAsia="Arial" w:hAnsi="Arial"/>
                <w:sz w:val="18"/>
                <w:szCs w:val="18"/>
                <w:color w:val="auto"/>
              </w:rPr>
              <w:t>(46 )</w:t>
            </w:r>
          </w:p>
        </w:tc>
        <w:tc>
          <w:tcPr>
            <w:tcW w:w="2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90"/>
              <w:spacing w:after="0"/>
              <w:rPr>
                <w:sz w:val="20"/>
                <w:szCs w:val="20"/>
                <w:color w:val="auto"/>
              </w:rPr>
            </w:pPr>
            <w:r>
              <w:rPr>
                <w:rFonts w:ascii="Arial" w:cs="Arial" w:eastAsia="Arial" w:hAnsi="Arial"/>
                <w:sz w:val="18"/>
                <w:szCs w:val="18"/>
                <w:color w:val="auto"/>
                <w:w w:val="97"/>
              </w:rPr>
              <w:t>— %</w:t>
            </w:r>
          </w:p>
        </w:tc>
        <w:tc>
          <w:tcPr>
            <w:tcW w:w="620" w:type="dxa"/>
            <w:vAlign w:val="bottom"/>
          </w:tcPr>
          <w:p>
            <w:pPr>
              <w:jc w:val="right"/>
              <w:spacing w:after="0"/>
              <w:rPr>
                <w:sz w:val="20"/>
                <w:szCs w:val="20"/>
                <w:color w:val="auto"/>
              </w:rPr>
            </w:pPr>
            <w:r>
              <w:rPr>
                <w:rFonts w:ascii="Arial" w:cs="Arial" w:eastAsia="Arial" w:hAnsi="Arial"/>
                <w:sz w:val="18"/>
                <w:szCs w:val="18"/>
                <w:color w:val="auto"/>
              </w:rPr>
              <w:t>(35 )</w:t>
            </w:r>
          </w:p>
        </w:tc>
        <w:tc>
          <w:tcPr>
            <w:tcW w:w="2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50"/>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attributable to non-controlling interests</w:t>
            </w:r>
          </w:p>
        </w:tc>
        <w:tc>
          <w:tcPr>
            <w:tcW w:w="1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7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26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7"/>
              </w:rPr>
              <w:t>— %</w:t>
            </w:r>
          </w:p>
        </w:tc>
        <w:tc>
          <w:tcPr>
            <w:tcW w:w="1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2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r>
      <w:tr>
        <w:trPr>
          <w:trHeight w:val="236"/>
        </w:trPr>
        <w:tc>
          <w:tcPr>
            <w:tcW w:w="4780" w:type="dxa"/>
            <w:vAlign w:val="bottom"/>
          </w:tcPr>
          <w:p>
            <w:pPr>
              <w:ind w:left="20"/>
              <w:spacing w:after="0"/>
              <w:rPr>
                <w:sz w:val="20"/>
                <w:szCs w:val="20"/>
                <w:color w:val="auto"/>
              </w:rPr>
            </w:pPr>
            <w:r>
              <w:rPr>
                <w:rFonts w:ascii="Arial" w:cs="Arial" w:eastAsia="Arial" w:hAnsi="Arial"/>
                <w:sz w:val="18"/>
                <w:szCs w:val="18"/>
                <w:color w:val="auto"/>
              </w:rPr>
              <w:t>NET INCOME ATTRIBUTABLE TO WTW</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94</w:t>
            </w:r>
          </w:p>
        </w:tc>
        <w:tc>
          <w:tcPr>
            <w:tcW w:w="920" w:type="dxa"/>
            <w:vAlign w:val="bottom"/>
            <w:gridSpan w:val="3"/>
          </w:tcPr>
          <w:p>
            <w:pPr>
              <w:jc w:val="right"/>
              <w:spacing w:after="0" w:line="236" w:lineRule="exact"/>
              <w:rPr>
                <w:sz w:val="20"/>
                <w:szCs w:val="20"/>
                <w:color w:val="auto"/>
              </w:rPr>
            </w:pPr>
            <w:r>
              <w:rPr>
                <w:rFonts w:ascii="Arial" w:cs="Arial" w:eastAsia="Arial" w:hAnsi="Arial"/>
                <w:sz w:val="15"/>
                <w:szCs w:val="15"/>
                <w:color w:val="auto"/>
              </w:rPr>
              <w:t xml:space="preserve">4 % </w:t>
            </w:r>
            <w:r>
              <w:rPr>
                <w:rFonts w:ascii="Arial" w:cs="Arial" w:eastAsia="Arial" w:hAnsi="Arial"/>
                <w:sz w:val="27"/>
                <w:szCs w:val="27"/>
                <w:color w:val="auto"/>
                <w:vertAlign w:val="superscript"/>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0"/>
                <w:szCs w:val="20"/>
                <w:color w:val="auto"/>
              </w:rPr>
            </w:pPr>
          </w:p>
        </w:tc>
        <w:tc>
          <w:tcPr>
            <w:tcW w:w="860" w:type="dxa"/>
            <w:vAlign w:val="bottom"/>
            <w:gridSpan w:val="3"/>
          </w:tcPr>
          <w:p>
            <w:pPr>
              <w:jc w:val="right"/>
              <w:spacing w:after="0" w:line="236" w:lineRule="exact"/>
              <w:rPr>
                <w:sz w:val="20"/>
                <w:szCs w:val="20"/>
                <w:color w:val="auto"/>
              </w:rPr>
            </w:pPr>
            <w:r>
              <w:rPr>
                <w:rFonts w:ascii="Arial" w:cs="Arial" w:eastAsia="Arial" w:hAnsi="Arial"/>
                <w:sz w:val="15"/>
                <w:szCs w:val="15"/>
                <w:color w:val="auto"/>
              </w:rPr>
              <w:t xml:space="preserve">5 % </w:t>
            </w:r>
            <w:r>
              <w:rPr>
                <w:rFonts w:ascii="Arial" w:cs="Arial" w:eastAsia="Arial" w:hAnsi="Arial"/>
                <w:sz w:val="27"/>
                <w:szCs w:val="27"/>
                <w:color w:val="auto"/>
                <w:vertAlign w:val="superscript"/>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20"/>
                <w:szCs w:val="20"/>
                <w:color w:val="auto"/>
              </w:rPr>
            </w:pPr>
          </w:p>
        </w:tc>
        <w:tc>
          <w:tcPr>
            <w:tcW w:w="680" w:type="dxa"/>
            <w:vAlign w:val="bottom"/>
            <w:gridSpan w:val="3"/>
          </w:tcPr>
          <w:p>
            <w:pPr>
              <w:jc w:val="right"/>
              <w:spacing w:after="0" w:line="236" w:lineRule="exact"/>
              <w:rPr>
                <w:sz w:val="20"/>
                <w:szCs w:val="20"/>
                <w:color w:val="auto"/>
              </w:rPr>
            </w:pPr>
            <w:r>
              <w:rPr>
                <w:rFonts w:ascii="Arial" w:cs="Arial" w:eastAsia="Arial" w:hAnsi="Arial"/>
                <w:sz w:val="15"/>
                <w:szCs w:val="15"/>
                <w:color w:val="auto"/>
              </w:rPr>
              <w:t xml:space="preserve">7 % </w:t>
            </w:r>
            <w:r>
              <w:rPr>
                <w:rFonts w:ascii="Arial" w:cs="Arial" w:eastAsia="Arial" w:hAnsi="Arial"/>
                <w:sz w:val="27"/>
                <w:szCs w:val="27"/>
                <w:color w:val="auto"/>
                <w:vertAlign w:val="superscript"/>
              </w:rPr>
              <w:t>$</w:t>
            </w: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6 %</w:t>
            </w:r>
          </w:p>
        </w:tc>
      </w:tr>
      <w:tr>
        <w:trPr>
          <w:trHeight w:val="20"/>
        </w:trPr>
        <w:tc>
          <w:tcPr>
            <w:tcW w:w="4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Diluted earnings per share from continuing operations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0.88</w:t>
            </w:r>
          </w:p>
        </w:tc>
        <w:tc>
          <w:tcPr>
            <w:tcW w:w="740" w:type="dxa"/>
            <w:vAlign w:val="bottom"/>
            <w:tcBorders>
              <w:bottom w:val="single" w:sz="8" w:color="CFF0FC"/>
            </w:tcBorders>
            <w:gridSpan w:val="2"/>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1.38</w:t>
            </w:r>
          </w:p>
        </w:tc>
        <w:tc>
          <w:tcPr>
            <w:tcW w:w="26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gridSpan w:val="2"/>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2.77</w:t>
            </w:r>
          </w:p>
        </w:tc>
        <w:tc>
          <w:tcPr>
            <w:tcW w:w="26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gridSpan w:val="2"/>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2.31</w:t>
            </w:r>
          </w:p>
        </w:tc>
        <w:tc>
          <w:tcPr>
            <w:tcW w:w="24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-3154045</wp:posOffset>
            </wp:positionV>
            <wp:extent cx="85725" cy="1631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-3154045</wp:posOffset>
            </wp:positionV>
            <wp:extent cx="85725" cy="1631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-3154045</wp:posOffset>
            </wp:positionV>
            <wp:extent cx="85725" cy="1631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-3154045</wp:posOffset>
            </wp:positionV>
            <wp:extent cx="85725" cy="1631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3168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-367665</wp:posOffset>
            </wp:positionV>
            <wp:extent cx="85725" cy="1885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-367665</wp:posOffset>
            </wp:positionV>
            <wp:extent cx="85725" cy="1885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-367665</wp:posOffset>
            </wp:positionV>
            <wp:extent cx="85725" cy="1885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-367665</wp:posOffset>
            </wp:positionV>
            <wp:extent cx="85725" cy="1885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wp:posOffset>
            </wp:positionV>
            <wp:extent cx="857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-8255</wp:posOffset>
            </wp:positionV>
            <wp:extent cx="857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857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857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857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857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-24765</wp:posOffset>
            </wp:positionV>
            <wp:extent cx="857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-8255</wp:posOffset>
            </wp:positionV>
            <wp:extent cx="857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 (Continuing Operations)</w:t>
      </w:r>
    </w:p>
    <w:p>
      <w:pPr>
        <w:spacing w:after="0" w:line="17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Revenue for the three months ended June 30, 2023 was $2.2 billion, compared to $2.0 billion for the three months ended June 30, 2022, an increase of $128 million, or 6%, on an as-reported basis. Adjusting for the impacts of foreign currency and acquisitions and disposals, our organic revenue growth was 7% for the three months ended June 30, 2023. Revenue for the six months ended June 30, 2023 was $4.4 billion, compared to $4.2 billion for the six months ended June 30, 2022, an increase of $212 million, or 5%, on an as-reported basis. Adjusting for the impacts of foreign currency and acquisitions and disposals, our organic revenue growth was 8% for the six months ended June 30, 2023. The increases in both as-reported and organic revenue were driven by strong performances in both segments as well as the recognition of higher interest income that is not allocated to the segments.</w:t>
      </w:r>
    </w:p>
    <w:p>
      <w:pPr>
        <w:spacing w:after="0" w:line="1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revenue can be materially impacted by changes in currency conversions, which can fluctuate significantly over the course of a calendar year. For the three months ended June 30, 2023, currency translation decreased our consolidated revenue by $9 million. The primary currency driving this change was the Canadian Dollar and Argentine Peso. For the six months ended June 30, 2023, currency translation decreased our consolidated revenue by $72 million. The primary currencies driving this change were the Pound sterling and Euro.</w:t>
      </w:r>
    </w:p>
    <w:p>
      <w:pPr>
        <w:spacing w:after="0" w:line="13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following table details our top five markets based on the percentage of consolidated revenue (in U.S. dollars) from the countries where work was performed for the six months ended June 30, 2023. These figures do not represent the currency of the related revenue, which is presented in the next table.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Geographic Region</w:t>
            </w:r>
          </w:p>
        </w:tc>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2"/>
          </w:tcPr>
          <w:p>
            <w:pPr>
              <w:ind w:left="560"/>
              <w:spacing w:after="0"/>
              <w:rPr>
                <w:sz w:val="20"/>
                <w:szCs w:val="20"/>
                <w:color w:val="auto"/>
              </w:rPr>
            </w:pPr>
            <w:r>
              <w:rPr>
                <w:rFonts w:ascii="Arial" w:cs="Arial" w:eastAsia="Arial" w:hAnsi="Arial"/>
                <w:sz w:val="14"/>
                <w:szCs w:val="14"/>
                <w:b w:val="1"/>
                <w:bCs w:val="1"/>
                <w:color w:val="auto"/>
              </w:rPr>
              <w:t>% of Revenue</w:t>
            </w:r>
          </w:p>
        </w:tc>
      </w:tr>
      <w:tr>
        <w:trPr>
          <w:trHeight w:val="237"/>
        </w:trPr>
        <w:tc>
          <w:tcPr>
            <w:tcW w:w="33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55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50 %</w:t>
            </w:r>
          </w:p>
        </w:tc>
        <w:tc>
          <w:tcPr>
            <w:tcW w:w="20" w:type="dxa"/>
            <w:vAlign w:val="bottom"/>
          </w:tcPr>
          <w:p>
            <w:pPr>
              <w:spacing w:after="0"/>
              <w:rPr>
                <w:sz w:val="20"/>
                <w:szCs w:val="20"/>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7860" w:type="dxa"/>
            <w:vAlign w:val="bottom"/>
            <w:gridSpan w:val="3"/>
          </w:tcPr>
          <w:p>
            <w:pPr>
              <w:jc w:val="right"/>
              <w:spacing w:after="0"/>
              <w:rPr>
                <w:sz w:val="20"/>
                <w:szCs w:val="20"/>
                <w:color w:val="auto"/>
              </w:rPr>
            </w:pPr>
            <w:r>
              <w:rPr>
                <w:rFonts w:ascii="Arial" w:cs="Arial" w:eastAsia="Arial" w:hAnsi="Arial"/>
                <w:sz w:val="18"/>
                <w:szCs w:val="18"/>
                <w:color w:val="auto"/>
              </w:rPr>
              <w:t>19 %</w:t>
            </w:r>
          </w:p>
        </w:tc>
        <w:tc>
          <w:tcPr>
            <w:tcW w:w="20" w:type="dxa"/>
            <w:vAlign w:val="bottom"/>
          </w:tcPr>
          <w:p>
            <w:pPr>
              <w:spacing w:after="0"/>
              <w:rPr>
                <w:sz w:val="20"/>
                <w:szCs w:val="20"/>
                <w:color w:val="auto"/>
              </w:rPr>
            </w:pPr>
          </w:p>
        </w:tc>
      </w:tr>
      <w:tr>
        <w:trPr>
          <w:trHeight w:val="25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France</w:t>
            </w:r>
          </w:p>
        </w:tc>
        <w:tc>
          <w:tcPr>
            <w:tcW w:w="7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22"/>
                <w:szCs w:val="22"/>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Germany</w:t>
            </w:r>
          </w:p>
        </w:tc>
        <w:tc>
          <w:tcPr>
            <w:tcW w:w="786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20"/>
                <w:szCs w:val="20"/>
                <w:color w:val="auto"/>
              </w:rPr>
            </w:pPr>
          </w:p>
        </w:tc>
      </w:tr>
      <w:tr>
        <w:trPr>
          <w:trHeight w:val="25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Canada</w:t>
            </w:r>
          </w:p>
        </w:tc>
        <w:tc>
          <w:tcPr>
            <w:tcW w:w="7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22"/>
                <w:szCs w:val="22"/>
                <w:color w:val="auto"/>
              </w:rPr>
            </w:pPr>
          </w:p>
        </w:tc>
      </w:tr>
      <w:tr>
        <w:trPr>
          <w:trHeight w:val="607"/>
        </w:trPr>
        <w:tc>
          <w:tcPr>
            <w:tcW w:w="3380" w:type="dxa"/>
            <w:vAlign w:val="bottom"/>
          </w:tcPr>
          <w:p>
            <w:pPr>
              <w:spacing w:after="0"/>
              <w:rPr>
                <w:sz w:val="24"/>
                <w:szCs w:val="24"/>
                <w:color w:val="auto"/>
              </w:rPr>
            </w:pPr>
          </w:p>
        </w:tc>
        <w:tc>
          <w:tcPr>
            <w:tcW w:w="5520" w:type="dxa"/>
            <w:vAlign w:val="bottom"/>
          </w:tcPr>
          <w:p>
            <w:pPr>
              <w:jc w:val="right"/>
              <w:ind w:right="309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320" w:top="499" w:right="239" w:bottom="1440" w:gutter="0" w:footer="0" w:header="0"/>
        </w:sectPr>
      </w:pPr>
    </w:p>
    <w:bookmarkStart w:id="31" w:name="page32"/>
    <w:bookmarkEnd w:id="31"/>
    <w:p>
      <w:pPr>
        <w:ind w:right="240"/>
        <w:spacing w:after="0" w:line="277" w:lineRule="auto"/>
        <w:rPr>
          <w:sz w:val="20"/>
          <w:szCs w:val="20"/>
          <w:color w:val="auto"/>
        </w:rPr>
      </w:pPr>
      <w:r>
        <w:rPr>
          <w:rFonts w:ascii="Arial" w:cs="Arial" w:eastAsia="Arial" w:hAnsi="Arial"/>
          <w:sz w:val="18"/>
          <w:szCs w:val="18"/>
          <w:color w:val="auto"/>
        </w:rPr>
        <w:t>The table below details the approximate percentage of our revenue and expenses from continuing operations by transactional currency for the six months ended June 30, 2023.</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40" w:type="dxa"/>
            <w:vAlign w:val="bottom"/>
          </w:tcPr>
          <w:p>
            <w:pPr>
              <w:ind w:left="20"/>
              <w:spacing w:after="0"/>
              <w:rPr>
                <w:sz w:val="20"/>
                <w:szCs w:val="20"/>
                <w:color w:val="auto"/>
              </w:rPr>
            </w:pPr>
            <w:r>
              <w:rPr>
                <w:rFonts w:ascii="Arial" w:cs="Arial" w:eastAsia="Arial" w:hAnsi="Arial"/>
                <w:sz w:val="14"/>
                <w:szCs w:val="14"/>
                <w:b w:val="1"/>
                <w:bCs w:val="1"/>
                <w:color w:val="auto"/>
              </w:rPr>
              <w:t>Transactional Currency</w:t>
            </w:r>
          </w:p>
        </w:tc>
        <w:tc>
          <w:tcPr>
            <w:tcW w:w="160" w:type="dxa"/>
            <w:vAlign w:val="bottom"/>
          </w:tcPr>
          <w:p>
            <w:pPr>
              <w:spacing w:after="0"/>
              <w:rPr>
                <w:sz w:val="18"/>
                <w:szCs w:val="18"/>
                <w:color w:val="auto"/>
              </w:rPr>
            </w:pP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Revenue</w:t>
            </w:r>
          </w:p>
        </w:tc>
        <w:tc>
          <w:tcPr>
            <w:tcW w:w="1820" w:type="dxa"/>
            <w:vAlign w:val="bottom"/>
            <w:gridSpan w:val="2"/>
          </w:tcPr>
          <w:p>
            <w:pPr>
              <w:ind w:left="480"/>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9"/>
                <w:szCs w:val="19"/>
                <w:b w:val="1"/>
                <w:bCs w:val="1"/>
                <w:color w:val="auto"/>
                <w:vertAlign w:val="superscript"/>
              </w:rPr>
              <w:t>(i)</w:t>
            </w:r>
          </w:p>
        </w:tc>
      </w:tr>
      <w:tr>
        <w:trPr>
          <w:trHeight w:val="237"/>
        </w:trPr>
        <w:tc>
          <w:tcPr>
            <w:tcW w:w="73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U.S. dollars</w:t>
            </w:r>
          </w:p>
        </w:tc>
        <w:tc>
          <w:tcPr>
            <w:tcW w:w="160" w:type="dxa"/>
            <w:vAlign w:val="bottom"/>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73"/>
              </w:rPr>
              <w:t>56 %</w:t>
            </w:r>
          </w:p>
        </w:tc>
        <w:tc>
          <w:tcPr>
            <w:tcW w:w="160" w:type="dxa"/>
            <w:vAlign w:val="bottom"/>
            <w:shd w:val="clear" w:color="auto" w:fill="CFF0FC"/>
          </w:tcPr>
          <w:p>
            <w:pPr>
              <w:spacing w:after="0"/>
              <w:rPr>
                <w:sz w:val="20"/>
                <w:szCs w:val="20"/>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53 %</w:t>
            </w:r>
          </w:p>
        </w:tc>
        <w:tc>
          <w:tcPr>
            <w:tcW w:w="20" w:type="dxa"/>
            <w:vAlign w:val="bottom"/>
          </w:tcPr>
          <w:p>
            <w:pPr>
              <w:spacing w:after="0"/>
              <w:rPr>
                <w:sz w:val="20"/>
                <w:szCs w:val="20"/>
                <w:color w:val="auto"/>
              </w:rPr>
            </w:pP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Pounds sterling</w:t>
            </w:r>
          </w:p>
        </w:tc>
        <w:tc>
          <w:tcPr>
            <w:tcW w:w="2100" w:type="dxa"/>
            <w:vAlign w:val="bottom"/>
            <w:gridSpan w:val="3"/>
          </w:tcPr>
          <w:p>
            <w:pPr>
              <w:ind w:left="1620"/>
              <w:spacing w:after="0"/>
              <w:rPr>
                <w:sz w:val="20"/>
                <w:szCs w:val="20"/>
                <w:color w:val="auto"/>
              </w:rPr>
            </w:pPr>
            <w:r>
              <w:rPr>
                <w:rFonts w:ascii="Arial" w:cs="Arial" w:eastAsia="Arial" w:hAnsi="Arial"/>
                <w:sz w:val="18"/>
                <w:szCs w:val="18"/>
                <w:color w:val="auto"/>
              </w:rPr>
              <w:t>12 %</w:t>
            </w:r>
          </w:p>
        </w:tc>
        <w:tc>
          <w:tcPr>
            <w:tcW w:w="1800" w:type="dxa"/>
            <w:vAlign w:val="bottom"/>
          </w:tcPr>
          <w:p>
            <w:pPr>
              <w:jc w:val="right"/>
              <w:spacing w:after="0"/>
              <w:rPr>
                <w:sz w:val="20"/>
                <w:szCs w:val="20"/>
                <w:color w:val="auto"/>
              </w:rPr>
            </w:pPr>
            <w:r>
              <w:rPr>
                <w:rFonts w:ascii="Arial" w:cs="Arial" w:eastAsia="Arial" w:hAnsi="Arial"/>
                <w:sz w:val="18"/>
                <w:szCs w:val="18"/>
                <w:color w:val="auto"/>
              </w:rPr>
              <w:t>17 %</w:t>
            </w:r>
          </w:p>
        </w:tc>
        <w:tc>
          <w:tcPr>
            <w:tcW w:w="20" w:type="dxa"/>
            <w:vAlign w:val="bottom"/>
          </w:tcPr>
          <w:p>
            <w:pPr>
              <w:spacing w:after="0"/>
              <w:rPr>
                <w:sz w:val="20"/>
                <w:szCs w:val="20"/>
                <w:color w:val="auto"/>
              </w:rPr>
            </w:pPr>
          </w:p>
        </w:tc>
      </w:tr>
      <w:tr>
        <w:trPr>
          <w:trHeight w:val="256"/>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Euro</w:t>
            </w:r>
          </w:p>
        </w:tc>
        <w:tc>
          <w:tcPr>
            <w:tcW w:w="2100" w:type="dxa"/>
            <w:vAlign w:val="bottom"/>
            <w:gridSpan w:val="3"/>
            <w:shd w:val="clear" w:color="auto" w:fill="CFF0FC"/>
          </w:tcPr>
          <w:p>
            <w:pPr>
              <w:ind w:left="1620"/>
              <w:spacing w:after="0"/>
              <w:rPr>
                <w:sz w:val="20"/>
                <w:szCs w:val="20"/>
                <w:color w:val="auto"/>
              </w:rPr>
            </w:pPr>
            <w:r>
              <w:rPr>
                <w:rFonts w:ascii="Arial" w:cs="Arial" w:eastAsia="Arial" w:hAnsi="Arial"/>
                <w:sz w:val="18"/>
                <w:szCs w:val="18"/>
                <w:color w:val="auto"/>
              </w:rPr>
              <w:t>16 %</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20" w:type="dxa"/>
            <w:vAlign w:val="bottom"/>
          </w:tcPr>
          <w:p>
            <w:pPr>
              <w:spacing w:after="0"/>
              <w:rPr>
                <w:sz w:val="22"/>
                <w:szCs w:val="22"/>
                <w:color w:val="auto"/>
              </w:rPr>
            </w:pP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Other currencies</w:t>
            </w:r>
          </w:p>
        </w:tc>
        <w:tc>
          <w:tcPr>
            <w:tcW w:w="2100" w:type="dxa"/>
            <w:vAlign w:val="bottom"/>
            <w:gridSpan w:val="3"/>
          </w:tcPr>
          <w:p>
            <w:pPr>
              <w:ind w:left="1620"/>
              <w:spacing w:after="0"/>
              <w:rPr>
                <w:sz w:val="20"/>
                <w:szCs w:val="20"/>
                <w:color w:val="auto"/>
              </w:rPr>
            </w:pPr>
            <w:r>
              <w:rPr>
                <w:rFonts w:ascii="Arial" w:cs="Arial" w:eastAsia="Arial" w:hAnsi="Arial"/>
                <w:sz w:val="18"/>
                <w:szCs w:val="18"/>
                <w:color w:val="auto"/>
              </w:rPr>
              <w:t>16 %</w:t>
            </w:r>
          </w:p>
        </w:tc>
        <w:tc>
          <w:tcPr>
            <w:tcW w:w="1800" w:type="dxa"/>
            <w:vAlign w:val="bottom"/>
          </w:tcPr>
          <w:p>
            <w:pPr>
              <w:jc w:val="right"/>
              <w:spacing w:after="0"/>
              <w:rPr>
                <w:sz w:val="20"/>
                <w:szCs w:val="20"/>
                <w:color w:val="auto"/>
              </w:rPr>
            </w:pPr>
            <w:r>
              <w:rPr>
                <w:rFonts w:ascii="Arial" w:cs="Arial" w:eastAsia="Arial" w:hAnsi="Arial"/>
                <w:sz w:val="18"/>
                <w:szCs w:val="18"/>
                <w:color w:val="auto"/>
              </w:rPr>
              <w:t>17 %</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95123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0" w:lineRule="exact"/>
        <w:rPr>
          <w:sz w:val="20"/>
          <w:szCs w:val="20"/>
          <w:color w:val="auto"/>
        </w:rPr>
      </w:pPr>
    </w:p>
    <w:p>
      <w:pPr>
        <w:ind w:left="280" w:right="100" w:hanging="272"/>
        <w:spacing w:after="0" w:line="253" w:lineRule="auto"/>
        <w:tabs>
          <w:tab w:leader="none" w:pos="2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 and transaction and transformation.</w:t>
      </w:r>
    </w:p>
    <w:p>
      <w:pPr>
        <w:spacing w:after="0" w:line="12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following tables set forth the total revenue for the three and six months ended June 30, 2023 and 2022 and the components of the changes in total revenue for the three and six months ended June 30, 2023, as compared to the prior year periods. The components of the revenue change may not add due to rounding.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9"/>
              </w:rPr>
              <w:t>Components of Revenue Change</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4"/>
            <w:vMerge w:val="restart"/>
          </w:tcPr>
          <w:p>
            <w:pPr>
              <w:jc w:val="right"/>
              <w:ind w:right="659"/>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Reported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Divestitures</w:t>
            </w:r>
          </w:p>
        </w:tc>
        <w:tc>
          <w:tcPr>
            <w:tcW w:w="1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 in</w:t>
            </w:r>
          </w:p>
        </w:tc>
        <w:tc>
          <w:tcPr>
            <w:tcW w:w="5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76"/>
              </w:rPr>
              <w:t>millions)</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2,159</w:t>
            </w:r>
          </w:p>
        </w:tc>
        <w:tc>
          <w:tcPr>
            <w:tcW w:w="560" w:type="dxa"/>
            <w:vAlign w:val="bottom"/>
            <w:gridSpan w:val="2"/>
            <w:shd w:val="clear" w:color="auto" w:fill="CFF0FC"/>
          </w:tcPr>
          <w:p>
            <w:pPr>
              <w:jc w:val="center"/>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2,031</w:t>
            </w:r>
          </w:p>
        </w:tc>
        <w:tc>
          <w:tcPr>
            <w:tcW w:w="126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6%</w:t>
            </w:r>
          </w:p>
        </w:tc>
        <w:tc>
          <w:tcPr>
            <w:tcW w:w="120" w:type="dxa"/>
            <w:vAlign w:val="bottom"/>
            <w:shd w:val="clear" w:color="auto" w:fill="CFF0FC"/>
          </w:tcPr>
          <w:p>
            <w:pPr>
              <w:spacing w:after="0"/>
              <w:rPr>
                <w:sz w:val="24"/>
                <w:szCs w:val="24"/>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w:t>
            </w:r>
          </w:p>
        </w:tc>
        <w:tc>
          <w:tcPr>
            <w:tcW w:w="13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7%</w:t>
            </w:r>
          </w:p>
        </w:tc>
        <w:tc>
          <w:tcPr>
            <w:tcW w:w="140" w:type="dxa"/>
            <w:vAlign w:val="bottom"/>
            <w:shd w:val="clear" w:color="auto" w:fill="CFF0FC"/>
          </w:tcPr>
          <w:p>
            <w:pPr>
              <w:spacing w:after="0"/>
              <w:rPr>
                <w:sz w:val="24"/>
                <w:szCs w:val="24"/>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399"/>
        </w:trPr>
        <w:tc>
          <w:tcPr>
            <w:tcW w:w="19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20" w:type="dxa"/>
            <w:vAlign w:val="bottom"/>
            <w:tcBorders>
              <w:top w:val="single" w:sz="8" w:color="CFF0FC"/>
              <w:bottom w:val="single" w:sz="8" w:color="auto"/>
            </w:tcBorders>
          </w:tcPr>
          <w:p>
            <w:pPr>
              <w:spacing w:after="0"/>
              <w:rPr>
                <w:sz w:val="24"/>
                <w:szCs w:val="24"/>
                <w:color w:val="auto"/>
              </w:rPr>
            </w:pPr>
          </w:p>
        </w:tc>
        <w:tc>
          <w:tcPr>
            <w:tcW w:w="140" w:type="dxa"/>
            <w:vAlign w:val="bottom"/>
            <w:tcBorders>
              <w:top w:val="single" w:sz="8" w:color="CFF0FC"/>
              <w:bottom w:val="single" w:sz="8" w:color="auto"/>
            </w:tcBorders>
          </w:tcPr>
          <w:p>
            <w:pPr>
              <w:spacing w:after="0"/>
              <w:rPr>
                <w:sz w:val="24"/>
                <w:szCs w:val="24"/>
                <w:color w:val="auto"/>
              </w:rPr>
            </w:pPr>
          </w:p>
        </w:tc>
        <w:tc>
          <w:tcPr>
            <w:tcW w:w="2460" w:type="dxa"/>
            <w:vAlign w:val="bottom"/>
            <w:tcBorders>
              <w:top w:val="single" w:sz="8" w:color="CFF0FC"/>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9"/>
              </w:rPr>
              <w:t>Components of Revenue Change</w:t>
            </w:r>
          </w:p>
        </w:tc>
        <w:tc>
          <w:tcPr>
            <w:tcW w:w="140" w:type="dxa"/>
            <w:vAlign w:val="bottom"/>
            <w:tcBorders>
              <w:top w:val="single" w:sz="8" w:color="CFF0FC"/>
              <w:bottom w:val="single" w:sz="8" w:color="auto"/>
            </w:tcBorders>
          </w:tcPr>
          <w:p>
            <w:pPr>
              <w:spacing w:after="0"/>
              <w:rPr>
                <w:sz w:val="24"/>
                <w:szCs w:val="24"/>
                <w:color w:val="auto"/>
              </w:rPr>
            </w:pPr>
          </w:p>
        </w:tc>
        <w:tc>
          <w:tcPr>
            <w:tcW w:w="1020" w:type="dxa"/>
            <w:vAlign w:val="bottom"/>
            <w:tcBorders>
              <w:top w:val="single" w:sz="8" w:color="CFF0F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4"/>
            <w:vMerge w:val="restart"/>
          </w:tcPr>
          <w:p>
            <w:pPr>
              <w:jc w:val="right"/>
              <w:ind w:right="739"/>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Reported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Divestitures</w:t>
            </w:r>
          </w:p>
        </w:tc>
        <w:tc>
          <w:tcPr>
            <w:tcW w:w="1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 in</w:t>
            </w:r>
          </w:p>
        </w:tc>
        <w:tc>
          <w:tcPr>
            <w:tcW w:w="5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76"/>
              </w:rPr>
              <w:t>millions)</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8"/>
                <w:szCs w:val="18"/>
                <w:color w:val="auto"/>
              </w:rPr>
              <w:t>4,403</w:t>
            </w:r>
          </w:p>
        </w:tc>
        <w:tc>
          <w:tcPr>
            <w:tcW w:w="1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center"/>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rPr>
              <w:t>4,191</w:t>
            </w:r>
          </w:p>
        </w:tc>
        <w:tc>
          <w:tcPr>
            <w:tcW w:w="126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5%</w:t>
            </w:r>
          </w:p>
        </w:tc>
        <w:tc>
          <w:tcPr>
            <w:tcW w:w="1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44"/>
              <w:spacing w:after="0"/>
              <w:rPr>
                <w:sz w:val="20"/>
                <w:szCs w:val="20"/>
                <w:color w:val="auto"/>
              </w:rPr>
            </w:pPr>
            <w:r>
              <w:rPr>
                <w:rFonts w:ascii="Arial" w:cs="Arial" w:eastAsia="Arial" w:hAnsi="Arial"/>
                <w:sz w:val="18"/>
                <w:szCs w:val="18"/>
                <w:color w:val="auto"/>
              </w:rPr>
              <w:t>(2)%</w:t>
            </w:r>
          </w:p>
        </w:tc>
        <w:tc>
          <w:tcPr>
            <w:tcW w:w="1320" w:type="dxa"/>
            <w:vAlign w:val="bottom"/>
            <w:tcBorders>
              <w:bottom w:val="single" w:sz="8" w:color="CFF0FC"/>
            </w:tcBorders>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7%</w:t>
            </w:r>
          </w:p>
        </w:tc>
        <w:tc>
          <w:tcPr>
            <w:tcW w:w="1280" w:type="dxa"/>
            <w:vAlign w:val="bottom"/>
            <w:tcBorders>
              <w:bottom w:val="single" w:sz="8" w:color="CFF0FC"/>
            </w:tcBorders>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(1)%</w:t>
            </w:r>
          </w:p>
        </w:tc>
        <w:tc>
          <w:tcPr>
            <w:tcW w:w="1160" w:type="dxa"/>
            <w:vAlign w:val="bottom"/>
            <w:tcBorders>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-951230</wp:posOffset>
            </wp:positionV>
            <wp:extent cx="857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-934085</wp:posOffset>
            </wp:positionV>
            <wp:extent cx="857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-951230</wp:posOffset>
            </wp:positionV>
            <wp:extent cx="857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-934085</wp:posOffset>
            </wp:positionV>
            <wp:extent cx="857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-25400</wp:posOffset>
            </wp:positionV>
            <wp:extent cx="857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-8255</wp:posOffset>
            </wp:positionV>
            <wp:extent cx="857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-25400</wp:posOffset>
            </wp:positionV>
            <wp:extent cx="857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-8255</wp:posOffset>
            </wp:positionV>
            <wp:extent cx="8572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2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Definitions of Constant Currency Change and Organic Change are included under the section entitled ‘Non-GAAP Financial Measures’ elsewhere within Item 2 of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segment descriptions below should be read in conjunction with the full descriptions of our businesses contained in Part I, Item 1. ‘Business’, within our Annual Report on Form 10-K, filed with the SEC on February 24, 2023.</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Segment revenue excludes amounts that were directly incurred on behalf of our clients and reimbursed by them (reimbursed expenses); however, these amounts are included in consolidated revenue, as permitted by applicable accounting standards and SEC rules.</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experiences seasonal fluctuations in its revenue. Revenue is typically higher during the Company’s first and fourth quarters due primarily to the timing of broking-related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 each table presented below, the components of the revenue change may not add due to rounding.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Wealth &amp; Career</w:t>
      </w:r>
    </w:p>
    <w:p>
      <w:pPr>
        <w:spacing w:after="0" w:line="17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Health, Wealth &amp; Career (‘HWC’) segment provides an array of advice, broking, solutions and technology for employee benefit plans, institutional investors, compensation and career programs, and the employee experience overall. Our portfolio of services supports the interrelated challenges that the management teams of our clients face across human resources and finance.</w:t>
      </w:r>
    </w:p>
    <w:p>
      <w:pPr>
        <w:spacing w:after="0" w:line="1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HWC is the larger of the two segments of the Company. Addressing four key areas, Health, Wealth, Career and Benefits Delivery &amp; Outsourcing, the segment is focused on addressing our clients’ people and risk needs to help them succeed in a global marketplace.</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sets forth HWC revenue for the three months ended June 30, 2023 and 2022 and the components of the change in revenue for the three months ended June 30, 2023 from the three months ended June 30,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9"/>
              </w:rPr>
              <w:t>Components of Revenue Change</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20" w:type="dxa"/>
            <w:vAlign w:val="bottom"/>
            <w:gridSpan w:val="4"/>
            <w:vMerge w:val="restart"/>
          </w:tcPr>
          <w:p>
            <w:pPr>
              <w:jc w:val="right"/>
              <w:ind w:right="639"/>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Reported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Organic</w:t>
            </w:r>
          </w:p>
        </w:tc>
        <w:tc>
          <w:tcPr>
            <w:tcW w:w="0" w:type="dxa"/>
            <w:vAlign w:val="bottom"/>
          </w:tcPr>
          <w:p>
            <w:pPr>
              <w:spacing w:after="0"/>
              <w:rPr>
                <w:sz w:val="1"/>
                <w:szCs w:val="1"/>
                <w:color w:val="auto"/>
              </w:rPr>
            </w:pPr>
          </w:p>
        </w:tc>
      </w:tr>
      <w:tr>
        <w:trPr>
          <w:trHeight w:val="169"/>
        </w:trPr>
        <w:tc>
          <w:tcPr>
            <w:tcW w:w="18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Divestitures</w:t>
            </w:r>
          </w:p>
        </w:tc>
        <w:tc>
          <w:tcPr>
            <w:tcW w:w="1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64"/>
              <w:spacing w:after="0"/>
              <w:rPr>
                <w:sz w:val="20"/>
                <w:szCs w:val="20"/>
                <w:color w:val="auto"/>
              </w:rPr>
            </w:pPr>
            <w:r>
              <w:rPr>
                <w:rFonts w:ascii="Arial" w:cs="Arial" w:eastAsia="Arial" w:hAnsi="Arial"/>
                <w:sz w:val="14"/>
                <w:szCs w:val="14"/>
                <w:b w:val="1"/>
                <w:bCs w:val="1"/>
                <w:color w:val="auto"/>
              </w:rPr>
              <w:t>($ in</w:t>
            </w:r>
          </w:p>
        </w:tc>
        <w:tc>
          <w:tcPr>
            <w:tcW w:w="54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72"/>
              </w:rPr>
              <w:t>millions)</w:t>
            </w: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8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8"/>
                <w:szCs w:val="18"/>
                <w:color w:val="auto"/>
              </w:rPr>
              <w:t>1,215</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rPr>
              <w:t>1,159</w:t>
            </w:r>
          </w:p>
        </w:tc>
        <w:tc>
          <w:tcPr>
            <w:tcW w:w="126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5%</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06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CFF0FC"/>
              <w:bottom w:val="single" w:sz="8" w:color="CFF0FC"/>
            </w:tcBorders>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2"/>
              </w:rPr>
              <w:t>5%</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112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FF0FC"/>
              <w:bottom w:val="single" w:sz="8" w:color="CFF0FC"/>
            </w:tcBorders>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588"/>
        </w:trPr>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gridSpan w:val="2"/>
          </w:tcPr>
          <w:p>
            <w:pPr>
              <w:jc w:val="right"/>
              <w:ind w:right="488"/>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-496570</wp:posOffset>
            </wp:positionV>
            <wp:extent cx="857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-479425</wp:posOffset>
            </wp:positionV>
            <wp:extent cx="857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-659765</wp:posOffset>
            </wp:positionV>
            <wp:extent cx="8572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-496570</wp:posOffset>
            </wp:positionV>
            <wp:extent cx="857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-479425</wp:posOffset>
            </wp:positionV>
            <wp:extent cx="857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-1010920</wp:posOffset>
            </wp:positionV>
            <wp:extent cx="85725" cy="3600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5725" cy="3600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32" w:name="page33"/>
    <w:bookmarkEnd w:id="32"/>
    <w:p>
      <w:pPr>
        <w:ind w:right="60"/>
        <w:spacing w:after="0" w:line="272" w:lineRule="auto"/>
        <w:rPr>
          <w:sz w:val="20"/>
          <w:szCs w:val="20"/>
          <w:color w:val="auto"/>
        </w:rPr>
      </w:pPr>
      <w:r>
        <w:rPr>
          <w:rFonts w:ascii="Arial" w:cs="Arial" w:eastAsia="Arial" w:hAnsi="Arial"/>
          <w:sz w:val="17"/>
          <w:szCs w:val="17"/>
          <w:color w:val="auto"/>
        </w:rPr>
        <w:t>HWC segment revenue for both the three months ended June 30, 2023 and 2022 was $1.2 billion. Organic growth was led by Benefits Delivery &amp; Outsourcing, driven by higher volumes and placements of Medicare Advantage and Life policies in Individual Marketplace, and increased project activity in Outsourcing. Our Wealth businesses generated organic revenue growth from higher levels of Retirement work in North America and Europe, along with new client acquisitions and higher fees related to value-added services in Investments. Though Health faced significant headwinds from book-of-business settlement revenue in the comparable period of last year, the business had organic revenue growth driven by the continued expansion of our client portfolio in International and Europe and increased project activity and brokerage income in North America. Our Career businesses grew revenue organically through increased reward-based advisory services and higher compensation survey participation.</w:t>
      </w:r>
    </w:p>
    <w:p>
      <w:pPr>
        <w:spacing w:after="0" w:line="17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sets forth HWC segment revenue for the six months ended June 30, 2023 and 2022 and the components of the change in revenue for the six months ended June 30, 2023 from the six months ended June 30,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9"/>
              </w:rPr>
              <w:t>Components of Revenue Change</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20" w:type="dxa"/>
            <w:vAlign w:val="bottom"/>
            <w:gridSpan w:val="4"/>
            <w:vMerge w:val="restart"/>
          </w:tcPr>
          <w:p>
            <w:pPr>
              <w:jc w:val="right"/>
              <w:ind w:right="719"/>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Reported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Organic</w:t>
            </w:r>
          </w:p>
        </w:tc>
        <w:tc>
          <w:tcPr>
            <w:tcW w:w="0" w:type="dxa"/>
            <w:vAlign w:val="bottom"/>
          </w:tcPr>
          <w:p>
            <w:pPr>
              <w:spacing w:after="0"/>
              <w:rPr>
                <w:sz w:val="1"/>
                <w:szCs w:val="1"/>
                <w:color w:val="auto"/>
              </w:rPr>
            </w:pPr>
          </w:p>
        </w:tc>
      </w:tr>
      <w:tr>
        <w:trPr>
          <w:trHeight w:val="169"/>
        </w:trPr>
        <w:tc>
          <w:tcPr>
            <w:tcW w:w="18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Divestitures</w:t>
            </w:r>
          </w:p>
        </w:tc>
        <w:tc>
          <w:tcPr>
            <w:tcW w:w="1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64"/>
              <w:spacing w:after="0"/>
              <w:rPr>
                <w:sz w:val="20"/>
                <w:szCs w:val="20"/>
                <w:color w:val="auto"/>
              </w:rPr>
            </w:pPr>
            <w:r>
              <w:rPr>
                <w:rFonts w:ascii="Arial" w:cs="Arial" w:eastAsia="Arial" w:hAnsi="Arial"/>
                <w:sz w:val="14"/>
                <w:szCs w:val="14"/>
                <w:b w:val="1"/>
                <w:bCs w:val="1"/>
                <w:color w:val="auto"/>
              </w:rPr>
              <w:t>($ in</w:t>
            </w:r>
          </w:p>
        </w:tc>
        <w:tc>
          <w:tcPr>
            <w:tcW w:w="54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72"/>
              </w:rPr>
              <w:t>millions)</w:t>
            </w: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8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8"/>
                <w:szCs w:val="18"/>
                <w:color w:val="auto"/>
              </w:rPr>
              <w:t>2,502</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rPr>
              <w:t>2,403</w:t>
            </w:r>
          </w:p>
        </w:tc>
        <w:tc>
          <w:tcPr>
            <w:tcW w:w="126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4%</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06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(2)%</w:t>
            </w:r>
          </w:p>
        </w:tc>
        <w:tc>
          <w:tcPr>
            <w:tcW w:w="1300" w:type="dxa"/>
            <w:vAlign w:val="bottom"/>
            <w:tcBorders>
              <w:top w:val="single" w:sz="8" w:color="CFF0FC"/>
              <w:bottom w:val="single" w:sz="8" w:color="CFF0FC"/>
            </w:tcBorders>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2"/>
              </w:rPr>
              <w:t>6%</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112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FF0FC"/>
              <w:bottom w:val="single" w:sz="8" w:color="CFF0FC"/>
            </w:tcBorders>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-25400</wp:posOffset>
            </wp:positionV>
            <wp:extent cx="857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-7620</wp:posOffset>
            </wp:positionV>
            <wp:extent cx="857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-187960</wp:posOffset>
            </wp:positionV>
            <wp:extent cx="857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-25400</wp:posOffset>
            </wp:positionV>
            <wp:extent cx="8572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857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-539750</wp:posOffset>
            </wp:positionV>
            <wp:extent cx="85725" cy="3600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5725" cy="360045"/>
                    </a:xfrm>
                    <a:prstGeom prst="rect">
                      <a:avLst/>
                    </a:prstGeom>
                    <a:noFill/>
                  </pic:spPr>
                </pic:pic>
              </a:graphicData>
            </a:graphic>
          </wp:anchor>
        </w:drawing>
      </w:r>
    </w:p>
    <w:p>
      <w:pPr>
        <w:spacing w:after="0" w:line="18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HWC segment revenue for the six months ended June 30, 2023 and 2022 was $2.5 billion and $2.4 billion, respectively. Organic growth was led by Benefits Delivery &amp; Outsourcing, driven by higher volumes and placements of Medicare Advantage and Life policies in Individual Marketplace and increased project activity in Outsourcing. Though Health faced significant headwinds from book-of-business settlement revenue in the comparable period of last year, the business had organic revenue growth driven by the continued expansion of our client portfolio in International and Europe and increased project activity and brokerage income in North America. Our Wealth businesses generated organic revenue growth from higher levels of Retirement work in North America and Europe. Our Career businesses grew revenue organically through increased demand for advisory services and increases in data, software license and survey sales.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&amp; Broking</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Risk &amp; Broking (‘R&amp;B’) segment provides a broad range of risk advice, insurance brokerage and consulting services to clients worldwide ranging from small businesses to multinational corporations. The segment comprises two primary businesses - Corporate Risk &amp; Broking and Insurance Consulting and Technology.</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R&amp;B revenue for the three months ended June 30, 2023 and 2022 and the components of the change in revenue for the three months ended June 30, 2023 from the three months ended June 30,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9"/>
              </w:rPr>
              <w:t>Components of Revenue Change</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2580" w:type="dxa"/>
            <w:vAlign w:val="bottom"/>
            <w:gridSpan w:val="4"/>
            <w:vMerge w:val="restart"/>
          </w:tcPr>
          <w:p>
            <w:pPr>
              <w:jc w:val="right"/>
              <w:ind w:right="79"/>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580" w:type="dxa"/>
            <w:vAlign w:val="bottom"/>
            <w:tcBorders>
              <w:bottom w:val="single" w:sz="8" w:color="auto"/>
            </w:tcBorders>
            <w:gridSpan w:val="4"/>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Reported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Organic</w:t>
            </w:r>
          </w:p>
        </w:tc>
        <w:tc>
          <w:tcPr>
            <w:tcW w:w="0" w:type="dxa"/>
            <w:vAlign w:val="bottom"/>
          </w:tcPr>
          <w:p>
            <w:pPr>
              <w:spacing w:after="0"/>
              <w:rPr>
                <w:sz w:val="1"/>
                <w:szCs w:val="1"/>
                <w:color w:val="auto"/>
              </w:rPr>
            </w:pPr>
          </w:p>
        </w:tc>
      </w:tr>
      <w:tr>
        <w:trPr>
          <w:trHeight w:val="169"/>
        </w:trPr>
        <w:tc>
          <w:tcPr>
            <w:tcW w:w="1880" w:type="dxa"/>
            <w:vAlign w:val="bottom"/>
          </w:tcPr>
          <w:p>
            <w:pPr>
              <w:spacing w:after="0"/>
              <w:rPr>
                <w:sz w:val="14"/>
                <w:szCs w:val="14"/>
                <w:color w:val="auto"/>
              </w:rPr>
            </w:pPr>
          </w:p>
        </w:tc>
        <w:tc>
          <w:tcPr>
            <w:tcW w:w="9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Divestitures</w:t>
            </w:r>
          </w:p>
        </w:tc>
        <w:tc>
          <w:tcPr>
            <w:tcW w:w="1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ind w:left="120"/>
              <w:spacing w:after="0"/>
              <w:rPr>
                <w:sz w:val="20"/>
                <w:szCs w:val="20"/>
                <w:color w:val="auto"/>
              </w:rPr>
            </w:pPr>
            <w:r>
              <w:rPr>
                <w:rFonts w:ascii="Arial" w:cs="Arial" w:eastAsia="Arial" w:hAnsi="Arial"/>
                <w:sz w:val="14"/>
                <w:szCs w:val="14"/>
                <w:b w:val="1"/>
                <w:bCs w:val="1"/>
                <w:color w:val="auto"/>
              </w:rPr>
              <w:t>($ in</w:t>
            </w:r>
          </w:p>
        </w:tc>
        <w:tc>
          <w:tcPr>
            <w:tcW w:w="1080" w:type="dxa"/>
            <w:vAlign w:val="bottom"/>
            <w:gridSpan w:val="2"/>
          </w:tcPr>
          <w:p>
            <w:pPr>
              <w:jc w:val="center"/>
              <w:ind w:right="579"/>
              <w:spacing w:after="0"/>
              <w:rPr>
                <w:sz w:val="20"/>
                <w:szCs w:val="20"/>
                <w:color w:val="auto"/>
              </w:rPr>
            </w:pPr>
            <w:r>
              <w:rPr>
                <w:rFonts w:ascii="Arial" w:cs="Arial" w:eastAsia="Arial" w:hAnsi="Arial"/>
                <w:sz w:val="14"/>
                <w:szCs w:val="14"/>
                <w:b w:val="1"/>
                <w:bCs w:val="1"/>
                <w:color w:val="auto"/>
                <w:w w:val="72"/>
              </w:rPr>
              <w:t>millions)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8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960" w:type="dxa"/>
            <w:vAlign w:val="bottom"/>
            <w:tcBorders>
              <w:top w:val="single" w:sz="8" w:color="auto"/>
              <w:bottom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900</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852</w:t>
            </w:r>
          </w:p>
        </w:tc>
        <w:tc>
          <w:tcPr>
            <w:tcW w:w="126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6%</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06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(1)%</w:t>
            </w:r>
          </w:p>
        </w:tc>
        <w:tc>
          <w:tcPr>
            <w:tcW w:w="1300" w:type="dxa"/>
            <w:vAlign w:val="bottom"/>
            <w:tcBorders>
              <w:top w:val="single" w:sz="8" w:color="CFF0FC"/>
              <w:bottom w:val="single" w:sz="8" w:color="CFF0FC"/>
            </w:tcBorders>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2"/>
              </w:rPr>
              <w:t>6%</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112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FF0FC"/>
              <w:bottom w:val="single" w:sz="8" w:color="CFF0FC"/>
            </w:tcBorders>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-25400</wp:posOffset>
            </wp:positionV>
            <wp:extent cx="8572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-8255</wp:posOffset>
            </wp:positionV>
            <wp:extent cx="8572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-187960</wp:posOffset>
            </wp:positionV>
            <wp:extent cx="857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-25400</wp:posOffset>
            </wp:positionV>
            <wp:extent cx="8572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-8255</wp:posOffset>
            </wp:positionV>
            <wp:extent cx="857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-539750</wp:posOffset>
            </wp:positionV>
            <wp:extent cx="85725" cy="3600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5725" cy="360045"/>
                    </a:xfrm>
                    <a:prstGeom prst="rect">
                      <a:avLst/>
                    </a:prstGeom>
                    <a:noFill/>
                  </pic:spPr>
                </pic:pic>
              </a:graphicData>
            </a:graphic>
          </wp:anchor>
        </w:drawing>
      </w:r>
    </w:p>
    <w:p>
      <w:pPr>
        <w:spacing w:after="0" w:line="18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R&amp;B segment revenue for the three months ended June 30, 2023 and 2022 was $900 million and $852 million, respectively. Despite significant pressure from headwinds from book-of-business settlement revenue in the comparable period, Corporate Risk &amp; Broking generated solid organic revenue growth across all geographies, primarily driven by new business, improved retention and strong contributions from our global lines of business. Insurance Consulting and Technology had organic revenue growth from software sales and increased project revenue.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R&amp;B segment revenue for the six months ended June 30, 2023 and 2022 and the components of the change in revenue for the six months ended June 30, 2023 from the six months ended June 30,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9"/>
              </w:rPr>
              <w:t>Components of Revenue Change</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20" w:type="dxa"/>
            <w:vAlign w:val="bottom"/>
            <w:gridSpan w:val="4"/>
            <w:vMerge w:val="restart"/>
          </w:tcPr>
          <w:p>
            <w:pPr>
              <w:jc w:val="right"/>
              <w:ind w:right="719"/>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5"/>
                <w:szCs w:val="15"/>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Reported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Organic</w:t>
            </w:r>
          </w:p>
        </w:tc>
        <w:tc>
          <w:tcPr>
            <w:tcW w:w="0" w:type="dxa"/>
            <w:vAlign w:val="bottom"/>
          </w:tcPr>
          <w:p>
            <w:pPr>
              <w:spacing w:after="0"/>
              <w:rPr>
                <w:sz w:val="1"/>
                <w:szCs w:val="1"/>
                <w:color w:val="auto"/>
              </w:rPr>
            </w:pPr>
          </w:p>
        </w:tc>
      </w:tr>
      <w:tr>
        <w:trPr>
          <w:trHeight w:val="169"/>
        </w:trPr>
        <w:tc>
          <w:tcPr>
            <w:tcW w:w="18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Divestitures</w:t>
            </w:r>
          </w:p>
        </w:tc>
        <w:tc>
          <w:tcPr>
            <w:tcW w:w="1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64"/>
              <w:spacing w:after="0"/>
              <w:rPr>
                <w:sz w:val="20"/>
                <w:szCs w:val="20"/>
                <w:color w:val="auto"/>
              </w:rPr>
            </w:pPr>
            <w:r>
              <w:rPr>
                <w:rFonts w:ascii="Arial" w:cs="Arial" w:eastAsia="Arial" w:hAnsi="Arial"/>
                <w:sz w:val="14"/>
                <w:szCs w:val="14"/>
                <w:b w:val="1"/>
                <w:bCs w:val="1"/>
                <w:color w:val="auto"/>
              </w:rPr>
              <w:t>($ in</w:t>
            </w:r>
          </w:p>
        </w:tc>
        <w:tc>
          <w:tcPr>
            <w:tcW w:w="54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72"/>
              </w:rPr>
              <w:t>millions)</w:t>
            </w: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8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revenue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8"/>
                <w:szCs w:val="18"/>
                <w:color w:val="auto"/>
              </w:rPr>
              <w:t>1,804</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rPr>
              <w:t>1,743</w:t>
            </w:r>
          </w:p>
        </w:tc>
        <w:tc>
          <w:tcPr>
            <w:tcW w:w="126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3%</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06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(2)%</w:t>
            </w:r>
          </w:p>
        </w:tc>
        <w:tc>
          <w:tcPr>
            <w:tcW w:w="1300" w:type="dxa"/>
            <w:vAlign w:val="bottom"/>
            <w:tcBorders>
              <w:top w:val="single" w:sz="8" w:color="CFF0FC"/>
              <w:bottom w:val="single" w:sz="8" w:color="CFF0FC"/>
            </w:tcBorders>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2"/>
              </w:rPr>
              <w:t>6%</w:t>
            </w:r>
          </w:p>
        </w:tc>
        <w:tc>
          <w:tcPr>
            <w:tcW w:w="1260" w:type="dxa"/>
            <w:vAlign w:val="bottom"/>
            <w:tcBorders>
              <w:top w:val="single" w:sz="8" w:color="CFF0FC"/>
              <w:bottom w:val="single" w:sz="8" w:color="CFF0FC"/>
            </w:tcBorders>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4"/>
              </w:rPr>
              <w:t>(2)%</w:t>
            </w:r>
          </w:p>
        </w:tc>
        <w:tc>
          <w:tcPr>
            <w:tcW w:w="1220" w:type="dxa"/>
            <w:vAlign w:val="bottom"/>
            <w:tcBorders>
              <w:top w:val="single" w:sz="8" w:color="CFF0FC"/>
              <w:bottom w:val="single" w:sz="8" w:color="CFF0FC"/>
            </w:tcBorders>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750"/>
        </w:trPr>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gridSpan w:val="2"/>
          </w:tcPr>
          <w:p>
            <w:pPr>
              <w:jc w:val="right"/>
              <w:ind w:right="488"/>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-599440</wp:posOffset>
            </wp:positionV>
            <wp:extent cx="8572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-582295</wp:posOffset>
            </wp:positionV>
            <wp:extent cx="8572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-762000</wp:posOffset>
            </wp:positionV>
            <wp:extent cx="857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-599440</wp:posOffset>
            </wp:positionV>
            <wp:extent cx="8572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-582295</wp:posOffset>
            </wp:positionV>
            <wp:extent cx="8572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-1113790</wp:posOffset>
            </wp:positionV>
            <wp:extent cx="85725" cy="3600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5725" cy="3600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3" w:name="page34"/>
    <w:bookmarkEnd w:id="33"/>
    <w:p>
      <w:pPr>
        <w:ind w:right="60"/>
        <w:spacing w:after="0" w:line="279" w:lineRule="auto"/>
        <w:rPr>
          <w:sz w:val="20"/>
          <w:szCs w:val="20"/>
          <w:color w:val="auto"/>
        </w:rPr>
      </w:pPr>
      <w:r>
        <w:rPr>
          <w:rFonts w:ascii="Arial" w:cs="Arial" w:eastAsia="Arial" w:hAnsi="Arial"/>
          <w:sz w:val="17"/>
          <w:szCs w:val="17"/>
          <w:color w:val="auto"/>
        </w:rPr>
        <w:t>R&amp;B segment revenue for the six months ended June 30, 2023 and 2022 was $1.8 billion and $1.7 billion, respectively. Despite significant pressure from headwinds from book-of-business settlement revenue in the comparable period, Corporate Risk &amp; Broking generated solid organic revenue growth across all geographies, primarily driven by new business, improved retention and strong contributions from our global lines of business. Insurance Consulting and Technology had organic revenue growth from software sales and increased project revenue.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Providing Services (Continuing Operations)</w:t>
      </w:r>
    </w:p>
    <w:p>
      <w:pPr>
        <w:spacing w:after="0" w:line="17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Total costs of providing services for the three months ended June 30, 2023 were $2.0 billion, compared to $1.9 billion for the three months ended June 30, 2022, an increase of $123 million, or 6%. Total costs of providing services for the six months ended June 30, 2023 were $4.0 billion, compared to $3.9 billion for the six months ended June 30, 2022, an increase of $101 million, or 3%. See the following discussion for further details.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7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Salaries and benefits for both the three months ended June 30, 2023 and 2022 were $1.3 billion, an increase of $88 million, or 7%. The increase in the current year is primarily due to higher salary expense and higher incentive and benefit costs for the period. Salaries and benefits, as a percentage of revenue, represented 62% for both the three months ended June 30, 2023 and 2022.</w:t>
      </w:r>
    </w:p>
    <w:p>
      <w:pPr>
        <w:spacing w:after="0" w:line="130"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Salaries and benefits for the six months ended June 30, 2023 were $2.7 billion, compared to $2.6 billion for the six months ended June 30, 2022, an increase of $83 million, or 3%. The increase in the current year is primarily due to higher salary expense and higher incentive and benefit costs for the period. Salaries and benefits, as a percentage of revenue, represented 60% and 61% for the six months ended June 30, 2023 and 2022,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Other operating expenses for the three months ended June 30, 2023 were $433 million, compared to $393 million for the three months ended June 30, 2022, an increase of $40 million, or 10%. The increase was primarily due to higher professional service and marketing-related expenses for the current-year period as compared to the prior-year comparable period, and higher travel and entertainment costs as post-pandemic activity increased.</w:t>
      </w:r>
    </w:p>
    <w:p>
      <w:pPr>
        <w:spacing w:after="0" w:line="11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Other operating expenses for the six months ended June 30, 2023 were $886 million, compared to $879 million for the six months ended June 30, 2022, an increase of $7 million. The increase was primarily due to higher professional service and marketing-related expenses for the current-year as compared to the prior-year comparable period, and higher travel and entertainment costs as post-pandemic activity increased, partially offset by the absence of the prior-year asset impairments incurred, mostly accounts receivables, related to Russian insurance contracts placed by U.K. brokers in the London market (see Note 3 — Acquisitions and Divestitures within Part I, Item 1 ‘Financial Statements’ in this Form 10-Q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Depreciation for the three months ended June 30, 2023 was $64 million, compared to $65 million for the three months ended June 30, 2022, a decrease of $1 million, or 2%. Depreciation for the six months ended June 30, 2023 was $124 million, compared to $131 million for the six months ended June 30, 2022, a decrease of $7 million, or 5%. These decreases were primarily due to a lower depreciable base of assets resulting from business disposals over the last two years and a lower dollar value of assets placed in service during the past few years.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Amortization for the three months ended June 30, 2023 was $70 million, compared to $83 million for the three months ended June 30, 2022, a decrease of $13 million, or 16%. Amortization for the six months ended June 30, 2023 was $141 million, compared to $168 million for the six months ended June 30, 2022, a decrease of $27 million, or 16%. Our intangible amortization is generally more heavily weighted to the initial years of the useful lives of the related intangibles, and therefore amortization related to intangible assets will continue to decrease over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171"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Restructuring costs for the three months ended June 30, 2023 were $10 million, compared to $56 million for the three months ended June 30, 2022. Restructuring costs for the six months ended June 30, 2023 were $13 million, compared to $62 million for the six months ended June 30, 2022. Restructuring costs in both the current-year and prior-year periods primarily related to the real estate rationalization component of the Transformation program commenced by the Company during the fourth quarter of 2021 (see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ind w:right="100"/>
        <w:spacing w:after="0" w:line="277" w:lineRule="auto"/>
        <w:rPr>
          <w:sz w:val="20"/>
          <w:szCs w:val="20"/>
          <w:color w:val="auto"/>
        </w:rPr>
      </w:pPr>
      <w:r>
        <w:rPr>
          <w:rFonts w:ascii="Arial" w:cs="Arial" w:eastAsia="Arial" w:hAnsi="Arial"/>
          <w:sz w:val="18"/>
          <w:szCs w:val="18"/>
          <w:color w:val="auto"/>
        </w:rPr>
        <w:t>‘Transformation Program’ within this Part I, Item 2 and Note 6 — Restructuring Costs within Part I, Item 1 ‘Financial Statements’ of this Quarterly Report on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Transformation</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Transaction and transformation for the three months ended June 30, 2023 were $93 million, compared to $38 million for the three months ended June 30, 2022, an increase of $55 million. Transaction and transformation for the six months ended June 30, 2023 were $152 million, compared to $58 million for the six months ended June 30, 2022, an increase of $94 million. Transaction and transformation costs for the current year were higher primarily due to increased consulting and compensation costs related to our Transformation program (see ‘Transformation Program’ within this Part I, Item 2) incurred in the current-year periods as compared to the prior-year comparable periods.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Income from operations for the three months ended June 30, 2023 was $142 million, compared to $137 million for the three months ended June 30, 2022, an increase of $5 million. This increase resulted primarily from higher revenue and lower restructuring costs in the current year, partially offset by higher salary expense and incentive and benefit costs, higher transaction and transformation costs, and higher professional service and marketing-related expenses in the current-year period as compared to the prior-year period.</w:t>
      </w:r>
    </w:p>
    <w:p>
      <w:pPr>
        <w:spacing w:after="0" w:line="13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Income from operations for the six months ended June 30, 2023 was $427 million, compared to $316 million for the six months ended June 30, 2022, an increase of $111 million. This increase resulted primarily from higher revenue, the absence of the prior-year’s asset impairment expense discussed above, and lower restructuring costs in the current year, partially offset by higher salary expense and incentive and benefit costs, higher transaction and transformation costs, higher travel and entertainment costs and increased marketing-related and professional service expenses in the current-year period as compared to the prior-year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Interest expense for the three months ended June 30, 2023 was $57 million, compared to $51 million for the three months ended June 30, 2022, an increase of $6 million, or 12%. Interest expense for the six months ended June 30, 2023 was $111 million as compared to $100 million for the six months ended June 30, 2022, an increase of $11 million, or 11%. These increases were primarily the result of higher levels of indebtedness in the current year.</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7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Other income, net for the three months ended June 30, 2023 was $35 million, compared to $93 million for the three months ended June 30, 2022, a decrease of $58 million, mostly related to lower pension income, which was primarily attributable to higher interest costs resulting from higher assumed discount rates in the current year and lower gains on disposals in the current quarter.</w:t>
      </w:r>
    </w:p>
    <w:p>
      <w:pPr>
        <w:spacing w:after="0" w:line="13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Other income, net for the six months ended June 30, 2023 was $60 million, compared to $120 million for the six months ended June 30, 2022, a decrease of $60 million. This decrease was due primarily to lower pension income, which was mostly attributable to higher interest costs resulting from higher assumed discount rates in the current year, and unfavorable foreign currency movement in the current-year period. The year-over-year decrease was also impacted by the net losses on disposal of operations in the prior year, which had partially offset the other income gains in the prior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Provision for income taxes for the three months ended June 30, 2023 was $24 million, compared to $19 million for the three months ended June 30, 2022, an increase of $5 million. The effective tax rate was 19.8% for the three months ended June 30, 2023 and 10.5% for the three months ended June 30, 2022. Provision for income taxes for the six months ended June 30, 2023 was $74 million, compared to $62 million for the six months ended June 30, 2022, an increase of $12 million. The effective tax rate was 19.6% for the six months ended June 30, 2023 and 18.4% for the six months ended June 30, 2022. These effective tax rates are calculated using extended values from our condensed consolidated statements of comprehensive income and are therefore more precise tax rates than can be calculated from rounded values. The prior-year quarter’s effective tax rate was lower due to certain discrete tax benefits primarily related to return-to-provision true ups.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Discontinued Operations, Net of Tax</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Loss from discontinued operations, net of tax for the three and six months ended June 30, 2022 was $46 million and $35 million, respectively. The operations of our Willis Re business were reclassified to discontinued operations upon our entering into an agreement to sell the business during the third quarter of 2021 (see Note 3 – Acquisitions and Divestitures in Part I, Item 1 ‘Financial Statements’ in this Form 10-Q). This loss was primarily attributable to the reduction to the gain on disposal resulting from an updated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5" w:name="page36"/>
    <w:bookmarkEnd w:id="35"/>
    <w:p>
      <w:pPr>
        <w:ind w:right="480"/>
        <w:spacing w:after="0" w:line="277" w:lineRule="auto"/>
        <w:rPr>
          <w:sz w:val="20"/>
          <w:szCs w:val="20"/>
          <w:color w:val="auto"/>
        </w:rPr>
      </w:pPr>
      <w:r>
        <w:rPr>
          <w:rFonts w:ascii="Arial" w:cs="Arial" w:eastAsia="Arial" w:hAnsi="Arial"/>
          <w:sz w:val="18"/>
          <w:szCs w:val="18"/>
          <w:color w:val="auto"/>
        </w:rPr>
        <w:t>estimate of working capital which decreased the preliminary purchase price by $60 million, and was partially offset by the operations of the deferred closing entities and run-off activity associated with the divestiture.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WTW</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income attributable to WTW for the three months ended June 30, 2023 was $94 million, compared to $109 million for the three months ended June 30, 2022, a decrease of $15 million, or 14%. This decrease resulted primarily from higher salary expense and incentive and benefit costs, higher transaction and transformation costs, higher professional service and marketing-related expenses, lower pension income and lower gains on disposals in the current-year period, partially offset by higher revenue and lower restructuring costs in the current year.</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income attributable to WTW for the six months ended June 30, 2023 was $297 million, compared to $231 million for the six months ended June 30, 2022, an increase of $66 million, or 29%. This increase resulted primarily from higher revenue, the absence of the prior-year’s asset impairment expense discussed above, and lower restructuring costs in the current year, partially offset by higher salary expense and incentive and benefit costs, higher transaction and transformation costs, lower pension income, higher travel and entertainment costs and increased marketing-related and professional service expenses in the current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principal sources of liquidity are funds generated by operating activities, available cash and cash equivalents and amounts available under our revolving credit facilities and any new debt offerings.</w:t>
      </w:r>
    </w:p>
    <w:p>
      <w:pPr>
        <w:spacing w:after="0" w:line="116"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There has been significant volatility in financial markets, including occasional declines in equity markets, inflation and changes in interest rates and reduced liquidity on a global basis. Specific to WTW, following the reduced spending driven by the COVID-19 pandemic, spending on travel and associated expenses began to increase in 2022, and this trend has continued in 2023 following the return to office for many companies which have increased in-person interactions.</w:t>
      </w:r>
    </w:p>
    <w:p>
      <w:pPr>
        <w:spacing w:after="0" w:line="13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Based on our current balance sheet and cash flows, current market conditions and information available to us at this time, we believe that WTW has access to sufficient liquidity, which includes all of the borrowing capacity available to draw against our $1.5 billion revolving credit facility, to meet our cash needs for the next twelve months, including investments in the business for growth and those related to our Transformation program, scheduled debt repayments, share repurchases and dividend payments. During the second quarter of 2023, we completed an offering of $750 million aggregate principal amount of 5.350% senior notes due 2033. We plan to use the proceeds to repay in full the $250 million aggregate principal amount of 4.625% senior notes, which will mature during the third quarter of 2023, and for general corporate purposes. Additionally, during the six months ended June 30, 2023 we repurchased $454 million of shares, with remaining authorization to repurchase an additional $889 million.</w:t>
      </w:r>
    </w:p>
    <w:p>
      <w:pPr>
        <w:spacing w:after="0" w:line="123"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color w:val="auto"/>
        </w:rPr>
        <w:t>From time to time, we will consider whether to repurchase shares based on many factors, including market and economic conditions, applicable legal requirements and other business considerations. The share repurchase program has no termination date and may be suspended or discontinued at any time.</w:t>
      </w:r>
    </w:p>
    <w:p>
      <w:pPr>
        <w:spacing w:after="0" w:line="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Events that could change the historical cash flow dynamics discussed above include significant changes in operating results, potential future acquisitions or divestitures, material changes in geographic sources of cash, unexpected adverse impacts from litigation or regulatory matters, or future pension funding during periods of severe downturn in the capital markets.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Undistributed Earnings of Foreign Subsidiaries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w:t>
      </w:r>
    </w:p>
    <w:p>
      <w:pPr>
        <w:spacing w:after="0" w:line="11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continue to have certain subsidiaries whose earnings have not been deemed permanently reinvested, for which we have been accruing estimates of the tax effects of such repatriation. Excluding these certain subsidiaries, we continue to assert that the historical cumulative earnings for the remainder of our subsidiaries have been reinvested indefinitely and therefore do not provide deferred taxes on these amounts. If future events, including material changes in estimates of cash, working capital, long-term investment requirements or additional legislation, necessitate that these earnings be distributed, an additional provision for income and foreign withholding taxes, net of credits, may be necessary. Other potential sources of cash may be through the settlement of intercompany loans or return of capital distributions in a tax-efficient manner.</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Our cash and cash equivalents at June 30, 2023 totaled $1.6 billion, compared to $1.3 billion at December 31, 2022. The increase in cash from December 31, 2022 to June 30, 2023 was due primarily to the current-quarter net proceeds of $742 million associated with our offering of 5.350% senior notes due 2033.</w:t>
      </w:r>
    </w:p>
    <w:p>
      <w:pPr>
        <w:spacing w:after="0" w:line="130"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Additionally, we had all of the borrowing capacity available to draw against our $1.5 billion revolving credit facility at both June 30, 2023 and December 31, 2022.</w:t>
      </w:r>
    </w:p>
    <w:p>
      <w:pPr>
        <w:spacing w:after="0" w:line="11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Included within cash and cash equivalents at June 30, 2023 and December 31, 2022 are amounts held for regulatory capital adequacy requirements, including $101 million and $99 million, respectively, held within our regulated U.K. entities.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Condensed Consolidated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summarized condensed consolidated cash flow information for the six months ended June 30, 2023 and 2022: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Six Months Ended June 30,</w:t>
            </w:r>
          </w:p>
        </w:tc>
        <w:tc>
          <w:tcPr>
            <w:tcW w:w="680" w:type="dxa"/>
            <w:vAlign w:val="bottom"/>
            <w:tcBorders>
              <w:bottom w:val="single" w:sz="8" w:color="auto"/>
            </w:tcBorders>
          </w:tcPr>
          <w:p>
            <w:pPr>
              <w:spacing w:after="0"/>
              <w:rPr>
                <w:sz w:val="16"/>
                <w:szCs w:val="16"/>
                <w:color w:val="auto"/>
              </w:rPr>
            </w:pPr>
          </w:p>
        </w:tc>
      </w:tr>
      <w:tr>
        <w:trPr>
          <w:trHeight w:val="169"/>
        </w:trPr>
        <w:tc>
          <w:tcPr>
            <w:tcW w:w="78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r>
      <w:tr>
        <w:trPr>
          <w:trHeight w:val="169"/>
        </w:trPr>
        <w:tc>
          <w:tcPr>
            <w:tcW w:w="7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0" w:type="dxa"/>
            <w:vAlign w:val="bottom"/>
            <w:gridSpan w:val="3"/>
          </w:tcPr>
          <w:p>
            <w:pPr>
              <w:jc w:val="right"/>
              <w:ind w:right="668"/>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4"/>
                <w:szCs w:val="14"/>
                <w:color w:val="auto"/>
              </w:rPr>
            </w:pPr>
          </w:p>
        </w:tc>
      </w:tr>
      <w:tr>
        <w:trPr>
          <w:trHeight w:val="243"/>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from/(used in):</w:t>
            </w:r>
          </w:p>
        </w:tc>
        <w:tc>
          <w:tcPr>
            <w:tcW w:w="9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430</w:t>
            </w:r>
          </w:p>
        </w:tc>
        <w:tc>
          <w:tcPr>
            <w:tcW w:w="11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258</w:t>
            </w:r>
          </w:p>
        </w:tc>
      </w:tr>
      <w:tr>
        <w:trPr>
          <w:trHeight w:val="249"/>
        </w:trPr>
        <w:tc>
          <w:tcPr>
            <w:tcW w:w="7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9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(1,035 )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19</w:t>
            </w:r>
          </w:p>
        </w:tc>
      </w:tr>
      <w:tr>
        <w:trPr>
          <w:trHeight w:val="236"/>
        </w:trPr>
        <w:tc>
          <w:tcPr>
            <w:tcW w:w="782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9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(113 )</w:t>
            </w:r>
          </w:p>
        </w:tc>
        <w:tc>
          <w:tcPr>
            <w:tcW w:w="1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(2,690 )</w:t>
            </w:r>
          </w:p>
        </w:tc>
      </w:tr>
      <w:tr>
        <w:trPr>
          <w:trHeight w:val="243"/>
        </w:trPr>
        <w:tc>
          <w:tcPr>
            <w:tcW w:w="782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DECREASE IN CASH, CASH EQUIVALENTS AND RESTRICTED CASH </w:t>
            </w:r>
            <w:r>
              <w:rPr>
                <w:rFonts w:ascii="Arial" w:cs="Arial" w:eastAsia="Arial" w:hAnsi="Arial"/>
                <w:sz w:val="24"/>
                <w:szCs w:val="24"/>
                <w:color w:val="auto"/>
                <w:vertAlign w:val="superscript"/>
              </w:rPr>
              <w:t>(i)</w:t>
            </w:r>
          </w:p>
        </w:tc>
        <w:tc>
          <w:tcPr>
            <w:tcW w:w="9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(2,413 )</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40" w:type="dxa"/>
            <w:vAlign w:val="bottom"/>
          </w:tcPr>
          <w:p>
            <w:pPr>
              <w:spacing w:after="0"/>
              <w:rPr>
                <w:sz w:val="20"/>
                <w:szCs w:val="20"/>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(170 )</w:t>
            </w:r>
          </w:p>
        </w:tc>
      </w:tr>
      <w:tr>
        <w:trPr>
          <w:trHeight w:val="249"/>
        </w:trPr>
        <w:tc>
          <w:tcPr>
            <w:tcW w:w="7820" w:type="dxa"/>
            <w:vAlign w:val="bottom"/>
            <w:tcBorders>
              <w:bottom w:val="single" w:sz="8" w:color="CFF0FC"/>
            </w:tcBorders>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CASH, CASH EQUIVALENTS AND RESTRICTED CASH, BEGINNING OF PERIOD </w:t>
            </w:r>
            <w:r>
              <w:rPr>
                <w:rFonts w:ascii="Arial" w:cs="Arial" w:eastAsia="Arial" w:hAnsi="Arial"/>
                <w:sz w:val="24"/>
                <w:szCs w:val="24"/>
                <w:color w:val="auto"/>
                <w:vertAlign w:val="superscript"/>
              </w:rPr>
              <w:t>(i)</w:t>
            </w:r>
          </w:p>
        </w:tc>
        <w:tc>
          <w:tcPr>
            <w:tcW w:w="9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4,721</w:t>
            </w: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7,691</w:t>
            </w:r>
          </w:p>
        </w:tc>
      </w:tr>
      <w:tr>
        <w:trPr>
          <w:trHeight w:val="237"/>
        </w:trPr>
        <w:tc>
          <w:tcPr>
            <w:tcW w:w="7820" w:type="dxa"/>
            <w:vAlign w:val="bottom"/>
          </w:tcPr>
          <w:p>
            <w:pPr>
              <w:ind w:left="20"/>
              <w:spacing w:after="0" w:line="236" w:lineRule="exact"/>
              <w:rPr>
                <w:sz w:val="20"/>
                <w:szCs w:val="20"/>
                <w:color w:val="auto"/>
              </w:rPr>
            </w:pPr>
            <w:r>
              <w:rPr>
                <w:rFonts w:ascii="Arial" w:cs="Arial" w:eastAsia="Arial" w:hAnsi="Arial"/>
                <w:sz w:val="18"/>
                <w:szCs w:val="18"/>
                <w:color w:val="auto"/>
              </w:rPr>
              <w:t xml:space="preserve">CASH, CASH EQUIVALENTS AND RESTRICTED CASH, END OF PERIOD </w:t>
            </w:r>
            <w:r>
              <w:rPr>
                <w:rFonts w:ascii="Arial" w:cs="Arial" w:eastAsia="Arial" w:hAnsi="Arial"/>
                <w:sz w:val="24"/>
                <w:szCs w:val="24"/>
                <w:color w:val="auto"/>
                <w:vertAlign w:val="superscript"/>
              </w:rPr>
              <w:t>(i)</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4,004</w:t>
            </w:r>
          </w:p>
        </w:tc>
        <w:tc>
          <w:tcPr>
            <w:tcW w:w="11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5,108</w:t>
            </w:r>
          </w:p>
        </w:tc>
      </w:tr>
      <w:tr>
        <w:trPr>
          <w:trHeight w:val="20"/>
        </w:trPr>
        <w:tc>
          <w:tcPr>
            <w:tcW w:w="78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-187960</wp:posOffset>
            </wp:positionV>
            <wp:extent cx="120015" cy="1885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7" w:lineRule="exact"/>
        <w:rPr>
          <w:sz w:val="20"/>
          <w:szCs w:val="20"/>
          <w:color w:val="auto"/>
        </w:rPr>
      </w:pPr>
    </w:p>
    <w:p>
      <w:pPr>
        <w:jc w:val="both"/>
        <w:ind w:left="280" w:right="140" w:hanging="272"/>
        <w:spacing w:after="0" w:line="257" w:lineRule="auto"/>
        <w:tabs>
          <w:tab w:leader="none" w:pos="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 Supplemental Disclosures of Cash Flow Information within Part I, Item I ‘Financial Statements’ within this Quarterly Report on Form 10-Q.</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Cash flows from operating activities were $430 million for the six months ended June 30, 2023, compared to $258 million for the six months ended June 30, 2022. The $430 million of net cash from operating activities for the six months ended June 30, 2023 included net income of $302 million and $365 million of favorable non-cash adjustments, partially offset by unfavorable changes in operating assets and liabilities of $237 million. This increase in cash flows from operations as compared to the prior year was primarily due to more favorable working capital movements resulting mostly from higher cash collections and lower discretionary compensation payments made in the current year as compared to the prior year, partially offset by increased transformation program-related costs.</w:t>
      </w:r>
    </w:p>
    <w:p>
      <w:pPr>
        <w:spacing w:after="0" w:line="1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$258 million of net cash from operating activities for the six months ended June 30, 2022 included net income of $239 million and $510 million of favorable non-cash adjustments, partially offset by unfavorable changes in operating assets and liabilities of $491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In)/From Investing Activities</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Cash flows used in investing activities for the six months ended June 30, 2023 were $1.0 billion as compared to cash flows from investing activities of $19 million for the six months ended June 30, 2022. The cash flows used in investing activities for the six months ended June 30, 2023 consist primarily of cash and fiduciary funds of $916 million associated with the transfer to Gallagher under a new side letter to the Willis Re SAPA (see Note 3 — Acquisitions and Divestitures within Part I, Item 1 ‘Financial Statements’ in this Form 10-Q for additional information) and $121 million of capital expenditures and capitalized software additions. The cash flows from investing activities in the prior-year period primarily include sales of investments of $200 million, partially offset by capital expenditures and capitalized software additions of $93 million and acquisitions of $76 million made during the first half of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Financing Activities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flows used in financing activities for the six months ended June 30, 2023 were $113 million. The significant financing activities included share repurchases of $454 million, net payments from fiduciary funds held for clients of $194 million, and dividend payments of $177 million, partially offset by $740 million of net proceeds from issuance of debt.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7" w:name="page38"/>
    <w:bookmarkEnd w:id="37"/>
    <w:p>
      <w:pPr>
        <w:ind w:right="200"/>
        <w:spacing w:after="0" w:line="279" w:lineRule="auto"/>
        <w:rPr>
          <w:sz w:val="20"/>
          <w:szCs w:val="20"/>
          <w:color w:val="auto"/>
        </w:rPr>
      </w:pPr>
      <w:r>
        <w:rPr>
          <w:rFonts w:ascii="Arial" w:cs="Arial" w:eastAsia="Arial" w:hAnsi="Arial"/>
          <w:sz w:val="18"/>
          <w:szCs w:val="18"/>
          <w:color w:val="auto"/>
        </w:rPr>
        <w:t>Cash flows used in financing activities for the six months ended June 30, 2022 were $2.7 billion. The significant financing activities included share repurchases of $2.7 billion and dividend payments of $189 million, partially offset by $162 million of net proceeds from issuance of debt and $85 million of net proceeds from fiduciary funds held for clients.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Total debt, total equity, and the capitalization ratios at June 30, 2023 and December 31, 2022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580" w:type="dxa"/>
            <w:vAlign w:val="bottom"/>
          </w:tcPr>
          <w:p>
            <w:pPr>
              <w:spacing w:after="0"/>
              <w:rPr>
                <w:sz w:val="16"/>
                <w:szCs w:val="16"/>
                <w:color w:val="auto"/>
              </w:rPr>
            </w:pP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jc w:val="right"/>
              <w:ind w:right="13"/>
              <w:spacing w:after="0"/>
              <w:rPr>
                <w:sz w:val="20"/>
                <w:szCs w:val="20"/>
                <w:color w:val="auto"/>
              </w:rPr>
            </w:pPr>
            <w:r>
              <w:rPr>
                <w:rFonts w:ascii="Arial" w:cs="Arial" w:eastAsia="Arial" w:hAnsi="Arial"/>
                <w:sz w:val="14"/>
                <w:szCs w:val="14"/>
                <w:b w:val="1"/>
                <w:bCs w:val="1"/>
                <w:color w:val="auto"/>
              </w:rPr>
              <w:t>($ in</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millions)</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100" w:type="dxa"/>
            <w:vAlign w:val="bottom"/>
            <w:shd w:val="clear" w:color="auto" w:fill="CFF0FC"/>
          </w:tcPr>
          <w:p>
            <w:pPr>
              <w:jc w:val="right"/>
              <w:ind w:right="917"/>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4,565</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4,471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Current debt</w:t>
            </w:r>
          </w:p>
        </w:tc>
        <w:tc>
          <w:tcPr>
            <w:tcW w:w="1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debt</w:t>
            </w:r>
          </w:p>
        </w:tc>
        <w:tc>
          <w:tcPr>
            <w:tcW w:w="1100" w:type="dxa"/>
            <w:vAlign w:val="bottom"/>
            <w:tcBorders>
              <w:bottom w:val="single" w:sz="8" w:color="auto"/>
            </w:tcBorders>
            <w:shd w:val="clear" w:color="auto" w:fill="CFF0FC"/>
          </w:tcPr>
          <w:p>
            <w:pPr>
              <w:jc w:val="right"/>
              <w:ind w:right="91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5,464</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4,721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WTW shareholders’ equity</w:t>
            </w:r>
          </w:p>
        </w:tc>
        <w:tc>
          <w:tcPr>
            <w:tcW w:w="1100" w:type="dxa"/>
            <w:vAlign w:val="bottom"/>
            <w:tcBorders>
              <w:bottom w:val="single" w:sz="8" w:color="auto"/>
            </w:tcBorders>
            <w:shd w:val="clear" w:color="auto" w:fill="CFF0FC"/>
          </w:tcPr>
          <w:p>
            <w:pPr>
              <w:jc w:val="right"/>
              <w:ind w:right="91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9,799</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10,016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Capitalization ratio</w:t>
            </w:r>
          </w:p>
        </w:tc>
        <w:tc>
          <w:tcPr>
            <w:tcW w:w="110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35.8 %</w:t>
            </w:r>
          </w:p>
        </w:tc>
        <w:tc>
          <w:tcPr>
            <w:tcW w:w="30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32.0 %</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-694055</wp:posOffset>
            </wp:positionV>
            <wp:extent cx="128905" cy="1803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8905" cy="18034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-359410</wp:posOffset>
            </wp:positionV>
            <wp:extent cx="128905" cy="1797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8905"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12890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12890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1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At June 30, 2023, our mandatory debt repayments over the next twelve months include $250 million outstanding on our 4.625% senior notes, which will mature during the third quarter of 2023 and $650 million outstanding on our 3.600% senior notes due 2024. For more information regarding our current and long-term debt, please see ‘Supplemental Guarantor Financial Information’ elsewhere within this Item 2 Management's Discussion and Analysis of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and December 31, 2022, we were in compliance with all financial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Fiduciary Funds</w:t>
      </w:r>
    </w:p>
    <w:p>
      <w:pPr>
        <w:spacing w:after="0" w:line="17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These fiduciary funds are included in fiduciary assets on our condensed consolidated balance sheets. We present the equal and corresponding fiduciary liabilities related to these fiduciary funds representing amounts or claims due to our clients or premiums due on their behalf to insurers on our condensed consolidated balance sheets.</w:t>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June 30, 2023 and December 31, 2022, we had fiduciary funds of $2.6 billion and $3.6 billion, respectively. At December 31, 2022 $945 million of these funds were attributable to the divested Willis Re business. All amounts have since been settled or transferred to Gallagher due to the termination of the co-broking agreement (see Note 3 — Acquisitions and Divestitures within Part I, Item 1 ‘Financial Statements’ of this Quarterly Report on Form 10-Q for further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is authorized to repurchase shares, by way of redemption or otherwise, and will consider whether to do so from time to time, based on many factors, including market conditions. There are no expiration dates for our repurchase plans or programs.</w:t>
      </w:r>
    </w:p>
    <w:p>
      <w:pPr>
        <w:spacing w:after="0" w:line="116"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On July 26, 2021, the board of directors approved a $1.0 billion increase to the existing share repurchase program, which was previously at $500 million. Additionally, on September 16, 2021, the board of directors approved a $4.0 billion increase to the existing share repurchase program, and on May 25, 2022, approved a $1.0 billion increase to the existing share repurchase program. These increases brought the total approved authorization to $6.5 billion.</w:t>
      </w:r>
    </w:p>
    <w:p>
      <w:pPr>
        <w:spacing w:after="0" w:line="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June 30, 2023, approximately $889 million remained on the current repurchase authority. The maximum number of shares that could be repurchased based on the closing price of our ordinary shares on June 30, 2023 of $235.50 was 3,772,856.</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During the three and six months ended June 30, 2023, the Company had the following share repurchase activity: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880" w:type="dxa"/>
            <w:vAlign w:val="bottom"/>
          </w:tcPr>
          <w:p>
            <w:pPr>
              <w:jc w:val="right"/>
              <w:ind w:right="9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40" w:type="dxa"/>
            <w:vAlign w:val="bottom"/>
          </w:tcPr>
          <w:p>
            <w:pPr>
              <w:jc w:val="right"/>
              <w:ind w:right="179"/>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7520" w:type="dxa"/>
            <w:vAlign w:val="bottom"/>
          </w:tcPr>
          <w:p>
            <w:pPr>
              <w:spacing w:after="0"/>
              <w:rPr>
                <w:sz w:val="16"/>
                <w:szCs w:val="16"/>
                <w:color w:val="auto"/>
              </w:rPr>
            </w:pPr>
          </w:p>
        </w:tc>
        <w:tc>
          <w:tcPr>
            <w:tcW w:w="1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Pr>
          <w:p>
            <w:pPr>
              <w:spacing w:after="0"/>
              <w:rPr>
                <w:sz w:val="16"/>
                <w:szCs w:val="16"/>
                <w:color w:val="auto"/>
              </w:rPr>
            </w:pPr>
          </w:p>
        </w:tc>
        <w:tc>
          <w:tcPr>
            <w:tcW w:w="16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June 30, 2023</w:t>
            </w:r>
          </w:p>
        </w:tc>
      </w:tr>
      <w:tr>
        <w:trPr>
          <w:trHeight w:val="237"/>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repurchased</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1,537,312</w:t>
            </w:r>
          </w:p>
        </w:tc>
        <w:tc>
          <w:tcPr>
            <w:tcW w:w="2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1,969,452</w:t>
            </w: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Average price per share</w:t>
            </w:r>
          </w:p>
        </w:tc>
        <w:tc>
          <w:tcPr>
            <w:tcW w:w="1880" w:type="dxa"/>
            <w:vAlign w:val="bottom"/>
          </w:tcPr>
          <w:p>
            <w:pPr>
              <w:jc w:val="right"/>
              <w:spacing w:after="0"/>
              <w:rPr>
                <w:sz w:val="20"/>
                <w:szCs w:val="20"/>
                <w:color w:val="auto"/>
              </w:rPr>
            </w:pPr>
            <w:r>
              <w:rPr>
                <w:rFonts w:ascii="Arial" w:cs="Arial" w:eastAsia="Arial" w:hAnsi="Arial"/>
                <w:sz w:val="18"/>
                <w:szCs w:val="18"/>
                <w:color w:val="auto"/>
              </w:rPr>
              <w:t>$227.67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$230.59</w:t>
            </w: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Aggregate repurchase cost (excluding broker costs)</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 million</w:t>
            </w:r>
          </w:p>
        </w:tc>
        <w:tc>
          <w:tcPr>
            <w:tcW w:w="20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 million</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Commitments</w:t>
      </w:r>
    </w:p>
    <w:p>
      <w:pPr>
        <w:spacing w:after="0" w:line="175"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The Company’s capital expenditures for fixed assets and software for internal use were $80 million during the six months ended June 30, 2023. The Company estimates that there will be additional such expenditures, which include those incurred under its Transformation program, in the range of $110 million - $140 million during the remainder of 2023. We currently expect cash from operations to adequately provide for these cash needs. There have been no material changes to our capital commitments since December 31,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Total cash dividends of $177 million were paid during the six months ended June 30, 2023. In May 2023, the board of directors approved a quarterly cash dividend of $0.84 per share ($3.36 per share annualized rate), which was paid on July 17, 2023 to shareholders of record as of June 30, 2023.</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WTW has issued the following debt securities (the ‘notes’):</w:t>
      </w:r>
    </w:p>
    <w:p>
      <w:pPr>
        <w:spacing w:after="0" w:line="117" w:lineRule="exact"/>
        <w:rPr>
          <w:sz w:val="20"/>
          <w:szCs w:val="20"/>
          <w:color w:val="auto"/>
        </w:rPr>
      </w:pPr>
    </w:p>
    <w:p>
      <w:pPr>
        <w:ind w:left="760" w:right="80" w:hanging="378"/>
        <w:spacing w:after="0" w:line="286"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Willis North America Inc. (‘Willis North America’) has approximately $4.4 billion senior notes outstanding, of which $650 million were issued on May 16, 2017, $1.0 billion were issued on September 10, 2018, $1.0 billion were issued on September 10, 2019, $275 million were issued on May 29, 2020, $750 million were issued on May 19, 2022, and $750 million were issued on May 17, 2023; and</w:t>
      </w:r>
    </w:p>
    <w:p>
      <w:pPr>
        <w:spacing w:after="0" w:line="57" w:lineRule="exact"/>
        <w:rPr>
          <w:rFonts w:ascii="Arial" w:cs="Arial" w:eastAsia="Arial" w:hAnsi="Arial"/>
          <w:sz w:val="17"/>
          <w:szCs w:val="17"/>
          <w:color w:val="auto"/>
        </w:rPr>
      </w:pPr>
    </w:p>
    <w:p>
      <w:pPr>
        <w:ind w:left="760" w:right="60" w:hanging="378"/>
        <w:spacing w:after="0" w:line="342"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Trinity Acquisition plc has approximately $1.1 billion senior notes outstanding, of which $525 million were issued on August 15, 2013 and $550 million were issued on March 22, 2016, and a $1.5 billion revolving credit facility, on which no balance was outstanding at June 30, 2023.</w:t>
      </w:r>
    </w:p>
    <w:p>
      <w:pPr>
        <w:spacing w:after="0" w:line="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table presents a summary of the entities that issue each note and those wholly-owned subsidiaries of the Company that guarantee each respective note on a joint and several basis as of June 30, 2023. These subsidiaries are all consolidated by Willis Towers Watson plc (the ‘parent company’) and together with the parent company comprise the ‘Obligor group’.</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2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Trinity Acquisition plc</w:t>
            </w:r>
          </w:p>
        </w:tc>
        <w:tc>
          <w:tcPr>
            <w:tcW w:w="2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5"/>
              </w:rPr>
              <w:t>Willis North America Inc.</w:t>
            </w:r>
          </w:p>
        </w:tc>
        <w:tc>
          <w:tcPr>
            <w:tcW w:w="0" w:type="dxa"/>
            <w:vAlign w:val="bottom"/>
          </w:tcPr>
          <w:p>
            <w:pPr>
              <w:spacing w:after="0"/>
              <w:rPr>
                <w:sz w:val="1"/>
                <w:szCs w:val="1"/>
                <w:color w:val="auto"/>
              </w:rPr>
            </w:pPr>
          </w:p>
        </w:tc>
      </w:tr>
      <w:tr>
        <w:trPr>
          <w:trHeight w:val="185"/>
        </w:trPr>
        <w:tc>
          <w:tcPr>
            <w:tcW w:w="728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Notes</w:t>
            </w:r>
          </w:p>
        </w:tc>
        <w:tc>
          <w:tcPr>
            <w:tcW w:w="26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37"/>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Willis Towers Watson plc</w:t>
            </w:r>
          </w:p>
        </w:tc>
        <w:tc>
          <w:tcPr>
            <w:tcW w:w="280" w:type="dxa"/>
            <w:vAlign w:val="bottom"/>
            <w:shd w:val="clear" w:color="auto" w:fill="CFF0FC"/>
          </w:tcPr>
          <w:p>
            <w:pPr>
              <w:spacing w:after="0"/>
              <w:rPr>
                <w:sz w:val="20"/>
                <w:szCs w:val="20"/>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Guarantor</w:t>
            </w:r>
          </w:p>
        </w:tc>
        <w:tc>
          <w:tcPr>
            <w:tcW w:w="260" w:type="dxa"/>
            <w:vAlign w:val="bottom"/>
            <w:shd w:val="clear" w:color="auto" w:fill="CFF0FC"/>
          </w:tcPr>
          <w:p>
            <w:pPr>
              <w:spacing w:after="0"/>
              <w:rPr>
                <w:sz w:val="20"/>
                <w:szCs w:val="20"/>
                <w:color w:val="auto"/>
              </w:rPr>
            </w:pP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Guarantor</w:t>
            </w:r>
          </w:p>
        </w:tc>
        <w:tc>
          <w:tcPr>
            <w:tcW w:w="0" w:type="dxa"/>
            <w:vAlign w:val="bottom"/>
          </w:tcPr>
          <w:p>
            <w:pPr>
              <w:spacing w:after="0"/>
              <w:rPr>
                <w:sz w:val="1"/>
                <w:szCs w:val="1"/>
                <w:color w:val="auto"/>
              </w:rPr>
            </w:pP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color w:val="auto"/>
              </w:rPr>
              <w:t>Trinity Acquisition plc</w:t>
            </w:r>
          </w:p>
        </w:tc>
        <w:tc>
          <w:tcPr>
            <w:tcW w:w="2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Issuer</w:t>
            </w:r>
          </w:p>
        </w:tc>
        <w:tc>
          <w:tcPr>
            <w:tcW w:w="2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Guarantor</w:t>
            </w:r>
          </w:p>
        </w:tc>
        <w:tc>
          <w:tcPr>
            <w:tcW w:w="0" w:type="dxa"/>
            <w:vAlign w:val="bottom"/>
          </w:tcPr>
          <w:p>
            <w:pPr>
              <w:spacing w:after="0"/>
              <w:rPr>
                <w:sz w:val="1"/>
                <w:szCs w:val="1"/>
                <w:color w:val="auto"/>
              </w:rPr>
            </w:pPr>
          </w:p>
        </w:tc>
      </w:tr>
      <w:tr>
        <w:trPr>
          <w:trHeight w:val="249"/>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Willis North America Inc.</w:t>
            </w:r>
          </w:p>
        </w:tc>
        <w:tc>
          <w:tcPr>
            <w:tcW w:w="28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Guarantor</w:t>
            </w:r>
          </w:p>
        </w:tc>
        <w:tc>
          <w:tcPr>
            <w:tcW w:w="260" w:type="dxa"/>
            <w:vAlign w:val="bottom"/>
            <w:shd w:val="clear" w:color="auto" w:fill="CFF0FC"/>
          </w:tcPr>
          <w:p>
            <w:pPr>
              <w:spacing w:after="0"/>
              <w:rPr>
                <w:sz w:val="21"/>
                <w:szCs w:val="21"/>
                <w:color w:val="auto"/>
              </w:rPr>
            </w:pP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Issuer</w:t>
            </w:r>
          </w:p>
        </w:tc>
        <w:tc>
          <w:tcPr>
            <w:tcW w:w="0" w:type="dxa"/>
            <w:vAlign w:val="bottom"/>
          </w:tcPr>
          <w:p>
            <w:pPr>
              <w:spacing w:after="0"/>
              <w:rPr>
                <w:sz w:val="1"/>
                <w:szCs w:val="1"/>
                <w:color w:val="auto"/>
              </w:rPr>
            </w:pP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color w:val="auto"/>
              </w:rPr>
              <w:t>Willis Netherlands Holdings B.V.</w:t>
            </w:r>
          </w:p>
        </w:tc>
        <w:tc>
          <w:tcPr>
            <w:tcW w:w="2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Guarantor</w:t>
            </w:r>
          </w:p>
        </w:tc>
        <w:tc>
          <w:tcPr>
            <w:tcW w:w="2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Guarantor</w:t>
            </w:r>
          </w:p>
        </w:tc>
        <w:tc>
          <w:tcPr>
            <w:tcW w:w="0" w:type="dxa"/>
            <w:vAlign w:val="bottom"/>
          </w:tcPr>
          <w:p>
            <w:pPr>
              <w:spacing w:after="0"/>
              <w:rPr>
                <w:sz w:val="1"/>
                <w:szCs w:val="1"/>
                <w:color w:val="auto"/>
              </w:rPr>
            </w:pPr>
          </w:p>
        </w:tc>
      </w:tr>
      <w:tr>
        <w:trPr>
          <w:trHeight w:val="249"/>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Willis Investment UK Holdings Limited</w:t>
            </w:r>
          </w:p>
        </w:tc>
        <w:tc>
          <w:tcPr>
            <w:tcW w:w="28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Guarantor</w:t>
            </w:r>
          </w:p>
        </w:tc>
        <w:tc>
          <w:tcPr>
            <w:tcW w:w="260" w:type="dxa"/>
            <w:vAlign w:val="bottom"/>
            <w:shd w:val="clear" w:color="auto" w:fill="CFF0FC"/>
          </w:tcPr>
          <w:p>
            <w:pPr>
              <w:spacing w:after="0"/>
              <w:rPr>
                <w:sz w:val="21"/>
                <w:szCs w:val="21"/>
                <w:color w:val="auto"/>
              </w:rPr>
            </w:pP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Guarantor</w:t>
            </w:r>
          </w:p>
        </w:tc>
        <w:tc>
          <w:tcPr>
            <w:tcW w:w="0" w:type="dxa"/>
            <w:vAlign w:val="bottom"/>
          </w:tcPr>
          <w:p>
            <w:pPr>
              <w:spacing w:after="0"/>
              <w:rPr>
                <w:sz w:val="1"/>
                <w:szCs w:val="1"/>
                <w:color w:val="auto"/>
              </w:rPr>
            </w:pP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color w:val="auto"/>
              </w:rPr>
              <w:t>TA I Limited</w:t>
            </w:r>
          </w:p>
        </w:tc>
        <w:tc>
          <w:tcPr>
            <w:tcW w:w="2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Guarantor</w:t>
            </w:r>
          </w:p>
        </w:tc>
        <w:tc>
          <w:tcPr>
            <w:tcW w:w="2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Guarantor</w:t>
            </w:r>
          </w:p>
        </w:tc>
        <w:tc>
          <w:tcPr>
            <w:tcW w:w="0" w:type="dxa"/>
            <w:vAlign w:val="bottom"/>
          </w:tcPr>
          <w:p>
            <w:pPr>
              <w:spacing w:after="0"/>
              <w:rPr>
                <w:sz w:val="1"/>
                <w:szCs w:val="1"/>
                <w:color w:val="auto"/>
              </w:rPr>
            </w:pPr>
          </w:p>
        </w:tc>
      </w:tr>
      <w:tr>
        <w:trPr>
          <w:trHeight w:val="249"/>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Willis Group Limited</w:t>
            </w:r>
          </w:p>
        </w:tc>
        <w:tc>
          <w:tcPr>
            <w:tcW w:w="28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Guarantor</w:t>
            </w:r>
          </w:p>
        </w:tc>
        <w:tc>
          <w:tcPr>
            <w:tcW w:w="260" w:type="dxa"/>
            <w:vAlign w:val="bottom"/>
            <w:shd w:val="clear" w:color="auto" w:fill="CFF0FC"/>
          </w:tcPr>
          <w:p>
            <w:pPr>
              <w:spacing w:after="0"/>
              <w:rPr>
                <w:sz w:val="21"/>
                <w:szCs w:val="21"/>
                <w:color w:val="auto"/>
              </w:rPr>
            </w:pP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Guarantor</w:t>
            </w:r>
          </w:p>
        </w:tc>
        <w:tc>
          <w:tcPr>
            <w:tcW w:w="0" w:type="dxa"/>
            <w:vAlign w:val="bottom"/>
          </w:tcPr>
          <w:p>
            <w:pPr>
              <w:spacing w:after="0"/>
              <w:rPr>
                <w:sz w:val="1"/>
                <w:szCs w:val="1"/>
                <w:color w:val="auto"/>
              </w:rPr>
            </w:pP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color w:val="auto"/>
              </w:rPr>
              <w:t>Willis Towers Watson Sub Holdings Unlimited Company</w:t>
            </w:r>
          </w:p>
        </w:tc>
        <w:tc>
          <w:tcPr>
            <w:tcW w:w="2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Guarantor</w:t>
            </w:r>
          </w:p>
        </w:tc>
        <w:tc>
          <w:tcPr>
            <w:tcW w:w="2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Guarantor</w:t>
            </w:r>
          </w:p>
        </w:tc>
        <w:tc>
          <w:tcPr>
            <w:tcW w:w="0" w:type="dxa"/>
            <w:vAlign w:val="bottom"/>
          </w:tcPr>
          <w:p>
            <w:pPr>
              <w:spacing w:after="0"/>
              <w:rPr>
                <w:sz w:val="1"/>
                <w:szCs w:val="1"/>
                <w:color w:val="auto"/>
              </w:rPr>
            </w:pPr>
          </w:p>
        </w:tc>
      </w:tr>
      <w:tr>
        <w:trPr>
          <w:trHeight w:val="249"/>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Willis Towers Watson UK Holdings Limited</w:t>
            </w:r>
          </w:p>
        </w:tc>
        <w:tc>
          <w:tcPr>
            <w:tcW w:w="28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Guarantor</w:t>
            </w:r>
          </w:p>
        </w:tc>
        <w:tc>
          <w:tcPr>
            <w:tcW w:w="260" w:type="dxa"/>
            <w:vAlign w:val="bottom"/>
            <w:shd w:val="clear" w:color="auto" w:fill="CFF0FC"/>
          </w:tcPr>
          <w:p>
            <w:pPr>
              <w:spacing w:after="0"/>
              <w:rPr>
                <w:sz w:val="21"/>
                <w:szCs w:val="21"/>
                <w:color w:val="auto"/>
              </w:rPr>
            </w:pP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Guarantor</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notes issued by Willis North America and Trinity Acquisition plc:</w:t>
      </w:r>
    </w:p>
    <w:p>
      <w:pPr>
        <w:spacing w:after="0" w:line="117"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rank equally with all of the issuer’s existing and future unsubordinated and unsecured debt;</w:t>
      </w:r>
    </w:p>
    <w:p>
      <w:pPr>
        <w:spacing w:after="0" w:line="117" w:lineRule="exact"/>
        <w:rPr>
          <w:rFonts w:ascii="Arial" w:cs="Arial" w:eastAsia="Arial" w:hAnsi="Arial"/>
          <w:sz w:val="18"/>
          <w:szCs w:val="18"/>
          <w:color w:val="auto"/>
        </w:rPr>
      </w:pPr>
    </w:p>
    <w:p>
      <w:pPr>
        <w:ind w:left="760" w:right="140" w:hanging="378"/>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rank equally with the issuer’s guarantee of all of the existing senior debt of the Company and the other guarantors, including any debt under the Revolving Credit Facility;</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 senior in right of payment to all of the issuer’s future subordinated debt;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 effectively subordinated to all of the issuer’s secured debt to the extent of the value of the assets securing such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other subsidiaries of the parent company are non-guarantor subsidiaries (‘the non-guarantor subsidiaries’).</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9" w:name="page40"/>
    <w:bookmarkEnd w:id="39"/>
    <w:p>
      <w:pPr>
        <w:ind w:right="20"/>
        <w:spacing w:after="0" w:line="290" w:lineRule="auto"/>
        <w:rPr>
          <w:sz w:val="20"/>
          <w:szCs w:val="20"/>
          <w:color w:val="auto"/>
        </w:rPr>
      </w:pPr>
      <w:r>
        <w:rPr>
          <w:rFonts w:ascii="Arial" w:cs="Arial" w:eastAsia="Arial" w:hAnsi="Arial"/>
          <w:sz w:val="16"/>
          <w:szCs w:val="16"/>
          <w:color w:val="auto"/>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June 30, 2023 and December 31, 2022, the non-guarantor subsidiaries represented substantially all of the total assets and accounted for substantially all of the total revenue of the Company prior to consolidating adjustments. 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pacing w:after="0" w:line="1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 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p>
    <w:p>
      <w:pPr>
        <w:spacing w:after="0" w:line="12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arrangements, intercompany dividends and intercompany interest. At June 30, 2023 and December 31, 2022, the intercompany balances of the Obligor group with non-guarantor subsidiaries were net receivables of $1.8 billion and $600 million, respectively, and net payables of $11.1 billion and $10.2 billion,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 balances or transactions of non-guarantor subsidiaries are presented in the disclosures other than the intercompany items noted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certain summarized financial information for the Obligor group.</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ind w:right="558"/>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ind w:right="696"/>
              <w:spacing w:after="0"/>
              <w:rPr>
                <w:sz w:val="20"/>
                <w:szCs w:val="20"/>
                <w:color w:val="auto"/>
              </w:rPr>
            </w:pPr>
            <w:r>
              <w:rPr>
                <w:rFonts w:ascii="Arial" w:cs="Arial" w:eastAsia="Arial" w:hAnsi="Arial"/>
                <w:sz w:val="14"/>
                <w:szCs w:val="14"/>
                <w:b w:val="1"/>
                <w:bCs w:val="1"/>
                <w:color w:val="auto"/>
              </w:rPr>
              <w:t>As of</w:t>
            </w:r>
          </w:p>
        </w:tc>
      </w:tr>
      <w:tr>
        <w:trPr>
          <w:trHeight w:val="185"/>
        </w:trPr>
        <w:tc>
          <w:tcPr>
            <w:tcW w:w="7620" w:type="dxa"/>
            <w:vAlign w:val="bottom"/>
          </w:tcPr>
          <w:p>
            <w:pPr>
              <w:ind w:left="370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5"/>
              </w:rPr>
              <w:t>December 31, 2022</w:t>
            </w:r>
          </w:p>
        </w:tc>
      </w:tr>
      <w:tr>
        <w:trPr>
          <w:trHeight w:val="169"/>
        </w:trPr>
        <w:tc>
          <w:tcPr>
            <w:tcW w:w="7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(in</w:t>
            </w:r>
          </w:p>
        </w:tc>
        <w:tc>
          <w:tcPr>
            <w:tcW w:w="1920" w:type="dxa"/>
            <w:vAlign w:val="bottom"/>
            <w:gridSpan w:val="3"/>
          </w:tcPr>
          <w:p>
            <w:pPr>
              <w:jc w:val="right"/>
              <w:ind w:right="1416"/>
              <w:spacing w:after="0"/>
              <w:rPr>
                <w:sz w:val="20"/>
                <w:szCs w:val="20"/>
                <w:color w:val="auto"/>
              </w:rPr>
            </w:pPr>
            <w:r>
              <w:rPr>
                <w:rFonts w:ascii="Arial" w:cs="Arial" w:eastAsia="Arial" w:hAnsi="Arial"/>
                <w:sz w:val="13"/>
                <w:szCs w:val="13"/>
                <w:b w:val="1"/>
                <w:bCs w:val="1"/>
                <w:color w:val="auto"/>
                <w:w w:val="74"/>
              </w:rPr>
              <w:t>millions)</w:t>
            </w:r>
          </w:p>
        </w:tc>
      </w:tr>
      <w:tr>
        <w:trPr>
          <w:trHeight w:val="24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216</w:t>
            </w: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Total non-current assets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76"/>
              <w:spacing w:after="0"/>
              <w:rPr>
                <w:sz w:val="20"/>
                <w:szCs w:val="20"/>
                <w:color w:val="auto"/>
              </w:rPr>
            </w:pPr>
            <w:r>
              <w:rPr>
                <w:rFonts w:ascii="Arial" w:cs="Arial" w:eastAsia="Arial" w:hAnsi="Arial"/>
                <w:sz w:val="18"/>
                <w:szCs w:val="18"/>
                <w:color w:val="auto"/>
              </w:rPr>
              <w:t>685</w:t>
            </w: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7,127</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6,916</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Total non-current liabilities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9,604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76"/>
              <w:spacing w:after="0"/>
              <w:rPr>
                <w:sz w:val="20"/>
                <w:szCs w:val="20"/>
                <w:color w:val="auto"/>
              </w:rPr>
            </w:pPr>
            <w:r>
              <w:rPr>
                <w:rFonts w:ascii="Arial" w:cs="Arial" w:eastAsia="Arial" w:hAnsi="Arial"/>
                <w:sz w:val="18"/>
                <w:szCs w:val="18"/>
                <w:color w:val="auto"/>
              </w:rPr>
              <w:t>8,212</w:t>
            </w:r>
          </w:p>
        </w:tc>
      </w:tr>
      <w:tr>
        <w:trPr>
          <w:trHeight w:val="611"/>
        </w:trPr>
        <w:tc>
          <w:tcPr>
            <w:tcW w:w="7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ind w:right="396"/>
              <w:spacing w:after="0"/>
              <w:rPr>
                <w:sz w:val="20"/>
                <w:szCs w:val="20"/>
                <w:color w:val="auto"/>
              </w:rPr>
            </w:pPr>
            <w:r>
              <w:rPr>
                <w:rFonts w:ascii="Arial" w:cs="Arial" w:eastAsia="Arial" w:hAnsi="Arial"/>
                <w:sz w:val="14"/>
                <w:szCs w:val="14"/>
                <w:b w:val="1"/>
                <w:bCs w:val="1"/>
                <w:color w:val="auto"/>
                <w:w w:val="89"/>
              </w:rPr>
              <w:t>Six months ended</w:t>
            </w:r>
          </w:p>
        </w:tc>
      </w:tr>
      <w:tr>
        <w:trPr>
          <w:trHeight w:val="185"/>
        </w:trPr>
        <w:tc>
          <w:tcPr>
            <w:tcW w:w="7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556"/>
              <w:spacing w:after="0"/>
              <w:rPr>
                <w:sz w:val="20"/>
                <w:szCs w:val="20"/>
                <w:color w:val="auto"/>
              </w:rPr>
            </w:pPr>
            <w:r>
              <w:rPr>
                <w:rFonts w:ascii="Arial" w:cs="Arial" w:eastAsia="Arial" w:hAnsi="Arial"/>
                <w:sz w:val="14"/>
                <w:szCs w:val="14"/>
                <w:b w:val="1"/>
                <w:bCs w:val="1"/>
                <w:color w:val="auto"/>
                <w:w w:val="92"/>
              </w:rPr>
              <w:t>June 30, 2023</w:t>
            </w:r>
          </w:p>
        </w:tc>
      </w:tr>
      <w:tr>
        <w:trPr>
          <w:trHeight w:val="169"/>
        </w:trPr>
        <w:tc>
          <w:tcPr>
            <w:tcW w:w="7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536"/>
              <w:spacing w:after="0"/>
              <w:rPr>
                <w:sz w:val="20"/>
                <w:szCs w:val="20"/>
                <w:color w:val="auto"/>
              </w:rPr>
            </w:pPr>
            <w:r>
              <w:rPr>
                <w:rFonts w:ascii="Arial" w:cs="Arial" w:eastAsia="Arial" w:hAnsi="Arial"/>
                <w:sz w:val="14"/>
                <w:szCs w:val="14"/>
                <w:b w:val="1"/>
                <w:bCs w:val="1"/>
                <w:color w:val="auto"/>
                <w:w w:val="94"/>
              </w:rPr>
              <w:t>(in millions)</w:t>
            </w:r>
          </w:p>
        </w:tc>
      </w:tr>
      <w:tr>
        <w:trPr>
          <w:trHeight w:val="24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907</w:t>
            </w: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76"/>
              <w:spacing w:after="0"/>
              <w:rPr>
                <w:sz w:val="20"/>
                <w:szCs w:val="20"/>
                <w:color w:val="auto"/>
              </w:rPr>
            </w:pPr>
            <w:r>
              <w:rPr>
                <w:rFonts w:ascii="Arial" w:cs="Arial" w:eastAsia="Arial" w:hAnsi="Arial"/>
                <w:sz w:val="18"/>
                <w:szCs w:val="18"/>
                <w:color w:val="auto"/>
              </w:rPr>
              <w:t>760</w:t>
            </w:r>
          </w:p>
        </w:tc>
      </w:tr>
      <w:tr>
        <w:trPr>
          <w:trHeight w:val="249"/>
        </w:trPr>
        <w:tc>
          <w:tcPr>
            <w:tcW w:w="7620" w:type="dxa"/>
            <w:vAlign w:val="bottom"/>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Income from operations before income taxes </w:t>
            </w:r>
            <w:r>
              <w:rPr>
                <w:rFonts w:ascii="Arial" w:cs="Arial" w:eastAsia="Arial" w:hAnsi="Arial"/>
                <w:sz w:val="24"/>
                <w:szCs w:val="24"/>
                <w:color w:val="auto"/>
                <w:vertAlign w:val="superscript"/>
              </w:rPr>
              <w:t>(i)</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391</w:t>
            </w: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76"/>
              <w:spacing w:after="0"/>
              <w:rPr>
                <w:sz w:val="20"/>
                <w:szCs w:val="20"/>
                <w:color w:val="auto"/>
              </w:rPr>
            </w:pPr>
            <w:r>
              <w:rPr>
                <w:rFonts w:ascii="Arial" w:cs="Arial" w:eastAsia="Arial" w:hAnsi="Arial"/>
                <w:sz w:val="18"/>
                <w:szCs w:val="18"/>
                <w:color w:val="auto"/>
              </w:rPr>
              <w:t>485</w:t>
            </w:r>
          </w:p>
        </w:tc>
      </w:tr>
      <w:tr>
        <w:trPr>
          <w:trHeight w:val="24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WTW</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485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7"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(i)</w:t>
      </w:r>
      <w:r>
        <w:rPr>
          <w:sz w:val="20"/>
          <w:szCs w:val="20"/>
          <w:color w:val="auto"/>
        </w:rPr>
        <w:tab/>
      </w:r>
      <w:r>
        <w:rPr>
          <w:rFonts w:ascii="Arial" w:cs="Arial" w:eastAsia="Arial" w:hAnsi="Arial"/>
          <w:sz w:val="13"/>
          <w:szCs w:val="13"/>
          <w:color w:val="auto"/>
        </w:rPr>
        <w:t>Includes intercompany expense, net of the Obligor group from non-guarantor subsidiaries of $177 million for the six months ended June 30, 2023.</w:t>
      </w:r>
    </w:p>
    <w:p>
      <w:pPr>
        <w:spacing w:after="0" w:line="1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2C2C2C"/>
        </w:rPr>
        <w:t>In order to assist readers of our condensed consolidated financial statements in understanding the core operating results that WTW’s management uses to evaluate the business and for financial planning purposes, we present the following non-GAAP measures and their most directly comparable U.S. GAAP measure: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Most Directly Comparable U.S. GAAP Measure</w:t>
            </w:r>
          </w:p>
        </w:tc>
        <w:tc>
          <w:tcPr>
            <w:tcW w:w="6320" w:type="dxa"/>
            <w:vAlign w:val="bottom"/>
          </w:tcPr>
          <w:p>
            <w:pPr>
              <w:ind w:left="840"/>
              <w:spacing w:after="0"/>
              <w:rPr>
                <w:sz w:val="20"/>
                <w:szCs w:val="20"/>
                <w:color w:val="auto"/>
              </w:rPr>
            </w:pPr>
            <w:r>
              <w:rPr>
                <w:rFonts w:ascii="Arial" w:cs="Arial" w:eastAsia="Arial" w:hAnsi="Arial"/>
                <w:sz w:val="18"/>
                <w:szCs w:val="18"/>
                <w:b w:val="1"/>
                <w:bCs w:val="1"/>
                <w:color w:val="auto"/>
              </w:rPr>
              <w:t>Non-GAAP Measure</w:t>
            </w:r>
          </w:p>
        </w:tc>
      </w:tr>
      <w:tr>
        <w:trPr>
          <w:trHeight w:val="250"/>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 reported change</w:t>
            </w:r>
          </w:p>
        </w:tc>
        <w:tc>
          <w:tcPr>
            <w:tcW w:w="6320" w:type="dxa"/>
            <w:vAlign w:val="bottom"/>
            <w:shd w:val="clear" w:color="auto" w:fill="CFF0FC"/>
          </w:tcPr>
          <w:p>
            <w:pPr>
              <w:ind w:left="840"/>
              <w:spacing w:after="0"/>
              <w:rPr>
                <w:sz w:val="20"/>
                <w:szCs w:val="20"/>
                <w:color w:val="auto"/>
              </w:rPr>
            </w:pPr>
            <w:r>
              <w:rPr>
                <w:rFonts w:ascii="Arial" w:cs="Arial" w:eastAsia="Arial" w:hAnsi="Arial"/>
                <w:sz w:val="18"/>
                <w:szCs w:val="18"/>
                <w:color w:val="auto"/>
              </w:rPr>
              <w:t>Constant currency change</w:t>
            </w: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As reported change</w:t>
            </w:r>
          </w:p>
        </w:tc>
        <w:tc>
          <w:tcPr>
            <w:tcW w:w="6320" w:type="dxa"/>
            <w:vAlign w:val="bottom"/>
          </w:tcPr>
          <w:p>
            <w:pPr>
              <w:ind w:left="840"/>
              <w:spacing w:after="0"/>
              <w:rPr>
                <w:sz w:val="20"/>
                <w:szCs w:val="20"/>
                <w:color w:val="auto"/>
              </w:rPr>
            </w:pPr>
            <w:r>
              <w:rPr>
                <w:rFonts w:ascii="Arial" w:cs="Arial" w:eastAsia="Arial" w:hAnsi="Arial"/>
                <w:sz w:val="18"/>
                <w:szCs w:val="18"/>
                <w:color w:val="auto"/>
              </w:rPr>
              <w:t>Organic change</w:t>
            </w:r>
          </w:p>
        </w:tc>
      </w:tr>
      <w:tr>
        <w:trPr>
          <w:trHeight w:val="24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operations/margin</w:t>
            </w:r>
          </w:p>
        </w:tc>
        <w:tc>
          <w:tcPr>
            <w:tcW w:w="6320" w:type="dxa"/>
            <w:vAlign w:val="bottom"/>
            <w:shd w:val="clear" w:color="auto" w:fill="CFF0FC"/>
          </w:tcPr>
          <w:p>
            <w:pPr>
              <w:ind w:left="840"/>
              <w:spacing w:after="0"/>
              <w:rPr>
                <w:sz w:val="20"/>
                <w:szCs w:val="20"/>
                <w:color w:val="auto"/>
              </w:rPr>
            </w:pPr>
            <w:r>
              <w:rPr>
                <w:rFonts w:ascii="Arial" w:cs="Arial" w:eastAsia="Arial" w:hAnsi="Arial"/>
                <w:sz w:val="18"/>
                <w:szCs w:val="18"/>
                <w:color w:val="auto"/>
              </w:rPr>
              <w:t>Adjusted operating income/margin</w:t>
            </w: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Net income/margin</w:t>
            </w:r>
          </w:p>
        </w:tc>
        <w:tc>
          <w:tcPr>
            <w:tcW w:w="6320" w:type="dxa"/>
            <w:vAlign w:val="bottom"/>
          </w:tcPr>
          <w:p>
            <w:pPr>
              <w:ind w:left="840"/>
              <w:spacing w:after="0"/>
              <w:rPr>
                <w:sz w:val="20"/>
                <w:szCs w:val="20"/>
                <w:color w:val="auto"/>
              </w:rPr>
            </w:pPr>
            <w:r>
              <w:rPr>
                <w:rFonts w:ascii="Arial" w:cs="Arial" w:eastAsia="Arial" w:hAnsi="Arial"/>
                <w:sz w:val="18"/>
                <w:szCs w:val="18"/>
                <w:color w:val="auto"/>
              </w:rPr>
              <w:t>Adjusted EBITDA/margin</w:t>
            </w:r>
          </w:p>
        </w:tc>
      </w:tr>
      <w:tr>
        <w:trPr>
          <w:trHeight w:val="24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WTW</w:t>
            </w:r>
          </w:p>
        </w:tc>
        <w:tc>
          <w:tcPr>
            <w:tcW w:w="6320" w:type="dxa"/>
            <w:vAlign w:val="bottom"/>
            <w:shd w:val="clear" w:color="auto" w:fill="CFF0FC"/>
          </w:tcPr>
          <w:p>
            <w:pPr>
              <w:ind w:left="840"/>
              <w:spacing w:after="0"/>
              <w:rPr>
                <w:sz w:val="20"/>
                <w:szCs w:val="20"/>
                <w:color w:val="auto"/>
              </w:rPr>
            </w:pPr>
            <w:r>
              <w:rPr>
                <w:rFonts w:ascii="Arial" w:cs="Arial" w:eastAsia="Arial" w:hAnsi="Arial"/>
                <w:sz w:val="18"/>
                <w:szCs w:val="18"/>
                <w:color w:val="auto"/>
              </w:rPr>
              <w:t>Adjusted net income</w:t>
            </w: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6320" w:type="dxa"/>
            <w:vAlign w:val="bottom"/>
          </w:tcPr>
          <w:p>
            <w:pPr>
              <w:ind w:left="840"/>
              <w:spacing w:after="0"/>
              <w:rPr>
                <w:sz w:val="20"/>
                <w:szCs w:val="20"/>
                <w:color w:val="auto"/>
              </w:rPr>
            </w:pPr>
            <w:r>
              <w:rPr>
                <w:rFonts w:ascii="Arial" w:cs="Arial" w:eastAsia="Arial" w:hAnsi="Arial"/>
                <w:sz w:val="18"/>
                <w:szCs w:val="18"/>
                <w:color w:val="auto"/>
              </w:rPr>
              <w:t>Adjusted diluted earnings per share</w:t>
            </w:r>
          </w:p>
        </w:tc>
      </w:tr>
      <w:tr>
        <w:trPr>
          <w:trHeight w:val="24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6320" w:type="dxa"/>
            <w:vAlign w:val="bottom"/>
            <w:shd w:val="clear" w:color="auto" w:fill="CFF0FC"/>
          </w:tcPr>
          <w:p>
            <w:pPr>
              <w:ind w:left="840"/>
              <w:spacing w:after="0"/>
              <w:rPr>
                <w:sz w:val="20"/>
                <w:szCs w:val="20"/>
                <w:color w:val="auto"/>
              </w:rPr>
            </w:pPr>
            <w:r>
              <w:rPr>
                <w:rFonts w:ascii="Arial" w:cs="Arial" w:eastAsia="Arial" w:hAnsi="Arial"/>
                <w:sz w:val="18"/>
                <w:szCs w:val="18"/>
                <w:color w:val="auto"/>
              </w:rPr>
              <w:t>Adjusted income before taxes</w:t>
            </w: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Provision for income taxes/U.S. GAAP tax rate</w:t>
            </w:r>
          </w:p>
        </w:tc>
        <w:tc>
          <w:tcPr>
            <w:tcW w:w="6320" w:type="dxa"/>
            <w:vAlign w:val="bottom"/>
          </w:tcPr>
          <w:p>
            <w:pPr>
              <w:ind w:left="840"/>
              <w:spacing w:after="0"/>
              <w:rPr>
                <w:sz w:val="20"/>
                <w:szCs w:val="20"/>
                <w:color w:val="auto"/>
              </w:rPr>
            </w:pPr>
            <w:r>
              <w:rPr>
                <w:rFonts w:ascii="Arial" w:cs="Arial" w:eastAsia="Arial" w:hAnsi="Arial"/>
                <w:sz w:val="18"/>
                <w:szCs w:val="18"/>
                <w:color w:val="auto"/>
              </w:rPr>
              <w:t>Adjusted income taxes/tax rate</w:t>
            </w:r>
          </w:p>
        </w:tc>
      </w:tr>
      <w:tr>
        <w:trPr>
          <w:trHeight w:val="24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from operating activities</w:t>
            </w:r>
          </w:p>
        </w:tc>
        <w:tc>
          <w:tcPr>
            <w:tcW w:w="6320" w:type="dxa"/>
            <w:vAlign w:val="bottom"/>
            <w:shd w:val="clear" w:color="auto" w:fill="CFF0FC"/>
          </w:tcPr>
          <w:p>
            <w:pPr>
              <w:ind w:left="840"/>
              <w:spacing w:after="0"/>
              <w:rPr>
                <w:sz w:val="20"/>
                <w:szCs w:val="20"/>
                <w:color w:val="auto"/>
              </w:rPr>
            </w:pPr>
            <w:r>
              <w:rPr>
                <w:rFonts w:ascii="Arial" w:cs="Arial" w:eastAsia="Arial" w:hAnsi="Arial"/>
                <w:sz w:val="18"/>
                <w:szCs w:val="18"/>
                <w:color w:val="auto"/>
              </w:rPr>
              <w:t>Free cash flow</w:t>
            </w:r>
          </w:p>
        </w:tc>
      </w:tr>
    </w:tbl>
    <w:p>
      <w:pPr>
        <w:spacing w:after="0" w:line="134" w:lineRule="exact"/>
        <w:rPr>
          <w:sz w:val="20"/>
          <w:szCs w:val="20"/>
          <w:color w:val="auto"/>
        </w:rPr>
      </w:pPr>
    </w:p>
    <w:p>
      <w:pPr>
        <w:ind w:right="80"/>
        <w:spacing w:after="0" w:line="377" w:lineRule="auto"/>
        <w:rPr>
          <w:sz w:val="20"/>
          <w:szCs w:val="20"/>
          <w:color w:val="auto"/>
        </w:rPr>
      </w:pPr>
      <w:r>
        <w:rPr>
          <w:rFonts w:ascii="Arial" w:cs="Arial" w:eastAsia="Arial" w:hAnsi="Arial"/>
          <w:sz w:val="16"/>
          <w:szCs w:val="16"/>
          <w:color w:val="auto"/>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4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Within the measures referred to as ‘adjusted’, we adjust for significant items which will not be settled in cash, or which we believe to be items that are not core to our current or future operations. Some of these items may not be applicable for the current quarter, however they may be part of our full-year results. Additionally, we have historically adjusted for certain items which are not described below, but for which we may adjust in a future period when applicable. Items applicable to the quarter or full year results, or the comparable periods, include the following:</w:t>
      </w:r>
    </w:p>
    <w:p>
      <w:pPr>
        <w:spacing w:after="0" w:line="63" w:lineRule="exact"/>
        <w:rPr>
          <w:sz w:val="20"/>
          <w:szCs w:val="20"/>
          <w:color w:val="auto"/>
        </w:rPr>
      </w:pPr>
    </w:p>
    <w:p>
      <w:pPr>
        <w:ind w:left="760" w:right="2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Income from discontinued operations, net of tax – Adjustment to remove the after-tax income from discontinued operations and the after-tax gain attributable to the divested Willis Re business.</w:t>
      </w:r>
    </w:p>
    <w:p>
      <w:pPr>
        <w:spacing w:after="0" w:line="62" w:lineRule="exact"/>
        <w:rPr>
          <w:rFonts w:ascii="Arial" w:cs="Arial" w:eastAsia="Arial" w:hAnsi="Arial"/>
          <w:sz w:val="18"/>
          <w:szCs w:val="18"/>
          <w:color w:val="auto"/>
        </w:rPr>
      </w:pPr>
    </w:p>
    <w:p>
      <w:pPr>
        <w:jc w:val="both"/>
        <w:ind w:left="760" w:right="200" w:hanging="378"/>
        <w:spacing w:after="0" w:line="301"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Restructuring costs and transaction and transformation – Management believes it is appropriate to adjust for restructuring costs and transaction and transformation when they relate to a specific significant program with a defined set of activities and costs that are not expected to continue beyond a defined period of time, or significant acquisition-related transaction expenses. We believe the adjustment is necessary to present how the Company is performing, both now and in the future when the incurrence of these costs will have concluded.</w:t>
      </w:r>
    </w:p>
    <w:p>
      <w:pPr>
        <w:spacing w:after="0" w:line="49" w:lineRule="exact"/>
        <w:rPr>
          <w:rFonts w:ascii="Arial" w:cs="Arial" w:eastAsia="Arial" w:hAnsi="Arial"/>
          <w:sz w:val="16"/>
          <w:szCs w:val="16"/>
          <w:color w:val="auto"/>
        </w:rPr>
      </w:pPr>
    </w:p>
    <w:p>
      <w:pPr>
        <w:ind w:left="760" w:hanging="378"/>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Impairment – Adjustment to remove the impairment related to the net assets of our Russian business that are held outside of our Russian entities.</w:t>
      </w:r>
    </w:p>
    <w:p>
      <w:pPr>
        <w:spacing w:after="0" w:line="140" w:lineRule="exact"/>
        <w:rPr>
          <w:rFonts w:ascii="Arial" w:cs="Arial" w:eastAsia="Arial" w:hAnsi="Arial"/>
          <w:sz w:val="16"/>
          <w:szCs w:val="16"/>
          <w:color w:val="auto"/>
        </w:rPr>
      </w:pPr>
    </w:p>
    <w:p>
      <w:pPr>
        <w:ind w:left="760" w:right="32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Gains and losses on disposals of operations – Adjustment to remove the gains or losses resulting from disposed operations that have not been classified as discontinued operations.</w:t>
      </w:r>
    </w:p>
    <w:p>
      <w:pPr>
        <w:spacing w:after="0" w:line="62" w:lineRule="exact"/>
        <w:rPr>
          <w:rFonts w:ascii="Arial" w:cs="Arial" w:eastAsia="Arial" w:hAnsi="Arial"/>
          <w:sz w:val="18"/>
          <w:szCs w:val="18"/>
          <w:color w:val="auto"/>
        </w:rPr>
      </w:pPr>
    </w:p>
    <w:p>
      <w:pPr>
        <w:jc w:val="both"/>
        <w:ind w:left="760" w:right="160" w:hanging="378"/>
        <w:spacing w:after="0" w:line="263"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effect of the Coronavirus Aid, Relief, and Economic Security (‘CARES’) Act – Relates to the incremental tax expense or benefit, primarily from the Base Erosion and Anti-Abuse Tax (‘BEAT’), generated from electing or changing elections of certain income tax provisions available under the CARES Act.</w:t>
      </w:r>
    </w:p>
    <w:p>
      <w:pPr>
        <w:spacing w:after="0" w:line="75" w:lineRule="exact"/>
        <w:rPr>
          <w:rFonts w:ascii="Arial" w:cs="Arial" w:eastAsia="Arial" w:hAnsi="Arial"/>
          <w:sz w:val="18"/>
          <w:szCs w:val="18"/>
          <w:color w:val="auto"/>
        </w:rPr>
      </w:pPr>
    </w:p>
    <w:p>
      <w:pPr>
        <w:ind w:left="760" w:right="24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effect of internal reorganizations – Relates to the U.S. income tax expense resulting from the completion of internal reorganizations of the ownership of certain businesses that reduced the investments held by our U.S.-controlled subsidiaries.</w:t>
      </w:r>
    </w:p>
    <w:p>
      <w:pPr>
        <w:spacing w:after="0" w:line="11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condensed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Constant Currency Change and Organic Change</w:t>
      </w:r>
    </w:p>
    <w:p>
      <w:pPr>
        <w:spacing w:after="0" w:line="17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16" w:lineRule="exact"/>
        <w:rPr>
          <w:sz w:val="20"/>
          <w:szCs w:val="20"/>
          <w:color w:val="auto"/>
        </w:rPr>
      </w:pPr>
    </w:p>
    <w:p>
      <w:pPr>
        <w:ind w:left="760" w:right="100" w:hanging="378"/>
        <w:spacing w:after="0" w:line="25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Constant currency change - </w:t>
      </w:r>
      <w:r>
        <w:rPr>
          <w:rFonts w:ascii="Arial" w:cs="Arial" w:eastAsia="Arial" w:hAnsi="Arial"/>
          <w:sz w:val="18"/>
          <w:szCs w:val="18"/>
          <w:color w:val="auto"/>
        </w:rPr>
        <w:t>Represents the year-over-year change in revenue excluding the impact of foreign currency fluctuations. To calculate</w:t>
      </w:r>
      <w:r>
        <w:rPr>
          <w:rFonts w:ascii="Arial" w:cs="Arial" w:eastAsia="Arial" w:hAnsi="Arial"/>
          <w:sz w:val="18"/>
          <w:szCs w:val="18"/>
          <w:i w:val="1"/>
          <w:iCs w:val="1"/>
          <w:color w:val="auto"/>
        </w:rPr>
        <w:t xml:space="preserve"> </w:t>
      </w:r>
      <w:r>
        <w:rPr>
          <w:rFonts w:ascii="Arial" w:cs="Arial" w:eastAsia="Arial" w:hAnsi="Arial"/>
          <w:sz w:val="18"/>
          <w:szCs w:val="18"/>
          <w:color w:val="auto"/>
        </w:rPr>
        <w:t>this impact, the prior-year local currency results are first translated using the current-year monthly average exchange rates. The change is calculated by comparing the prior-year revenue, translated at the current-year monthly average exchange rates, to the current-year as-reported revenue, for the same period. We believe constant currency measures provide useful information to investors because they provide transparency to performance by excluding the effects that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1" w:name="page42"/>
    <w:bookmarkEnd w:id="41"/>
    <w:p>
      <w:pPr>
        <w:ind w:left="760"/>
        <w:spacing w:after="0"/>
        <w:rPr>
          <w:sz w:val="20"/>
          <w:szCs w:val="20"/>
          <w:color w:val="auto"/>
        </w:rPr>
      </w:pPr>
      <w:r>
        <w:rPr>
          <w:rFonts w:ascii="Arial" w:cs="Arial" w:eastAsia="Arial" w:hAnsi="Arial"/>
          <w:sz w:val="17"/>
          <w:szCs w:val="17"/>
          <w:color w:val="auto"/>
        </w:rPr>
        <w:t>foreign currency exchange rate fluctuations have on period-over-period comparability given volatility in foreign currency exchange markets.</w:t>
      </w:r>
    </w:p>
    <w:p>
      <w:pPr>
        <w:spacing w:after="0" w:line="129" w:lineRule="exact"/>
        <w:rPr>
          <w:sz w:val="20"/>
          <w:szCs w:val="20"/>
          <w:color w:val="auto"/>
        </w:rPr>
      </w:pPr>
    </w:p>
    <w:p>
      <w:pPr>
        <w:ind w:left="760" w:right="60" w:hanging="378"/>
        <w:spacing w:after="0" w:line="25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Organic change - </w:t>
      </w:r>
      <w:r>
        <w:rPr>
          <w:rFonts w:ascii="Arial" w:cs="Arial" w:eastAsia="Arial" w:hAnsi="Arial"/>
          <w:sz w:val="18"/>
          <w:szCs w:val="18"/>
          <w:color w:val="auto"/>
        </w:rPr>
        <w:t>Excludes the impact of fluctuations in foreign currency exchange rates as described above and the period-over-period impact</w:t>
      </w:r>
      <w:r>
        <w:rPr>
          <w:rFonts w:ascii="Arial" w:cs="Arial" w:eastAsia="Arial" w:hAnsi="Arial"/>
          <w:sz w:val="18"/>
          <w:szCs w:val="18"/>
          <w:i w:val="1"/>
          <w:iCs w:val="1"/>
          <w:color w:val="auto"/>
        </w:rPr>
        <w:t xml:space="preserve"> </w:t>
      </w:r>
      <w:r>
        <w:rPr>
          <w:rFonts w:ascii="Arial" w:cs="Arial" w:eastAsia="Arial" w:hAnsi="Arial"/>
          <w:sz w:val="18"/>
          <w:szCs w:val="18"/>
          <w:color w:val="auto"/>
        </w:rPr>
        <w:t>of 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3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constant currency and organic change results, and a reconciliation from the reported results for consolidated revenue are included in the ‘Consolidated Revenue (Continuing Operations)’ section within this Form 10-Q. These measures are also reported by segment in the ‘Segment Revenue’ section within this Form 10-Q.</w:t>
      </w:r>
    </w:p>
    <w:p>
      <w:pPr>
        <w:spacing w:after="0" w:line="13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Reconciliations of the as-reported changes to the constant currency and organic changes for the three and six months ended June 30, 2023 from the three and six months ended June 30, 2022 are as follows. The components of revenue change may not add due to rounding.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9"/>
              </w:rPr>
              <w:t>Components of Revenue Change</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4"/>
            <w:vMerge w:val="restart"/>
          </w:tcPr>
          <w:p>
            <w:pPr>
              <w:jc w:val="right"/>
              <w:ind w:right="659"/>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Reported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Divestitures</w:t>
            </w:r>
          </w:p>
        </w:tc>
        <w:tc>
          <w:tcPr>
            <w:tcW w:w="1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 in</w:t>
            </w:r>
          </w:p>
        </w:tc>
        <w:tc>
          <w:tcPr>
            <w:tcW w:w="5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76"/>
              </w:rPr>
              <w:t>millions)</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2,159</w:t>
            </w:r>
          </w:p>
        </w:tc>
        <w:tc>
          <w:tcPr>
            <w:tcW w:w="560" w:type="dxa"/>
            <w:vAlign w:val="bottom"/>
            <w:gridSpan w:val="2"/>
            <w:shd w:val="clear" w:color="auto" w:fill="CFF0FC"/>
          </w:tcPr>
          <w:p>
            <w:pPr>
              <w:jc w:val="center"/>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2,031</w:t>
            </w:r>
          </w:p>
        </w:tc>
        <w:tc>
          <w:tcPr>
            <w:tcW w:w="126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6%</w:t>
            </w:r>
          </w:p>
        </w:tc>
        <w:tc>
          <w:tcPr>
            <w:tcW w:w="120" w:type="dxa"/>
            <w:vAlign w:val="bottom"/>
            <w:shd w:val="clear" w:color="auto" w:fill="CFF0FC"/>
          </w:tcPr>
          <w:p>
            <w:pPr>
              <w:spacing w:after="0"/>
              <w:rPr>
                <w:sz w:val="24"/>
                <w:szCs w:val="24"/>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w:t>
            </w:r>
          </w:p>
        </w:tc>
        <w:tc>
          <w:tcPr>
            <w:tcW w:w="13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7%</w:t>
            </w:r>
          </w:p>
        </w:tc>
        <w:tc>
          <w:tcPr>
            <w:tcW w:w="140" w:type="dxa"/>
            <w:vAlign w:val="bottom"/>
            <w:shd w:val="clear" w:color="auto" w:fill="CFF0FC"/>
          </w:tcPr>
          <w:p>
            <w:pPr>
              <w:spacing w:after="0"/>
              <w:rPr>
                <w:sz w:val="24"/>
                <w:szCs w:val="24"/>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399"/>
        </w:trPr>
        <w:tc>
          <w:tcPr>
            <w:tcW w:w="19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20" w:type="dxa"/>
            <w:vAlign w:val="bottom"/>
            <w:tcBorders>
              <w:top w:val="single" w:sz="8" w:color="CFF0FC"/>
              <w:bottom w:val="single" w:sz="8" w:color="auto"/>
            </w:tcBorders>
          </w:tcPr>
          <w:p>
            <w:pPr>
              <w:spacing w:after="0"/>
              <w:rPr>
                <w:sz w:val="24"/>
                <w:szCs w:val="24"/>
                <w:color w:val="auto"/>
              </w:rPr>
            </w:pPr>
          </w:p>
        </w:tc>
        <w:tc>
          <w:tcPr>
            <w:tcW w:w="140" w:type="dxa"/>
            <w:vAlign w:val="bottom"/>
            <w:tcBorders>
              <w:top w:val="single" w:sz="8" w:color="CFF0FC"/>
              <w:bottom w:val="single" w:sz="8" w:color="auto"/>
            </w:tcBorders>
          </w:tcPr>
          <w:p>
            <w:pPr>
              <w:spacing w:after="0"/>
              <w:rPr>
                <w:sz w:val="24"/>
                <w:szCs w:val="24"/>
                <w:color w:val="auto"/>
              </w:rPr>
            </w:pPr>
          </w:p>
        </w:tc>
        <w:tc>
          <w:tcPr>
            <w:tcW w:w="2460" w:type="dxa"/>
            <w:vAlign w:val="bottom"/>
            <w:tcBorders>
              <w:top w:val="single" w:sz="8" w:color="CFF0FC"/>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9"/>
              </w:rPr>
              <w:t>Components of Revenue Change</w:t>
            </w:r>
          </w:p>
        </w:tc>
        <w:tc>
          <w:tcPr>
            <w:tcW w:w="140" w:type="dxa"/>
            <w:vAlign w:val="bottom"/>
            <w:tcBorders>
              <w:top w:val="single" w:sz="8" w:color="CFF0FC"/>
              <w:bottom w:val="single" w:sz="8" w:color="auto"/>
            </w:tcBorders>
          </w:tcPr>
          <w:p>
            <w:pPr>
              <w:spacing w:after="0"/>
              <w:rPr>
                <w:sz w:val="24"/>
                <w:szCs w:val="24"/>
                <w:color w:val="auto"/>
              </w:rPr>
            </w:pPr>
          </w:p>
        </w:tc>
        <w:tc>
          <w:tcPr>
            <w:tcW w:w="1020" w:type="dxa"/>
            <w:vAlign w:val="bottom"/>
            <w:tcBorders>
              <w:top w:val="single" w:sz="8" w:color="CFF0F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4"/>
            <w:vMerge w:val="restart"/>
          </w:tcPr>
          <w:p>
            <w:pPr>
              <w:jc w:val="right"/>
              <w:ind w:right="739"/>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w:t>
            </w:r>
          </w:p>
        </w:tc>
        <w:tc>
          <w:tcPr>
            <w:tcW w:w="1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Less: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Reported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1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Divestitures</w:t>
            </w:r>
          </w:p>
        </w:tc>
        <w:tc>
          <w:tcPr>
            <w:tcW w:w="1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1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 in</w:t>
            </w:r>
          </w:p>
        </w:tc>
        <w:tc>
          <w:tcPr>
            <w:tcW w:w="5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76"/>
              </w:rPr>
              <w:t>millions)</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8"/>
                <w:szCs w:val="18"/>
                <w:color w:val="auto"/>
              </w:rPr>
              <w:t>4,403</w:t>
            </w:r>
          </w:p>
        </w:tc>
        <w:tc>
          <w:tcPr>
            <w:tcW w:w="1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center"/>
              <w:ind w:right="1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rPr>
              <w:t>4,191</w:t>
            </w:r>
          </w:p>
        </w:tc>
        <w:tc>
          <w:tcPr>
            <w:tcW w:w="1260" w:type="dxa"/>
            <w:vAlign w:val="bottom"/>
            <w:tcBorders>
              <w:bottom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5%</w:t>
            </w:r>
          </w:p>
        </w:tc>
        <w:tc>
          <w:tcPr>
            <w:tcW w:w="1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44"/>
              <w:spacing w:after="0"/>
              <w:rPr>
                <w:sz w:val="20"/>
                <w:szCs w:val="20"/>
                <w:color w:val="auto"/>
              </w:rPr>
            </w:pPr>
            <w:r>
              <w:rPr>
                <w:rFonts w:ascii="Arial" w:cs="Arial" w:eastAsia="Arial" w:hAnsi="Arial"/>
                <w:sz w:val="18"/>
                <w:szCs w:val="18"/>
                <w:color w:val="auto"/>
              </w:rPr>
              <w:t>(2)%</w:t>
            </w:r>
          </w:p>
        </w:tc>
        <w:tc>
          <w:tcPr>
            <w:tcW w:w="1320" w:type="dxa"/>
            <w:vAlign w:val="bottom"/>
            <w:tcBorders>
              <w:bottom w:val="single" w:sz="8" w:color="CFF0FC"/>
            </w:tcBorders>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7%</w:t>
            </w:r>
          </w:p>
        </w:tc>
        <w:tc>
          <w:tcPr>
            <w:tcW w:w="1280" w:type="dxa"/>
            <w:vAlign w:val="bottom"/>
            <w:tcBorders>
              <w:bottom w:val="single" w:sz="8" w:color="CFF0FC"/>
            </w:tcBorders>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(1)%</w:t>
            </w:r>
          </w:p>
        </w:tc>
        <w:tc>
          <w:tcPr>
            <w:tcW w:w="1160" w:type="dxa"/>
            <w:vAlign w:val="bottom"/>
            <w:tcBorders>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-950595</wp:posOffset>
            </wp:positionV>
            <wp:extent cx="857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-933450</wp:posOffset>
            </wp:positionV>
            <wp:extent cx="857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-950595</wp:posOffset>
            </wp:positionV>
            <wp:extent cx="857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-933450</wp:posOffset>
            </wp:positionV>
            <wp:extent cx="857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-24765</wp:posOffset>
            </wp:positionV>
            <wp:extent cx="857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-7620</wp:posOffset>
            </wp:positionV>
            <wp:extent cx="857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-24765</wp:posOffset>
            </wp:positionV>
            <wp:extent cx="857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857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For the three months ended June 30, 2023, our as-reported revenue increased by 6% and our organic revenue grew by 7%. For the six months ended June 30, 2023, our as-reported revenue increased by 5% and our organic revenue grew by 8%. The increases in both as-reported and organic revenue were driven by strong performances in both segments as well as the recognition of higher interest income that is not allocated to the segments.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Income/Margin</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consider adjusted operating income/margin to be important financial measures, which are used internally to evaluate and assess our core operations and to benchmark our operating results against our competitors.</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Adjusted operating income is defined as income from operations adjusted for impairment, amortization, restructuring costs, transaction and transformation and non-recurring items that, in management’s judgment, significantly affect the period-over-period assessment of operating results. Adjusted operating income margin is calculated by dividing adjusted operating income by revenue.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income from operations to adjusted operating income for the three and six months ended June 30, 2023 and 2022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69"/>
        </w:trPr>
        <w:tc>
          <w:tcPr>
            <w:tcW w:w="4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r>
      <w:tr>
        <w:trPr>
          <w:trHeight w:val="169"/>
        </w:trPr>
        <w:tc>
          <w:tcPr>
            <w:tcW w:w="4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 in</w:t>
            </w: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72"/>
              </w:rPr>
              <w:t>millions)</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operations</w:t>
            </w:r>
          </w:p>
        </w:tc>
        <w:tc>
          <w:tcPr>
            <w:tcW w:w="2340" w:type="dxa"/>
            <w:vAlign w:val="bottom"/>
            <w:gridSpan w:val="2"/>
            <w:shd w:val="clear" w:color="auto" w:fill="CFF0FC"/>
          </w:tcPr>
          <w:p>
            <w:pPr>
              <w:jc w:val="right"/>
              <w:ind w:right="56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jc w:val="center"/>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21"/>
                <w:szCs w:val="21"/>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Adjusted for certain items:</w:t>
            </w:r>
          </w:p>
        </w:tc>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4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w:t>
            </w:r>
          </w:p>
        </w:tc>
        <w:tc>
          <w:tcPr>
            <w:tcW w:w="16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1"/>
                <w:szCs w:val="21"/>
                <w:color w:val="auto"/>
              </w:rPr>
            </w:pPr>
          </w:p>
        </w:tc>
      </w:tr>
      <w:tr>
        <w:trPr>
          <w:trHeight w:val="237"/>
        </w:trPr>
        <w:tc>
          <w:tcPr>
            <w:tcW w:w="40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20"/>
                <w:szCs w:val="20"/>
                <w:color w:val="auto"/>
              </w:rPr>
            </w:pPr>
          </w:p>
        </w:tc>
      </w:tr>
      <w:tr>
        <w:trPr>
          <w:trHeight w:val="249"/>
        </w:trPr>
        <w:tc>
          <w:tcPr>
            <w:tcW w:w="4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costs</w:t>
            </w:r>
          </w:p>
        </w:tc>
        <w:tc>
          <w:tcPr>
            <w:tcW w:w="16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1"/>
                <w:szCs w:val="21"/>
                <w:color w:val="auto"/>
              </w:rPr>
            </w:pPr>
          </w:p>
        </w:tc>
      </w:tr>
      <w:tr>
        <w:trPr>
          <w:trHeight w:val="237"/>
        </w:trPr>
        <w:tc>
          <w:tcPr>
            <w:tcW w:w="4020" w:type="dxa"/>
            <w:vAlign w:val="bottom"/>
          </w:tcPr>
          <w:p>
            <w:pPr>
              <w:ind w:left="200"/>
              <w:spacing w:after="0"/>
              <w:rPr>
                <w:sz w:val="20"/>
                <w:szCs w:val="20"/>
                <w:color w:val="auto"/>
              </w:rPr>
            </w:pPr>
            <w:r>
              <w:rPr>
                <w:rFonts w:ascii="Arial" w:cs="Arial" w:eastAsia="Arial" w:hAnsi="Arial"/>
                <w:sz w:val="18"/>
                <w:szCs w:val="18"/>
                <w:color w:val="auto"/>
              </w:rPr>
              <w:t>Transaction and transformation</w:t>
            </w:r>
          </w:p>
        </w:tc>
        <w:tc>
          <w:tcPr>
            <w:tcW w:w="16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r>
      <w:tr>
        <w:trPr>
          <w:trHeight w:val="277"/>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operating income</w:t>
            </w:r>
          </w:p>
        </w:tc>
        <w:tc>
          <w:tcPr>
            <w:tcW w:w="16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6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315</w:t>
            </w:r>
          </w:p>
        </w:tc>
        <w:tc>
          <w:tcPr>
            <w:tcW w:w="1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314</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center"/>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733</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24"/>
                <w:szCs w:val="24"/>
                <w:color w:val="auto"/>
              </w:rPr>
            </w:pPr>
          </w:p>
        </w:tc>
      </w:tr>
      <w:tr>
        <w:trPr>
          <w:trHeight w:val="257"/>
        </w:trPr>
        <w:tc>
          <w:tcPr>
            <w:tcW w:w="40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gridSpan w:val="2"/>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spacing w:after="0"/>
              <w:rPr>
                <w:sz w:val="22"/>
                <w:szCs w:val="22"/>
                <w:color w:val="auto"/>
              </w:rPr>
            </w:pPr>
          </w:p>
        </w:tc>
      </w:tr>
      <w:tr>
        <w:trPr>
          <w:trHeight w:val="270"/>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operations margin</w:t>
            </w:r>
          </w:p>
        </w:tc>
        <w:tc>
          <w:tcPr>
            <w:tcW w:w="160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6.6 %</w:t>
            </w:r>
          </w:p>
        </w:tc>
        <w:tc>
          <w:tcPr>
            <w:tcW w:w="840" w:type="dxa"/>
            <w:vAlign w:val="bottom"/>
            <w:shd w:val="clear" w:color="auto" w:fill="CFF0FC"/>
          </w:tcPr>
          <w:p>
            <w:pPr>
              <w:spacing w:after="0"/>
              <w:rPr>
                <w:sz w:val="23"/>
                <w:szCs w:val="23"/>
                <w:color w:val="auto"/>
              </w:rPr>
            </w:pPr>
          </w:p>
        </w:tc>
        <w:tc>
          <w:tcPr>
            <w:tcW w:w="6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6.7 %</w:t>
            </w:r>
          </w:p>
        </w:tc>
        <w:tc>
          <w:tcPr>
            <w:tcW w:w="340" w:type="dxa"/>
            <w:vAlign w:val="bottom"/>
            <w:shd w:val="clear" w:color="auto" w:fill="CFF0FC"/>
          </w:tcPr>
          <w:p>
            <w:pPr>
              <w:spacing w:after="0"/>
              <w:rPr>
                <w:sz w:val="23"/>
                <w:szCs w:val="23"/>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9.7 %</w:t>
            </w:r>
          </w:p>
        </w:tc>
        <w:tc>
          <w:tcPr>
            <w:tcW w:w="280" w:type="dxa"/>
            <w:vAlign w:val="bottom"/>
            <w:shd w:val="clear" w:color="auto" w:fill="CFF0FC"/>
          </w:tcPr>
          <w:p>
            <w:pPr>
              <w:spacing w:after="0"/>
              <w:rPr>
                <w:sz w:val="23"/>
                <w:szCs w:val="2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7.5 %</w:t>
            </w:r>
          </w:p>
        </w:tc>
        <w:tc>
          <w:tcPr>
            <w:tcW w:w="20" w:type="dxa"/>
            <w:vAlign w:val="bottom"/>
          </w:tcPr>
          <w:p>
            <w:pPr>
              <w:spacing w:after="0"/>
              <w:rPr>
                <w:sz w:val="23"/>
                <w:szCs w:val="23"/>
                <w:color w:val="auto"/>
              </w:rPr>
            </w:pPr>
          </w:p>
        </w:tc>
      </w:tr>
      <w:tr>
        <w:trPr>
          <w:trHeight w:val="256"/>
        </w:trPr>
        <w:tc>
          <w:tcPr>
            <w:tcW w:w="4020" w:type="dxa"/>
            <w:vAlign w:val="bottom"/>
          </w:tcPr>
          <w:p>
            <w:pPr>
              <w:ind w:left="20"/>
              <w:spacing w:after="0"/>
              <w:rPr>
                <w:sz w:val="20"/>
                <w:szCs w:val="20"/>
                <w:color w:val="auto"/>
              </w:rPr>
            </w:pPr>
            <w:r>
              <w:rPr>
                <w:rFonts w:ascii="Arial" w:cs="Arial" w:eastAsia="Arial" w:hAnsi="Arial"/>
                <w:sz w:val="18"/>
                <w:szCs w:val="18"/>
                <w:color w:val="auto"/>
              </w:rPr>
              <w:t>Adjusted operating income margin</w:t>
            </w:r>
          </w:p>
        </w:tc>
        <w:tc>
          <w:tcPr>
            <w:tcW w:w="1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14.6 %</w:t>
            </w:r>
          </w:p>
        </w:tc>
        <w:tc>
          <w:tcPr>
            <w:tcW w:w="840" w:type="dxa"/>
            <w:vAlign w:val="bottom"/>
          </w:tcPr>
          <w:p>
            <w:pPr>
              <w:spacing w:after="0"/>
              <w:rPr>
                <w:sz w:val="22"/>
                <w:szCs w:val="22"/>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8"/>
                <w:szCs w:val="18"/>
                <w:color w:val="auto"/>
                <w:w w:val="89"/>
              </w:rPr>
              <w:t>15.5 %</w:t>
            </w:r>
          </w:p>
        </w:tc>
        <w:tc>
          <w:tcPr>
            <w:tcW w:w="34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16.6 %</w:t>
            </w:r>
          </w:p>
        </w:tc>
        <w:tc>
          <w:tcPr>
            <w:tcW w:w="28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16.3 %</w:t>
            </w:r>
          </w:p>
        </w:tc>
      </w:tr>
      <w:tr>
        <w:trPr>
          <w:trHeight w:val="621"/>
        </w:trPr>
        <w:tc>
          <w:tcPr>
            <w:tcW w:w="4020" w:type="dxa"/>
            <w:vAlign w:val="bottom"/>
          </w:tcPr>
          <w:p>
            <w:pPr>
              <w:spacing w:after="0"/>
              <w:rPr>
                <w:sz w:val="24"/>
                <w:szCs w:val="24"/>
                <w:color w:val="auto"/>
              </w:rPr>
            </w:pPr>
          </w:p>
        </w:tc>
        <w:tc>
          <w:tcPr>
            <w:tcW w:w="2340" w:type="dxa"/>
            <w:vAlign w:val="bottom"/>
            <w:gridSpan w:val="2"/>
          </w:tcPr>
          <w:p>
            <w:pPr>
              <w:jc w:val="right"/>
              <w:ind w:right="562"/>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-1010920</wp:posOffset>
            </wp:positionV>
            <wp:extent cx="1937385" cy="1968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937385" cy="1968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42" w:name="page43"/>
    <w:bookmarkEnd w:id="42"/>
    <w:p>
      <w:pPr>
        <w:ind w:right="120"/>
        <w:spacing w:after="0" w:line="279" w:lineRule="auto"/>
        <w:rPr>
          <w:sz w:val="20"/>
          <w:szCs w:val="20"/>
          <w:color w:val="auto"/>
        </w:rPr>
      </w:pPr>
      <w:r>
        <w:rPr>
          <w:rFonts w:ascii="Arial" w:cs="Arial" w:eastAsia="Arial" w:hAnsi="Arial"/>
          <w:sz w:val="17"/>
          <w:szCs w:val="17"/>
          <w:color w:val="auto"/>
        </w:rPr>
        <w:t>Adjusted operating income increased for the three months ended June 30, 2023 to $315 million, from $314 million for the three months ended June 30, 2022 and increased for the six months ended June 30, 2023 to $733 million from $685 million for the six months ended June 30, 2022. These increases resulted primarily from higher revenue in the current year, partially offset by higher salary expense and incentive and benefit costs, and higher professional service and marketing-related expenses in the current-year periods as compared to the prior-year periods.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EBITDA/Margin</w:t>
      </w:r>
    </w:p>
    <w:p>
      <w:pPr>
        <w:spacing w:after="0" w:line="171"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Adjusted EBITDA is defined as net income adjusted for income from discontinued operations, net of tax, provision for income taxes, interest expense, impairment, depreciation and amortization, restructuring costs, transaction and transformation, gains and losses on disposals of operations and non-recurring items that, in management’s judgment, significantly affect the period-over-period assessment of operating results. Adjusted EBITDA margin is calculated by dividing adjusted EBITDA by revenue.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net income to adjusted EBITDA for the three and six months ended June 30, 2023 and 2022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69"/>
        </w:trPr>
        <w:tc>
          <w:tcPr>
            <w:tcW w:w="570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4"/>
                <w:szCs w:val="14"/>
                <w:color w:val="auto"/>
              </w:rPr>
            </w:pPr>
          </w:p>
        </w:tc>
      </w:tr>
      <w:tr>
        <w:trPr>
          <w:trHeight w:val="169"/>
        </w:trPr>
        <w:tc>
          <w:tcPr>
            <w:tcW w:w="5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b w:val="1"/>
                <w:bCs w:val="1"/>
                <w:color w:val="auto"/>
              </w:rPr>
              <w:t>($ in</w:t>
            </w: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76"/>
              </w:rPr>
              <w:t>millions)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4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FF0FC"/>
          </w:tcPr>
          <w:p>
            <w:pPr>
              <w:jc w:val="right"/>
              <w:ind w:right="5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99"/>
              </w:rPr>
              <w:t>114</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jc w:val="center"/>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302</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239</w:t>
            </w:r>
          </w:p>
        </w:tc>
        <w:tc>
          <w:tcPr>
            <w:tcW w:w="40" w:type="dxa"/>
            <w:vAlign w:val="bottom"/>
          </w:tcPr>
          <w:p>
            <w:pPr>
              <w:spacing w:after="0"/>
              <w:rPr>
                <w:sz w:val="21"/>
                <w:szCs w:val="21"/>
                <w:color w:val="auto"/>
              </w:rPr>
            </w:pP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Loss from discontinued operations, net of tax</w:t>
            </w:r>
          </w:p>
        </w:tc>
        <w:tc>
          <w:tcPr>
            <w:tcW w:w="720" w:type="dxa"/>
            <w:vAlign w:val="bottom"/>
          </w:tcPr>
          <w:p>
            <w:pPr>
              <w:spacing w:after="0"/>
              <w:rPr>
                <w:sz w:val="20"/>
                <w:szCs w:val="20"/>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0"/>
                <w:szCs w:val="20"/>
                <w:color w:val="auto"/>
              </w:rPr>
            </w:pPr>
          </w:p>
        </w:tc>
      </w:tr>
      <w:tr>
        <w:trPr>
          <w:trHeight w:val="249"/>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income taxes</w:t>
            </w:r>
          </w:p>
        </w:tc>
        <w:tc>
          <w:tcPr>
            <w:tcW w:w="72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1"/>
                <w:szCs w:val="21"/>
                <w:color w:val="auto"/>
              </w:rPr>
            </w:pP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20"/>
                <w:szCs w:val="20"/>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r>
      <w:tr>
        <w:trPr>
          <w:trHeight w:val="249"/>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w:t>
            </w:r>
          </w:p>
        </w:tc>
        <w:tc>
          <w:tcPr>
            <w:tcW w:w="7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21"/>
                <w:szCs w:val="21"/>
                <w:color w:val="auto"/>
              </w:rPr>
            </w:pP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720" w:type="dxa"/>
            <w:vAlign w:val="bottom"/>
          </w:tcPr>
          <w:p>
            <w:pPr>
              <w:spacing w:after="0"/>
              <w:rPr>
                <w:sz w:val="20"/>
                <w:szCs w:val="20"/>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20"/>
                <w:szCs w:val="20"/>
                <w:color w:val="auto"/>
              </w:rPr>
            </w:pPr>
          </w:p>
        </w:tc>
      </w:tr>
      <w:tr>
        <w:trPr>
          <w:trHeight w:val="249"/>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w:t>
            </w:r>
          </w:p>
        </w:tc>
        <w:tc>
          <w:tcPr>
            <w:tcW w:w="72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168</w:t>
            </w:r>
          </w:p>
        </w:tc>
        <w:tc>
          <w:tcPr>
            <w:tcW w:w="40" w:type="dxa"/>
            <w:vAlign w:val="bottom"/>
          </w:tcPr>
          <w:p>
            <w:pPr>
              <w:spacing w:after="0"/>
              <w:rPr>
                <w:sz w:val="21"/>
                <w:szCs w:val="21"/>
                <w:color w:val="auto"/>
              </w:rPr>
            </w:pP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720" w:type="dxa"/>
            <w:vAlign w:val="bottom"/>
          </w:tcPr>
          <w:p>
            <w:pPr>
              <w:spacing w:after="0"/>
              <w:rPr>
                <w:sz w:val="20"/>
                <w:szCs w:val="20"/>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ind w:right="51"/>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0"/>
                <w:szCs w:val="20"/>
                <w:color w:val="auto"/>
              </w:rPr>
            </w:pPr>
          </w:p>
        </w:tc>
      </w:tr>
      <w:tr>
        <w:trPr>
          <w:trHeight w:val="249"/>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Transaction and transformation</w:t>
            </w:r>
          </w:p>
        </w:tc>
        <w:tc>
          <w:tcPr>
            <w:tcW w:w="72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1"/>
                <w:szCs w:val="21"/>
                <w:color w:val="auto"/>
              </w:rPr>
            </w:pP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(Gain)/loss on disposal of operations</w:t>
            </w:r>
          </w:p>
        </w:tc>
        <w:tc>
          <w:tcPr>
            <w:tcW w:w="7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0"/>
                <w:szCs w:val="20"/>
                <w:color w:val="auto"/>
              </w:rPr>
            </w:pPr>
          </w:p>
        </w:tc>
      </w:tr>
      <w:tr>
        <w:trPr>
          <w:trHeight w:val="276"/>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72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411</w:t>
            </w:r>
          </w:p>
        </w:tc>
        <w:tc>
          <w:tcPr>
            <w:tcW w:w="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99"/>
              </w:rPr>
              <w:t>450</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center"/>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914</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968</w:t>
            </w:r>
          </w:p>
        </w:tc>
        <w:tc>
          <w:tcPr>
            <w:tcW w:w="40" w:type="dxa"/>
            <w:vAlign w:val="bottom"/>
          </w:tcPr>
          <w:p>
            <w:pPr>
              <w:spacing w:after="0"/>
              <w:rPr>
                <w:sz w:val="24"/>
                <w:szCs w:val="24"/>
                <w:color w:val="auto"/>
              </w:rPr>
            </w:pPr>
          </w:p>
        </w:tc>
      </w:tr>
      <w:tr>
        <w:trPr>
          <w:trHeight w:val="257"/>
        </w:trPr>
        <w:tc>
          <w:tcPr>
            <w:tcW w:w="5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gridSpan w:val="2"/>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spacing w:after="0"/>
              <w:rPr>
                <w:sz w:val="22"/>
                <w:szCs w:val="22"/>
                <w:color w:val="auto"/>
              </w:rPr>
            </w:pPr>
          </w:p>
        </w:tc>
      </w:tr>
      <w:tr>
        <w:trPr>
          <w:trHeight w:val="27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margin</w:t>
            </w:r>
          </w:p>
        </w:tc>
        <w:tc>
          <w:tcPr>
            <w:tcW w:w="720" w:type="dxa"/>
            <w:vAlign w:val="bottom"/>
            <w:shd w:val="clear" w:color="auto" w:fill="CFF0FC"/>
          </w:tcPr>
          <w:p>
            <w:pPr>
              <w:spacing w:after="0"/>
              <w:rPr>
                <w:sz w:val="23"/>
                <w:szCs w:val="23"/>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4.4 %</w:t>
            </w:r>
          </w:p>
        </w:tc>
        <w:tc>
          <w:tcPr>
            <w:tcW w:w="860" w:type="dxa"/>
            <w:vAlign w:val="bottom"/>
            <w:shd w:val="clear" w:color="auto" w:fill="CFF0FC"/>
          </w:tcPr>
          <w:p>
            <w:pPr>
              <w:spacing w:after="0"/>
              <w:rPr>
                <w:sz w:val="23"/>
                <w:szCs w:val="23"/>
                <w:color w:val="auto"/>
              </w:rPr>
            </w:pPr>
          </w:p>
        </w:tc>
        <w:tc>
          <w:tcPr>
            <w:tcW w:w="6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5.6 %</w:t>
            </w:r>
          </w:p>
        </w:tc>
        <w:tc>
          <w:tcPr>
            <w:tcW w:w="340" w:type="dxa"/>
            <w:vAlign w:val="bottom"/>
            <w:shd w:val="clear" w:color="auto" w:fill="CFF0FC"/>
          </w:tcPr>
          <w:p>
            <w:pPr>
              <w:spacing w:after="0"/>
              <w:rPr>
                <w:sz w:val="23"/>
                <w:szCs w:val="23"/>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6.9 %</w:t>
            </w:r>
          </w:p>
        </w:tc>
        <w:tc>
          <w:tcPr>
            <w:tcW w:w="280" w:type="dxa"/>
            <w:vAlign w:val="bottom"/>
            <w:shd w:val="clear" w:color="auto" w:fill="CFF0FC"/>
          </w:tcPr>
          <w:p>
            <w:pPr>
              <w:spacing w:after="0"/>
              <w:rPr>
                <w:sz w:val="23"/>
                <w:szCs w:val="2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5.7 %</w:t>
            </w:r>
          </w:p>
        </w:tc>
        <w:tc>
          <w:tcPr>
            <w:tcW w:w="40" w:type="dxa"/>
            <w:vAlign w:val="bottom"/>
          </w:tcPr>
          <w:p>
            <w:pPr>
              <w:spacing w:after="0"/>
              <w:rPr>
                <w:sz w:val="23"/>
                <w:szCs w:val="23"/>
                <w:color w:val="auto"/>
              </w:rPr>
            </w:pPr>
          </w:p>
        </w:tc>
      </w:tr>
      <w:tr>
        <w:trPr>
          <w:trHeight w:val="260"/>
        </w:trPr>
        <w:tc>
          <w:tcPr>
            <w:tcW w:w="570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72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19.0 %</w:t>
            </w:r>
          </w:p>
        </w:tc>
        <w:tc>
          <w:tcPr>
            <w:tcW w:w="860" w:type="dxa"/>
            <w:vAlign w:val="bottom"/>
          </w:tcPr>
          <w:p>
            <w:pPr>
              <w:spacing w:after="0"/>
              <w:rPr>
                <w:sz w:val="22"/>
                <w:szCs w:val="22"/>
                <w:color w:val="auto"/>
              </w:rPr>
            </w:pPr>
          </w:p>
        </w:tc>
        <w:tc>
          <w:tcPr>
            <w:tcW w:w="620" w:type="dxa"/>
            <w:vAlign w:val="bottom"/>
            <w:gridSpan w:val="2"/>
          </w:tcPr>
          <w:p>
            <w:pPr>
              <w:jc w:val="right"/>
              <w:ind w:right="48"/>
              <w:spacing w:after="0"/>
              <w:rPr>
                <w:sz w:val="20"/>
                <w:szCs w:val="20"/>
                <w:color w:val="auto"/>
              </w:rPr>
            </w:pPr>
            <w:r>
              <w:rPr>
                <w:rFonts w:ascii="Arial" w:cs="Arial" w:eastAsia="Arial" w:hAnsi="Arial"/>
                <w:sz w:val="18"/>
                <w:szCs w:val="18"/>
                <w:color w:val="auto"/>
                <w:w w:val="85"/>
              </w:rPr>
              <w:t>22.2 %</w:t>
            </w:r>
          </w:p>
        </w:tc>
        <w:tc>
          <w:tcPr>
            <w:tcW w:w="34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20"/>
                <w:szCs w:val="20"/>
                <w:color w:val="auto"/>
              </w:rPr>
              <w:t>20.8 %</w:t>
            </w:r>
          </w:p>
        </w:tc>
        <w:tc>
          <w:tcPr>
            <w:tcW w:w="28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23.1 %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-533400</wp:posOffset>
            </wp:positionV>
            <wp:extent cx="1903095" cy="1968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903095" cy="196850"/>
                    </a:xfrm>
                    <a:prstGeom prst="rect">
                      <a:avLst/>
                    </a:prstGeom>
                    <a:noFill/>
                  </pic:spPr>
                </pic:pic>
              </a:graphicData>
            </a:graphic>
          </wp:anchor>
        </w:drawing>
      </w:r>
    </w:p>
    <w:p>
      <w:pPr>
        <w:spacing w:after="0" w:line="124"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Adjusted EBITDA for the three months ended June 30, 2023 was $411 million, compared to $450 million for the three months ended June 30, 2022, and was $914 million for the six months ended June 30, 2023, compared to $968 million for the six months ended June 30, 2022. These decreases resulted primarily from higher salary expense and incentive and benefit costs, higher professional service and marketing-related expenses, and lower pension income in the current-year periods, partially offset by higher revenue in the current-year periods as compared to the prior-year periods.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Diluted Earnings Per Share</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Adjusted net income is defined as net income attributable to WTW adjusted for income from discontinued operations, net of tax, impairment, amortization, restructuring costs, transaction and transformation, gains and losses on disposals of operations and non-recurring items that, in management’s judgment, significantly affect the period-over-period assessment of operating results and the related tax effect of those adjustments and the tax effects of internal reorganizations. This measure is used solely for the purpose of calculating adjusted diluted earnings per share.</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Adjusted diluted earnings per share is defined as adjusted net income divided by the weighted-average number of ordinary shares, diluted. Adjusted diluted earnings per share is used to internally evaluate and assess our core operations and to benchmark our operating results against our competitors.</w:t>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3" w:name="page44"/>
    <w:bookmarkEnd w:id="43"/>
    <w:p>
      <w:pPr>
        <w:ind w:right="60"/>
        <w:spacing w:after="0" w:line="308" w:lineRule="auto"/>
        <w:rPr>
          <w:sz w:val="20"/>
          <w:szCs w:val="20"/>
          <w:color w:val="auto"/>
        </w:rPr>
      </w:pPr>
      <w:r>
        <w:rPr>
          <w:rFonts w:ascii="Arial" w:cs="Arial" w:eastAsia="Arial" w:hAnsi="Arial"/>
          <w:sz w:val="18"/>
          <w:szCs w:val="18"/>
          <w:color w:val="auto"/>
        </w:rPr>
        <w:t>Reconciliations of net income attributable to WTW to adjusted diluted earnings per share for the three and six months ended June 30, 2023 and 2022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272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69"/>
        </w:trPr>
        <w:tc>
          <w:tcPr>
            <w:tcW w:w="56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169"/>
        </w:trPr>
        <w:tc>
          <w:tcPr>
            <w:tcW w:w="5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b w:val="1"/>
                <w:bCs w:val="1"/>
                <w:color w:val="auto"/>
              </w:rPr>
              <w:t>($ in</w:t>
            </w: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76"/>
              </w:rPr>
              <w:t>millions)</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4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 WTW</w:t>
            </w: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94</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109</w:t>
            </w:r>
          </w:p>
        </w:tc>
        <w:tc>
          <w:tcPr>
            <w:tcW w:w="5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297</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231</w:t>
            </w: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Adjusted for certain items:</w:t>
            </w: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from discontinued operations, net of tax</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35</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74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81</w:t>
            </w: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168</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74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62</w:t>
            </w: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Transaction and transformation</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58</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(Gain)/loss on disposal of operations</w:t>
            </w:r>
          </w:p>
        </w:tc>
        <w:tc>
          <w:tcPr>
            <w:tcW w:w="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32</w:t>
            </w:r>
          </w:p>
        </w:tc>
      </w:tr>
      <w:tr>
        <w:trPr>
          <w:trHeight w:val="249"/>
        </w:trPr>
        <w:tc>
          <w:tcPr>
            <w:tcW w:w="5640" w:type="dxa"/>
            <w:vAlign w:val="bottom"/>
            <w:shd w:val="clear" w:color="auto" w:fill="CFF0FC"/>
          </w:tcPr>
          <w:p>
            <w:pPr>
              <w:ind w:left="200"/>
              <w:spacing w:after="0" w:line="249" w:lineRule="exact"/>
              <w:rPr>
                <w:sz w:val="20"/>
                <w:szCs w:val="20"/>
                <w:color w:val="auto"/>
              </w:rPr>
            </w:pPr>
            <w:r>
              <w:rPr>
                <w:rFonts w:ascii="Arial" w:cs="Arial" w:eastAsia="Arial" w:hAnsi="Arial"/>
                <w:sz w:val="18"/>
                <w:szCs w:val="18"/>
                <w:color w:val="auto"/>
              </w:rPr>
              <w:t xml:space="preserve">Tax effect on certain items listed above </w:t>
            </w:r>
            <w:r>
              <w:rPr>
                <w:rFonts w:ascii="Arial" w:cs="Arial" w:eastAsia="Arial" w:hAnsi="Arial"/>
                <w:sz w:val="24"/>
                <w:szCs w:val="24"/>
                <w:color w:val="auto"/>
                <w:vertAlign w:val="superscript"/>
              </w:rPr>
              <w:t>(i)</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(92 )</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Tax effect of internal reorganizations</w:t>
            </w: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76"/>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net income</w:t>
            </w: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219</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260</w:t>
            </w:r>
          </w:p>
        </w:tc>
        <w:tc>
          <w:tcPr>
            <w:tcW w:w="1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center"/>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525</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575</w:t>
            </w:r>
          </w:p>
        </w:tc>
      </w:tr>
      <w:tr>
        <w:trPr>
          <w:trHeight w:val="230"/>
        </w:trPr>
        <w:tc>
          <w:tcPr>
            <w:tcW w:w="5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ordinary shares — diluted</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115</w:t>
            </w:r>
          </w:p>
        </w:tc>
      </w:tr>
      <w:tr>
        <w:trPr>
          <w:trHeight w:val="243"/>
        </w:trPr>
        <w:tc>
          <w:tcPr>
            <w:tcW w:w="5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earnings per share</w:t>
            </w: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0.88</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0.97</w:t>
            </w:r>
          </w:p>
        </w:tc>
        <w:tc>
          <w:tcPr>
            <w:tcW w:w="5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2.77</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2.01</w:t>
            </w:r>
          </w:p>
        </w:tc>
      </w:tr>
      <w:tr>
        <w:trPr>
          <w:trHeight w:val="243"/>
        </w:trPr>
        <w:tc>
          <w:tcPr>
            <w:tcW w:w="56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Adjusted for certain items </w:t>
            </w:r>
            <w:r>
              <w:rPr>
                <w:rFonts w:ascii="Arial" w:cs="Arial" w:eastAsia="Arial" w:hAnsi="Arial"/>
                <w:sz w:val="24"/>
                <w:szCs w:val="24"/>
                <w:color w:val="auto"/>
                <w:vertAlign w:val="superscript"/>
              </w:rPr>
              <w:t>(ii)</w:t>
            </w:r>
            <w:r>
              <w:rPr>
                <w:rFonts w:ascii="Arial" w:cs="Arial" w:eastAsia="Arial" w:hAnsi="Arial"/>
                <w:sz w:val="18"/>
                <w:szCs w:val="18"/>
                <w:color w:val="auto"/>
              </w:rPr>
              <w:t xml:space="preserve"> :</w:t>
            </w: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from discontinued operations, net of tax</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0.41</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0.30</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74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0.70</w:t>
            </w: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0.65</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0.74</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1.46</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74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0.54</w:t>
            </w: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Transaction and transformation</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0.87</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0.50</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(Gain)/loss on disposal of operations</w:t>
            </w:r>
          </w:p>
        </w:tc>
        <w:tc>
          <w:tcPr>
            <w:tcW w:w="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8"/>
              </w:rPr>
              <w:t>(0.03 )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(0.20 )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(0.03 )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0.28</w:t>
            </w:r>
          </w:p>
        </w:tc>
      </w:tr>
      <w:tr>
        <w:trPr>
          <w:trHeight w:val="249"/>
        </w:trPr>
        <w:tc>
          <w:tcPr>
            <w:tcW w:w="5640" w:type="dxa"/>
            <w:vAlign w:val="bottom"/>
            <w:shd w:val="clear" w:color="auto" w:fill="CFF0FC"/>
          </w:tcPr>
          <w:p>
            <w:pPr>
              <w:ind w:left="200"/>
              <w:spacing w:after="0" w:line="249" w:lineRule="exact"/>
              <w:rPr>
                <w:sz w:val="20"/>
                <w:szCs w:val="20"/>
                <w:color w:val="auto"/>
              </w:rPr>
            </w:pPr>
            <w:r>
              <w:rPr>
                <w:rFonts w:ascii="Arial" w:cs="Arial" w:eastAsia="Arial" w:hAnsi="Arial"/>
                <w:sz w:val="18"/>
                <w:szCs w:val="18"/>
                <w:color w:val="auto"/>
              </w:rPr>
              <w:t xml:space="preserve">Tax effect on certain items listed above </w:t>
            </w:r>
            <w:r>
              <w:rPr>
                <w:rFonts w:ascii="Arial" w:cs="Arial" w:eastAsia="Arial" w:hAnsi="Arial"/>
                <w:sz w:val="24"/>
                <w:szCs w:val="24"/>
                <w:color w:val="auto"/>
                <w:vertAlign w:val="superscript"/>
              </w:rPr>
              <w:t>(i)</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(0.40 )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(0.80 )</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Tax effect of internal reorganizations</w:t>
            </w: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(0.02 )</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77"/>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diluted earnings per share</w:t>
            </w: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2.05</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2.32</w:t>
            </w:r>
          </w:p>
        </w:tc>
        <w:tc>
          <w:tcPr>
            <w:tcW w:w="1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center"/>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4.89</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-2219960</wp:posOffset>
            </wp:positionV>
            <wp:extent cx="1929130" cy="1797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929130" cy="17970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1028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10287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1028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10287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1028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10287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7"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tax effect was calculated using an effective tax rate for each item.</w:t>
      </w:r>
    </w:p>
    <w:p>
      <w:pPr>
        <w:spacing w:after="0" w:line="28" w:lineRule="exact"/>
        <w:rPr>
          <w:rFonts w:ascii="Arial" w:cs="Arial" w:eastAsia="Arial" w:hAnsi="Arial"/>
          <w:sz w:val="14"/>
          <w:szCs w:val="14"/>
          <w:color w:val="auto"/>
        </w:rPr>
      </w:pPr>
    </w:p>
    <w:p>
      <w:pPr>
        <w:ind w:left="280" w:hanging="272"/>
        <w:spacing w:after="0"/>
        <w:tabs>
          <w:tab w:leader="none" w:pos="2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Per share values and totals may differ due to rounding.</w:t>
      </w:r>
    </w:p>
    <w:p>
      <w:pPr>
        <w:spacing w:after="0" w:line="154"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Our adjusted diluted earnings per share decreased for both the three and six months ended June 30, 2023 as compared to the prior year. These decreases resulted primarily from higher salary expense and incentive and benefit costs, higher professional service and marketing-related expenses, and lower pension income in the current-year periods, partially offset by higher revenue in the current- year periods as compared to the prior-year periods.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Income Before Taxes and Adjusted Income Taxes/Tax Rate</w:t>
      </w:r>
    </w:p>
    <w:p>
      <w:pPr>
        <w:spacing w:after="0" w:line="17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Adjusted income before taxes is defined as income from operations before income taxes adjusted for impairment, amortization, restructuring costs, transaction and transformation, gains and losses on disposals of operations and non-recurring items that, in management’s judgment, significantly affect the period-over-period assessment of operating results. Adjusted income before taxes is used solely for the purpose of calculating the adjusted income tax rate.</w:t>
      </w:r>
    </w:p>
    <w:p>
      <w:pPr>
        <w:spacing w:after="0" w:line="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Adjusted income taxes/tax rate is defined as the provision for income taxes adjusted for taxes on certain items of impairment, amortization, restructuring costs, transaction and transformation, gains and losses on disposals of operations, the tax effects of internal reorganizations and non-recurring items that, in management’s judgment, significantly affect the period-over-period assessment of operating results, divided by adjusted income before taxes. Adjusted income taxes is used solely for the purpose of calculating the adjusted income tax rate.</w:t>
      </w:r>
    </w:p>
    <w:p>
      <w:pPr>
        <w:spacing w:after="0" w:line="13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Management believes that the adjusted income tax rate presents a rate that is more closely aligned to the rate that we would incur if not for the reduction of pre-tax income for the adjusted items and the tax effects of internal reorganizations, which are not core to our current and future operations.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4" w:name="page45"/>
    <w:bookmarkEnd w:id="44"/>
    <w:p>
      <w:pPr>
        <w:ind w:right="260"/>
        <w:spacing w:after="0" w:line="277" w:lineRule="auto"/>
        <w:rPr>
          <w:sz w:val="20"/>
          <w:szCs w:val="20"/>
          <w:color w:val="auto"/>
        </w:rPr>
      </w:pPr>
      <w:r>
        <w:rPr>
          <w:rFonts w:ascii="Arial" w:cs="Arial" w:eastAsia="Arial" w:hAnsi="Arial"/>
          <w:sz w:val="18"/>
          <w:szCs w:val="18"/>
          <w:color w:val="auto"/>
        </w:rPr>
        <w:t>Reconciliations of income from operations before income taxes to adjusted income before taxes and provision for income taxes to adjusted income taxes for the three and six months ended June 30, 2023 and 2022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96"/>
        </w:trPr>
        <w:tc>
          <w:tcPr>
            <w:tcW w:w="57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r>
      <w:tr>
        <w:trPr>
          <w:trHeight w:val="169"/>
        </w:trPr>
        <w:tc>
          <w:tcPr>
            <w:tcW w:w="5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b w:val="1"/>
                <w:bCs w:val="1"/>
                <w:color w:val="auto"/>
              </w:rPr>
              <w:t>($ in</w:t>
            </w: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72"/>
              </w:rPr>
              <w:t>millions)</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5"/>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 BEFORE INCOME</w:t>
            </w:r>
          </w:p>
        </w:tc>
        <w:tc>
          <w:tcPr>
            <w:tcW w:w="7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w:t>
            </w: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99"/>
              </w:rPr>
              <w:t>179</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jc w:val="center"/>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376</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21"/>
                <w:szCs w:val="2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Adjusted for certain items:</w:t>
            </w: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w:t>
            </w:r>
          </w:p>
        </w:tc>
        <w:tc>
          <w:tcPr>
            <w:tcW w:w="7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1"/>
                <w:szCs w:val="21"/>
                <w:color w:val="auto"/>
              </w:rPr>
            </w:pPr>
          </w:p>
        </w:tc>
      </w:tr>
      <w:tr>
        <w:trPr>
          <w:trHeight w:val="263"/>
        </w:trPr>
        <w:tc>
          <w:tcPr>
            <w:tcW w:w="57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720" w:type="dxa"/>
            <w:vAlign w:val="bottom"/>
          </w:tcPr>
          <w:p>
            <w:pPr>
              <w:spacing w:after="0"/>
              <w:rPr>
                <w:sz w:val="22"/>
                <w:szCs w:val="22"/>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jc w:val="right"/>
              <w:ind w:right="71"/>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22"/>
                <w:szCs w:val="22"/>
                <w:color w:val="auto"/>
              </w:rPr>
            </w:pPr>
          </w:p>
        </w:tc>
      </w:tr>
      <w:tr>
        <w:trPr>
          <w:trHeight w:val="277"/>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costs</w:t>
            </w:r>
          </w:p>
        </w:tc>
        <w:tc>
          <w:tcPr>
            <w:tcW w:w="720" w:type="dxa"/>
            <w:vAlign w:val="bottom"/>
            <w:shd w:val="clear" w:color="auto" w:fill="CFF0FC"/>
          </w:tcPr>
          <w:p>
            <w:pPr>
              <w:spacing w:after="0"/>
              <w:rPr>
                <w:sz w:val="24"/>
                <w:szCs w:val="24"/>
                <w:color w:val="auto"/>
              </w:rPr>
            </w:pP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4"/>
                <w:szCs w:val="24"/>
                <w:color w:val="auto"/>
              </w:rPr>
            </w:pPr>
          </w:p>
        </w:tc>
      </w:tr>
      <w:tr>
        <w:trPr>
          <w:trHeight w:val="263"/>
        </w:trPr>
        <w:tc>
          <w:tcPr>
            <w:tcW w:w="5700" w:type="dxa"/>
            <w:vAlign w:val="bottom"/>
          </w:tcPr>
          <w:p>
            <w:pPr>
              <w:ind w:left="200"/>
              <w:spacing w:after="0"/>
              <w:rPr>
                <w:sz w:val="20"/>
                <w:szCs w:val="20"/>
                <w:color w:val="auto"/>
              </w:rPr>
            </w:pPr>
            <w:r>
              <w:rPr>
                <w:rFonts w:ascii="Arial" w:cs="Arial" w:eastAsia="Arial" w:hAnsi="Arial"/>
                <w:sz w:val="18"/>
                <w:szCs w:val="18"/>
                <w:color w:val="auto"/>
              </w:rPr>
              <w:t>Transaction and transformation</w:t>
            </w:r>
          </w:p>
        </w:tc>
        <w:tc>
          <w:tcPr>
            <w:tcW w:w="720" w:type="dxa"/>
            <w:vAlign w:val="bottom"/>
          </w:tcPr>
          <w:p>
            <w:pPr>
              <w:spacing w:after="0"/>
              <w:rPr>
                <w:sz w:val="22"/>
                <w:szCs w:val="22"/>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jc w:val="right"/>
              <w:ind w:right="71"/>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2"/>
                <w:szCs w:val="22"/>
                <w:color w:val="auto"/>
              </w:rPr>
            </w:pPr>
          </w:p>
        </w:tc>
      </w:tr>
      <w:tr>
        <w:trPr>
          <w:trHeight w:val="257"/>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(Gain)/loss on disposal of operations</w:t>
            </w:r>
          </w:p>
        </w:tc>
        <w:tc>
          <w:tcPr>
            <w:tcW w:w="72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1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2"/>
                <w:szCs w:val="22"/>
                <w:color w:val="auto"/>
              </w:rPr>
            </w:pPr>
          </w:p>
        </w:tc>
      </w:tr>
      <w:tr>
        <w:trPr>
          <w:trHeight w:val="263"/>
        </w:trPr>
        <w:tc>
          <w:tcPr>
            <w:tcW w:w="5700" w:type="dxa"/>
            <w:vAlign w:val="bottom"/>
          </w:tcPr>
          <w:p>
            <w:pPr>
              <w:ind w:left="20"/>
              <w:spacing w:after="0"/>
              <w:rPr>
                <w:sz w:val="20"/>
                <w:szCs w:val="20"/>
                <w:color w:val="auto"/>
              </w:rPr>
            </w:pPr>
            <w:r>
              <w:rPr>
                <w:rFonts w:ascii="Arial" w:cs="Arial" w:eastAsia="Arial" w:hAnsi="Arial"/>
                <w:sz w:val="18"/>
                <w:szCs w:val="18"/>
                <w:color w:val="auto"/>
              </w:rPr>
              <w:t>Adjusted income before taxes</w:t>
            </w:r>
          </w:p>
        </w:tc>
        <w:tc>
          <w:tcPr>
            <w:tcW w:w="72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22"/>
                <w:szCs w:val="22"/>
                <w:color w:val="auto"/>
              </w:rPr>
            </w:pPr>
          </w:p>
        </w:tc>
        <w:tc>
          <w:tcPr>
            <w:tcW w:w="860" w:type="dxa"/>
            <w:vAlign w:val="bottom"/>
            <w:tcBorders>
              <w:bottom w:val="single" w:sz="8" w:color="auto"/>
            </w:tcBorders>
          </w:tcPr>
          <w:p>
            <w:pPr>
              <w:jc w:val="right"/>
              <w:ind w:right="65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334</w:t>
            </w:r>
          </w:p>
        </w:tc>
        <w:tc>
          <w:tcPr>
            <w:tcW w:w="160" w:type="dxa"/>
            <w:vAlign w:val="bottom"/>
          </w:tcPr>
          <w:p>
            <w:pPr>
              <w:spacing w:after="0"/>
              <w:rPr>
                <w:sz w:val="22"/>
                <w:szCs w:val="22"/>
                <w:color w:val="auto"/>
              </w:rPr>
            </w:pPr>
          </w:p>
        </w:tc>
        <w:tc>
          <w:tcPr>
            <w:tcW w:w="3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679</w:t>
            </w:r>
          </w:p>
        </w:tc>
        <w:tc>
          <w:tcPr>
            <w:tcW w:w="16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737</w:t>
            </w:r>
          </w:p>
        </w:tc>
        <w:tc>
          <w:tcPr>
            <w:tcW w:w="20" w:type="dxa"/>
            <w:vAlign w:val="bottom"/>
          </w:tcPr>
          <w:p>
            <w:pPr>
              <w:spacing w:after="0"/>
              <w:rPr>
                <w:sz w:val="22"/>
                <w:szCs w:val="22"/>
                <w:color w:val="auto"/>
              </w:rPr>
            </w:pPr>
          </w:p>
        </w:tc>
      </w:tr>
      <w:tr>
        <w:trPr>
          <w:trHeight w:val="20"/>
        </w:trPr>
        <w:tc>
          <w:tcPr>
            <w:tcW w:w="5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7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63"/>
        </w:trPr>
        <w:tc>
          <w:tcPr>
            <w:tcW w:w="57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2"/>
                <w:szCs w:val="22"/>
                <w:color w:val="auto"/>
              </w:rPr>
            </w:pPr>
          </w:p>
        </w:tc>
        <w:tc>
          <w:tcPr>
            <w:tcW w:w="860" w:type="dxa"/>
            <w:vAlign w:val="bottom"/>
          </w:tcPr>
          <w:p>
            <w:pPr>
              <w:jc w:val="right"/>
              <w:ind w:right="65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2"/>
                <w:szCs w:val="22"/>
                <w:color w:val="auto"/>
              </w:rPr>
            </w:pPr>
          </w:p>
        </w:tc>
        <w:tc>
          <w:tcPr>
            <w:tcW w:w="320" w:type="dxa"/>
            <w:vAlign w:val="bottom"/>
          </w:tcPr>
          <w:p>
            <w:pPr>
              <w:jc w:val="center"/>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2"/>
                <w:szCs w:val="22"/>
                <w:color w:val="auto"/>
              </w:rPr>
            </w:pPr>
          </w:p>
        </w:tc>
      </w:tr>
      <w:tr>
        <w:trPr>
          <w:trHeight w:val="277"/>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 xml:space="preserve">Tax effect on certain items listed above </w:t>
            </w:r>
            <w:r>
              <w:rPr>
                <w:rFonts w:ascii="Arial" w:cs="Arial" w:eastAsia="Arial" w:hAnsi="Arial"/>
                <w:sz w:val="24"/>
                <w:szCs w:val="24"/>
                <w:color w:val="auto"/>
                <w:vertAlign w:val="superscript"/>
              </w:rPr>
              <w:t>(i)</w:t>
            </w:r>
          </w:p>
        </w:tc>
        <w:tc>
          <w:tcPr>
            <w:tcW w:w="720" w:type="dxa"/>
            <w:vAlign w:val="bottom"/>
            <w:shd w:val="clear" w:color="auto" w:fill="CFF0FC"/>
          </w:tcPr>
          <w:p>
            <w:pPr>
              <w:spacing w:after="0"/>
              <w:rPr>
                <w:sz w:val="24"/>
                <w:szCs w:val="24"/>
                <w:color w:val="auto"/>
              </w:rPr>
            </w:pP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4"/>
                <w:szCs w:val="24"/>
                <w:color w:val="auto"/>
              </w:rPr>
            </w:pPr>
          </w:p>
        </w:tc>
      </w:tr>
      <w:tr>
        <w:trPr>
          <w:trHeight w:val="250"/>
        </w:trPr>
        <w:tc>
          <w:tcPr>
            <w:tcW w:w="5700" w:type="dxa"/>
            <w:vAlign w:val="bottom"/>
          </w:tcPr>
          <w:p>
            <w:pPr>
              <w:ind w:left="200"/>
              <w:spacing w:after="0"/>
              <w:rPr>
                <w:sz w:val="20"/>
                <w:szCs w:val="20"/>
                <w:color w:val="auto"/>
              </w:rPr>
            </w:pPr>
            <w:r>
              <w:rPr>
                <w:rFonts w:ascii="Arial" w:cs="Arial" w:eastAsia="Arial" w:hAnsi="Arial"/>
                <w:sz w:val="18"/>
                <w:szCs w:val="18"/>
                <w:color w:val="auto"/>
              </w:rPr>
              <w:t>Tax effect of internal reorganizations</w:t>
            </w:r>
          </w:p>
        </w:tc>
        <w:tc>
          <w:tcPr>
            <w:tcW w:w="720" w:type="dxa"/>
            <w:vAlign w:val="bottom"/>
          </w:tcPr>
          <w:p>
            <w:pPr>
              <w:spacing w:after="0"/>
              <w:rPr>
                <w:sz w:val="21"/>
                <w:szCs w:val="21"/>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4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303"/>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income taxes</w:t>
            </w:r>
          </w:p>
        </w:tc>
        <w:tc>
          <w:tcPr>
            <w:tcW w:w="720" w:type="dxa"/>
            <w:vAlign w:val="bottom"/>
            <w:tcBorders>
              <w:top w:val="single" w:sz="8" w:color="auto"/>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ind w:right="65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center"/>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149</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4"/>
                <w:szCs w:val="24"/>
                <w:color w:val="auto"/>
              </w:rPr>
            </w:pPr>
          </w:p>
        </w:tc>
      </w:tr>
      <w:tr>
        <w:trPr>
          <w:trHeight w:val="230"/>
        </w:trPr>
        <w:tc>
          <w:tcPr>
            <w:tcW w:w="5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spacing w:after="0"/>
              <w:rPr>
                <w:sz w:val="20"/>
                <w:szCs w:val="20"/>
                <w:color w:val="auto"/>
              </w:rPr>
            </w:pPr>
          </w:p>
        </w:tc>
      </w:tr>
      <w:tr>
        <w:trPr>
          <w:trHeight w:val="270"/>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GAAP tax rate</w:t>
            </w:r>
          </w:p>
        </w:tc>
        <w:tc>
          <w:tcPr>
            <w:tcW w:w="720" w:type="dxa"/>
            <w:vAlign w:val="bottom"/>
            <w:shd w:val="clear" w:color="auto" w:fill="CFF0FC"/>
          </w:tcPr>
          <w:p>
            <w:pPr>
              <w:spacing w:after="0"/>
              <w:rPr>
                <w:sz w:val="23"/>
                <w:szCs w:val="2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9"/>
              </w:rPr>
              <w:t>19.8 %</w:t>
            </w:r>
          </w:p>
        </w:tc>
        <w:tc>
          <w:tcPr>
            <w:tcW w:w="860" w:type="dxa"/>
            <w:vAlign w:val="bottom"/>
            <w:shd w:val="clear" w:color="auto" w:fill="CFF0FC"/>
          </w:tcPr>
          <w:p>
            <w:pPr>
              <w:spacing w:after="0"/>
              <w:rPr>
                <w:sz w:val="23"/>
                <w:szCs w:val="23"/>
                <w:color w:val="auto"/>
              </w:rPr>
            </w:pPr>
          </w:p>
        </w:tc>
        <w:tc>
          <w:tcPr>
            <w:tcW w:w="6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w w:val="85"/>
              </w:rPr>
              <w:t>10.5 %</w:t>
            </w:r>
          </w:p>
        </w:tc>
        <w:tc>
          <w:tcPr>
            <w:tcW w:w="320" w:type="dxa"/>
            <w:vAlign w:val="bottom"/>
            <w:shd w:val="clear" w:color="auto" w:fill="CFF0FC"/>
          </w:tcPr>
          <w:p>
            <w:pPr>
              <w:spacing w:after="0"/>
              <w:rPr>
                <w:sz w:val="23"/>
                <w:szCs w:val="23"/>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19.6 %</w:t>
            </w:r>
          </w:p>
        </w:tc>
        <w:tc>
          <w:tcPr>
            <w:tcW w:w="280" w:type="dxa"/>
            <w:vAlign w:val="bottom"/>
            <w:shd w:val="clear" w:color="auto" w:fill="CFF0FC"/>
          </w:tcPr>
          <w:p>
            <w:pPr>
              <w:spacing w:after="0"/>
              <w:rPr>
                <w:sz w:val="23"/>
                <w:szCs w:val="2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18.4 %</w:t>
            </w:r>
          </w:p>
        </w:tc>
        <w:tc>
          <w:tcPr>
            <w:tcW w:w="20" w:type="dxa"/>
            <w:vAlign w:val="bottom"/>
          </w:tcPr>
          <w:p>
            <w:pPr>
              <w:spacing w:after="0"/>
              <w:rPr>
                <w:sz w:val="23"/>
                <w:szCs w:val="23"/>
                <w:color w:val="auto"/>
              </w:rPr>
            </w:pPr>
          </w:p>
        </w:tc>
      </w:tr>
      <w:tr>
        <w:trPr>
          <w:trHeight w:val="257"/>
        </w:trPr>
        <w:tc>
          <w:tcPr>
            <w:tcW w:w="5700" w:type="dxa"/>
            <w:vAlign w:val="bottom"/>
          </w:tcPr>
          <w:p>
            <w:pPr>
              <w:ind w:left="200"/>
              <w:spacing w:after="0"/>
              <w:rPr>
                <w:sz w:val="20"/>
                <w:szCs w:val="20"/>
                <w:color w:val="auto"/>
              </w:rPr>
            </w:pPr>
            <w:r>
              <w:rPr>
                <w:rFonts w:ascii="Arial" w:cs="Arial" w:eastAsia="Arial" w:hAnsi="Arial"/>
                <w:sz w:val="18"/>
                <w:szCs w:val="18"/>
                <w:color w:val="auto"/>
              </w:rPr>
              <w:t>Adjusted income tax rate</w:t>
            </w:r>
          </w:p>
        </w:tc>
        <w:tc>
          <w:tcPr>
            <w:tcW w:w="72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23.7 %</w:t>
            </w:r>
          </w:p>
        </w:tc>
        <w:tc>
          <w:tcPr>
            <w:tcW w:w="860" w:type="dxa"/>
            <w:vAlign w:val="bottom"/>
          </w:tcPr>
          <w:p>
            <w:pPr>
              <w:spacing w:after="0"/>
              <w:rPr>
                <w:sz w:val="22"/>
                <w:szCs w:val="22"/>
                <w:color w:val="auto"/>
              </w:rPr>
            </w:pPr>
          </w:p>
        </w:tc>
        <w:tc>
          <w:tcPr>
            <w:tcW w:w="640" w:type="dxa"/>
            <w:vAlign w:val="bottom"/>
            <w:gridSpan w:val="2"/>
          </w:tcPr>
          <w:p>
            <w:pPr>
              <w:jc w:val="right"/>
              <w:ind w:right="68"/>
              <w:spacing w:after="0"/>
              <w:rPr>
                <w:sz w:val="20"/>
                <w:szCs w:val="20"/>
                <w:color w:val="auto"/>
              </w:rPr>
            </w:pPr>
            <w:r>
              <w:rPr>
                <w:rFonts w:ascii="Arial" w:cs="Arial" w:eastAsia="Arial" w:hAnsi="Arial"/>
                <w:sz w:val="18"/>
                <w:szCs w:val="18"/>
                <w:color w:val="auto"/>
                <w:w w:val="85"/>
              </w:rPr>
              <w:t>20.5 %</w:t>
            </w:r>
          </w:p>
        </w:tc>
        <w:tc>
          <w:tcPr>
            <w:tcW w:w="32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22.0 %</w:t>
            </w:r>
          </w:p>
        </w:tc>
        <w:tc>
          <w:tcPr>
            <w:tcW w:w="28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-1559560</wp:posOffset>
            </wp:positionV>
            <wp:extent cx="102870" cy="2057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02870" cy="20574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-1559560</wp:posOffset>
            </wp:positionV>
            <wp:extent cx="102870" cy="2057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02870" cy="20574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-1559560</wp:posOffset>
            </wp:positionV>
            <wp:extent cx="102870" cy="2057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02870" cy="20574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-513715</wp:posOffset>
            </wp:positionV>
            <wp:extent cx="1911350" cy="1797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91135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95123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1"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(i)</w:t>
      </w:r>
      <w:r>
        <w:rPr>
          <w:sz w:val="20"/>
          <w:szCs w:val="20"/>
          <w:color w:val="auto"/>
        </w:rPr>
        <w:tab/>
      </w:r>
      <w:r>
        <w:rPr>
          <w:rFonts w:ascii="Arial" w:cs="Arial" w:eastAsia="Arial" w:hAnsi="Arial"/>
          <w:sz w:val="13"/>
          <w:szCs w:val="13"/>
          <w:color w:val="auto"/>
        </w:rPr>
        <w:t>The tax effect was calculated using an effective tax rate for each item.</w:t>
      </w:r>
    </w:p>
    <w:p>
      <w:pPr>
        <w:spacing w:after="0" w:line="154"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Our U.S. GAAP tax rates were 19.8% and 10.5% for the three months ended June 30, 2023 and 2022, respectively, and 19.6% and 18.4% for the six months ended June 30, 2023 and 2022, respectively. The prior-year quarter’s effective tax rate was lower due to certain discrete tax benefits primarily related to return-to-provision true ups.</w:t>
      </w:r>
    </w:p>
    <w:p>
      <w:pPr>
        <w:spacing w:after="0" w:line="13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Our adjusted income tax rates were 23.7% and 20.5% for the three months ended June 30, 2023 and 2022, respectively, and 22.0% and 20.8% for the six months ended June 30, 2023 and 2022, respectively. The current-quarter’s adjusted tax rate is higher due to the distribution of geographical income.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71" w:lineRule="exact"/>
        <w:rPr>
          <w:sz w:val="20"/>
          <w:szCs w:val="20"/>
          <w:color w:val="auto"/>
        </w:rPr>
      </w:pPr>
    </w:p>
    <w:p>
      <w:pPr>
        <w:ind w:right="280"/>
        <w:spacing w:after="0" w:line="308" w:lineRule="auto"/>
        <w:rPr>
          <w:sz w:val="20"/>
          <w:szCs w:val="20"/>
          <w:color w:val="auto"/>
        </w:rPr>
      </w:pPr>
      <w:r>
        <w:rPr>
          <w:rFonts w:ascii="Arial" w:cs="Arial" w:eastAsia="Arial" w:hAnsi="Arial"/>
          <w:sz w:val="18"/>
          <w:szCs w:val="18"/>
          <w:color w:val="auto"/>
        </w:rPr>
        <w:t>Free cash flow is defined as cash flows from operating activities less cash used to purchase fixed assets and software for internal use. Free cash flow is a liquidity measure and is not meant to represent residual cash flow available for discretionary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that free cash flow presents the core operating performance and cash generating capabilities of our business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cash flows from operating activities to free cash flow for the six months ended June 30, 2023 and 2022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r>
      <w:tr>
        <w:trPr>
          <w:trHeight w:val="169"/>
        </w:trPr>
        <w:tc>
          <w:tcPr>
            <w:tcW w:w="7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(in</w:t>
            </w:r>
          </w:p>
        </w:tc>
        <w:tc>
          <w:tcPr>
            <w:tcW w:w="1320" w:type="dxa"/>
            <w:vAlign w:val="bottom"/>
            <w:gridSpan w:val="2"/>
          </w:tcPr>
          <w:p>
            <w:pPr>
              <w:jc w:val="right"/>
              <w:ind w:right="839"/>
              <w:spacing w:after="0"/>
              <w:rPr>
                <w:sz w:val="20"/>
                <w:szCs w:val="20"/>
                <w:color w:val="auto"/>
              </w:rPr>
            </w:pPr>
            <w:r>
              <w:rPr>
                <w:rFonts w:ascii="Arial" w:cs="Arial" w:eastAsia="Arial" w:hAnsi="Arial"/>
                <w:sz w:val="13"/>
                <w:szCs w:val="13"/>
                <w:b w:val="1"/>
                <w:bCs w:val="1"/>
                <w:color w:val="auto"/>
                <w:w w:val="70"/>
              </w:rPr>
              <w:t>millions)</w:t>
            </w:r>
          </w:p>
        </w:tc>
        <w:tc>
          <w:tcPr>
            <w:tcW w:w="600" w:type="dxa"/>
            <w:vAlign w:val="bottom"/>
          </w:tcPr>
          <w:p>
            <w:pPr>
              <w:spacing w:after="0"/>
              <w:rPr>
                <w:sz w:val="14"/>
                <w:szCs w:val="14"/>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112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430</w:t>
            </w:r>
          </w:p>
        </w:tc>
        <w:tc>
          <w:tcPr>
            <w:tcW w:w="1320" w:type="dxa"/>
            <w:vAlign w:val="bottom"/>
            <w:gridSpan w:val="2"/>
            <w:shd w:val="clear" w:color="auto" w:fill="CFF0FC"/>
          </w:tcPr>
          <w:p>
            <w:pPr>
              <w:jc w:val="right"/>
              <w:ind w:right="939"/>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258</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Less: Additions to fixed assets and software for internal use</w:t>
            </w: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2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r>
      <w:tr>
        <w:trPr>
          <w:trHeight w:val="27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Free cash flow</w:t>
            </w:r>
          </w:p>
        </w:tc>
        <w:tc>
          <w:tcPr>
            <w:tcW w:w="112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350</w:t>
            </w:r>
          </w:p>
        </w:tc>
        <w:tc>
          <w:tcPr>
            <w:tcW w:w="2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12890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12890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1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increase in free cash flow during the current-year period was primarily due to more favorable working capital movements resulting mostly from higher cash collections and lower discretionary compensation payments made in the current year as compared to the prior year, partially offset by increased transformation program-related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320"/>
        <w:spacing w:after="0" w:line="308" w:lineRule="auto"/>
        <w:rPr>
          <w:sz w:val="20"/>
          <w:szCs w:val="20"/>
          <w:color w:val="auto"/>
        </w:rPr>
      </w:pPr>
      <w:r>
        <w:rPr>
          <w:rFonts w:ascii="Arial" w:cs="Arial" w:eastAsia="Arial" w:hAnsi="Arial"/>
          <w:sz w:val="18"/>
          <w:szCs w:val="18"/>
          <w:color w:val="auto"/>
        </w:rPr>
        <w:t>There were no material changes from the Critical Accounting Estimates disclosed in our Annual Report on Form 10-K for the year ended December 31, 2022, filed with the SEC on February 24, 2023.</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have considered changes in our exposure to market risks during the six months ended June 30, 2023 and have determined that there have been no material changes to our exposure to market risks from those described in the Company’s Annual Report on Form 10-K for the year ended December 31, 2022, filed with the SEC on February 24, 2023. However, we have provided the following information to supplement or update our disclosures on our Form 10-K.</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a global investment policy which is designed to ensure that we maintain diversification of our cash investments throughout the world in order to minimize the risk of loss due to a counterparty failure.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on Fiduciary Funds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described in our Annual Report on Form 10-K, we are exposed to interest rate risk. Specifically, as a result of our operating activities, we receive cash for premiums and claims which we deposit in high-quality bank term deposit and money market funds, on which we earn interest, where permitted. We also hold funds for clients of our benefits accounts businesses. For the benefit funds not invested, cash and cash equivalents are held, on which we earn interest, until the funds are directed by plan participants to either be invested in mutual funds or paid out on their behalf. This interest earned is included in our condensed consolidated financial statements as interest income. These funds are regulated in terms of access and the instruments in which they may be invested, most of which are short-term in maturity. As a result of measures taken by central banks around the world, rates offered on these investments have increased, in some cases significantly, over the course of the last year. This has resulted in the Company recognizing higher interest income over the same period in the prior year. Interest income in the future will be a function of the short-term rates we are able to obtain by currency and the cash balances available to invest in these instruments. Interest income was $35 million and $67 million for the three and six months ended June 30, 2023, respectively, and $7 million and $11 million for the three and six months ended June 30, 2022, respectively. At June 30, 2023, we held $2.0 billion of fiduciary funds invested in interest-bearing accounts. If short-term interest rates increased or decreased by 25 basis points, interest earned on these invested fiduciary funds, and therefore our interest income recognized, would increase or decrease by approximately $5 million on an annualized basis.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June 30, 2023, the Company carried out an evaluation, under the supervision and with the participation of the Company’s management, including the Chief Executive Officer (‘CEO’) and the Chief Financial Officer (‘CFO’), of the effectiveness of the design and operation of the Company’s disclosure controls and procedures as defined in Rules 13a-15(e) and 15d-15(e) under the Securities Exchange Act of 1934, as amended (the ‘Exchange Act’). Based upon that evaluation, our management, including the CEO and CFO, concluded that the our disclosure controls and procedures are effective in providing reasonable assurance that the information required to be included in the periodic reports we file or submit under the Exchange Act is (1) recorded, processed, summarized and reported within the time periods specified in SEC rules and forms, and (2) accumulated and communicated to our management, including the CEO and the CFO, as appropriate, to allow for timely decisions regarding required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identified in connection with the evaluation required by Rules 13a-15(d) or 15d-15(d) under the Exchange Act during the quarter ended June 30, 2023 that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7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Management, including the CEO and CFO, does not expect that our disclosure controls and procedures will necessarily prevent all errors and all fraud. However, management does expect that the control system provides reasonable assurance that its objectives will be met. A control system, no matter how well designed and operated, cannot provide absolute assurance that the control system’s objectives will be met. In addition, the design of such internal controls must take into account the costs of designing and maintaining such a control system. Certain inherent limitations exist in control systems to make absolute assurances difficult, including the realities that judgments in decision-making can be faulty, that breakdowns can occur because of a simple error or mistake, and that individuals can circumvent controls. The design of any control system is based in part upon existing business conditions and risk assessments. There can be no assurance that any design will succeed in achieving its stated goals under all potential future conditions. Over time, controls may become inadequate because of changes in business conditions or deterioration in the degree of compliance with policies or procedures. As a result, they may require change or revision. Because of the inherent limitations in a control system, misstatements due to error or fraud may occur and may not be detected. Nevertheless, the disclosure controls and procedures are designed to provide reasonable assurance of achieving their stated objectives, and the CEO and CFO have concluded that the disclosure controls and procedures are effective at a reasonable assurance level.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14 — Commitments and Contingencies - Legal Proceedings of the notes to the condensed consolidated financial statements in this Form 10-Q for the quarter ended June 30, 2023.</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Except as described below, there are no material changes from risk factors as previously disclosed in our Annual Report on Form 10-K, filed with the SEC on February 24, 2023. We urge you to read the risk factors contained therein.</w:t>
      </w:r>
    </w:p>
    <w:p>
      <w:pPr>
        <w:spacing w:after="0" w:line="1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Macroeconomic trends, including inflation, increased interest rates and trade policies could continue to adversely affect our business, results of operations or financial condition.</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Global economic events and other factors, such as accommodative monetary and fiscal policy and the impacts of the COVID-19 pandemic, have contributed to significant inflation in many of the markets in which we operate. In particular, inflation in the United States, Europe and other geographies has risen to levels not experienced in recent decades and we are seeing its impact on various aspects of our business, which in some cases have, or could in the future, negatively affect our business and financial condition. In order to combat inflation and restore price stability, a number of central banks around the world have raised interest rates and are expected to keep increasing interest rates in 2023. Increased inflation and interest rates may hinder the economic growth in a number of markets where we do business, and has had, and may continue to have, far reaching effects on the global economy. This weakness in the economy and the possibility of a global recession has had, and may continue to have, a negative effect on our business and financial condition, including on the value of our ordinary shares.</w:t>
      </w:r>
    </w:p>
    <w:p>
      <w:pPr>
        <w:spacing w:after="0" w:line="12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Moreover, U.S. and global economic conditions have created market uncertainty and volatility. Such general economic conditions, such as inflation, stagflation, political volatility, costs of labor, cost of capital, interest rates and tax rates, affect our operating and general and administrative expenses, and we have no control or limited ability to control such factors. If our costs grow significantly in excess of our ability to raise revenue, our margins and results of operations may be materially and adversely impacted and we may not be able to achieve our strategic and financial objectives. These conditions also affect our clients’ businesses and the markets that they serve and may reduce demand for our services, increase demands for pricing accommodations or cause a higher rate of delays in the collection of, or losses on, our accounts receivable, which could adversely affect our results of operations.</w:t>
      </w:r>
    </w:p>
    <w:p>
      <w:pPr>
        <w:spacing w:after="0" w:line="1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Further, the continued slowdown in the global economy, including a recession, or in a particular region or industry, inflation or a tightening of the credit markets could negatively impact our business, financial condition and liquidity, including our ability to continue to access preferred sources of liquidity when we would like, and our borrowing costs could increase. In particular, further tightening of the credit markets could limit our ability to obtain external financing to fund our operations and capital expenditures, if and when needed. In addition, although we do not have any direct exposure to any of the banks affected by the recent banking crisis (such as the recent closure of Silicon Valley Bank and receivership of Signature Bank), we could experience losses on our holdings of cash and investments due to failures of other financial institutions and other parties.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substantially and negatively impact our ability to do business as well as our financial condition. Furthermore, a continued deterioration or prolonged period of negative or stagnant macroeconomic conditions in the U.S. and globally could adversely affect our business, results of operations or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2023, no shares were issued by the Company without registration under the Securities Act of 1933, as amended.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is authorized to repurchase shares, by way of redemption or otherwise, and will consider whether to do so from time to time, based on many factors, including market conditions. There are no expiration dates for these repurchase plans or programs.</w:t>
      </w:r>
    </w:p>
    <w:p>
      <w:pPr>
        <w:spacing w:after="0" w:line="116"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On July 26, 2021, the board of directors approved a $1.0 billion increase to the existing share repurchase program, which was previously at $500 million. Additionally, on September 16, 2021, the board of directors approved a $4.0 billion increase to the existing share repurchase program, and on May 25, 2022, approved a $1.0 billion increase to the existing share repurchase program. These increases brought the total approved authorization to $6.5 billion.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ind w:right="840"/>
        <w:spacing w:after="0" w:line="277" w:lineRule="auto"/>
        <w:rPr>
          <w:sz w:val="20"/>
          <w:szCs w:val="20"/>
          <w:color w:val="auto"/>
        </w:rPr>
      </w:pPr>
      <w:r>
        <w:rPr>
          <w:rFonts w:ascii="Arial" w:cs="Arial" w:eastAsia="Arial" w:hAnsi="Arial"/>
          <w:sz w:val="18"/>
          <w:szCs w:val="18"/>
          <w:color w:val="auto"/>
        </w:rPr>
        <w:t>The following table presents specified information about the Company’s repurchases of its ordinary shares in the second quarter of 2023 and the Company’s remaining repurchase authority.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50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Average price</w:t>
            </w:r>
          </w:p>
        </w:tc>
        <w:tc>
          <w:tcPr>
            <w:tcW w:w="140" w:type="dxa"/>
            <w:vAlign w:val="bottom"/>
          </w:tcPr>
          <w:p>
            <w:pPr>
              <w:spacing w:after="0"/>
              <w:rPr>
                <w:sz w:val="14"/>
                <w:szCs w:val="14"/>
                <w:color w:val="auto"/>
              </w:rPr>
            </w:pPr>
          </w:p>
        </w:tc>
        <w:tc>
          <w:tcPr>
            <w:tcW w:w="204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Total number of shares</w:t>
            </w:r>
          </w:p>
        </w:tc>
        <w:tc>
          <w:tcPr>
            <w:tcW w:w="140" w:type="dxa"/>
            <w:vAlign w:val="bottom"/>
          </w:tcPr>
          <w:p>
            <w:pPr>
              <w:spacing w:after="0"/>
              <w:rPr>
                <w:sz w:val="14"/>
                <w:szCs w:val="14"/>
                <w:color w:val="auto"/>
              </w:rPr>
            </w:pPr>
          </w:p>
        </w:tc>
        <w:tc>
          <w:tcPr>
            <w:tcW w:w="198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Maximum number of shares</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40" w:type="dxa"/>
            <w:vAlign w:val="bottom"/>
          </w:tcPr>
          <w:p>
            <w:pPr>
              <w:spacing w:after="0"/>
              <w:rPr>
                <w:sz w:val="12"/>
                <w:szCs w:val="12"/>
                <w:color w:val="auto"/>
              </w:rPr>
            </w:pPr>
          </w:p>
        </w:tc>
        <w:tc>
          <w:tcPr>
            <w:tcW w:w="198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1"/>
              </w:rPr>
              <w:t>that may yet be purchased</w:t>
            </w:r>
          </w:p>
        </w:tc>
        <w:tc>
          <w:tcPr>
            <w:tcW w:w="0" w:type="dxa"/>
            <w:vAlign w:val="bottom"/>
          </w:tcPr>
          <w:p>
            <w:pPr>
              <w:spacing w:after="0"/>
              <w:rPr>
                <w:sz w:val="1"/>
                <w:szCs w:val="1"/>
                <w:color w:val="auto"/>
              </w:rPr>
            </w:pPr>
          </w:p>
        </w:tc>
      </w:tr>
      <w:tr>
        <w:trPr>
          <w:trHeight w:val="185"/>
        </w:trPr>
        <w:tc>
          <w:tcPr>
            <w:tcW w:w="3860" w:type="dxa"/>
            <w:vAlign w:val="bottom"/>
          </w:tcPr>
          <w:p>
            <w:pPr>
              <w:ind w:left="20"/>
              <w:spacing w:after="0"/>
              <w:rPr>
                <w:sz w:val="20"/>
                <w:szCs w:val="20"/>
                <w:color w:val="auto"/>
              </w:rPr>
            </w:pPr>
            <w:r>
              <w:rPr>
                <w:rFonts w:ascii="Arial" w:cs="Arial" w:eastAsia="Arial" w:hAnsi="Arial"/>
                <w:sz w:val="14"/>
                <w:szCs w:val="14"/>
                <w:color w:val="auto"/>
              </w:rPr>
              <w:t>Period</w:t>
            </w:r>
          </w:p>
        </w:tc>
        <w:tc>
          <w:tcPr>
            <w:tcW w:w="15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paid per share</w:t>
            </w:r>
          </w:p>
        </w:tc>
        <w:tc>
          <w:tcPr>
            <w:tcW w:w="140" w:type="dxa"/>
            <w:vAlign w:val="bottom"/>
          </w:tcPr>
          <w:p>
            <w:pPr>
              <w:spacing w:after="0"/>
              <w:rPr>
                <w:sz w:val="16"/>
                <w:szCs w:val="16"/>
                <w:color w:val="auto"/>
              </w:rPr>
            </w:pPr>
          </w:p>
        </w:tc>
        <w:tc>
          <w:tcPr>
            <w:tcW w:w="20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announced plans or programs</w:t>
            </w:r>
          </w:p>
        </w:tc>
        <w:tc>
          <w:tcPr>
            <w:tcW w:w="140" w:type="dxa"/>
            <w:vAlign w:val="bottom"/>
          </w:tcPr>
          <w:p>
            <w:pPr>
              <w:spacing w:after="0"/>
              <w:rPr>
                <w:sz w:val="16"/>
                <w:szCs w:val="16"/>
                <w:color w:val="auto"/>
              </w:rPr>
            </w:pPr>
          </w:p>
        </w:tc>
        <w:tc>
          <w:tcPr>
            <w:tcW w:w="19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36"/>
        </w:trPr>
        <w:tc>
          <w:tcPr>
            <w:tcW w:w="3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April 1, 2023 through April 30, 2023</w:t>
            </w:r>
          </w:p>
        </w:tc>
        <w:tc>
          <w:tcPr>
            <w:tcW w:w="15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81,226</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236.49</w:t>
            </w:r>
          </w:p>
        </w:tc>
        <w:tc>
          <w:tcPr>
            <w:tcW w:w="140" w:type="dxa"/>
            <w:vAlign w:val="bottom"/>
            <w:shd w:val="clear" w:color="auto" w:fill="CFF0FC"/>
          </w:tcPr>
          <w:p>
            <w:pPr>
              <w:spacing w:after="0"/>
              <w:rPr>
                <w:sz w:val="20"/>
                <w:szCs w:val="20"/>
                <w:color w:val="auto"/>
              </w:rPr>
            </w:pPr>
          </w:p>
        </w:tc>
        <w:tc>
          <w:tcPr>
            <w:tcW w:w="204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rPr>
              <w:t>81,226</w:t>
            </w:r>
          </w:p>
        </w:tc>
        <w:tc>
          <w:tcPr>
            <w:tcW w:w="140" w:type="dxa"/>
            <w:vAlign w:val="bottom"/>
            <w:shd w:val="clear" w:color="auto" w:fill="CFF0FC"/>
          </w:tcPr>
          <w:p>
            <w:pPr>
              <w:spacing w:after="0"/>
              <w:rPr>
                <w:sz w:val="20"/>
                <w:szCs w:val="20"/>
                <w:color w:val="auto"/>
              </w:rPr>
            </w:pPr>
          </w:p>
        </w:tc>
        <w:tc>
          <w:tcPr>
            <w:tcW w:w="198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5,228,942</w:t>
            </w: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6"/>
                <w:szCs w:val="16"/>
                <w:color w:val="auto"/>
              </w:rPr>
              <w:t>May 1, 2023 through May 31, 2023</w:t>
            </w:r>
          </w:p>
        </w:tc>
        <w:tc>
          <w:tcPr>
            <w:tcW w:w="1500" w:type="dxa"/>
            <w:vAlign w:val="bottom"/>
          </w:tcPr>
          <w:p>
            <w:pPr>
              <w:jc w:val="right"/>
              <w:ind w:right="56"/>
              <w:spacing w:after="0"/>
              <w:rPr>
                <w:sz w:val="20"/>
                <w:szCs w:val="20"/>
                <w:color w:val="auto"/>
              </w:rPr>
            </w:pPr>
            <w:r>
              <w:rPr>
                <w:rFonts w:ascii="Arial" w:cs="Arial" w:eastAsia="Arial" w:hAnsi="Arial"/>
                <w:sz w:val="18"/>
                <w:szCs w:val="18"/>
                <w:color w:val="auto"/>
              </w:rPr>
              <w:t>452,370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6"/>
              <w:spacing w:after="0"/>
              <w:rPr>
                <w:sz w:val="20"/>
                <w:szCs w:val="20"/>
                <w:color w:val="auto"/>
              </w:rPr>
            </w:pPr>
            <w:r>
              <w:rPr>
                <w:rFonts w:ascii="Arial" w:cs="Arial" w:eastAsia="Arial" w:hAnsi="Arial"/>
                <w:sz w:val="18"/>
                <w:szCs w:val="18"/>
                <w:color w:val="auto"/>
              </w:rPr>
              <w:t>225.41</w:t>
            </w:r>
          </w:p>
        </w:tc>
        <w:tc>
          <w:tcPr>
            <w:tcW w:w="2180" w:type="dxa"/>
            <w:vAlign w:val="bottom"/>
            <w:gridSpan w:val="2"/>
          </w:tcPr>
          <w:p>
            <w:pPr>
              <w:jc w:val="right"/>
              <w:ind w:right="61"/>
              <w:spacing w:after="0"/>
              <w:rPr>
                <w:sz w:val="20"/>
                <w:szCs w:val="20"/>
                <w:color w:val="auto"/>
              </w:rPr>
            </w:pPr>
            <w:r>
              <w:rPr>
                <w:rFonts w:ascii="Arial" w:cs="Arial" w:eastAsia="Arial" w:hAnsi="Arial"/>
                <w:sz w:val="18"/>
                <w:szCs w:val="18"/>
                <w:color w:val="auto"/>
              </w:rPr>
              <w:t>452,370</w:t>
            </w:r>
          </w:p>
        </w:tc>
        <w:tc>
          <w:tcPr>
            <w:tcW w:w="2120" w:type="dxa"/>
            <w:vAlign w:val="bottom"/>
            <w:gridSpan w:val="2"/>
          </w:tcPr>
          <w:p>
            <w:pPr>
              <w:jc w:val="right"/>
              <w:ind w:right="64"/>
              <w:spacing w:after="0"/>
              <w:rPr>
                <w:sz w:val="20"/>
                <w:szCs w:val="20"/>
                <w:color w:val="auto"/>
              </w:rPr>
            </w:pPr>
            <w:r>
              <w:rPr>
                <w:rFonts w:ascii="Arial" w:cs="Arial" w:eastAsia="Arial" w:hAnsi="Arial"/>
                <w:sz w:val="18"/>
                <w:szCs w:val="18"/>
                <w:color w:val="auto"/>
              </w:rPr>
              <w:t>4,776,572</w:t>
            </w:r>
          </w:p>
        </w:tc>
        <w:tc>
          <w:tcPr>
            <w:tcW w:w="0" w:type="dxa"/>
            <w:vAlign w:val="bottom"/>
          </w:tcPr>
          <w:p>
            <w:pPr>
              <w:spacing w:after="0"/>
              <w:rPr>
                <w:sz w:val="1"/>
                <w:szCs w:val="1"/>
                <w:color w:val="auto"/>
              </w:rPr>
            </w:pPr>
          </w:p>
        </w:tc>
      </w:tr>
      <w:tr>
        <w:trPr>
          <w:trHeight w:val="249"/>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June 1, 2023 through June 30, 2023</w:t>
            </w:r>
          </w:p>
        </w:tc>
        <w:tc>
          <w:tcPr>
            <w:tcW w:w="15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1,003,716</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ind w:right="56"/>
              <w:spacing w:after="0"/>
              <w:rPr>
                <w:sz w:val="20"/>
                <w:szCs w:val="20"/>
                <w:color w:val="auto"/>
              </w:rPr>
            </w:pPr>
            <w:r>
              <w:rPr>
                <w:rFonts w:ascii="Arial" w:cs="Arial" w:eastAsia="Arial" w:hAnsi="Arial"/>
                <w:sz w:val="18"/>
                <w:szCs w:val="18"/>
                <w:color w:val="auto"/>
              </w:rPr>
              <w:t>227.97</w:t>
            </w:r>
          </w:p>
        </w:tc>
        <w:tc>
          <w:tcPr>
            <w:tcW w:w="140" w:type="dxa"/>
            <w:vAlign w:val="bottom"/>
            <w:tcBorders>
              <w:bottom w:val="single" w:sz="8" w:color="CFF0FC"/>
            </w:tcBorders>
            <w:shd w:val="clear" w:color="auto" w:fill="CFF0FC"/>
          </w:tcPr>
          <w:p>
            <w:pPr>
              <w:spacing w:after="0"/>
              <w:rPr>
                <w:sz w:val="21"/>
                <w:szCs w:val="21"/>
                <w:color w:val="auto"/>
              </w:rPr>
            </w:pPr>
          </w:p>
        </w:tc>
        <w:tc>
          <w:tcPr>
            <w:tcW w:w="20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8"/>
                <w:szCs w:val="18"/>
                <w:color w:val="auto"/>
              </w:rPr>
              <w:t>1,003,716</w:t>
            </w:r>
          </w:p>
        </w:tc>
        <w:tc>
          <w:tcPr>
            <w:tcW w:w="2120" w:type="dxa"/>
            <w:vAlign w:val="bottom"/>
            <w:tcBorders>
              <w:bottom w:val="single" w:sz="8" w:color="CFF0FC"/>
            </w:tcBorders>
            <w:gridSpan w:val="2"/>
            <w:shd w:val="clear" w:color="auto" w:fill="CFF0FC"/>
          </w:tcPr>
          <w:p>
            <w:pPr>
              <w:jc w:val="right"/>
              <w:ind w:right="64"/>
              <w:spacing w:after="0"/>
              <w:rPr>
                <w:sz w:val="20"/>
                <w:szCs w:val="20"/>
                <w:color w:val="auto"/>
              </w:rPr>
            </w:pPr>
            <w:r>
              <w:rPr>
                <w:rFonts w:ascii="Arial" w:cs="Arial" w:eastAsia="Arial" w:hAnsi="Arial"/>
                <w:sz w:val="18"/>
                <w:szCs w:val="18"/>
                <w:color w:val="auto"/>
              </w:rPr>
              <w:t>3,772,856</w:t>
            </w:r>
          </w:p>
        </w:tc>
        <w:tc>
          <w:tcPr>
            <w:tcW w:w="0" w:type="dxa"/>
            <w:vAlign w:val="bottom"/>
          </w:tcPr>
          <w:p>
            <w:pPr>
              <w:spacing w:after="0"/>
              <w:rPr>
                <w:sz w:val="1"/>
                <w:szCs w:val="1"/>
                <w:color w:val="auto"/>
              </w:rPr>
            </w:pPr>
          </w:p>
        </w:tc>
      </w:tr>
      <w:tr>
        <w:trPr>
          <w:trHeight w:val="236"/>
        </w:trPr>
        <w:tc>
          <w:tcPr>
            <w:tcW w:w="3860" w:type="dxa"/>
            <w:vAlign w:val="bottom"/>
          </w:tcPr>
          <w:p>
            <w:pPr>
              <w:spacing w:after="0"/>
              <w:rPr>
                <w:sz w:val="20"/>
                <w:szCs w:val="20"/>
                <w:color w:val="auto"/>
              </w:rPr>
            </w:pPr>
          </w:p>
        </w:tc>
        <w:tc>
          <w:tcPr>
            <w:tcW w:w="1500" w:type="dxa"/>
            <w:vAlign w:val="bottom"/>
          </w:tcPr>
          <w:p>
            <w:pPr>
              <w:jc w:val="right"/>
              <w:ind w:right="56"/>
              <w:spacing w:after="0"/>
              <w:rPr>
                <w:sz w:val="20"/>
                <w:szCs w:val="20"/>
                <w:color w:val="auto"/>
              </w:rPr>
            </w:pPr>
            <w:r>
              <w:rPr>
                <w:rFonts w:ascii="Arial" w:cs="Arial" w:eastAsia="Arial" w:hAnsi="Arial"/>
                <w:sz w:val="18"/>
                <w:szCs w:val="18"/>
                <w:color w:val="auto"/>
              </w:rPr>
              <w:t>1,537,312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6"/>
              <w:spacing w:after="0"/>
              <w:rPr>
                <w:sz w:val="20"/>
                <w:szCs w:val="20"/>
                <w:color w:val="auto"/>
              </w:rPr>
            </w:pPr>
            <w:r>
              <w:rPr>
                <w:rFonts w:ascii="Arial" w:cs="Arial" w:eastAsia="Arial" w:hAnsi="Arial"/>
                <w:sz w:val="18"/>
                <w:szCs w:val="18"/>
                <w:color w:val="auto"/>
              </w:rPr>
              <w:t>227.67</w:t>
            </w:r>
          </w:p>
        </w:tc>
        <w:tc>
          <w:tcPr>
            <w:tcW w:w="2180" w:type="dxa"/>
            <w:vAlign w:val="bottom"/>
            <w:gridSpan w:val="2"/>
          </w:tcPr>
          <w:p>
            <w:pPr>
              <w:jc w:val="right"/>
              <w:ind w:right="61"/>
              <w:spacing w:after="0"/>
              <w:rPr>
                <w:sz w:val="20"/>
                <w:szCs w:val="20"/>
                <w:color w:val="auto"/>
              </w:rPr>
            </w:pPr>
            <w:r>
              <w:rPr>
                <w:rFonts w:ascii="Arial" w:cs="Arial" w:eastAsia="Arial" w:hAnsi="Arial"/>
                <w:sz w:val="18"/>
                <w:szCs w:val="18"/>
                <w:color w:val="auto"/>
              </w:rPr>
              <w:t>1,537,312</w:t>
            </w:r>
          </w:p>
        </w:tc>
        <w:tc>
          <w:tcPr>
            <w:tcW w:w="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-187960</wp:posOffset>
            </wp:positionV>
            <wp:extent cx="102870" cy="18859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-187960</wp:posOffset>
            </wp:positionV>
            <wp:extent cx="85725" cy="1885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28"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At June 30, 2023 the maximum number of shares that may yet be purchased under the existing share repurchase plan is 3,772,856, with approximately $889 million remaining on the current open-ended repurchase authority granted by the board. An estimate of the maximum number of shares under the existing authorities was determined using the closing price of our ordinary shares on June 30, 2023 of $235.50.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Required Pursuant to Section 13(r) of the Securities Exchange Act of 1934</w:t>
      </w:r>
    </w:p>
    <w:p>
      <w:pPr>
        <w:spacing w:after="0" w:line="20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Set forth below is a description of a matter reported pursuant to Section 219 of the Iran Threat Reduction and Syria Human Rights Act of 2012 and Section 13(r) of the Exchange Act. Concurrently with this Quarterly Report on Form 10-Q, we are filing a notice pursuant to Section 13(r) of the Exchange Act that the matter has been disclosed herein.</w:t>
      </w:r>
    </w:p>
    <w:p>
      <w:pPr>
        <w:spacing w:after="0" w:line="13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This disclosure arises out of an internal review voluntarily carried out by the Company following discovery of the transactions with the F.A.I.R. Aviation Pool that were disclosed in our Form 10-K for the year ended December 31, 2022, filed with the SEC on February 24, 2023 (our ‘Form 10-K’).</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now-former business unit of Willis Limited, WTW’s main broking entity in the U.K., at the request and on behalf of certain clients, obtained reinsurance coverage from the F.A.I.R. Non-Life Reinsurance Pool (‘the Pool’). The membership of the Pool changes each policy year but has in some, but not all, years included Iranian (re)insurance carriers. In the 2009 policy year, two members of the Pool were Bimeh Markazi Iran and Bimeh Iran (Iran Insurance Co) (collectively, the ‘Iranian Carriers’).</w:t>
      </w:r>
    </w:p>
    <w:p>
      <w:pPr>
        <w:spacing w:after="0" w:line="13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Years ago, the Company implemented a process aiming to ensure that no payments attributable to the Iranian Carriers were transacted with the Pool. To our knowledge, this process was generally followed in the ensuing years. In October 2021, however, the Pool issued a claims payment to Willis Limited on behalf of all members of the 2009 Pool, including the Iranian Carriers. The inclusion of the Iranian Carriers in this payment came despite an internal instruction from our Compliance team that the Iranian Carriers should not be so included, and a written acknowledgment of this instruction by a member of the team charged with processing the payment. Our current belief, therefore, is that inclusion of the Iranian Carriers was the result of human error during the process of arranging for payment.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of the claims payment from the Pool was $25,934.61, of which $1,296.73 was attributable to the Iranian Carriers.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noted in our Form 10-K, an affiliate of Willis Limited has submitted a voluntary self-disclosure to the U.S. Office of Foreign Assets Control (‘OFAC’).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intends to cooperate fully with any investigation by OFAC.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intend to engage in future transactions or dealings with the Iranian Carriers.</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8" w:name="page49"/>
    <w:bookmarkEnd w:id="48"/>
    <w:p>
      <w:pPr>
        <w:ind w:left="260" w:hanging="252"/>
        <w:spacing w:after="0"/>
        <w:tabs>
          <w:tab w:leader="none" w:pos="2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None.</w:t>
      </w:r>
    </w:p>
    <w:p>
      <w:pPr>
        <w:spacing w:after="0" w:line="171" w:lineRule="exact"/>
        <w:rPr>
          <w:rFonts w:ascii="Arial" w:cs="Arial" w:eastAsia="Arial" w:hAnsi="Arial"/>
          <w:sz w:val="18"/>
          <w:szCs w:val="18"/>
          <w:b w:val="1"/>
          <w:bCs w:val="1"/>
          <w:color w:val="auto"/>
        </w:rPr>
      </w:pPr>
    </w:p>
    <w:p>
      <w:pPr>
        <w:ind w:left="280" w:hanging="272"/>
        <w:spacing w:after="0"/>
        <w:tabs>
          <w:tab w:leader="none" w:pos="2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None.</w:t>
      </w:r>
    </w:p>
    <w:p>
      <w:pPr>
        <w:spacing w:after="0" w:line="171" w:lineRule="exact"/>
        <w:rPr>
          <w:rFonts w:ascii="Arial" w:cs="Arial" w:eastAsia="Arial" w:hAnsi="Arial"/>
          <w:sz w:val="18"/>
          <w:szCs w:val="18"/>
          <w:b w:val="1"/>
          <w:bCs w:val="1"/>
          <w:color w:val="auto"/>
        </w:rPr>
      </w:pPr>
    </w:p>
    <w:p>
      <w:pPr>
        <w:ind w:left="260" w:hanging="252"/>
        <w:spacing w:after="0"/>
        <w:tabs>
          <w:tab w:leader="none" w:pos="2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Insider Trading Arrangements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quarter ended June 30, 2023, none of the Company’s directors and officers adopted, modified, or terminated any contract, instruction or written plan for the purchase or sale of Company securities intended to satisfy the affirmative defense conditions of Rule 10b5-1(c) or any ‘non-Rule 10b5-1 trading arrangement’ as defined under applicable securities laws and each of the director’s or officer’s respective remaining sale or purchase authority under such plans.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INDEX</w:t>
      </w:r>
    </w:p>
    <w:p>
      <w:pPr>
        <w:spacing w:after="0" w:line="28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6"/>
          </w:tcPr>
          <w:p>
            <w:pPr>
              <w:ind w:left="340"/>
              <w:spacing w:after="0"/>
              <w:rPr>
                <w:sz w:val="20"/>
                <w:szCs w:val="20"/>
                <w:color w:val="auto"/>
              </w:rPr>
            </w:pPr>
            <w:r>
              <w:rPr>
                <w:rFonts w:ascii="Arial" w:cs="Arial" w:eastAsia="Arial" w:hAnsi="Arial"/>
                <w:sz w:val="14"/>
                <w:szCs w:val="14"/>
                <w:b w:val="1"/>
                <w:bCs w:val="1"/>
                <w:color w:val="auto"/>
              </w:rPr>
              <w:t>Incorporated by Reference</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960" w:type="dxa"/>
            <w:vAlign w:val="bottom"/>
            <w:gridSpan w:val="17"/>
            <w:vMerge w:val="restart"/>
          </w:tcPr>
          <w:p>
            <w:pPr>
              <w:ind w:left="880"/>
              <w:spacing w:after="0"/>
              <w:rPr>
                <w:sz w:val="20"/>
                <w:szCs w:val="20"/>
                <w:color w:val="auto"/>
              </w:rPr>
            </w:pPr>
            <w:r>
              <w:rPr>
                <w:rFonts w:ascii="Arial" w:cs="Arial" w:eastAsia="Arial" w:hAnsi="Arial"/>
                <w:sz w:val="14"/>
                <w:szCs w:val="14"/>
                <w:b w:val="1"/>
                <w:bCs w:val="1"/>
                <w:color w:val="auto"/>
              </w:rPr>
              <w:t>Description of Exhibit</w:t>
            </w:r>
          </w:p>
        </w:tc>
        <w:tc>
          <w:tcPr>
            <w:tcW w:w="20" w:type="dxa"/>
            <w:vAlign w:val="bottom"/>
          </w:tcPr>
          <w:p>
            <w:pPr>
              <w:spacing w:after="0"/>
              <w:rPr>
                <w:sz w:val="11"/>
                <w:szCs w:val="11"/>
                <w:color w:val="auto"/>
              </w:rPr>
            </w:pPr>
          </w:p>
        </w:tc>
        <w:tc>
          <w:tcPr>
            <w:tcW w:w="5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Schedul</w:t>
            </w:r>
          </w:p>
        </w:tc>
        <w:tc>
          <w:tcPr>
            <w:tcW w:w="16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Exhibi</w:t>
            </w:r>
          </w:p>
        </w:tc>
        <w:tc>
          <w:tcPr>
            <w:tcW w:w="160" w:type="dxa"/>
            <w:vAlign w:val="bottom"/>
          </w:tcPr>
          <w:p>
            <w:pPr>
              <w:spacing w:after="0"/>
              <w:rPr>
                <w:sz w:val="11"/>
                <w:szCs w:val="11"/>
                <w:color w:val="auto"/>
              </w:rPr>
            </w:pPr>
          </w:p>
        </w:tc>
        <w:tc>
          <w:tcPr>
            <w:tcW w:w="10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Filing Date</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960" w:type="dxa"/>
            <w:vAlign w:val="bottom"/>
            <w:gridSpan w:val="17"/>
            <w:vMerge w:val="continue"/>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w:t>
            </w:r>
          </w:p>
        </w:tc>
        <w:tc>
          <w:tcPr>
            <w:tcW w:w="16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w w:val="98"/>
              </w:rPr>
              <w:t>Herewit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60" w:type="dxa"/>
            <w:vAlign w:val="bottom"/>
            <w:vMerge w:val="restart"/>
          </w:tcPr>
          <w:p>
            <w:pPr>
              <w:spacing w:after="0" w:line="20" w:lineRule="exact"/>
              <w:rPr>
                <w:sz w:val="1"/>
                <w:szCs w:val="1"/>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w:t>
            </w: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h</w:t>
            </w: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8"/>
                <w:szCs w:val="18"/>
                <w:color w:val="auto"/>
              </w:rPr>
              <w:t>4.1</w:t>
            </w:r>
          </w:p>
        </w:tc>
        <w:tc>
          <w:tcPr>
            <w:tcW w:w="160" w:type="dxa"/>
            <w:vAlign w:val="bottom"/>
            <w:tcBorders>
              <w:bottom w:val="single" w:sz="8" w:color="CFF0FC"/>
            </w:tcBorders>
            <w:shd w:val="clear" w:color="auto" w:fill="CFF0FC"/>
          </w:tcPr>
          <w:p>
            <w:pPr>
              <w:spacing w:after="0"/>
              <w:rPr>
                <w:sz w:val="16"/>
                <w:szCs w:val="16"/>
                <w:color w:val="auto"/>
              </w:rPr>
            </w:pPr>
          </w:p>
        </w:tc>
        <w:tc>
          <w:tcPr>
            <w:tcW w:w="6280" w:type="dxa"/>
            <w:vAlign w:val="bottom"/>
            <w:tcBorders>
              <w:bottom w:val="single" w:sz="8" w:color="0000FF"/>
            </w:tcBorders>
            <w:gridSpan w:val="12"/>
            <w:shd w:val="clear" w:color="auto" w:fill="CFF0FC"/>
          </w:tcPr>
          <w:p>
            <w:pPr>
              <w:spacing w:after="0" w:line="189" w:lineRule="exact"/>
              <w:rPr>
                <w:rFonts w:ascii="Arial" w:cs="Arial" w:eastAsia="Arial" w:hAnsi="Arial"/>
                <w:sz w:val="18"/>
                <w:szCs w:val="18"/>
                <w:color w:val="0000FF"/>
                <w:w w:val="91"/>
              </w:rPr>
            </w:pPr>
            <w:hyperlink r:id="rId469">
              <w:r>
                <w:rPr>
                  <w:rFonts w:ascii="Arial" w:cs="Arial" w:eastAsia="Arial" w:hAnsi="Arial"/>
                  <w:sz w:val="18"/>
                  <w:szCs w:val="18"/>
                  <w:color w:val="0000FF"/>
                  <w:w w:val="91"/>
                </w:rPr>
                <w:t>Sixth Supplemental Indenture, dated as of May 17, 2023, among Willis North America</w:t>
              </w:r>
            </w:hyperlink>
          </w:p>
        </w:tc>
        <w:tc>
          <w:tcPr>
            <w:tcW w:w="380" w:type="dxa"/>
            <w:vAlign w:val="bottom"/>
            <w:tcBorders>
              <w:bottom w:val="single" w:sz="8" w:color="CFF0FC"/>
            </w:tcBorders>
            <w:gridSpan w:val="6"/>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w w:val="99"/>
              </w:rPr>
              <w:t>8-K</w:t>
            </w:r>
          </w:p>
        </w:tc>
        <w:tc>
          <w:tcPr>
            <w:tcW w:w="600" w:type="dxa"/>
            <w:vAlign w:val="bottom"/>
            <w:tcBorders>
              <w:bottom w:val="single" w:sz="8" w:color="CFF0FC"/>
            </w:tcBorders>
            <w:gridSpan w:val="2"/>
            <w:shd w:val="clear" w:color="auto" w:fill="CFF0FC"/>
          </w:tcPr>
          <w:p>
            <w:pPr>
              <w:jc w:val="center"/>
              <w:ind w:left="90"/>
              <w:spacing w:after="0" w:line="189" w:lineRule="exact"/>
              <w:rPr>
                <w:sz w:val="20"/>
                <w:szCs w:val="20"/>
                <w:color w:val="auto"/>
              </w:rPr>
            </w:pPr>
            <w:r>
              <w:rPr>
                <w:rFonts w:ascii="Arial" w:cs="Arial" w:eastAsia="Arial" w:hAnsi="Arial"/>
                <w:sz w:val="18"/>
                <w:szCs w:val="18"/>
                <w:color w:val="auto"/>
                <w:w w:val="87"/>
              </w:rPr>
              <w:t>4.1</w:t>
            </w:r>
          </w:p>
        </w:tc>
        <w:tc>
          <w:tcPr>
            <w:tcW w:w="16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gridSpan w:val="2"/>
            <w:shd w:val="clear" w:color="auto" w:fill="CFF0FC"/>
          </w:tcPr>
          <w:p>
            <w:pPr>
              <w:jc w:val="center"/>
              <w:ind w:right="20"/>
              <w:spacing w:after="0" w:line="189" w:lineRule="exact"/>
              <w:rPr>
                <w:sz w:val="20"/>
                <w:szCs w:val="20"/>
                <w:color w:val="auto"/>
              </w:rPr>
            </w:pPr>
            <w:r>
              <w:rPr>
                <w:rFonts w:ascii="Arial" w:cs="Arial" w:eastAsia="Arial" w:hAnsi="Arial"/>
                <w:sz w:val="18"/>
                <w:szCs w:val="18"/>
                <w:color w:val="auto"/>
                <w:w w:val="93"/>
              </w:rPr>
              <w:t>May 17, 2023</w:t>
            </w:r>
          </w:p>
        </w:tc>
        <w:tc>
          <w:tcPr>
            <w:tcW w:w="14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520" w:type="dxa"/>
            <w:vAlign w:val="bottom"/>
            <w:tcBorders>
              <w:bottom w:val="single" w:sz="8" w:color="0000FF"/>
            </w:tcBorders>
            <w:gridSpan w:val="17"/>
            <w:shd w:val="clear" w:color="auto" w:fill="CFF0FC"/>
          </w:tcPr>
          <w:p>
            <w:pPr>
              <w:spacing w:after="0" w:line="196" w:lineRule="exact"/>
              <w:rPr>
                <w:rFonts w:ascii="Arial" w:cs="Arial" w:eastAsia="Arial" w:hAnsi="Arial"/>
                <w:sz w:val="18"/>
                <w:szCs w:val="18"/>
                <w:color w:val="0000FF"/>
                <w:w w:val="91"/>
              </w:rPr>
            </w:pPr>
            <w:hyperlink r:id="rId469">
              <w:r>
                <w:rPr>
                  <w:rFonts w:ascii="Arial" w:cs="Arial" w:eastAsia="Arial" w:hAnsi="Arial"/>
                  <w:sz w:val="18"/>
                  <w:szCs w:val="18"/>
                  <w:color w:val="0000FF"/>
                  <w:w w:val="91"/>
                </w:rPr>
                <w:t>Inc., as issuer, Willis Towers Watson Public Limited Company, Willis Towers Watson Sub</w:t>
              </w:r>
            </w:hyperlink>
          </w:p>
        </w:tc>
        <w:tc>
          <w:tcPr>
            <w:tcW w:w="1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400" w:type="dxa"/>
            <w:vAlign w:val="bottom"/>
            <w:tcBorders>
              <w:bottom w:val="single" w:sz="8" w:color="0000FF"/>
            </w:tcBorders>
            <w:gridSpan w:val="15"/>
            <w:shd w:val="clear" w:color="auto" w:fill="CFF0FC"/>
          </w:tcPr>
          <w:p>
            <w:pPr>
              <w:spacing w:after="0" w:line="196" w:lineRule="exact"/>
              <w:rPr>
                <w:rFonts w:ascii="Arial" w:cs="Arial" w:eastAsia="Arial" w:hAnsi="Arial"/>
                <w:sz w:val="18"/>
                <w:szCs w:val="18"/>
                <w:color w:val="0000FF"/>
                <w:w w:val="94"/>
              </w:rPr>
            </w:pPr>
            <w:hyperlink r:id="rId469">
              <w:r>
                <w:rPr>
                  <w:rFonts w:ascii="Arial" w:cs="Arial" w:eastAsia="Arial" w:hAnsi="Arial"/>
                  <w:sz w:val="18"/>
                  <w:szCs w:val="18"/>
                  <w:color w:val="0000FF"/>
                  <w:w w:val="94"/>
                </w:rPr>
                <w:t>Holdings Unlimited Company, Willis Netherlands Holdings B.V., Willis Investment UK</w:t>
              </w:r>
            </w:hyperlink>
          </w:p>
        </w:tc>
        <w:tc>
          <w:tcPr>
            <w:tcW w:w="260" w:type="dxa"/>
            <w:vAlign w:val="bottom"/>
            <w:tcBorders>
              <w:bottom w:val="single" w:sz="8" w:color="CFF0FC"/>
            </w:tcBorders>
            <w:gridSpan w:val="3"/>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200" w:type="dxa"/>
            <w:vAlign w:val="bottom"/>
            <w:tcBorders>
              <w:bottom w:val="single" w:sz="8" w:color="0000FF"/>
            </w:tcBorders>
            <w:gridSpan w:val="11"/>
            <w:shd w:val="clear" w:color="auto" w:fill="CFF0FC"/>
          </w:tcPr>
          <w:p>
            <w:pPr>
              <w:spacing w:after="0" w:line="196" w:lineRule="exact"/>
              <w:rPr>
                <w:rFonts w:ascii="Arial" w:cs="Arial" w:eastAsia="Arial" w:hAnsi="Arial"/>
                <w:sz w:val="18"/>
                <w:szCs w:val="18"/>
                <w:color w:val="0000FF"/>
                <w:w w:val="95"/>
              </w:rPr>
            </w:pPr>
            <w:hyperlink r:id="rId469">
              <w:r>
                <w:rPr>
                  <w:rFonts w:ascii="Arial" w:cs="Arial" w:eastAsia="Arial" w:hAnsi="Arial"/>
                  <w:sz w:val="18"/>
                  <w:szCs w:val="18"/>
                  <w:color w:val="0000FF"/>
                  <w:w w:val="95"/>
                </w:rPr>
                <w:t>Holdings Limited, TA I Limited, Willis Towers Watson UK Holdings Limited, Trinity</w:t>
              </w:r>
            </w:hyperlink>
          </w:p>
        </w:tc>
        <w:tc>
          <w:tcPr>
            <w:tcW w:w="460" w:type="dxa"/>
            <w:vAlign w:val="bottom"/>
            <w:tcBorders>
              <w:bottom w:val="single" w:sz="8" w:color="CFF0FC"/>
            </w:tcBorders>
            <w:gridSpan w:val="7"/>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000" w:type="dxa"/>
            <w:vAlign w:val="bottom"/>
            <w:tcBorders>
              <w:bottom w:val="single" w:sz="8" w:color="0000FF"/>
            </w:tcBorders>
            <w:gridSpan w:val="8"/>
            <w:shd w:val="clear" w:color="auto" w:fill="CFF0FC"/>
          </w:tcPr>
          <w:p>
            <w:pPr>
              <w:spacing w:after="0" w:line="196" w:lineRule="exact"/>
              <w:rPr>
                <w:rFonts w:ascii="Arial" w:cs="Arial" w:eastAsia="Arial" w:hAnsi="Arial"/>
                <w:sz w:val="18"/>
                <w:szCs w:val="18"/>
                <w:color w:val="0000FF"/>
                <w:w w:val="91"/>
              </w:rPr>
            </w:pPr>
            <w:hyperlink r:id="rId469">
              <w:r>
                <w:rPr>
                  <w:rFonts w:ascii="Arial" w:cs="Arial" w:eastAsia="Arial" w:hAnsi="Arial"/>
                  <w:sz w:val="18"/>
                  <w:szCs w:val="18"/>
                  <w:color w:val="0000FF"/>
                  <w:w w:val="91"/>
                </w:rPr>
                <w:t>Acquisition plc and Willis Group Limited, as guarantors, and Computershare Trust</w:t>
              </w:r>
            </w:hyperlink>
          </w:p>
        </w:tc>
        <w:tc>
          <w:tcPr>
            <w:tcW w:w="660" w:type="dxa"/>
            <w:vAlign w:val="bottom"/>
            <w:tcBorders>
              <w:bottom w:val="single" w:sz="8" w:color="CFF0FC"/>
            </w:tcBorders>
            <w:gridSpan w:val="10"/>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60" w:type="dxa"/>
            <w:vAlign w:val="bottom"/>
            <w:gridSpan w:val="18"/>
            <w:shd w:val="clear" w:color="auto" w:fill="CFF0FC"/>
          </w:tcPr>
          <w:p>
            <w:pPr>
              <w:spacing w:after="0" w:line="196" w:lineRule="exact"/>
              <w:rPr>
                <w:rFonts w:ascii="Arial" w:cs="Arial" w:eastAsia="Arial" w:hAnsi="Arial"/>
                <w:sz w:val="18"/>
                <w:szCs w:val="18"/>
                <w:color w:val="0000FF"/>
              </w:rPr>
            </w:pPr>
            <w:hyperlink r:id="rId469">
              <w:r>
                <w:rPr>
                  <w:rFonts w:ascii="Arial" w:cs="Arial" w:eastAsia="Arial" w:hAnsi="Arial"/>
                  <w:sz w:val="18"/>
                  <w:szCs w:val="18"/>
                  <w:color w:val="0000FF"/>
                </w:rPr>
                <w:t>Company, National Association, as trustee.</w:t>
              </w:r>
            </w:hyperlink>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700" w:type="dxa"/>
            <w:vAlign w:val="bottom"/>
            <w:tcBorders>
              <w:top w:val="single" w:sz="8" w:color="0000FF"/>
            </w:tcBorders>
            <w:shd w:val="clear" w:color="auto" w:fill="CFF0FC"/>
          </w:tcPr>
          <w:p>
            <w:pPr>
              <w:spacing w:after="0"/>
              <w:rPr>
                <w:sz w:val="2"/>
                <w:szCs w:val="2"/>
                <w:color w:val="auto"/>
              </w:rPr>
            </w:pPr>
          </w:p>
        </w:tc>
        <w:tc>
          <w:tcPr>
            <w:tcW w:w="13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5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6"/>
                <w:szCs w:val="16"/>
                <w:color w:val="auto"/>
              </w:rPr>
            </w:pPr>
          </w:p>
        </w:tc>
        <w:tc>
          <w:tcPr>
            <w:tcW w:w="6400" w:type="dxa"/>
            <w:vAlign w:val="bottom"/>
            <w:tcBorders>
              <w:bottom w:val="single" w:sz="8" w:color="0000FF"/>
            </w:tcBorders>
            <w:gridSpan w:val="15"/>
          </w:tcPr>
          <w:p>
            <w:pPr>
              <w:spacing w:after="0" w:line="189" w:lineRule="exact"/>
              <w:rPr>
                <w:sz w:val="20"/>
                <w:szCs w:val="20"/>
                <w:color w:val="auto"/>
              </w:rPr>
            </w:pPr>
            <w:r>
              <w:rPr>
                <w:rFonts w:ascii="Arial" w:cs="Arial" w:eastAsia="Arial" w:hAnsi="Arial"/>
                <w:sz w:val="18"/>
                <w:szCs w:val="18"/>
                <w:color w:val="0000FF"/>
                <w:w w:val="89"/>
              </w:rPr>
              <w:t>First Amendment dated as of June 29, 2023 to the Second Amended and Restated Credit</w:t>
            </w:r>
          </w:p>
        </w:tc>
        <w:tc>
          <w:tcPr>
            <w:tcW w:w="2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Arial" w:cs="Arial" w:eastAsia="Arial" w:hAnsi="Arial"/>
                <w:sz w:val="18"/>
                <w:szCs w:val="18"/>
                <w:color w:val="auto"/>
              </w:rPr>
              <w:t>X</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6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2"/>
              </w:rPr>
              <w:t xml:space="preserve">Agreement dated as of October 6, 2021 by and among, </w:t>
            </w:r>
            <w:r>
              <w:rPr>
                <w:rFonts w:ascii="Arial" w:cs="Arial" w:eastAsia="Arial" w:hAnsi="Arial"/>
                <w:sz w:val="18"/>
                <w:szCs w:val="18"/>
                <w:i w:val="1"/>
                <w:iCs w:val="1"/>
                <w:color w:val="0000FF"/>
                <w:w w:val="92"/>
              </w:rPr>
              <w:t>inter alia</w:t>
            </w:r>
            <w:r>
              <w:rPr>
                <w:rFonts w:ascii="Arial" w:cs="Arial" w:eastAsia="Arial" w:hAnsi="Arial"/>
                <w:sz w:val="18"/>
                <w:szCs w:val="18"/>
                <w:color w:val="0000FF"/>
                <w:w w:val="92"/>
              </w:rPr>
              <w:t>, Trinity Acquisition</w:t>
            </w:r>
          </w:p>
        </w:tc>
        <w:tc>
          <w:tcPr>
            <w:tcW w:w="50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40" w:type="dxa"/>
            <w:vAlign w:val="bottom"/>
            <w:tcBorders>
              <w:bottom w:val="single" w:sz="8" w:color="0000FF"/>
            </w:tcBorders>
            <w:gridSpan w:val="16"/>
          </w:tcPr>
          <w:p>
            <w:pPr>
              <w:spacing w:after="0" w:line="196" w:lineRule="exact"/>
              <w:rPr>
                <w:sz w:val="20"/>
                <w:szCs w:val="20"/>
                <w:color w:val="auto"/>
              </w:rPr>
            </w:pPr>
            <w:r>
              <w:rPr>
                <w:rFonts w:ascii="Arial" w:cs="Arial" w:eastAsia="Arial" w:hAnsi="Arial"/>
                <w:sz w:val="18"/>
                <w:szCs w:val="18"/>
                <w:color w:val="0000FF"/>
                <w:w w:val="90"/>
              </w:rPr>
              <w:t>PLC, as the Company, Willis Towers Watson Public Limited Company, as the Parent, the</w:t>
            </w:r>
          </w:p>
        </w:tc>
        <w:tc>
          <w:tcPr>
            <w:tcW w:w="2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520" w:type="dxa"/>
            <w:vAlign w:val="bottom"/>
            <w:tcBorders>
              <w:bottom w:val="single" w:sz="8" w:color="0000FF"/>
            </w:tcBorders>
            <w:gridSpan w:val="17"/>
          </w:tcPr>
          <w:p>
            <w:pPr>
              <w:spacing w:after="0" w:line="196" w:lineRule="exact"/>
              <w:rPr>
                <w:sz w:val="20"/>
                <w:szCs w:val="20"/>
                <w:color w:val="auto"/>
              </w:rPr>
            </w:pPr>
            <w:r>
              <w:rPr>
                <w:rFonts w:ascii="Arial" w:cs="Arial" w:eastAsia="Arial" w:hAnsi="Arial"/>
                <w:sz w:val="18"/>
                <w:szCs w:val="18"/>
                <w:color w:val="0000FF"/>
                <w:w w:val="90"/>
              </w:rPr>
              <w:t>Guarantors party thereto, the Lenders party thereto, and Barclays Bank PLC, party thereto</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60" w:type="dxa"/>
            <w:vAlign w:val="bottom"/>
            <w:gridSpan w:val="18"/>
          </w:tcPr>
          <w:p>
            <w:pPr>
              <w:spacing w:after="0" w:line="196" w:lineRule="exact"/>
              <w:rPr>
                <w:sz w:val="20"/>
                <w:szCs w:val="20"/>
                <w:color w:val="auto"/>
              </w:rPr>
            </w:pPr>
            <w:r>
              <w:rPr>
                <w:rFonts w:ascii="Arial" w:cs="Arial" w:eastAsia="Arial" w:hAnsi="Arial"/>
                <w:sz w:val="18"/>
                <w:szCs w:val="18"/>
                <w:color w:val="0000FF"/>
              </w:rPr>
              <w:t>as administrative agent.</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Borders>
              <w:top w:val="single" w:sz="8" w:color="0000FF"/>
            </w:tcBorders>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22.1</w:t>
            </w:r>
          </w:p>
        </w:tc>
        <w:tc>
          <w:tcPr>
            <w:tcW w:w="160" w:type="dxa"/>
            <w:vAlign w:val="bottom"/>
            <w:shd w:val="clear" w:color="auto" w:fill="CFF0FC"/>
          </w:tcPr>
          <w:p>
            <w:pPr>
              <w:spacing w:after="0"/>
              <w:rPr>
                <w:sz w:val="16"/>
                <w:szCs w:val="16"/>
                <w:color w:val="auto"/>
              </w:rPr>
            </w:pPr>
          </w:p>
        </w:tc>
        <w:tc>
          <w:tcPr>
            <w:tcW w:w="6660" w:type="dxa"/>
            <w:vAlign w:val="bottom"/>
            <w:gridSpan w:val="18"/>
            <w:shd w:val="clear" w:color="auto" w:fill="CFF0FC"/>
          </w:tcPr>
          <w:p>
            <w:pPr>
              <w:spacing w:after="0" w:line="189" w:lineRule="exact"/>
              <w:rPr>
                <w:sz w:val="20"/>
                <w:szCs w:val="20"/>
                <w:color w:val="auto"/>
              </w:rPr>
            </w:pPr>
            <w:r>
              <w:rPr>
                <w:rFonts w:ascii="Arial" w:cs="Arial" w:eastAsia="Arial" w:hAnsi="Arial"/>
                <w:sz w:val="18"/>
                <w:szCs w:val="18"/>
                <w:color w:val="0000FF"/>
              </w:rPr>
              <w:t>List of Issuers and Guarantor Subsidiaries.</w:t>
            </w: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9"/>
              </w:rPr>
              <w:t>X</w:t>
            </w:r>
          </w:p>
        </w:tc>
        <w:tc>
          <w:tcPr>
            <w:tcW w:w="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700" w:type="dxa"/>
            <w:vAlign w:val="bottom"/>
            <w:tcBorders>
              <w:top w:val="single" w:sz="8" w:color="0000FF"/>
            </w:tcBorders>
            <w:shd w:val="clear" w:color="auto" w:fill="CFF0FC"/>
          </w:tcPr>
          <w:p>
            <w:pPr>
              <w:spacing w:after="0"/>
              <w:rPr>
                <w:sz w:val="2"/>
                <w:szCs w:val="2"/>
                <w:color w:val="auto"/>
              </w:rPr>
            </w:pPr>
          </w:p>
        </w:tc>
        <w:tc>
          <w:tcPr>
            <w:tcW w:w="13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5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6"/>
                <w:szCs w:val="16"/>
                <w:color w:val="auto"/>
              </w:rPr>
            </w:pPr>
          </w:p>
        </w:tc>
        <w:tc>
          <w:tcPr>
            <w:tcW w:w="6380" w:type="dxa"/>
            <w:vAlign w:val="bottom"/>
            <w:tcBorders>
              <w:bottom w:val="single" w:sz="8" w:color="0000FF"/>
            </w:tcBorders>
            <w:gridSpan w:val="14"/>
          </w:tcPr>
          <w:p>
            <w:pPr>
              <w:spacing w:after="0" w:line="189" w:lineRule="exact"/>
              <w:rPr>
                <w:sz w:val="20"/>
                <w:szCs w:val="20"/>
                <w:color w:val="auto"/>
              </w:rPr>
            </w:pPr>
            <w:r>
              <w:rPr>
                <w:rFonts w:ascii="Arial" w:cs="Arial" w:eastAsia="Arial" w:hAnsi="Arial"/>
                <w:sz w:val="18"/>
                <w:szCs w:val="18"/>
                <w:color w:val="0000FF"/>
                <w:w w:val="92"/>
              </w:rPr>
              <w:t>Certification of the Registrant’s Chief Executive Officer, Carl A. Hess, pursuant to Rule</w:t>
            </w:r>
          </w:p>
        </w:tc>
        <w:tc>
          <w:tcPr>
            <w:tcW w:w="28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Arial" w:cs="Arial" w:eastAsia="Arial" w:hAnsi="Arial"/>
                <w:sz w:val="18"/>
                <w:szCs w:val="18"/>
                <w:color w:val="auto"/>
              </w:rPr>
              <w:t>X</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60" w:type="dxa"/>
            <w:vAlign w:val="bottom"/>
            <w:gridSpan w:val="18"/>
          </w:tcPr>
          <w:p>
            <w:pPr>
              <w:spacing w:after="0" w:line="196" w:lineRule="exact"/>
              <w:rPr>
                <w:sz w:val="20"/>
                <w:szCs w:val="20"/>
                <w:color w:val="auto"/>
              </w:rPr>
            </w:pPr>
            <w:r>
              <w:rPr>
                <w:rFonts w:ascii="Arial" w:cs="Arial" w:eastAsia="Arial" w:hAnsi="Arial"/>
                <w:sz w:val="18"/>
                <w:szCs w:val="18"/>
                <w:color w:val="0000FF"/>
              </w:rPr>
              <w:t>13a-14 of the Securities Exchange Act of 1934.</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Borders>
              <w:top w:val="single" w:sz="8" w:color="0000FF"/>
            </w:tcBorders>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8"/>
                <w:szCs w:val="18"/>
                <w:color w:val="auto"/>
              </w:rPr>
              <w:t>31.2</w:t>
            </w:r>
          </w:p>
        </w:tc>
        <w:tc>
          <w:tcPr>
            <w:tcW w:w="160" w:type="dxa"/>
            <w:vAlign w:val="bottom"/>
            <w:tcBorders>
              <w:bottom w:val="single" w:sz="8" w:color="CFF0FC"/>
            </w:tcBorders>
            <w:shd w:val="clear" w:color="auto" w:fill="CFF0FC"/>
          </w:tcPr>
          <w:p>
            <w:pPr>
              <w:spacing w:after="0"/>
              <w:rPr>
                <w:sz w:val="16"/>
                <w:szCs w:val="16"/>
                <w:color w:val="auto"/>
              </w:rPr>
            </w:pPr>
          </w:p>
        </w:tc>
        <w:tc>
          <w:tcPr>
            <w:tcW w:w="6360" w:type="dxa"/>
            <w:vAlign w:val="bottom"/>
            <w:tcBorders>
              <w:bottom w:val="single" w:sz="8" w:color="0000FF"/>
            </w:tcBorders>
            <w:gridSpan w:val="13"/>
            <w:shd w:val="clear" w:color="auto" w:fill="CFF0FC"/>
          </w:tcPr>
          <w:p>
            <w:pPr>
              <w:spacing w:after="0" w:line="189" w:lineRule="exact"/>
              <w:rPr>
                <w:sz w:val="20"/>
                <w:szCs w:val="20"/>
                <w:color w:val="auto"/>
              </w:rPr>
            </w:pPr>
            <w:r>
              <w:rPr>
                <w:rFonts w:ascii="Arial" w:cs="Arial" w:eastAsia="Arial" w:hAnsi="Arial"/>
                <w:sz w:val="18"/>
                <w:szCs w:val="18"/>
                <w:color w:val="0000FF"/>
                <w:w w:val="92"/>
              </w:rPr>
              <w:t>Certification of the Registrant’s Chief Financial Officer, Andrew J. Krasner, pursuant to</w:t>
            </w:r>
          </w:p>
        </w:tc>
        <w:tc>
          <w:tcPr>
            <w:tcW w:w="300" w:type="dxa"/>
            <w:vAlign w:val="bottom"/>
            <w:tcBorders>
              <w:bottom w:val="single" w:sz="8" w:color="CFF0FC"/>
            </w:tcBorders>
            <w:gridSpan w:val="5"/>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rPr>
              <w:t>X</w:t>
            </w:r>
          </w:p>
        </w:tc>
        <w:tc>
          <w:tcPr>
            <w:tcW w:w="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800" w:type="dxa"/>
            <w:vAlign w:val="bottom"/>
            <w:tcBorders>
              <w:bottom w:val="single" w:sz="8" w:color="0000FF"/>
            </w:tcBorders>
            <w:gridSpan w:val="5"/>
            <w:shd w:val="clear" w:color="auto" w:fill="CFF0FC"/>
          </w:tcPr>
          <w:p>
            <w:pPr>
              <w:spacing w:after="0" w:line="196" w:lineRule="exact"/>
              <w:rPr>
                <w:sz w:val="20"/>
                <w:szCs w:val="20"/>
                <w:color w:val="auto"/>
              </w:rPr>
            </w:pPr>
            <w:r>
              <w:rPr>
                <w:rFonts w:ascii="Arial" w:cs="Arial" w:eastAsia="Arial" w:hAnsi="Arial"/>
                <w:sz w:val="18"/>
                <w:szCs w:val="18"/>
                <w:color w:val="0000FF"/>
                <w:w w:val="90"/>
              </w:rPr>
              <w:t>Rule 13a-14 of the Securities Exchange Act of 1934.</w:t>
            </w:r>
          </w:p>
        </w:tc>
        <w:tc>
          <w:tcPr>
            <w:tcW w:w="2860" w:type="dxa"/>
            <w:vAlign w:val="bottom"/>
            <w:tcBorders>
              <w:bottom w:val="single" w:sz="8" w:color="CFF0FC"/>
            </w:tcBorders>
            <w:gridSpan w:val="13"/>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Arial" w:cs="Arial" w:eastAsia="Arial" w:hAnsi="Arial"/>
                <w:sz w:val="18"/>
                <w:szCs w:val="18"/>
                <w:color w:val="auto"/>
              </w:rPr>
              <w:t>32.1**</w:t>
            </w:r>
          </w:p>
        </w:tc>
        <w:tc>
          <w:tcPr>
            <w:tcW w:w="160" w:type="dxa"/>
            <w:vAlign w:val="bottom"/>
          </w:tcPr>
          <w:p>
            <w:pPr>
              <w:spacing w:after="0"/>
              <w:rPr>
                <w:sz w:val="16"/>
                <w:szCs w:val="16"/>
                <w:color w:val="auto"/>
              </w:rPr>
            </w:pPr>
          </w:p>
        </w:tc>
        <w:tc>
          <w:tcPr>
            <w:tcW w:w="5880" w:type="dxa"/>
            <w:vAlign w:val="bottom"/>
            <w:tcBorders>
              <w:bottom w:val="single" w:sz="8" w:color="0000FF"/>
            </w:tcBorders>
            <w:gridSpan w:val="7"/>
          </w:tcPr>
          <w:p>
            <w:pPr>
              <w:spacing w:after="0" w:line="189" w:lineRule="exact"/>
              <w:rPr>
                <w:sz w:val="20"/>
                <w:szCs w:val="20"/>
                <w:color w:val="auto"/>
              </w:rPr>
            </w:pPr>
            <w:r>
              <w:rPr>
                <w:rFonts w:ascii="Arial" w:cs="Arial" w:eastAsia="Arial" w:hAnsi="Arial"/>
                <w:sz w:val="18"/>
                <w:szCs w:val="18"/>
                <w:color w:val="0000FF"/>
                <w:w w:val="92"/>
              </w:rPr>
              <w:t>Certification of the Registrant’s Chief Executive Officer, Carl A. Hess, and Chief</w:t>
            </w:r>
          </w:p>
        </w:tc>
        <w:tc>
          <w:tcPr>
            <w:tcW w:w="78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8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90"/>
              </w:rPr>
              <w:t>Financial Officer, Andrew J. Krasner, pursuant to 18 U.S.C. Section 1350, as adopted</w:t>
            </w:r>
          </w:p>
        </w:tc>
        <w:tc>
          <w:tcPr>
            <w:tcW w:w="48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60" w:type="dxa"/>
            <w:vAlign w:val="bottom"/>
            <w:gridSpan w:val="18"/>
          </w:tcPr>
          <w:p>
            <w:pPr>
              <w:spacing w:after="0" w:line="196" w:lineRule="exact"/>
              <w:rPr>
                <w:sz w:val="20"/>
                <w:szCs w:val="20"/>
                <w:color w:val="auto"/>
              </w:rPr>
            </w:pPr>
            <w:r>
              <w:rPr>
                <w:rFonts w:ascii="Arial" w:cs="Arial" w:eastAsia="Arial" w:hAnsi="Arial"/>
                <w:sz w:val="18"/>
                <w:szCs w:val="18"/>
                <w:color w:val="0000FF"/>
              </w:rPr>
              <w:t>pursuant to Section 906 of the Sarbanes-Oxley Act of 2002.</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Borders>
              <w:top w:val="single" w:sz="8" w:color="0000FF"/>
            </w:tcBorders>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w w:val="98"/>
              </w:rPr>
              <w:t>101.INS</w:t>
            </w:r>
          </w:p>
        </w:tc>
        <w:tc>
          <w:tcPr>
            <w:tcW w:w="160" w:type="dxa"/>
            <w:vAlign w:val="bottom"/>
            <w:shd w:val="clear" w:color="auto" w:fill="CFF0FC"/>
          </w:tcPr>
          <w:p>
            <w:pPr>
              <w:spacing w:after="0"/>
              <w:rPr>
                <w:sz w:val="18"/>
                <w:szCs w:val="18"/>
                <w:color w:val="auto"/>
              </w:rPr>
            </w:pPr>
          </w:p>
        </w:tc>
        <w:tc>
          <w:tcPr>
            <w:tcW w:w="6660" w:type="dxa"/>
            <w:vAlign w:val="bottom"/>
            <w:gridSpan w:val="18"/>
            <w:shd w:val="clear" w:color="auto" w:fill="CFF0FC"/>
          </w:tcPr>
          <w:p>
            <w:pPr>
              <w:spacing w:after="0"/>
              <w:rPr>
                <w:sz w:val="20"/>
                <w:szCs w:val="20"/>
                <w:color w:val="auto"/>
              </w:rPr>
            </w:pPr>
            <w:r>
              <w:rPr>
                <w:rFonts w:ascii="Arial" w:cs="Arial" w:eastAsia="Arial" w:hAnsi="Arial"/>
                <w:sz w:val="18"/>
                <w:szCs w:val="18"/>
                <w:color w:val="auto"/>
              </w:rPr>
              <w:t>Inline XBRL Instance Document – the instance document does not appear in the</w:t>
            </w: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60" w:type="dxa"/>
            <w:vAlign w:val="bottom"/>
            <w:gridSpan w:val="18"/>
            <w:shd w:val="clear" w:color="auto" w:fill="CFF0FC"/>
          </w:tcPr>
          <w:p>
            <w:pPr>
              <w:spacing w:after="0"/>
              <w:rPr>
                <w:sz w:val="20"/>
                <w:szCs w:val="20"/>
                <w:color w:val="auto"/>
              </w:rPr>
            </w:pPr>
            <w:r>
              <w:rPr>
                <w:rFonts w:ascii="Arial" w:cs="Arial" w:eastAsia="Arial" w:hAnsi="Arial"/>
                <w:sz w:val="18"/>
                <w:szCs w:val="18"/>
                <w:color w:val="auto"/>
              </w:rPr>
              <w:t>Interactive Data File because XBRL tags are embedded within the Inline XBRL</w:t>
            </w: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60" w:type="dxa"/>
            <w:vAlign w:val="bottom"/>
            <w:gridSpan w:val="18"/>
            <w:shd w:val="clear" w:color="auto" w:fill="CFF0FC"/>
          </w:tcPr>
          <w:p>
            <w:pPr>
              <w:spacing w:after="0"/>
              <w:rPr>
                <w:sz w:val="20"/>
                <w:szCs w:val="20"/>
                <w:color w:val="auto"/>
              </w:rPr>
            </w:pPr>
            <w:r>
              <w:rPr>
                <w:rFonts w:ascii="Arial" w:cs="Arial" w:eastAsia="Arial" w:hAnsi="Arial"/>
                <w:sz w:val="18"/>
                <w:szCs w:val="18"/>
                <w:color w:val="auto"/>
              </w:rPr>
              <w:t>document.</w:t>
            </w: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101.SC</w:t>
            </w:r>
          </w:p>
        </w:tc>
        <w:tc>
          <w:tcPr>
            <w:tcW w:w="160" w:type="dxa"/>
            <w:vAlign w:val="bottom"/>
          </w:tcPr>
          <w:p>
            <w:pPr>
              <w:spacing w:after="0"/>
              <w:rPr>
                <w:sz w:val="18"/>
                <w:szCs w:val="18"/>
                <w:color w:val="auto"/>
              </w:rPr>
            </w:pPr>
          </w:p>
        </w:tc>
        <w:tc>
          <w:tcPr>
            <w:tcW w:w="666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H</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101.CA</w:t>
            </w:r>
          </w:p>
        </w:tc>
        <w:tc>
          <w:tcPr>
            <w:tcW w:w="160" w:type="dxa"/>
            <w:vAlign w:val="bottom"/>
            <w:shd w:val="clear" w:color="auto" w:fill="CFF0FC"/>
          </w:tcPr>
          <w:p>
            <w:pPr>
              <w:spacing w:after="0"/>
              <w:rPr>
                <w:sz w:val="19"/>
                <w:szCs w:val="19"/>
                <w:color w:val="auto"/>
              </w:rPr>
            </w:pPr>
          </w:p>
        </w:tc>
        <w:tc>
          <w:tcPr>
            <w:tcW w:w="6660" w:type="dxa"/>
            <w:vAlign w:val="bottom"/>
            <w:gridSpan w:val="18"/>
            <w:shd w:val="clear" w:color="auto" w:fill="CFF0FC"/>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L</w:t>
            </w:r>
          </w:p>
        </w:tc>
        <w:tc>
          <w:tcPr>
            <w:tcW w:w="16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20"/>
                <w:szCs w:val="20"/>
                <w:color w:val="auto"/>
              </w:rPr>
            </w:pPr>
            <w:r>
              <w:rPr>
                <w:rFonts w:ascii="Arial" w:cs="Arial" w:eastAsia="Arial" w:hAnsi="Arial"/>
                <w:sz w:val="18"/>
                <w:szCs w:val="18"/>
                <w:color w:val="auto"/>
              </w:rPr>
              <w:t>101.DE</w:t>
            </w:r>
          </w:p>
        </w:tc>
        <w:tc>
          <w:tcPr>
            <w:tcW w:w="160" w:type="dxa"/>
            <w:vAlign w:val="bottom"/>
          </w:tcPr>
          <w:p>
            <w:pPr>
              <w:spacing w:after="0"/>
              <w:rPr>
                <w:sz w:val="18"/>
                <w:szCs w:val="18"/>
                <w:color w:val="auto"/>
              </w:rPr>
            </w:pPr>
          </w:p>
        </w:tc>
        <w:tc>
          <w:tcPr>
            <w:tcW w:w="666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F</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101.LA</w:t>
            </w:r>
          </w:p>
        </w:tc>
        <w:tc>
          <w:tcPr>
            <w:tcW w:w="160" w:type="dxa"/>
            <w:vAlign w:val="bottom"/>
            <w:shd w:val="clear" w:color="auto" w:fill="CFF0FC"/>
          </w:tcPr>
          <w:p>
            <w:pPr>
              <w:spacing w:after="0"/>
              <w:rPr>
                <w:sz w:val="19"/>
                <w:szCs w:val="19"/>
                <w:color w:val="auto"/>
              </w:rPr>
            </w:pPr>
          </w:p>
        </w:tc>
        <w:tc>
          <w:tcPr>
            <w:tcW w:w="6660" w:type="dxa"/>
            <w:vAlign w:val="bottom"/>
            <w:gridSpan w:val="18"/>
            <w:shd w:val="clear" w:color="auto" w:fill="CFF0FC"/>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B</w:t>
            </w:r>
          </w:p>
        </w:tc>
        <w:tc>
          <w:tcPr>
            <w:tcW w:w="16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w w:val="88"/>
              </w:rPr>
              <w:t>101.PRE</w:t>
            </w:r>
          </w:p>
        </w:tc>
        <w:tc>
          <w:tcPr>
            <w:tcW w:w="160" w:type="dxa"/>
            <w:vAlign w:val="bottom"/>
          </w:tcPr>
          <w:p>
            <w:pPr>
              <w:spacing w:after="0"/>
              <w:rPr>
                <w:sz w:val="20"/>
                <w:szCs w:val="20"/>
                <w:color w:val="auto"/>
              </w:rPr>
            </w:pPr>
          </w:p>
        </w:tc>
        <w:tc>
          <w:tcPr>
            <w:tcW w:w="666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FF0FC"/>
          </w:tcPr>
          <w:p>
            <w:pPr>
              <w:spacing w:after="0"/>
              <w:rPr>
                <w:sz w:val="21"/>
                <w:szCs w:val="21"/>
                <w:color w:val="auto"/>
              </w:rPr>
            </w:pPr>
          </w:p>
        </w:tc>
        <w:tc>
          <w:tcPr>
            <w:tcW w:w="6660" w:type="dxa"/>
            <w:vAlign w:val="bottom"/>
            <w:gridSpan w:val="18"/>
            <w:shd w:val="clear" w:color="auto" w:fill="CFF0FC"/>
          </w:tcPr>
          <w:p>
            <w:pPr>
              <w:spacing w:after="0"/>
              <w:rPr>
                <w:sz w:val="20"/>
                <w:szCs w:val="20"/>
                <w:color w:val="auto"/>
              </w:rPr>
            </w:pPr>
            <w:r>
              <w:rPr>
                <w:rFonts w:ascii="Arial" w:cs="Arial" w:eastAsia="Arial" w:hAnsi="Arial"/>
                <w:sz w:val="18"/>
                <w:szCs w:val="18"/>
                <w:color w:val="auto"/>
                <w:w w:val="93"/>
              </w:rPr>
              <w:t>Cover Page Interactive Data File (formatted as inline XBRL and contained in Exhibit 101)</w:t>
            </w: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5123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63" w:lineRule="exact"/>
        <w:rPr>
          <w:sz w:val="20"/>
          <w:szCs w:val="20"/>
          <w:color w:val="auto"/>
        </w:rPr>
      </w:pPr>
    </w:p>
    <w:p>
      <w:pPr>
        <w:ind w:firstLine="8"/>
        <w:spacing w:after="0" w:line="257" w:lineRule="auto"/>
        <w:tabs>
          <w:tab w:leader="none" w:pos="22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Furnished herewith. Any exhibits furnished herewith (including the certification furnished in Exhibit 32.1) are deemed to accompany this Quarterly Report on Form 10-Q and will not be deemed ‘filed’ for purposes of Section 18 of the Securities Exchange Act of 1934, as amended (the ‘Exchange Act’), or otherwise subject to the liability of that section. Such information shall not be incorporated by reference into any registration statement or other document pursuant to the Securities Act of 1933, as amended,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Willis Towers Watson Public Limited Company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(Registrant)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/s/ Carl A. Hess</w:t>
            </w:r>
          </w:p>
        </w:tc>
        <w:tc>
          <w:tcPr>
            <w:tcW w:w="620" w:type="dxa"/>
            <w:vAlign w:val="bottom"/>
          </w:tcPr>
          <w:p>
            <w:pPr>
              <w:spacing w:after="0"/>
              <w:rPr>
                <w:sz w:val="17"/>
                <w:szCs w:val="17"/>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July 27, 2023</w:t>
            </w:r>
          </w:p>
        </w:tc>
        <w:tc>
          <w:tcPr>
            <w:tcW w:w="4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24"/>
        </w:trPr>
        <w:tc>
          <w:tcPr>
            <w:tcW w:w="820" w:type="dxa"/>
            <w:vAlign w:val="bottom"/>
          </w:tcPr>
          <w:p>
            <w:pPr>
              <w:ind w:left="40"/>
              <w:spacing w:after="0"/>
              <w:rPr>
                <w:sz w:val="20"/>
                <w:szCs w:val="20"/>
                <w:color w:val="auto"/>
              </w:rPr>
            </w:pPr>
            <w:r>
              <w:rPr>
                <w:rFonts w:ascii="Arial" w:cs="Arial" w:eastAsia="Arial" w:hAnsi="Arial"/>
                <w:sz w:val="18"/>
                <w:szCs w:val="18"/>
                <w:color w:val="auto"/>
              </w:rPr>
              <w:t>Name:</w:t>
            </w:r>
          </w:p>
        </w:tc>
        <w:tc>
          <w:tcPr>
            <w:tcW w:w="4540" w:type="dxa"/>
            <w:vAlign w:val="bottom"/>
          </w:tcPr>
          <w:p>
            <w:pPr>
              <w:ind w:left="280"/>
              <w:spacing w:after="0"/>
              <w:rPr>
                <w:sz w:val="20"/>
                <w:szCs w:val="20"/>
                <w:color w:val="auto"/>
              </w:rPr>
            </w:pPr>
            <w:r>
              <w:rPr>
                <w:rFonts w:ascii="Arial" w:cs="Arial" w:eastAsia="Arial" w:hAnsi="Arial"/>
                <w:sz w:val="18"/>
                <w:szCs w:val="18"/>
                <w:color w:val="auto"/>
              </w:rPr>
              <w:t>Carl A. Hess</w:t>
            </w:r>
          </w:p>
        </w:tc>
        <w:tc>
          <w:tcPr>
            <w:tcW w:w="620" w:type="dxa"/>
            <w:vAlign w:val="bottom"/>
          </w:tcPr>
          <w:p>
            <w:pPr>
              <w:spacing w:after="0"/>
              <w:rPr>
                <w:sz w:val="19"/>
                <w:szCs w:val="19"/>
                <w:color w:val="auto"/>
              </w:rPr>
            </w:pPr>
          </w:p>
        </w:tc>
        <w:tc>
          <w:tcPr>
            <w:tcW w:w="5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20" w:type="dxa"/>
            <w:vAlign w:val="bottom"/>
          </w:tcPr>
          <w:p>
            <w:pPr>
              <w:ind w:left="40"/>
              <w:spacing w:after="0"/>
              <w:rPr>
                <w:sz w:val="20"/>
                <w:szCs w:val="20"/>
                <w:color w:val="auto"/>
              </w:rPr>
            </w:pPr>
            <w:r>
              <w:rPr>
                <w:rFonts w:ascii="Arial" w:cs="Arial" w:eastAsia="Arial" w:hAnsi="Arial"/>
                <w:sz w:val="18"/>
                <w:szCs w:val="18"/>
                <w:color w:val="auto"/>
              </w:rPr>
              <w:t>Title:</w:t>
            </w:r>
          </w:p>
        </w:tc>
        <w:tc>
          <w:tcPr>
            <w:tcW w:w="4540" w:type="dxa"/>
            <w:vAlign w:val="bottom"/>
          </w:tcPr>
          <w:p>
            <w:pPr>
              <w:ind w:left="280"/>
              <w:spacing w:after="0"/>
              <w:rPr>
                <w:sz w:val="20"/>
                <w:szCs w:val="20"/>
                <w:color w:val="auto"/>
              </w:rPr>
            </w:pPr>
            <w:r>
              <w:rPr>
                <w:rFonts w:ascii="Arial" w:cs="Arial" w:eastAsia="Arial" w:hAnsi="Arial"/>
                <w:sz w:val="18"/>
                <w:szCs w:val="18"/>
                <w:color w:val="auto"/>
              </w:rPr>
              <w:t>Chief Executive Officer</w:t>
            </w: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/s/ Andrew J. Krasner</w:t>
            </w:r>
          </w:p>
        </w:tc>
        <w:tc>
          <w:tcPr>
            <w:tcW w:w="62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July 27, 2023</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24"/>
        </w:trPr>
        <w:tc>
          <w:tcPr>
            <w:tcW w:w="820" w:type="dxa"/>
            <w:vAlign w:val="bottom"/>
          </w:tcPr>
          <w:p>
            <w:pPr>
              <w:ind w:left="40"/>
              <w:spacing w:after="0"/>
              <w:rPr>
                <w:sz w:val="20"/>
                <w:szCs w:val="20"/>
                <w:color w:val="auto"/>
              </w:rPr>
            </w:pPr>
            <w:r>
              <w:rPr>
                <w:rFonts w:ascii="Arial" w:cs="Arial" w:eastAsia="Arial" w:hAnsi="Arial"/>
                <w:sz w:val="18"/>
                <w:szCs w:val="18"/>
                <w:color w:val="auto"/>
              </w:rPr>
              <w:t>Name:</w:t>
            </w:r>
          </w:p>
        </w:tc>
        <w:tc>
          <w:tcPr>
            <w:tcW w:w="4540" w:type="dxa"/>
            <w:vAlign w:val="bottom"/>
          </w:tcPr>
          <w:p>
            <w:pPr>
              <w:ind w:left="280"/>
              <w:spacing w:after="0"/>
              <w:rPr>
                <w:sz w:val="20"/>
                <w:szCs w:val="20"/>
                <w:color w:val="auto"/>
              </w:rPr>
            </w:pPr>
            <w:r>
              <w:rPr>
                <w:rFonts w:ascii="Arial" w:cs="Arial" w:eastAsia="Arial" w:hAnsi="Arial"/>
                <w:sz w:val="18"/>
                <w:szCs w:val="18"/>
                <w:color w:val="auto"/>
              </w:rPr>
              <w:t>Andrew J. Krasner</w:t>
            </w:r>
          </w:p>
        </w:tc>
        <w:tc>
          <w:tcPr>
            <w:tcW w:w="620" w:type="dxa"/>
            <w:vAlign w:val="bottom"/>
          </w:tcPr>
          <w:p>
            <w:pPr>
              <w:spacing w:after="0"/>
              <w:rPr>
                <w:sz w:val="19"/>
                <w:szCs w:val="19"/>
                <w:color w:val="auto"/>
              </w:rPr>
            </w:pPr>
          </w:p>
        </w:tc>
        <w:tc>
          <w:tcPr>
            <w:tcW w:w="5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20" w:type="dxa"/>
            <w:vAlign w:val="bottom"/>
          </w:tcPr>
          <w:p>
            <w:pPr>
              <w:ind w:left="40"/>
              <w:spacing w:after="0"/>
              <w:rPr>
                <w:sz w:val="20"/>
                <w:szCs w:val="20"/>
                <w:color w:val="auto"/>
              </w:rPr>
            </w:pPr>
            <w:r>
              <w:rPr>
                <w:rFonts w:ascii="Arial" w:cs="Arial" w:eastAsia="Arial" w:hAnsi="Arial"/>
                <w:sz w:val="18"/>
                <w:szCs w:val="18"/>
                <w:color w:val="auto"/>
              </w:rPr>
              <w:t>Title:</w:t>
            </w:r>
          </w:p>
        </w:tc>
        <w:tc>
          <w:tcPr>
            <w:tcW w:w="4540" w:type="dxa"/>
            <w:vAlign w:val="bottom"/>
          </w:tcPr>
          <w:p>
            <w:pPr>
              <w:ind w:left="280"/>
              <w:spacing w:after="0"/>
              <w:rPr>
                <w:sz w:val="20"/>
                <w:szCs w:val="20"/>
                <w:color w:val="auto"/>
              </w:rPr>
            </w:pPr>
            <w:r>
              <w:rPr>
                <w:rFonts w:ascii="Arial" w:cs="Arial" w:eastAsia="Arial" w:hAnsi="Arial"/>
                <w:sz w:val="18"/>
                <w:szCs w:val="18"/>
                <w:color w:val="auto"/>
              </w:rPr>
              <w:t>Chief Financial Officer</w:t>
            </w: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/s/ Joseph S. Kurpis</w:t>
            </w:r>
          </w:p>
        </w:tc>
        <w:tc>
          <w:tcPr>
            <w:tcW w:w="62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July 27, 2023</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24"/>
        </w:trPr>
        <w:tc>
          <w:tcPr>
            <w:tcW w:w="820" w:type="dxa"/>
            <w:vAlign w:val="bottom"/>
          </w:tcPr>
          <w:p>
            <w:pPr>
              <w:ind w:left="40"/>
              <w:spacing w:after="0"/>
              <w:rPr>
                <w:sz w:val="20"/>
                <w:szCs w:val="20"/>
                <w:color w:val="auto"/>
              </w:rPr>
            </w:pPr>
            <w:r>
              <w:rPr>
                <w:rFonts w:ascii="Arial" w:cs="Arial" w:eastAsia="Arial" w:hAnsi="Arial"/>
                <w:sz w:val="18"/>
                <w:szCs w:val="18"/>
                <w:color w:val="auto"/>
              </w:rPr>
              <w:t>Name:</w:t>
            </w:r>
          </w:p>
        </w:tc>
        <w:tc>
          <w:tcPr>
            <w:tcW w:w="4540" w:type="dxa"/>
            <w:vAlign w:val="bottom"/>
          </w:tcPr>
          <w:p>
            <w:pPr>
              <w:ind w:left="280"/>
              <w:spacing w:after="0"/>
              <w:rPr>
                <w:sz w:val="20"/>
                <w:szCs w:val="20"/>
                <w:color w:val="auto"/>
              </w:rPr>
            </w:pPr>
            <w:r>
              <w:rPr>
                <w:rFonts w:ascii="Arial" w:cs="Arial" w:eastAsia="Arial" w:hAnsi="Arial"/>
                <w:sz w:val="18"/>
                <w:szCs w:val="18"/>
                <w:color w:val="auto"/>
              </w:rPr>
              <w:t>Joseph S. Kurpis</w:t>
            </w:r>
          </w:p>
        </w:tc>
        <w:tc>
          <w:tcPr>
            <w:tcW w:w="620" w:type="dxa"/>
            <w:vAlign w:val="bottom"/>
          </w:tcPr>
          <w:p>
            <w:pPr>
              <w:spacing w:after="0"/>
              <w:rPr>
                <w:sz w:val="19"/>
                <w:szCs w:val="19"/>
                <w:color w:val="auto"/>
              </w:rPr>
            </w:pPr>
          </w:p>
        </w:tc>
        <w:tc>
          <w:tcPr>
            <w:tcW w:w="5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20" w:type="dxa"/>
            <w:vAlign w:val="bottom"/>
          </w:tcPr>
          <w:p>
            <w:pPr>
              <w:ind w:left="40"/>
              <w:spacing w:after="0"/>
              <w:rPr>
                <w:sz w:val="20"/>
                <w:szCs w:val="20"/>
                <w:color w:val="auto"/>
              </w:rPr>
            </w:pPr>
            <w:r>
              <w:rPr>
                <w:rFonts w:ascii="Arial" w:cs="Arial" w:eastAsia="Arial" w:hAnsi="Arial"/>
                <w:sz w:val="18"/>
                <w:szCs w:val="18"/>
                <w:color w:val="auto"/>
              </w:rPr>
              <w:t>Title:</w:t>
            </w:r>
          </w:p>
        </w:tc>
        <w:tc>
          <w:tcPr>
            <w:tcW w:w="4540" w:type="dxa"/>
            <w:vAlign w:val="bottom"/>
          </w:tcPr>
          <w:p>
            <w:pPr>
              <w:ind w:left="280"/>
              <w:spacing w:after="0"/>
              <w:rPr>
                <w:sz w:val="20"/>
                <w:szCs w:val="20"/>
                <w:color w:val="auto"/>
              </w:rPr>
            </w:pPr>
            <w:r>
              <w:rPr>
                <w:rFonts w:ascii="Arial" w:cs="Arial" w:eastAsia="Arial" w:hAnsi="Arial"/>
                <w:sz w:val="18"/>
                <w:szCs w:val="18"/>
                <w:color w:val="auto"/>
              </w:rPr>
              <w:t>Principal Accounting Officer and Controller</w:t>
            </w: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8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51</w:t>
            </w:r>
          </w:p>
        </w:tc>
        <w:tc>
          <w:tcPr>
            <w:tcW w:w="9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ind w:left="9100"/>
        <w:spacing w:after="0"/>
        <w:rPr>
          <w:sz w:val="20"/>
          <w:szCs w:val="20"/>
          <w:color w:val="auto"/>
        </w:rPr>
      </w:pPr>
      <w:r>
        <w:rPr>
          <w:rFonts w:ascii="Arial" w:cs="Arial" w:eastAsia="Arial" w:hAnsi="Arial"/>
          <w:sz w:val="20"/>
          <w:szCs w:val="20"/>
          <w:b w:val="1"/>
          <w:bCs w:val="1"/>
          <w:color w:val="auto"/>
        </w:rPr>
        <w:t>Exhibit 10.1</w:t>
      </w:r>
    </w:p>
    <w:p>
      <w:pPr>
        <w:spacing w:after="0" w:line="229"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FIRST AMENDMENT</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FIRST AMENDMENT (this “</w:t>
      </w:r>
      <w:r>
        <w:rPr>
          <w:rFonts w:ascii="Arial" w:cs="Arial" w:eastAsia="Arial" w:hAnsi="Arial"/>
          <w:sz w:val="20"/>
          <w:szCs w:val="20"/>
          <w:u w:val="single" w:color="auto"/>
          <w:color w:val="auto"/>
        </w:rPr>
        <w:t>Amendment</w:t>
      </w:r>
      <w:r>
        <w:rPr>
          <w:rFonts w:ascii="Arial" w:cs="Arial" w:eastAsia="Arial" w:hAnsi="Arial"/>
          <w:sz w:val="20"/>
          <w:szCs w:val="20"/>
          <w:color w:val="auto"/>
        </w:rPr>
        <w:t>”) is made as of June 29, 2023 by and among Trinity Acquisition PLC (the “</w:t>
      </w:r>
      <w:r>
        <w:rPr>
          <w:rFonts w:ascii="Arial" w:cs="Arial" w:eastAsia="Arial" w:hAnsi="Arial"/>
          <w:sz w:val="20"/>
          <w:szCs w:val="20"/>
          <w:u w:val="single" w:color="auto"/>
          <w:color w:val="auto"/>
        </w:rPr>
        <w:t>Company</w:t>
      </w:r>
      <w:r>
        <w:rPr>
          <w:rFonts w:ascii="Arial" w:cs="Arial" w:eastAsia="Arial" w:hAnsi="Arial"/>
          <w:sz w:val="20"/>
          <w:szCs w:val="20"/>
          <w:color w:val="auto"/>
        </w:rPr>
        <w:t>”), Willis Towers Watson Public Limited Company (the “</w:t>
      </w:r>
      <w:r>
        <w:rPr>
          <w:rFonts w:ascii="Arial" w:cs="Arial" w:eastAsia="Arial" w:hAnsi="Arial"/>
          <w:sz w:val="20"/>
          <w:szCs w:val="20"/>
          <w:u w:val="single" w:color="auto"/>
          <w:color w:val="auto"/>
        </w:rPr>
        <w:t>Parent</w:t>
      </w:r>
      <w:r>
        <w:rPr>
          <w:rFonts w:ascii="Arial" w:cs="Arial" w:eastAsia="Arial" w:hAnsi="Arial"/>
          <w:sz w:val="20"/>
          <w:szCs w:val="20"/>
          <w:color w:val="auto"/>
        </w:rPr>
        <w:t>”), the Designated Borrowers party hereto, each of the Guarantors party to the Guaranty Agreement (the “</w:t>
      </w:r>
      <w:r>
        <w:rPr>
          <w:rFonts w:ascii="Arial" w:cs="Arial" w:eastAsia="Arial" w:hAnsi="Arial"/>
          <w:sz w:val="20"/>
          <w:szCs w:val="20"/>
          <w:u w:val="single" w:color="auto"/>
          <w:color w:val="auto"/>
        </w:rPr>
        <w:t>Guarantors</w:t>
      </w:r>
      <w:r>
        <w:rPr>
          <w:rFonts w:ascii="Arial" w:cs="Arial" w:eastAsia="Arial" w:hAnsi="Arial"/>
          <w:sz w:val="20"/>
          <w:szCs w:val="20"/>
          <w:color w:val="auto"/>
        </w:rPr>
        <w:t>”) described in the Existing Credit Agreement (as defined below), the Lenders party to the Existing Credit Agreement and Barclays Bank PLC,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Capitalized terms used herein and not otherwise defined herein shall have the respective meanings given to them in the Existing Credit Agreement as modified by this Amendment.</w:t>
      </w:r>
    </w:p>
    <w:p>
      <w:pPr>
        <w:spacing w:after="0" w:line="223" w:lineRule="exact"/>
        <w:rPr>
          <w:sz w:val="20"/>
          <w:szCs w:val="20"/>
          <w:color w:val="auto"/>
        </w:rPr>
      </w:pPr>
    </w:p>
    <w:p>
      <w:pPr>
        <w:ind w:left="4200"/>
        <w:spacing w:after="0"/>
        <w:rPr>
          <w:sz w:val="20"/>
          <w:szCs w:val="20"/>
          <w:color w:val="auto"/>
        </w:rPr>
      </w:pPr>
      <w:r>
        <w:rPr>
          <w:rFonts w:ascii="Arial" w:cs="Arial" w:eastAsia="Arial" w:hAnsi="Arial"/>
          <w:sz w:val="20"/>
          <w:szCs w:val="20"/>
          <w:u w:val="single" w:color="auto"/>
          <w:color w:val="auto"/>
        </w:rPr>
        <w:t>W I T N E S S E T H:</w:t>
      </w:r>
    </w:p>
    <w:p>
      <w:pPr>
        <w:spacing w:after="0" w:line="310" w:lineRule="exact"/>
        <w:rPr>
          <w:sz w:val="20"/>
          <w:szCs w:val="20"/>
          <w:color w:val="auto"/>
        </w:rPr>
      </w:pPr>
    </w:p>
    <w:p>
      <w:pPr>
        <w:jc w:val="both"/>
        <w:ind w:right="600" w:firstLine="1496"/>
        <w:spacing w:after="0" w:line="246" w:lineRule="auto"/>
        <w:rPr>
          <w:sz w:val="20"/>
          <w:szCs w:val="20"/>
          <w:color w:val="auto"/>
        </w:rPr>
      </w:pPr>
      <w:r>
        <w:rPr>
          <w:rFonts w:ascii="Arial" w:cs="Arial" w:eastAsia="Arial" w:hAnsi="Arial"/>
          <w:sz w:val="20"/>
          <w:szCs w:val="20"/>
          <w:color w:val="auto"/>
        </w:rPr>
        <w:t>WHEREAS, the Parent, the Company, the Designated Borrowers, the Lenders and the Administrative Agent are parties to that certain Second Amended and Restated Credit Agreement dated as of October 6, 2021 (as amended, restated, amended and restated, supplemented or otherwise modified prior to the date hereof,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and as amended by this Amendment,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56" w:lineRule="exact"/>
        <w:rPr>
          <w:sz w:val="20"/>
          <w:szCs w:val="20"/>
          <w:color w:val="auto"/>
        </w:rPr>
      </w:pPr>
    </w:p>
    <w:p>
      <w:pPr>
        <w:jc w:val="both"/>
        <w:ind w:right="600" w:firstLine="1496"/>
        <w:spacing w:after="0" w:line="246" w:lineRule="auto"/>
        <w:rPr>
          <w:sz w:val="20"/>
          <w:szCs w:val="20"/>
          <w:color w:val="auto"/>
        </w:rPr>
      </w:pPr>
      <w:r>
        <w:rPr>
          <w:rFonts w:ascii="Arial" w:cs="Arial" w:eastAsia="Arial" w:hAnsi="Arial"/>
          <w:sz w:val="20"/>
          <w:szCs w:val="20"/>
          <w:color w:val="auto"/>
        </w:rPr>
        <w:t>WHEREAS, certain loans, commitments and/or other extensions of credit (the “</w:t>
      </w:r>
      <w:r>
        <w:rPr>
          <w:rFonts w:ascii="Arial" w:cs="Arial" w:eastAsia="Arial" w:hAnsi="Arial"/>
          <w:sz w:val="20"/>
          <w:szCs w:val="20"/>
          <w:u w:val="single" w:color="auto"/>
          <w:color w:val="auto"/>
        </w:rPr>
        <w:t>Loans</w:t>
      </w:r>
      <w:r>
        <w:rPr>
          <w:rFonts w:ascii="Arial" w:cs="Arial" w:eastAsia="Arial" w:hAnsi="Arial"/>
          <w:sz w:val="20"/>
          <w:szCs w:val="20"/>
          <w:color w:val="auto"/>
        </w:rPr>
        <w:t xml:space="preserve">”) under the Existing Credit Agreement denominated in Dollars (the “ </w:t>
      </w:r>
      <w:r>
        <w:rPr>
          <w:rFonts w:ascii="Arial" w:cs="Arial" w:eastAsia="Arial" w:hAnsi="Arial"/>
          <w:sz w:val="20"/>
          <w:szCs w:val="20"/>
          <w:u w:val="single" w:color="auto"/>
          <w:color w:val="auto"/>
        </w:rPr>
        <w:t>Affected Currency</w:t>
      </w:r>
      <w:r>
        <w:rPr>
          <w:rFonts w:ascii="Arial" w:cs="Arial" w:eastAsia="Arial" w:hAnsi="Arial"/>
          <w:sz w:val="20"/>
          <w:szCs w:val="20"/>
          <w:color w:val="auto"/>
        </w:rPr>
        <w:t>”) incur or are permitted to incur interest, fees or other amounts based on the London Interbank Offered Rate as administered by the ICE Benchmark Administration (“</w:t>
      </w:r>
      <w:r>
        <w:rPr>
          <w:rFonts w:ascii="Arial" w:cs="Arial" w:eastAsia="Arial" w:hAnsi="Arial"/>
          <w:sz w:val="20"/>
          <w:szCs w:val="20"/>
          <w:u w:val="single" w:color="auto"/>
          <w:color w:val="auto"/>
        </w:rPr>
        <w:t>LIBOR</w:t>
      </w:r>
      <w:r>
        <w:rPr>
          <w:rFonts w:ascii="Arial" w:cs="Arial" w:eastAsia="Arial" w:hAnsi="Arial"/>
          <w:sz w:val="20"/>
          <w:szCs w:val="20"/>
          <w:color w:val="auto"/>
        </w:rPr>
        <w:t>”) in accordance with the terms of the Existing Credit Agreement;</w:t>
      </w:r>
    </w:p>
    <w:p>
      <w:pPr>
        <w:spacing w:after="0" w:line="205" w:lineRule="exact"/>
        <w:rPr>
          <w:sz w:val="20"/>
          <w:szCs w:val="20"/>
          <w:color w:val="auto"/>
        </w:rPr>
      </w:pPr>
    </w:p>
    <w:p>
      <w:pPr>
        <w:jc w:val="both"/>
        <w:ind w:left="20" w:right="560" w:firstLine="1497"/>
        <w:spacing w:after="0" w:line="250" w:lineRule="auto"/>
        <w:rPr>
          <w:sz w:val="20"/>
          <w:szCs w:val="20"/>
          <w:color w:val="auto"/>
        </w:rPr>
      </w:pPr>
      <w:r>
        <w:rPr>
          <w:rFonts w:ascii="Arial" w:cs="Arial" w:eastAsia="Arial" w:hAnsi="Arial"/>
          <w:sz w:val="20"/>
          <w:szCs w:val="20"/>
          <w:color w:val="auto"/>
        </w:rPr>
        <w:t>WHEREAS, the Company has requested that the Lenders agree to amend the Existing Credit Agreement to replace the interest rate benchmark for the Affected Currency from LIBOR to SOFR and to reflect the related conforming changes, as set forth in this Amendment;</w:t>
      </w:r>
    </w:p>
    <w:p>
      <w:pPr>
        <w:spacing w:after="0" w:line="213" w:lineRule="exact"/>
        <w:rPr>
          <w:sz w:val="20"/>
          <w:szCs w:val="20"/>
          <w:color w:val="auto"/>
        </w:rPr>
      </w:pPr>
    </w:p>
    <w:p>
      <w:pPr>
        <w:ind w:right="660" w:firstLine="1496"/>
        <w:spacing w:after="0" w:line="316" w:lineRule="auto"/>
        <w:rPr>
          <w:sz w:val="20"/>
          <w:szCs w:val="20"/>
          <w:color w:val="auto"/>
        </w:rPr>
      </w:pPr>
      <w:r>
        <w:rPr>
          <w:rFonts w:ascii="Arial" w:cs="Arial" w:eastAsia="Arial" w:hAnsi="Arial"/>
          <w:sz w:val="18"/>
          <w:szCs w:val="18"/>
          <w:color w:val="auto"/>
        </w:rPr>
        <w:t>WHEREAS, Section 10.01 of the Existing Credit Agreement provides that the Existing Credit Agreement may be amended as set forth in this Amendment by the Company, other applicable Loan Parties and all Lenders;</w:t>
      </w:r>
    </w:p>
    <w:p>
      <w:pPr>
        <w:spacing w:after="0" w:line="157" w:lineRule="exact"/>
        <w:rPr>
          <w:sz w:val="20"/>
          <w:szCs w:val="20"/>
          <w:color w:val="auto"/>
        </w:rPr>
      </w:pPr>
    </w:p>
    <w:p>
      <w:pPr>
        <w:ind w:right="1160" w:firstLine="1496"/>
        <w:spacing w:after="0" w:line="260" w:lineRule="auto"/>
        <w:rPr>
          <w:sz w:val="20"/>
          <w:szCs w:val="20"/>
          <w:color w:val="auto"/>
        </w:rPr>
      </w:pPr>
      <w:r>
        <w:rPr>
          <w:rFonts w:ascii="Arial" w:cs="Arial" w:eastAsia="Arial" w:hAnsi="Arial"/>
          <w:sz w:val="20"/>
          <w:szCs w:val="20"/>
          <w:color w:val="auto"/>
        </w:rPr>
        <w:t>WHEREAS, each Lender to the Existing Credit Agreement and listed on its signature page hereof has agreed to such amendments on the terms and conditions set forth herein;</w:t>
      </w:r>
    </w:p>
    <w:p>
      <w:pPr>
        <w:spacing w:after="0" w:line="190" w:lineRule="exact"/>
        <w:rPr>
          <w:sz w:val="20"/>
          <w:szCs w:val="20"/>
          <w:color w:val="auto"/>
        </w:rPr>
      </w:pPr>
    </w:p>
    <w:p>
      <w:pPr>
        <w:jc w:val="both"/>
        <w:ind w:right="980" w:firstLine="1496"/>
        <w:spacing w:after="0" w:line="250" w:lineRule="auto"/>
        <w:rPr>
          <w:sz w:val="20"/>
          <w:szCs w:val="20"/>
          <w:color w:val="auto"/>
        </w:rPr>
      </w:pPr>
      <w:r>
        <w:rPr>
          <w:rFonts w:ascii="Arial" w:cs="Arial" w:eastAsia="Arial" w:hAnsi="Arial"/>
          <w:sz w:val="20"/>
          <w:szCs w:val="20"/>
          <w:color w:val="auto"/>
        </w:rPr>
        <w:t>NOW, THEREFORE, in consideration of the premises set forth above, the terms and conditions contained herein, and other good and valuable consideration, the receipt and sufficiency of which are hereby acknowledged, the parties hereto hereby agree as follows:</w:t>
      </w:r>
    </w:p>
    <w:p>
      <w:pPr>
        <w:spacing w:after="0" w:line="213" w:lineRule="exact"/>
        <w:rPr>
          <w:sz w:val="20"/>
          <w:szCs w:val="20"/>
          <w:color w:val="auto"/>
        </w:rPr>
      </w:pPr>
    </w:p>
    <w:p>
      <w:pPr>
        <w:jc w:val="both"/>
        <w:ind w:right="560" w:firstLine="758"/>
        <w:spacing w:after="0" w:line="276" w:lineRule="auto"/>
        <w:tabs>
          <w:tab w:leader="none" w:pos="1223"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Amendments to the Existing Credit Agreement</w:t>
      </w:r>
      <w:r>
        <w:rPr>
          <w:rFonts w:ascii="Arial" w:cs="Arial" w:eastAsia="Arial" w:hAnsi="Arial"/>
          <w:sz w:val="18"/>
          <w:szCs w:val="18"/>
          <w:color w:val="auto"/>
        </w:rPr>
        <w:t xml:space="preserve">. Effective as of the Amendment Effective Date (as defined below) the Existing Credit Agreement is hereby amended to: (i) delete the stricken text (indicated textually in the same manner as the following example: </w:t>
      </w:r>
      <w:r>
        <w:rPr>
          <w:rFonts w:ascii="Arial" w:cs="Arial" w:eastAsia="Arial" w:hAnsi="Arial"/>
          <w:sz w:val="18"/>
          <w:szCs w:val="18"/>
          <w:u w:val="single" w:color="auto"/>
          <w:color w:val="FF0000"/>
          <w:strike w:val="1"/>
        </w:rPr>
        <w:t>stricken text</w:t>
      </w:r>
      <w:r>
        <w:rPr>
          <w:rFonts w:ascii="Arial" w:cs="Arial" w:eastAsia="Arial" w:hAnsi="Arial"/>
          <w:sz w:val="18"/>
          <w:szCs w:val="18"/>
          <w:color w:val="auto"/>
        </w:rPr>
        <w:t xml:space="preserve">) and to add the double-underlined text (indicated textually in the same manner as the following example: </w:t>
      </w:r>
      <w:r>
        <w:rPr>
          <w:rFonts w:ascii="Arial" w:cs="Arial" w:eastAsia="Arial" w:hAnsi="Arial"/>
          <w:sz w:val="18"/>
          <w:szCs w:val="18"/>
          <w:u w:val="single" w:color="auto"/>
          <w:color w:val="0000FF"/>
        </w:rPr>
        <w:t>double-underlined text</w:t>
      </w:r>
      <w:r>
        <w:rPr>
          <w:rFonts w:ascii="Arial" w:cs="Arial" w:eastAsia="Arial" w:hAnsi="Arial"/>
          <w:sz w:val="18"/>
          <w:szCs w:val="18"/>
          <w:color w:val="auto"/>
        </w:rPr>
        <w:t>) as set forth in the pages of the Existing Credit Agreement attached as Annex A, (ii) amend and restate Exhibit A-1 to the Existing Credit Agreement in its entirety in the form attached as Annex B hereto and (iii) amend and restate Exhibit G to the Existing Credit Agreement in its entirety in the form attached as Annex C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1336040</wp:posOffset>
            </wp:positionH>
            <wp:positionV relativeFrom="paragraph">
              <wp:posOffset>-483870</wp:posOffset>
            </wp:positionV>
            <wp:extent cx="4127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41275" cy="8255"/>
                    </a:xfrm>
                    <a:prstGeom prst="rect">
                      <a:avLst/>
                    </a:prstGeom>
                    <a:noFill/>
                  </pic:spPr>
                </pic:pic>
              </a:graphicData>
            </a:graphic>
          </wp:anchor>
        </w:drawing>
      </w:r>
    </w:p>
    <w:p>
      <w:pPr>
        <w:spacing w:after="0" w:line="172" w:lineRule="exact"/>
        <w:rPr>
          <w:sz w:val="20"/>
          <w:szCs w:val="20"/>
          <w:color w:val="auto"/>
        </w:rPr>
      </w:pPr>
    </w:p>
    <w:p>
      <w:pPr>
        <w:ind w:right="920" w:firstLine="758"/>
        <w:spacing w:after="0" w:line="260" w:lineRule="auto"/>
        <w:tabs>
          <w:tab w:leader="none" w:pos="1193"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Conditions of Effectiveness</w:t>
      </w:r>
      <w:r>
        <w:rPr>
          <w:rFonts w:ascii="Arial" w:cs="Arial" w:eastAsia="Arial" w:hAnsi="Arial"/>
          <w:sz w:val="20"/>
          <w:szCs w:val="20"/>
          <w:color w:val="auto"/>
        </w:rPr>
        <w:t>. This Amendment shall become effective on the date that each of the following conditions is met or waived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196215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346" w:right="339" w:bottom="1440" w:gutter="0" w:footer="0" w:header="0"/>
        </w:sectPr>
      </w:pPr>
    </w:p>
    <w:bookmarkStart w:id="53" w:name="page54"/>
    <w:bookmarkEnd w:id="53"/>
    <w:p>
      <w:pPr>
        <w:jc w:val="both"/>
        <w:ind w:right="560" w:firstLine="1507"/>
        <w:spacing w:after="0" w:line="250" w:lineRule="auto"/>
        <w:tabs>
          <w:tab w:leader="none" w:pos="2041" w:val="left"/>
        </w:tabs>
        <w:numPr>
          <w:ilvl w:val="2"/>
          <w:numId w:val="35"/>
        </w:numPr>
        <w:rPr>
          <w:rFonts w:ascii="Arial" w:cs="Arial" w:eastAsia="Arial" w:hAnsi="Arial"/>
          <w:sz w:val="20"/>
          <w:szCs w:val="20"/>
          <w:color w:val="auto"/>
        </w:rPr>
      </w:pPr>
      <w:r>
        <w:rPr>
          <w:rFonts w:ascii="Arial" w:cs="Arial" w:eastAsia="Arial" w:hAnsi="Arial"/>
          <w:sz w:val="20"/>
          <w:szCs w:val="20"/>
          <w:u w:val="single" w:color="auto"/>
          <w:color w:val="auto"/>
        </w:rPr>
        <w:t>Execution of Counterparts</w:t>
      </w:r>
      <w:r>
        <w:rPr>
          <w:rFonts w:ascii="Arial" w:cs="Arial" w:eastAsia="Arial" w:hAnsi="Arial"/>
          <w:sz w:val="20"/>
          <w:szCs w:val="20"/>
          <w:color w:val="auto"/>
        </w:rPr>
        <w:t>. The Administrative Agent shall have received counterparts of this Amendment executed by the Parent, the Company, each Designated Borrower, each Guarantor, each Lender to the Existing Credit Agreement and the Administrative Agent.</w:t>
      </w:r>
    </w:p>
    <w:p>
      <w:pPr>
        <w:spacing w:after="0" w:line="212" w:lineRule="exact"/>
        <w:rPr>
          <w:rFonts w:ascii="Arial" w:cs="Arial" w:eastAsia="Arial" w:hAnsi="Arial"/>
          <w:sz w:val="20"/>
          <w:szCs w:val="20"/>
          <w:color w:val="auto"/>
        </w:rPr>
      </w:pPr>
    </w:p>
    <w:p>
      <w:pPr>
        <w:jc w:val="both"/>
        <w:ind w:right="560" w:firstLine="1507"/>
        <w:spacing w:after="0" w:line="250" w:lineRule="auto"/>
        <w:tabs>
          <w:tab w:leader="none" w:pos="1996" w:val="left"/>
        </w:tabs>
        <w:numPr>
          <w:ilvl w:val="2"/>
          <w:numId w:val="35"/>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As of the Amendment Effective Date, immediately before and after giving effect to this Amendment, the representations and warranties set forth in Section III below shall be true and correct in all material respects (without duplication of any materiality qualifiers contained therein);</w:t>
      </w:r>
    </w:p>
    <w:p>
      <w:pPr>
        <w:spacing w:after="0" w:line="199" w:lineRule="exact"/>
        <w:rPr>
          <w:rFonts w:ascii="Arial" w:cs="Arial" w:eastAsia="Arial" w:hAnsi="Arial"/>
          <w:sz w:val="20"/>
          <w:szCs w:val="20"/>
          <w:color w:val="auto"/>
        </w:rPr>
      </w:pPr>
    </w:p>
    <w:p>
      <w:pPr>
        <w:ind w:right="560" w:firstLine="1507"/>
        <w:spacing w:after="0" w:line="260" w:lineRule="auto"/>
        <w:tabs>
          <w:tab w:leader="none" w:pos="1995" w:val="left"/>
        </w:tabs>
        <w:numPr>
          <w:ilvl w:val="2"/>
          <w:numId w:val="35"/>
        </w:numPr>
        <w:rPr>
          <w:rFonts w:ascii="Arial" w:cs="Arial" w:eastAsia="Arial" w:hAnsi="Arial"/>
          <w:sz w:val="20"/>
          <w:szCs w:val="20"/>
          <w:color w:val="auto"/>
        </w:rPr>
      </w:pPr>
      <w:r>
        <w:rPr>
          <w:rFonts w:ascii="Arial" w:cs="Arial" w:eastAsia="Arial" w:hAnsi="Arial"/>
          <w:sz w:val="20"/>
          <w:szCs w:val="20"/>
          <w:u w:val="single" w:color="auto"/>
          <w:color w:val="auto"/>
        </w:rPr>
        <w:t>No Default or Event of Default</w:t>
      </w:r>
      <w:r>
        <w:rPr>
          <w:rFonts w:ascii="Arial" w:cs="Arial" w:eastAsia="Arial" w:hAnsi="Arial"/>
          <w:sz w:val="20"/>
          <w:szCs w:val="20"/>
          <w:color w:val="auto"/>
        </w:rPr>
        <w:t>. As of the Amendment Effective Date, immediately before and after giving effect to this Amendment, no Default or Event of Default shall have occurred and be continuing.</w:t>
      </w:r>
    </w:p>
    <w:p>
      <w:pPr>
        <w:spacing w:after="0" w:line="190" w:lineRule="exact"/>
        <w:rPr>
          <w:rFonts w:ascii="Arial" w:cs="Arial" w:eastAsia="Arial" w:hAnsi="Arial"/>
          <w:sz w:val="20"/>
          <w:szCs w:val="20"/>
          <w:color w:val="auto"/>
        </w:rPr>
      </w:pPr>
    </w:p>
    <w:p>
      <w:pPr>
        <w:jc w:val="both"/>
        <w:ind w:right="560" w:firstLine="1428"/>
        <w:spacing w:after="0" w:line="250" w:lineRule="auto"/>
        <w:tabs>
          <w:tab w:leader="none" w:pos="1991" w:val="left"/>
        </w:tabs>
        <w:numPr>
          <w:ilvl w:val="1"/>
          <w:numId w:val="36"/>
        </w:numPr>
        <w:rPr>
          <w:rFonts w:ascii="Arial" w:cs="Arial" w:eastAsia="Arial" w:hAnsi="Arial"/>
          <w:sz w:val="20"/>
          <w:szCs w:val="20"/>
          <w:color w:val="auto"/>
        </w:rPr>
      </w:pPr>
      <w:r>
        <w:rPr>
          <w:rFonts w:ascii="Arial" w:cs="Arial" w:eastAsia="Arial" w:hAnsi="Arial"/>
          <w:sz w:val="20"/>
          <w:szCs w:val="20"/>
          <w:u w:val="single" w:color="auto"/>
          <w:color w:val="auto"/>
        </w:rPr>
        <w:t>Fees and Expenses</w:t>
      </w:r>
      <w:r>
        <w:rPr>
          <w:rFonts w:ascii="Arial" w:cs="Arial" w:eastAsia="Arial" w:hAnsi="Arial"/>
          <w:sz w:val="20"/>
          <w:szCs w:val="20"/>
          <w:color w:val="auto"/>
        </w:rPr>
        <w:t>. The Company shall have paid all fees and expenses (including fees, charges and disbursements of counsel invoiced prior to the Amendment Effective Date) required to be paid on or prior to the Amendment Effective Date to the Administrative Agent in connection with this Amendment.</w:t>
      </w:r>
    </w:p>
    <w:p>
      <w:pPr>
        <w:spacing w:after="0" w:line="199" w:lineRule="exact"/>
        <w:rPr>
          <w:rFonts w:ascii="Arial" w:cs="Arial" w:eastAsia="Arial" w:hAnsi="Arial"/>
          <w:sz w:val="20"/>
          <w:szCs w:val="20"/>
          <w:color w:val="auto"/>
        </w:rPr>
      </w:pPr>
    </w:p>
    <w:p>
      <w:pPr>
        <w:ind w:right="560" w:firstLine="719"/>
        <w:spacing w:after="0" w:line="260" w:lineRule="auto"/>
        <w:tabs>
          <w:tab w:leader="none" w:pos="1237"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Loan Party represent and warrant to each of the Lenders and the Administrative Agent that as of the Amendment Effective Date:</w:t>
      </w:r>
    </w:p>
    <w:p>
      <w:pPr>
        <w:spacing w:after="0" w:line="257" w:lineRule="exact"/>
        <w:rPr>
          <w:rFonts w:ascii="Arial" w:cs="Arial" w:eastAsia="Arial" w:hAnsi="Arial"/>
          <w:sz w:val="20"/>
          <w:szCs w:val="20"/>
          <w:color w:val="auto"/>
        </w:rPr>
      </w:pPr>
    </w:p>
    <w:p>
      <w:pPr>
        <w:jc w:val="both"/>
        <w:ind w:right="560" w:firstLine="1507"/>
        <w:spacing w:after="0" w:line="260" w:lineRule="auto"/>
        <w:tabs>
          <w:tab w:leader="none" w:pos="2043" w:val="left"/>
        </w:tabs>
        <w:numPr>
          <w:ilvl w:val="2"/>
          <w:numId w:val="37"/>
        </w:numPr>
        <w:rPr>
          <w:rFonts w:ascii="Arial" w:cs="Arial" w:eastAsia="Arial" w:hAnsi="Arial"/>
          <w:sz w:val="19"/>
          <w:szCs w:val="19"/>
          <w:u w:val="single" w:color="auto"/>
          <w:color w:val="auto"/>
        </w:rPr>
      </w:pPr>
      <w:r>
        <w:rPr>
          <w:rFonts w:ascii="Arial" w:cs="Arial" w:eastAsia="Arial" w:hAnsi="Arial"/>
          <w:sz w:val="19"/>
          <w:szCs w:val="19"/>
          <w:color w:val="auto"/>
        </w:rPr>
        <w:t>This Amendment has been duly authorized, executed and delivered by each Loan Party and constitutes, and the Existing Credit Agreement, as amended hereby on the Amendment Effective Date, will constitute, its legal, valid and binding obligation, enforceable against such Loan Party and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7" w:lineRule="exact"/>
        <w:rPr>
          <w:rFonts w:ascii="Arial" w:cs="Arial" w:eastAsia="Arial" w:hAnsi="Arial"/>
          <w:sz w:val="19"/>
          <w:szCs w:val="19"/>
          <w:u w:val="single" w:color="auto"/>
          <w:color w:val="auto"/>
        </w:rPr>
      </w:pPr>
    </w:p>
    <w:p>
      <w:pPr>
        <w:jc w:val="both"/>
        <w:ind w:right="560" w:firstLine="1507"/>
        <w:spacing w:after="0" w:line="257" w:lineRule="auto"/>
        <w:tabs>
          <w:tab w:leader="none" w:pos="1981" w:val="left"/>
        </w:tabs>
        <w:numPr>
          <w:ilvl w:val="2"/>
          <w:numId w:val="37"/>
        </w:numPr>
        <w:rPr>
          <w:rFonts w:ascii="Arial" w:cs="Arial" w:eastAsia="Arial" w:hAnsi="Arial"/>
          <w:sz w:val="19"/>
          <w:szCs w:val="19"/>
          <w:color w:val="auto"/>
        </w:rPr>
      </w:pPr>
      <w:r>
        <w:rPr>
          <w:rFonts w:ascii="Arial" w:cs="Arial" w:eastAsia="Arial" w:hAnsi="Arial"/>
          <w:sz w:val="19"/>
          <w:szCs w:val="19"/>
          <w:color w:val="auto"/>
        </w:rPr>
        <w:t>The representations and warranties of each Parent and each Borrower set forth in the Loan Documents are true and correct in all material respects on and as of the Amendment Effective Date with the same effect as though made on and as of such date, except to the extent (i) such representations and warranties expressly relate to an earlier date (in which case such representations and warranties were true and correct in all material respects as of such earlier date) or (ii) such representations and warranties are qualified as to “materiality,” “Material Adverse Effect” or similar language (in which case such representation and warranties are true and correct in all respects as of the Amendment Effective Date or as of such earlier date, as the case may be).</w:t>
      </w:r>
    </w:p>
    <w:p>
      <w:pPr>
        <w:spacing w:after="0" w:line="2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u w:val="single" w:color="auto"/>
          <w:color w:val="auto"/>
        </w:rPr>
        <w:t>Existing LIBOR Loans</w:t>
      </w:r>
      <w:r>
        <w:rPr>
          <w:rFonts w:ascii="Arial" w:cs="Arial" w:eastAsia="Arial" w:hAnsi="Arial"/>
          <w:sz w:val="18"/>
          <w:szCs w:val="18"/>
          <w:color w:val="auto"/>
        </w:rPr>
        <w:t>. Existing Loans outstanding immediately prior to the Amendment Effective Date denominated in Dollars and bearing interest at the LIBO Screen Rate (as defined in the Existing Credit Agreement) (“</w:t>
      </w:r>
      <w:r>
        <w:rPr>
          <w:rFonts w:ascii="Arial" w:cs="Arial" w:eastAsia="Arial" w:hAnsi="Arial"/>
          <w:sz w:val="18"/>
          <w:szCs w:val="18"/>
          <w:u w:val="single" w:color="auto"/>
          <w:color w:val="auto"/>
        </w:rPr>
        <w:t>Existing LIBOR Loans</w:t>
      </w:r>
      <w:r>
        <w:rPr>
          <w:rFonts w:ascii="Arial" w:cs="Arial" w:eastAsia="Arial" w:hAnsi="Arial"/>
          <w:sz w:val="18"/>
          <w:szCs w:val="18"/>
          <w:color w:val="auto"/>
        </w:rPr>
        <w:t xml:space="preserve">”) shall continue as Loans bearing interest at the LIBO Screen Rate (as defined in the Existing Credit Agreement) until the end of the Interest Period currently in effect and applicable to such Existing LIBOR Loans (the “ </w:t>
      </w:r>
      <w:r>
        <w:rPr>
          <w:rFonts w:ascii="Arial" w:cs="Arial" w:eastAsia="Arial" w:hAnsi="Arial"/>
          <w:sz w:val="18"/>
          <w:szCs w:val="18"/>
          <w:u w:val="single" w:color="auto"/>
          <w:color w:val="auto"/>
        </w:rPr>
        <w:t>Existing Expiration Date</w:t>
      </w:r>
      <w:r>
        <w:rPr>
          <w:rFonts w:ascii="Arial" w:cs="Arial" w:eastAsia="Arial" w:hAnsi="Arial"/>
          <w:sz w:val="18"/>
          <w:szCs w:val="18"/>
          <w:color w:val="auto"/>
        </w:rPr>
        <w:t>”). Any such Existing LIBOR Loans shall continue to be governed by the relevant provisions of the Existing Credit Agreement applicable to LIBOR Loans until the earlier of (x) the repayment of such Loans, (y) the conversion of such Loans into Term Benchmark Loans or Base Rate Loans (in each case, as defined in the Amended Credit Agreement) pursuant to Section 2.02 of the Amended Credit Agreement and (z) the Existing Expiration Date, and if such Existing LIBOR Loans remain outstanding immediately prior to the Existing Expiration Date and the Parent fails to delivery timely notice of conversion, the Parent shall be deemed to have selected a conversion of such Existing LIBOR Loans into Term Benchmark Loans bearing interest at Term SOFR with an Interest Period of one month.</w:t>
      </w:r>
    </w:p>
    <w:p>
      <w:pPr>
        <w:spacing w:after="0" w:line="174"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66040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663" w:right="339" w:bottom="1440" w:gutter="0" w:footer="0" w:header="0"/>
        </w:sectPr>
      </w:pPr>
    </w:p>
    <w:bookmarkStart w:id="54" w:name="page55"/>
    <w:bookmarkEnd w:id="54"/>
    <w:p>
      <w:pPr>
        <w:ind w:left="1200" w:hanging="442"/>
        <w:spacing w:after="0"/>
        <w:tabs>
          <w:tab w:leader="none" w:pos="120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Effect of Amendment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1507"/>
        <w:spacing w:after="0" w:line="270" w:lineRule="auto"/>
        <w:tabs>
          <w:tab w:leader="none" w:pos="2012"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Except as expressly set forth herein, this Amendment shall not by implication or otherwise limit, impair, constitute a waiver of, or otherwise affect the rights and remedies of, the Lenders or the Administrative Agent under the Existing Credit Agreement or any other Loan Document, and shall not alter, modify, amend or in any way affect any of the terms, conditions, obligations, covenants or agreements contained in the Existing Credit Agreement or any other Loan Document, all of which are ratified and affirmed in all respects and shall continue in full force and effect. In addition, and in furtherance of the foregoing, each Guarantor expressly acknowledges and agrees to the terms of this Amendment, and the terms of the Guaranty Agreement continue to apply with full force and effect to any amounts outstanding under or in connection with the Commitment as well as other amounts incurred pursuant to the terms of the Existing Credit Agreement (except as expressly amended in accordance with its terms). Nothing herein shall be deemed to establish a precedent for purposes of interpreting the provisions of the Credit Agreement or entitle any Loan Party to a consent to, or a waiver, amendment, modification or other change of, any of the terms, conditions, obligations, covenants or agreements contained in the Credit Agreement or any other Loan Document in similar or different circumstances. This Amendment shall apply to and be effective only with respect to the provisions of the Existing Credit Agreement specifically referred to herein.</w:t>
      </w:r>
    </w:p>
    <w:p>
      <w:pPr>
        <w:spacing w:after="0" w:line="280" w:lineRule="exact"/>
        <w:rPr>
          <w:rFonts w:ascii="Arial" w:cs="Arial" w:eastAsia="Arial" w:hAnsi="Arial"/>
          <w:sz w:val="18"/>
          <w:szCs w:val="18"/>
          <w:color w:val="auto"/>
        </w:rPr>
      </w:pPr>
    </w:p>
    <w:p>
      <w:pPr>
        <w:jc w:val="both"/>
        <w:ind w:firstLine="1507"/>
        <w:spacing w:after="0" w:line="244" w:lineRule="auto"/>
        <w:tabs>
          <w:tab w:leader="none" w:pos="2033" w:val="left"/>
        </w:tabs>
        <w:numPr>
          <w:ilvl w:val="1"/>
          <w:numId w:val="38"/>
        </w:numPr>
        <w:rPr>
          <w:rFonts w:ascii="Arial" w:cs="Arial" w:eastAsia="Arial" w:hAnsi="Arial"/>
          <w:sz w:val="20"/>
          <w:szCs w:val="20"/>
          <w:color w:val="auto"/>
        </w:rPr>
      </w:pPr>
      <w:r>
        <w:rPr>
          <w:rFonts w:ascii="Arial" w:cs="Arial" w:eastAsia="Arial" w:hAnsi="Arial"/>
          <w:sz w:val="20"/>
          <w:szCs w:val="20"/>
          <w:color w:val="auto"/>
        </w:rPr>
        <w:t>On and after the Amendment Effective Date, each reference in the Credit Agreement to “this Agreement”, “hereunder”, “hereof”, “herein” or words of like import, and each reference to the Credit Agreement, “thereunder”, “thereof”, “therein” or words of like import in any other Loan Document, shall be deemed a reference to the Existing Credit Agreement as amended hereby. This Amendment shall constitute a “Loan Document” for all purposes of the Credit Agreement and the other Loan Documents.</w:t>
      </w:r>
    </w:p>
    <w:p>
      <w:pPr>
        <w:spacing w:after="0" w:line="208" w:lineRule="exact"/>
        <w:rPr>
          <w:sz w:val="20"/>
          <w:szCs w:val="20"/>
          <w:color w:val="auto"/>
        </w:rPr>
      </w:pPr>
    </w:p>
    <w:p>
      <w:pPr>
        <w:jc w:val="both"/>
        <w:ind w:right="380" w:firstLine="749"/>
        <w:spacing w:after="0" w:line="291" w:lineRule="auto"/>
        <w:rPr>
          <w:sz w:val="20"/>
          <w:szCs w:val="20"/>
          <w:color w:val="auto"/>
        </w:rPr>
      </w:pPr>
      <w:r>
        <w:rPr>
          <w:rFonts w:ascii="Arial" w:cs="Arial" w:eastAsia="Arial" w:hAnsi="Arial"/>
          <w:sz w:val="18"/>
          <w:szCs w:val="18"/>
          <w:color w:val="auto"/>
        </w:rPr>
        <w:t xml:space="preserve">VI.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and the rights and obligations of the parties hereto shall be governed by, and construed and interpreted in accordance with, the laws of the State of New York. The provisions of Sections 10.14 and 10.15 of the Existing Credit Agreement shall apply to this Amendment to the same extent as if fully set forth herein.</w:t>
      </w:r>
    </w:p>
    <w:p>
      <w:pPr>
        <w:spacing w:after="0" w:line="165" w:lineRule="exact"/>
        <w:rPr>
          <w:sz w:val="20"/>
          <w:szCs w:val="20"/>
          <w:color w:val="auto"/>
        </w:rPr>
      </w:pPr>
    </w:p>
    <w:p>
      <w:pPr>
        <w:jc w:val="both"/>
        <w:ind w:right="380" w:firstLine="749"/>
        <w:spacing w:after="0" w:line="255" w:lineRule="auto"/>
        <w:rPr>
          <w:sz w:val="20"/>
          <w:szCs w:val="20"/>
          <w:color w:val="auto"/>
        </w:rPr>
      </w:pPr>
      <w:r>
        <w:rPr>
          <w:rFonts w:ascii="Arial" w:cs="Arial" w:eastAsia="Arial" w:hAnsi="Arial"/>
          <w:sz w:val="19"/>
          <w:szCs w:val="19"/>
          <w:color w:val="auto"/>
        </w:rPr>
        <w:t xml:space="preserve">VII. </w:t>
      </w:r>
      <w:r>
        <w:rPr>
          <w:rFonts w:ascii="Arial" w:cs="Arial" w:eastAsia="Arial" w:hAnsi="Arial"/>
          <w:sz w:val="19"/>
          <w:szCs w:val="19"/>
          <w:u w:val="single" w:color="auto"/>
          <w:color w:val="auto"/>
        </w:rPr>
        <w:t>Counterparts and Electronic Signatures</w:t>
      </w:r>
      <w:r>
        <w:rPr>
          <w:rFonts w:ascii="Arial" w:cs="Arial" w:eastAsia="Arial" w:hAnsi="Arial"/>
          <w:sz w:val="19"/>
          <w:szCs w:val="19"/>
          <w:color w:val="auto"/>
        </w:rPr>
        <w:t>. This Amendment may be executed in counterparts (and by different parties hereto on different counterparts), each of which shall constitute an original, but all of which when taken together shall constitute a single contract. Delivery of any executed counterpart of a signature page of this Amendment by facsimile transmission or other electronic means shall be effective as delivery of a manually executed counterpart hereof. The words “delivery”, “execute,” “execution,” “signed,” “signature,” and words of like import in this Amendment and any document executed in connection herewith shall be deemed to include electronic signatures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14" w:lineRule="exact"/>
        <w:rPr>
          <w:sz w:val="20"/>
          <w:szCs w:val="20"/>
          <w:color w:val="auto"/>
        </w:rPr>
      </w:pPr>
    </w:p>
    <w:p>
      <w:pPr>
        <w:ind w:right="120" w:firstLine="749"/>
        <w:spacing w:after="0" w:line="260" w:lineRule="auto"/>
        <w:rPr>
          <w:sz w:val="20"/>
          <w:szCs w:val="20"/>
          <w:color w:val="auto"/>
        </w:rPr>
      </w:pPr>
      <w:r>
        <w:rPr>
          <w:rFonts w:ascii="Arial" w:cs="Arial" w:eastAsia="Arial" w:hAnsi="Arial"/>
          <w:sz w:val="20"/>
          <w:szCs w:val="20"/>
          <w:color w:val="auto"/>
        </w:rPr>
        <w:t xml:space="preserve">VIII. </w:t>
      </w: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this Amendment are for purposes of reference only and shall not limit or otherwise affect the meaning hereof.</w:t>
      </w:r>
    </w:p>
    <w:p>
      <w:pPr>
        <w:spacing w:after="0" w:line="204" w:lineRule="exact"/>
        <w:rPr>
          <w:sz w:val="20"/>
          <w:szCs w:val="20"/>
          <w:color w:val="auto"/>
        </w:rPr>
      </w:pPr>
    </w:p>
    <w:p>
      <w:pPr>
        <w:jc w:val="both"/>
        <w:ind w:right="160" w:firstLine="749"/>
        <w:spacing w:after="0" w:line="243" w:lineRule="auto"/>
        <w:rPr>
          <w:sz w:val="20"/>
          <w:szCs w:val="20"/>
          <w:color w:val="auto"/>
        </w:rPr>
      </w:pPr>
      <w:r>
        <w:rPr>
          <w:rFonts w:ascii="Arial" w:cs="Arial" w:eastAsia="Arial" w:hAnsi="Arial"/>
          <w:sz w:val="20"/>
          <w:szCs w:val="20"/>
          <w:color w:val="auto"/>
        </w:rPr>
        <w:t xml:space="preserve">IX.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consent of any Lender to this Amendment shall be binding upon such Lender’s successors, assigns and participants permitted by the Existing Credit Agreement. Further, the provisions of this Amendment shall be binding and inure to the benefit of, such Lender’s successors, assigns and participants permitted by the Existing Credit Agreement.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55880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880" w:top="352" w:right="899" w:bottom="1440" w:gutter="0" w:footer="0" w:header="0"/>
        </w:sectPr>
      </w:pPr>
    </w:p>
    <w:bookmarkStart w:id="55" w:name="page56"/>
    <w:bookmarkEnd w:id="55"/>
    <w:p>
      <w:pPr>
        <w:ind w:left="3280"/>
        <w:spacing w:after="0"/>
        <w:rPr>
          <w:sz w:val="20"/>
          <w:szCs w:val="20"/>
          <w:color w:val="auto"/>
        </w:rPr>
      </w:pPr>
      <w:r>
        <w:rPr>
          <w:rFonts w:ascii="Arial" w:cs="Arial" w:eastAsia="Arial" w:hAnsi="Arial"/>
          <w:sz w:val="18"/>
          <w:szCs w:val="18"/>
          <w:i w:val="1"/>
          <w:iCs w:val="1"/>
          <w:color w:val="auto"/>
        </w:rPr>
        <w:t>[Signature pages follow]</w:t>
      </w:r>
    </w:p>
    <w:p>
      <w:pPr>
        <w:sectPr>
          <w:pgSz w:w="11900" w:h="16838" w:orient="portrait"/>
          <w:cols w:equalWidth="0" w:num="1">
            <w:col w:w="9019"/>
          </w:cols>
          <w:pgMar w:left="1440" w:top="514"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95250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14" w:right="1440" w:bottom="1440" w:gutter="0" w:footer="0" w:header="0"/>
          <w:type w:val="continuous"/>
        </w:sectPr>
      </w:pPr>
    </w:p>
    <w:bookmarkStart w:id="56" w:name="page57"/>
    <w:bookmarkEnd w:id="56"/>
    <w:p>
      <w:pPr>
        <w:ind w:right="179" w:firstLine="1502"/>
        <w:spacing w:after="0" w:line="260" w:lineRule="auto"/>
        <w:rPr>
          <w:sz w:val="20"/>
          <w:szCs w:val="20"/>
          <w:color w:val="auto"/>
        </w:rPr>
      </w:pPr>
      <w:r>
        <w:rPr>
          <w:rFonts w:ascii="Arial" w:cs="Arial" w:eastAsia="Arial" w:hAnsi="Arial"/>
          <w:sz w:val="20"/>
          <w:szCs w:val="20"/>
          <w:color w:val="1F1F1F"/>
        </w:rPr>
        <w:t xml:space="preserve">IN WITNESS WHEREOF, the parties thereto have </w:t>
      </w:r>
      <w:r>
        <w:rPr>
          <w:rFonts w:ascii="Arial" w:cs="Arial" w:eastAsia="Arial" w:hAnsi="Arial"/>
          <w:sz w:val="20"/>
          <w:szCs w:val="20"/>
          <w:color w:val="313131"/>
        </w:rPr>
        <w:t>caused</w:t>
      </w:r>
      <w:r>
        <w:rPr>
          <w:rFonts w:ascii="Arial" w:cs="Arial" w:eastAsia="Arial" w:hAnsi="Arial"/>
          <w:sz w:val="20"/>
          <w:szCs w:val="20"/>
          <w:color w:val="1F1F1F"/>
        </w:rPr>
        <w:t xml:space="preserve"> this Amendment to be d</w:t>
      </w:r>
      <w:r>
        <w:rPr>
          <w:rFonts w:ascii="Arial" w:cs="Arial" w:eastAsia="Arial" w:hAnsi="Arial"/>
          <w:sz w:val="20"/>
          <w:szCs w:val="20"/>
          <w:color w:val="444444"/>
        </w:rPr>
        <w:t>u</w:t>
      </w:r>
      <w:r>
        <w:rPr>
          <w:rFonts w:ascii="Arial" w:cs="Arial" w:eastAsia="Arial" w:hAnsi="Arial"/>
          <w:sz w:val="20"/>
          <w:szCs w:val="20"/>
          <w:color w:val="1F1F1F"/>
        </w:rPr>
        <w:t xml:space="preserve">ly </w:t>
      </w:r>
      <w:r>
        <w:rPr>
          <w:rFonts w:ascii="Arial" w:cs="Arial" w:eastAsia="Arial" w:hAnsi="Arial"/>
          <w:sz w:val="20"/>
          <w:szCs w:val="20"/>
          <w:color w:val="313131"/>
        </w:rPr>
        <w:t>executed and</w:t>
      </w:r>
      <w:r>
        <w:rPr>
          <w:rFonts w:ascii="Arial" w:cs="Arial" w:eastAsia="Arial" w:hAnsi="Arial"/>
          <w:sz w:val="20"/>
          <w:szCs w:val="20"/>
          <w:color w:val="1F1F1F"/>
        </w:rPr>
        <w:t xml:space="preserve"> delivered by their offic</w:t>
      </w:r>
      <w:r>
        <w:rPr>
          <w:rFonts w:ascii="Arial" w:cs="Arial" w:eastAsia="Arial" w:hAnsi="Arial"/>
          <w:sz w:val="20"/>
          <w:szCs w:val="20"/>
          <w:color w:val="444444"/>
        </w:rPr>
        <w:t>e</w:t>
      </w:r>
      <w:r>
        <w:rPr>
          <w:rFonts w:ascii="Arial" w:cs="Arial" w:eastAsia="Arial" w:hAnsi="Arial"/>
          <w:sz w:val="20"/>
          <w:szCs w:val="20"/>
          <w:color w:val="1F1F1F"/>
        </w:rPr>
        <w:t>r</w:t>
      </w:r>
      <w:r>
        <w:rPr>
          <w:rFonts w:ascii="Arial" w:cs="Arial" w:eastAsia="Arial" w:hAnsi="Arial"/>
          <w:sz w:val="20"/>
          <w:szCs w:val="20"/>
          <w:color w:val="444444"/>
        </w:rPr>
        <w:t>s</w:t>
      </w:r>
      <w:r>
        <w:rPr>
          <w:rFonts w:ascii="Arial" w:cs="Arial" w:eastAsia="Arial" w:hAnsi="Arial"/>
          <w:sz w:val="20"/>
          <w:szCs w:val="20"/>
          <w:color w:val="1F1F1F"/>
        </w:rPr>
        <w:t xml:space="preserve"> </w:t>
      </w:r>
      <w:r>
        <w:rPr>
          <w:rFonts w:ascii="Arial" w:cs="Arial" w:eastAsia="Arial" w:hAnsi="Arial"/>
          <w:sz w:val="20"/>
          <w:szCs w:val="20"/>
          <w:color w:val="313131"/>
        </w:rPr>
        <w:t>as of</w:t>
      </w:r>
      <w:r>
        <w:rPr>
          <w:rFonts w:ascii="Arial" w:cs="Arial" w:eastAsia="Arial" w:hAnsi="Arial"/>
          <w:sz w:val="20"/>
          <w:szCs w:val="20"/>
          <w:color w:val="1F1F1F"/>
        </w:rPr>
        <w:t xml:space="preserve"> the date first above </w:t>
      </w:r>
      <w:r>
        <w:rPr>
          <w:rFonts w:ascii="Arial" w:cs="Arial" w:eastAsia="Arial" w:hAnsi="Arial"/>
          <w:sz w:val="20"/>
          <w:szCs w:val="20"/>
          <w:color w:val="313131"/>
        </w:rPr>
        <w:t>written.</w:t>
      </w:r>
    </w:p>
    <w:p>
      <w:pPr>
        <w:spacing w:after="0" w:line="184" w:lineRule="exact"/>
        <w:rPr>
          <w:sz w:val="20"/>
          <w:szCs w:val="20"/>
          <w:color w:val="auto"/>
        </w:rPr>
      </w:pPr>
    </w:p>
    <w:p>
      <w:pPr>
        <w:jc w:val="right"/>
        <w:ind w:right="99"/>
        <w:spacing w:after="0"/>
        <w:rPr>
          <w:sz w:val="20"/>
          <w:szCs w:val="20"/>
          <w:color w:val="auto"/>
        </w:rPr>
      </w:pPr>
      <w:r>
        <w:rPr>
          <w:rFonts w:ascii="Arial" w:cs="Arial" w:eastAsia="Arial" w:hAnsi="Arial"/>
          <w:sz w:val="20"/>
          <w:szCs w:val="20"/>
          <w:b w:val="1"/>
          <w:bCs w:val="1"/>
          <w:color w:val="auto"/>
        </w:rPr>
        <w:t>TRINITY ACQUISITION PLC</w:t>
      </w:r>
      <w:r>
        <w:rPr>
          <w:rFonts w:ascii="Arial" w:cs="Arial" w:eastAsia="Arial" w:hAnsi="Arial"/>
          <w:sz w:val="20"/>
          <w:szCs w:val="20"/>
          <w:color w:val="auto"/>
        </w:rPr>
        <w:t>, as the Company and as a Borrower</w:t>
      </w:r>
    </w:p>
    <w:p>
      <w:pPr>
        <w:spacing w:after="0" w:line="200" w:lineRule="exact"/>
        <w:rPr>
          <w:sz w:val="20"/>
          <w:szCs w:val="20"/>
          <w:color w:val="auto"/>
        </w:rPr>
      </w:pPr>
    </w:p>
    <w:p>
      <w:pPr>
        <w:spacing w:after="0" w:line="265" w:lineRule="exact"/>
        <w:rPr>
          <w:sz w:val="20"/>
          <w:szCs w:val="20"/>
          <w:color w:val="auto"/>
        </w:rPr>
      </w:pPr>
    </w:p>
    <w:p>
      <w:pPr>
        <w:ind w:left="394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Name:  William Rigger</w:t>
      </w:r>
    </w:p>
    <w:p>
      <w:pPr>
        <w:ind w:left="4340"/>
        <w:spacing w:after="0"/>
        <w:tabs>
          <w:tab w:leader="none" w:pos="498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27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79"/>
          </w:cols>
          <w:pgMar w:left="880" w:top="420" w:right="1440" w:bottom="1440" w:gutter="0" w:footer="0" w:header="0"/>
        </w:sectPr>
      </w:pPr>
    </w:p>
    <w:bookmarkStart w:id="57" w:name="page58"/>
    <w:bookmarkEnd w:id="57"/>
    <w:p>
      <w:pPr>
        <w:ind w:left="3380"/>
        <w:spacing w:after="0"/>
        <w:rPr>
          <w:sz w:val="20"/>
          <w:szCs w:val="20"/>
          <w:color w:val="auto"/>
        </w:rPr>
      </w:pPr>
      <w:r>
        <w:rPr>
          <w:rFonts w:ascii="Arial" w:cs="Arial" w:eastAsia="Arial" w:hAnsi="Arial"/>
          <w:sz w:val="20"/>
          <w:szCs w:val="20"/>
          <w:b w:val="1"/>
          <w:bCs w:val="1"/>
          <w:color w:val="auto"/>
        </w:rPr>
        <w:t>_____________________________________________</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Name: William Rigger</w:t>
      </w:r>
    </w:p>
    <w:p>
      <w:pPr>
        <w:ind w:left="33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 xml:space="preserve">SIGNED AND DELIVERED </w:t>
      </w:r>
      <w:r>
        <w:rPr>
          <w:rFonts w:ascii="Arial" w:cs="Arial" w:eastAsia="Arial" w:hAnsi="Arial"/>
          <w:sz w:val="20"/>
          <w:szCs w:val="20"/>
          <w:color w:val="auto"/>
        </w:rPr>
        <w:t>for and on</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behalf of and as the deed of</w:t>
      </w:r>
    </w:p>
    <w:p>
      <w:pPr>
        <w:ind w:left="3380"/>
        <w:spacing w:after="0"/>
        <w:rPr>
          <w:sz w:val="20"/>
          <w:szCs w:val="20"/>
          <w:color w:val="auto"/>
        </w:rPr>
      </w:pPr>
      <w:r>
        <w:rPr>
          <w:rFonts w:ascii="Arial" w:cs="Arial" w:eastAsia="Arial" w:hAnsi="Arial"/>
          <w:sz w:val="19"/>
          <w:szCs w:val="19"/>
          <w:b w:val="1"/>
          <w:bCs w:val="1"/>
          <w:color w:val="auto"/>
        </w:rPr>
        <w:t>WILLIS TOWERS WATSON PUBLIC LIMITED COMPANY</w:t>
      </w:r>
      <w:r>
        <w:rPr>
          <w:rFonts w:ascii="Arial" w:cs="Arial" w:eastAsia="Arial" w:hAnsi="Arial"/>
          <w:sz w:val="19"/>
          <w:szCs w:val="19"/>
          <w:color w:val="auto"/>
        </w:rPr>
        <w:t>, as Parent,</w:t>
      </w:r>
    </w:p>
    <w:p>
      <w:pPr>
        <w:spacing w:after="0" w:line="11"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 its lawfully appointed attorney</w:t>
      </w:r>
    </w:p>
    <w:p>
      <w:pPr>
        <w:ind w:left="3380"/>
        <w:spacing w:after="0"/>
        <w:rPr>
          <w:sz w:val="20"/>
          <w:szCs w:val="20"/>
          <w:color w:val="auto"/>
        </w:rPr>
      </w:pPr>
      <w:r>
        <w:rPr>
          <w:rFonts w:ascii="Arial" w:cs="Arial" w:eastAsia="Arial" w:hAnsi="Arial"/>
          <w:sz w:val="20"/>
          <w:szCs w:val="20"/>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411480</wp:posOffset>
            </wp:positionV>
            <wp:extent cx="26384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2638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(Witness’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(Witness’ Address)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(Witness’ Occupation)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224790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60"/>
          </w:cols>
          <w:pgMar w:left="1440" w:top="346" w:right="899" w:bottom="1440" w:gutter="0" w:footer="0" w:header="0"/>
        </w:sectPr>
      </w:pPr>
    </w:p>
    <w:bookmarkStart w:id="58" w:name="page59"/>
    <w:bookmarkEnd w:id="58"/>
    <w:p>
      <w:pPr>
        <w:ind w:left="3380"/>
        <w:spacing w:after="0"/>
        <w:rPr>
          <w:sz w:val="20"/>
          <w:szCs w:val="20"/>
          <w:color w:val="auto"/>
        </w:rPr>
      </w:pPr>
      <w:r>
        <w:rPr>
          <w:rFonts w:ascii="Arial" w:cs="Arial" w:eastAsia="Arial" w:hAnsi="Arial"/>
          <w:sz w:val="20"/>
          <w:szCs w:val="20"/>
          <w:b w:val="1"/>
          <w:bCs w:val="1"/>
          <w:color w:val="auto"/>
        </w:rPr>
        <w:t xml:space="preserve">WILLIS NORTH AMERICA INC., </w:t>
      </w:r>
      <w:r>
        <w:rPr>
          <w:rFonts w:ascii="Arial" w:cs="Arial" w:eastAsia="Arial" w:hAnsi="Arial"/>
          <w:sz w:val="20"/>
          <w:szCs w:val="20"/>
          <w:color w:val="auto"/>
        </w:rPr>
        <w:t>as a Designated Borrower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Name: William Rigger</w:t>
      </w:r>
    </w:p>
    <w:p>
      <w:pPr>
        <w:ind w:left="3780"/>
        <w:spacing w:after="0"/>
        <w:rPr>
          <w:sz w:val="20"/>
          <w:szCs w:val="20"/>
          <w:color w:val="auto"/>
        </w:rPr>
      </w:pPr>
      <w:r>
        <w:rPr>
          <w:rFonts w:ascii="Arial" w:cs="Arial" w:eastAsia="Arial" w:hAnsi="Arial"/>
          <w:sz w:val="20"/>
          <w:szCs w:val="20"/>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380"/>
        <w:spacing w:after="0"/>
        <w:rPr>
          <w:sz w:val="20"/>
          <w:szCs w:val="20"/>
          <w:color w:val="auto"/>
        </w:rPr>
      </w:pPr>
      <w:r>
        <w:rPr>
          <w:rFonts w:ascii="Arial" w:cs="Arial" w:eastAsia="Arial" w:hAnsi="Arial"/>
          <w:sz w:val="19"/>
          <w:szCs w:val="19"/>
          <w:b w:val="1"/>
          <w:bCs w:val="1"/>
          <w:color w:val="auto"/>
        </w:rPr>
        <w:t xml:space="preserve">WILLIS NETHERLANDS HOLDINGS B.V. </w:t>
      </w:r>
      <w:r>
        <w:rPr>
          <w:rFonts w:ascii="Arial" w:cs="Arial" w:eastAsia="Arial" w:hAnsi="Arial"/>
          <w:sz w:val="19"/>
          <w:szCs w:val="19"/>
          <w:color w:val="auto"/>
        </w:rPr>
        <w:t>as a Designated Borrower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Name: William Rigger</w:t>
      </w:r>
    </w:p>
    <w:p>
      <w:pPr>
        <w:ind w:left="3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239395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80"/>
          </w:cols>
          <w:pgMar w:left="1440" w:top="346" w:right="1179" w:bottom="1440" w:gutter="0" w:footer="0" w:header="0"/>
        </w:sectPr>
      </w:pPr>
    </w:p>
    <w:bookmarkStart w:id="59" w:name="page60"/>
    <w:bookmarkEnd w:id="59"/>
    <w:p>
      <w:pPr>
        <w:spacing w:after="0"/>
        <w:rPr>
          <w:sz w:val="20"/>
          <w:szCs w:val="20"/>
          <w:color w:val="auto"/>
        </w:rPr>
      </w:pPr>
      <w:r>
        <w:rPr>
          <w:rFonts w:ascii="Arial" w:cs="Arial" w:eastAsia="Arial" w:hAnsi="Arial"/>
          <w:sz w:val="19"/>
          <w:szCs w:val="19"/>
          <w:color w:val="auto"/>
        </w:rPr>
        <w:t>NON-PARENT GUARANTORS:</w:t>
      </w:r>
    </w:p>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TA I LIMITED</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9"/>
          <w:szCs w:val="19"/>
          <w:b w:val="1"/>
          <w:bCs w:val="1"/>
          <w:color w:val="auto"/>
        </w:rPr>
        <w:t>WILLIS GROUP LIMITED</w:t>
      </w:r>
    </w:p>
    <w:p>
      <w:pPr>
        <w:ind w:left="720"/>
        <w:spacing w:after="0" w:line="237" w:lineRule="auto"/>
        <w:rPr>
          <w:sz w:val="20"/>
          <w:szCs w:val="20"/>
          <w:color w:val="auto"/>
        </w:rPr>
      </w:pPr>
      <w:r>
        <w:rPr>
          <w:rFonts w:ascii="Arial" w:cs="Arial" w:eastAsia="Arial" w:hAnsi="Arial"/>
          <w:sz w:val="19"/>
          <w:szCs w:val="19"/>
          <w:b w:val="1"/>
          <w:bCs w:val="1"/>
          <w:color w:val="auto"/>
        </w:rPr>
        <w:t>WILLIS TOWERS WATSON UK HOLDINGS LIMITED</w:t>
      </w:r>
    </w:p>
    <w:p>
      <w:pPr>
        <w:jc w:val="right"/>
        <w:ind w:right="1339"/>
        <w:spacing w:after="0"/>
        <w:rPr>
          <w:sz w:val="20"/>
          <w:szCs w:val="20"/>
          <w:color w:val="auto"/>
        </w:rPr>
      </w:pPr>
      <w:r>
        <w:rPr>
          <w:rFonts w:ascii="Arial" w:cs="Arial" w:eastAsia="Arial" w:hAnsi="Arial"/>
          <w:sz w:val="19"/>
          <w:szCs w:val="19"/>
          <w:b w:val="1"/>
          <w:bCs w:val="1"/>
          <w:color w:val="auto"/>
        </w:rPr>
        <w:t>WILLIS INVESTMENT UK HOLDINGS LIMITED</w:t>
      </w: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By:</w:t>
      </w:r>
    </w:p>
    <w:p>
      <w:pPr>
        <w:spacing w:after="0" w:line="11" w:lineRule="exact"/>
        <w:rPr>
          <w:sz w:val="20"/>
          <w:szCs w:val="20"/>
          <w:color w:val="auto"/>
        </w:rPr>
      </w:pPr>
    </w:p>
    <w:p>
      <w:pPr>
        <w:ind w:left="4780"/>
        <w:spacing w:after="0"/>
        <w:rPr>
          <w:sz w:val="20"/>
          <w:szCs w:val="20"/>
          <w:color w:val="auto"/>
        </w:rPr>
      </w:pPr>
      <w:r>
        <w:rPr>
          <w:rFonts w:ascii="Arial" w:cs="Arial" w:eastAsia="Arial" w:hAnsi="Arial"/>
          <w:sz w:val="19"/>
          <w:szCs w:val="19"/>
          <w:color w:val="auto"/>
        </w:rPr>
        <w:t>Name: William Rigger</w:t>
      </w:r>
    </w:p>
    <w:p>
      <w:pPr>
        <w:ind w:left="4780"/>
        <w:spacing w:after="0"/>
        <w:rPr>
          <w:sz w:val="20"/>
          <w:szCs w:val="20"/>
          <w:color w:val="auto"/>
        </w:rPr>
      </w:pPr>
      <w:r>
        <w:rPr>
          <w:rFonts w:ascii="Arial" w:cs="Arial" w:eastAsia="Arial" w:hAnsi="Arial"/>
          <w:sz w:val="19"/>
          <w:szCs w:val="19"/>
          <w:color w:val="auto"/>
        </w:rPr>
        <w:t>Title:  Director</w:t>
      </w:r>
    </w:p>
    <w:p>
      <w:pPr>
        <w:spacing w:after="0" w:line="200" w:lineRule="exact"/>
        <w:rPr>
          <w:sz w:val="20"/>
          <w:szCs w:val="20"/>
          <w:color w:val="auto"/>
        </w:rPr>
      </w:pPr>
    </w:p>
    <w:p>
      <w:pPr>
        <w:spacing w:after="0" w:line="33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7" w:right="1440" w:bottom="1440" w:gutter="0" w:footer="0" w:header="0"/>
        </w:sectPr>
      </w:pPr>
    </w:p>
    <w:bookmarkStart w:id="60" w:name="page61"/>
    <w:bookmarkEnd w:id="60"/>
    <w:p>
      <w:pPr>
        <w:ind w:left="3380"/>
        <w:spacing w:after="0"/>
        <w:rPr>
          <w:sz w:val="20"/>
          <w:szCs w:val="20"/>
          <w:color w:val="auto"/>
        </w:rPr>
      </w:pPr>
      <w:r>
        <w:rPr>
          <w:rFonts w:ascii="Arial" w:cs="Arial" w:eastAsia="Arial" w:hAnsi="Arial"/>
          <w:sz w:val="19"/>
          <w:szCs w:val="19"/>
          <w:b w:val="1"/>
          <w:bCs w:val="1"/>
          <w:color w:val="auto"/>
        </w:rPr>
        <w:t>_________________________________________</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19"/>
          <w:szCs w:val="19"/>
          <w:color w:val="auto"/>
        </w:rPr>
        <w:t>Name: William Rigger</w:t>
      </w:r>
    </w:p>
    <w:p>
      <w:pPr>
        <w:ind w:left="3380"/>
        <w:spacing w:after="0"/>
        <w:rPr>
          <w:sz w:val="20"/>
          <w:szCs w:val="20"/>
          <w:color w:val="auto"/>
        </w:rPr>
      </w:pPr>
      <w:r>
        <w:rPr>
          <w:rFonts w:ascii="Arial" w:cs="Arial" w:eastAsia="Arial" w:hAnsi="Arial"/>
          <w:sz w:val="19"/>
          <w:szCs w:val="19"/>
          <w:color w:val="auto"/>
        </w:rPr>
        <w:t>Title:  Attorney</w:t>
      </w: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Arial" w:cs="Arial" w:eastAsia="Arial" w:hAnsi="Arial"/>
          <w:sz w:val="19"/>
          <w:szCs w:val="19"/>
          <w:b w:val="1"/>
          <w:bCs w:val="1"/>
          <w:color w:val="auto"/>
        </w:rPr>
        <w:t xml:space="preserve">SIGNED AND DELIVERED </w:t>
      </w:r>
      <w:r>
        <w:rPr>
          <w:rFonts w:ascii="Arial" w:cs="Arial" w:eastAsia="Arial" w:hAnsi="Arial"/>
          <w:sz w:val="19"/>
          <w:szCs w:val="19"/>
          <w:color w:val="auto"/>
        </w:rPr>
        <w:t>for and on</w:t>
      </w:r>
    </w:p>
    <w:p>
      <w:pPr>
        <w:spacing w:after="0" w:line="17" w:lineRule="exact"/>
        <w:rPr>
          <w:sz w:val="20"/>
          <w:szCs w:val="20"/>
          <w:color w:val="auto"/>
        </w:rPr>
      </w:pPr>
    </w:p>
    <w:p>
      <w:pPr>
        <w:ind w:left="3380"/>
        <w:spacing w:after="0"/>
        <w:rPr>
          <w:sz w:val="20"/>
          <w:szCs w:val="20"/>
          <w:color w:val="auto"/>
        </w:rPr>
      </w:pPr>
      <w:r>
        <w:rPr>
          <w:rFonts w:ascii="Arial" w:cs="Arial" w:eastAsia="Arial" w:hAnsi="Arial"/>
          <w:sz w:val="19"/>
          <w:szCs w:val="19"/>
          <w:color w:val="auto"/>
        </w:rPr>
        <w:t>behalf of and as the deed of</w:t>
      </w:r>
    </w:p>
    <w:p>
      <w:pPr>
        <w:ind w:left="3380"/>
        <w:spacing w:after="0" w:line="237" w:lineRule="auto"/>
        <w:rPr>
          <w:sz w:val="20"/>
          <w:szCs w:val="20"/>
          <w:color w:val="auto"/>
        </w:rPr>
      </w:pPr>
      <w:r>
        <w:rPr>
          <w:rFonts w:ascii="Arial" w:cs="Arial" w:eastAsia="Arial" w:hAnsi="Arial"/>
          <w:sz w:val="19"/>
          <w:szCs w:val="19"/>
          <w:b w:val="1"/>
          <w:bCs w:val="1"/>
          <w:color w:val="auto"/>
        </w:rPr>
        <w:t>WILLIS TOWERS WATSON SUB HOLDINGS UNLIMITED COMPANY</w:t>
      </w:r>
      <w:r>
        <w:rPr>
          <w:rFonts w:ascii="Arial" w:cs="Arial" w:eastAsia="Arial" w:hAnsi="Arial"/>
          <w:sz w:val="19"/>
          <w:szCs w:val="19"/>
          <w:color w:val="auto"/>
        </w:rPr>
        <w:t>,</w:t>
      </w:r>
    </w:p>
    <w:p>
      <w:pPr>
        <w:ind w:left="3380"/>
        <w:spacing w:after="0" w:line="237" w:lineRule="auto"/>
        <w:rPr>
          <w:sz w:val="20"/>
          <w:szCs w:val="20"/>
          <w:color w:val="auto"/>
        </w:rPr>
      </w:pPr>
      <w:r>
        <w:rPr>
          <w:rFonts w:ascii="Arial" w:cs="Arial" w:eastAsia="Arial" w:hAnsi="Arial"/>
          <w:sz w:val="19"/>
          <w:szCs w:val="19"/>
          <w:color w:val="auto"/>
        </w:rPr>
        <w:t>by its lawfully appointed attorney</w:t>
      </w:r>
    </w:p>
    <w:p>
      <w:pPr>
        <w:ind w:left="3380"/>
        <w:spacing w:after="0"/>
        <w:rPr>
          <w:sz w:val="20"/>
          <w:szCs w:val="20"/>
          <w:color w:val="auto"/>
        </w:rPr>
      </w:pPr>
      <w:r>
        <w:rPr>
          <w:rFonts w:ascii="Arial" w:cs="Arial" w:eastAsia="Arial" w:hAnsi="Arial"/>
          <w:sz w:val="19"/>
          <w:szCs w:val="19"/>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80"/>
        <w:spacing w:after="0"/>
        <w:rPr>
          <w:sz w:val="20"/>
          <w:szCs w:val="20"/>
          <w:color w:val="auto"/>
        </w:rPr>
      </w:pPr>
      <w:r>
        <w:rPr>
          <w:rFonts w:ascii="Arial" w:cs="Arial" w:eastAsia="Arial" w:hAnsi="Arial"/>
          <w:sz w:val="19"/>
          <w:szCs w:val="19"/>
          <w:color w:val="auto"/>
        </w:rPr>
        <w:t>(Witness’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380"/>
        <w:spacing w:after="0"/>
        <w:rPr>
          <w:sz w:val="20"/>
          <w:szCs w:val="20"/>
          <w:color w:val="auto"/>
        </w:rPr>
      </w:pPr>
      <w:r>
        <w:rPr>
          <w:rFonts w:ascii="Arial" w:cs="Arial" w:eastAsia="Arial" w:hAnsi="Arial"/>
          <w:sz w:val="19"/>
          <w:szCs w:val="19"/>
          <w:color w:val="auto"/>
        </w:rPr>
        <w:t>(Witness’ Address)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80"/>
        <w:spacing w:after="0"/>
        <w:rPr>
          <w:sz w:val="20"/>
          <w:szCs w:val="20"/>
          <w:color w:val="auto"/>
        </w:rPr>
      </w:pPr>
      <w:r>
        <w:rPr>
          <w:rFonts w:ascii="Arial" w:cs="Arial" w:eastAsia="Arial" w:hAnsi="Arial"/>
          <w:sz w:val="19"/>
          <w:szCs w:val="19"/>
          <w:color w:val="auto"/>
        </w:rPr>
        <w:t>(Witness’ Occupation)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224790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00"/>
          </w:cols>
          <w:pgMar w:left="1440" w:top="341" w:right="959" w:bottom="1440" w:gutter="0" w:footer="0" w:header="0"/>
        </w:sectPr>
      </w:pPr>
    </w:p>
    <w:bookmarkStart w:id="61" w:name="page62"/>
    <w:bookmarkEnd w:id="61"/>
    <w:p>
      <w:pPr>
        <w:ind w:left="3380"/>
        <w:spacing w:after="0"/>
        <w:rPr>
          <w:sz w:val="20"/>
          <w:szCs w:val="20"/>
          <w:color w:val="auto"/>
        </w:rPr>
      </w:pPr>
      <w:r>
        <w:rPr>
          <w:rFonts w:ascii="Arial" w:cs="Arial" w:eastAsia="Arial" w:hAnsi="Arial"/>
          <w:sz w:val="20"/>
          <w:szCs w:val="20"/>
          <w:b w:val="1"/>
          <w:bCs w:val="1"/>
          <w:color w:val="auto"/>
        </w:rPr>
        <w:t>BARCLAYS BANK, PLC,</w:t>
      </w:r>
    </w:p>
    <w:p>
      <w:pPr>
        <w:spacing w:after="0" w:line="22"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as the Administrative Agent and a Lender</w:t>
      </w:r>
    </w:p>
    <w:p>
      <w:pPr>
        <w:spacing w:after="0" w:line="200" w:lineRule="exact"/>
        <w:rPr>
          <w:sz w:val="20"/>
          <w:szCs w:val="20"/>
          <w:color w:val="auto"/>
        </w:rPr>
      </w:pPr>
    </w:p>
    <w:p>
      <w:pPr>
        <w:spacing w:after="0" w:line="289"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Name:</w:t>
      </w:r>
    </w:p>
    <w:p>
      <w:pPr>
        <w:ind w:left="38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239395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62" w:name="page63"/>
    <w:bookmarkEnd w:id="62"/>
    <w:p>
      <w:pPr>
        <w:ind w:left="3380"/>
        <w:spacing w:after="0"/>
        <w:rPr>
          <w:sz w:val="20"/>
          <w:szCs w:val="20"/>
          <w:color w:val="auto"/>
        </w:rPr>
      </w:pPr>
      <w:r>
        <w:rPr>
          <w:rFonts w:ascii="Arial" w:cs="Arial" w:eastAsia="Arial" w:hAnsi="Arial"/>
          <w:sz w:val="20"/>
          <w:szCs w:val="20"/>
          <w:color w:val="auto"/>
        </w:rPr>
        <w:t>[___],</w:t>
      </w:r>
    </w:p>
    <w:p>
      <w:pPr>
        <w:spacing w:after="0" w:line="16"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a Lender</w:t>
      </w:r>
    </w:p>
    <w:p>
      <w:pPr>
        <w:spacing w:after="0" w:line="200" w:lineRule="exact"/>
        <w:rPr>
          <w:sz w:val="20"/>
          <w:szCs w:val="20"/>
          <w:color w:val="auto"/>
        </w:rPr>
      </w:pPr>
    </w:p>
    <w:p>
      <w:pPr>
        <w:spacing w:after="0" w:line="243"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Name:</w:t>
      </w:r>
    </w:p>
    <w:p>
      <w:pPr>
        <w:ind w:left="38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239395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u w:val="single" w:color="auto"/>
          <w:color w:val="auto"/>
        </w:rPr>
        <w:t>ANNEX A</w:t>
      </w:r>
    </w:p>
    <w:p>
      <w:pPr>
        <w:spacing w:after="0" w:line="230" w:lineRule="exact"/>
        <w:rPr>
          <w:sz w:val="20"/>
          <w:szCs w:val="20"/>
          <w:color w:val="auto"/>
        </w:rPr>
      </w:pPr>
    </w:p>
    <w:p>
      <w:pPr>
        <w:ind w:left="1700"/>
        <w:spacing w:after="0"/>
        <w:rPr>
          <w:sz w:val="20"/>
          <w:szCs w:val="20"/>
          <w:color w:val="auto"/>
        </w:rPr>
      </w:pPr>
      <w:r>
        <w:rPr>
          <w:rFonts w:ascii="Arial" w:cs="Arial" w:eastAsia="Arial" w:hAnsi="Arial"/>
          <w:sz w:val="20"/>
          <w:szCs w:val="20"/>
          <w:b w:val="1"/>
          <w:bCs w:val="1"/>
          <w:color w:val="auto"/>
        </w:rPr>
        <w:t>SECOND AMENDED AND RESTATED CREDIT AGREEMENT</w:t>
      </w:r>
    </w:p>
    <w:p>
      <w:pPr>
        <w:spacing w:after="0" w:line="208"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Dated as of October 6, 2021,</w:t>
      </w:r>
    </w:p>
    <w:p>
      <w:pPr>
        <w:spacing w:after="0" w:line="16"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as amended by the First Amendment, dated as of June 29, 2023</w:t>
      </w:r>
    </w:p>
    <w:p>
      <w:pPr>
        <w:spacing w:after="0" w:line="90"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among</w:t>
      </w:r>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TRINITY ACQUISITION PLC,</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Company,</w:t>
      </w:r>
    </w:p>
    <w:p>
      <w:pPr>
        <w:spacing w:after="0" w:line="194"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WILLIS TOWERS WATSON PUBLIC LIMITED COMPANY,</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Parent,</w:t>
      </w:r>
    </w:p>
    <w:p>
      <w:pPr>
        <w:spacing w:after="0" w:line="200" w:lineRule="exact"/>
        <w:rPr>
          <w:sz w:val="20"/>
          <w:szCs w:val="20"/>
          <w:color w:val="auto"/>
        </w:rPr>
      </w:pPr>
    </w:p>
    <w:p>
      <w:pPr>
        <w:ind w:left="2940"/>
        <w:spacing w:after="0"/>
        <w:rPr>
          <w:sz w:val="20"/>
          <w:szCs w:val="20"/>
          <w:color w:val="auto"/>
        </w:rPr>
      </w:pPr>
      <w:r>
        <w:rPr>
          <w:rFonts w:ascii="Arial" w:cs="Arial" w:eastAsia="Arial" w:hAnsi="Arial"/>
          <w:sz w:val="20"/>
          <w:szCs w:val="20"/>
          <w:color w:val="auto"/>
        </w:rPr>
        <w:t>the Designated Borrowers party hereto,</w:t>
      </w:r>
    </w:p>
    <w:p>
      <w:pPr>
        <w:spacing w:after="0" w:line="183" w:lineRule="exact"/>
        <w:rPr>
          <w:sz w:val="20"/>
          <w:szCs w:val="20"/>
          <w:color w:val="auto"/>
        </w:rPr>
      </w:pPr>
    </w:p>
    <w:p>
      <w:pPr>
        <w:ind w:left="3420"/>
        <w:spacing w:after="0"/>
        <w:rPr>
          <w:sz w:val="20"/>
          <w:szCs w:val="20"/>
          <w:color w:val="auto"/>
        </w:rPr>
      </w:pPr>
      <w:r>
        <w:rPr>
          <w:rFonts w:ascii="Arial" w:cs="Arial" w:eastAsia="Arial" w:hAnsi="Arial"/>
          <w:sz w:val="20"/>
          <w:szCs w:val="20"/>
          <w:b w:val="1"/>
          <w:bCs w:val="1"/>
          <w:color w:val="auto"/>
        </w:rPr>
        <w:t>BARCLAYS BANK PLC,</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Administrative Agent, L/C Administrator and Swing Line Lender,</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the Issuing Lenders party hereto,</w:t>
      </w:r>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and</w:t>
      </w:r>
    </w:p>
    <w:p>
      <w:pPr>
        <w:spacing w:after="0" w:line="189"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The Other Lenders Party Hereto</w:t>
      </w:r>
    </w:p>
    <w:p>
      <w:pPr>
        <w:spacing w:after="0" w:line="20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JPMORGAN CHASE BANK, N.A. AND HSBC BANK PLC,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Syndication Agents and Swing Line Lenders</w:t>
      </w:r>
    </w:p>
    <w:p>
      <w:pPr>
        <w:spacing w:after="0" w:line="193"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BARCLAYS BANK PLC,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JPMORGAN CHASE BANK, N.A.,</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HSBC BANK PLC,</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BANK OF AMERICA, N.A.,</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PNC BANK, NATIONAL ASSOCIATION,</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TRUIST SECURITIES, INC.,</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WELLS FARGO SECURITIES, LLC,</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 xml:space="preserve">BNP PARIBAS LONDON BRANCH </w:t>
      </w:r>
      <w:r>
        <w:rPr>
          <w:rFonts w:ascii="Arial" w:cs="Arial" w:eastAsia="Arial" w:hAnsi="Arial"/>
          <w:sz w:val="18"/>
          <w:szCs w:val="18"/>
          <w:color w:val="auto"/>
        </w:rPr>
        <w:t>and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CITIBANK, N.A.,</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Joint Lead Arrangers and Joint Bookrunners</w:t>
      </w:r>
    </w:p>
    <w:p>
      <w:pPr>
        <w:spacing w:after="0" w:line="18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PNC BANK, NATIONAL ASSOCIATION,</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TRUIST BANK,</w:t>
      </w:r>
    </w:p>
    <w:p>
      <w:pPr>
        <w:spacing w:after="0" w:line="9"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 xml:space="preserve">BNP PARIBAS LONDON BRANCH </w:t>
      </w:r>
      <w:r>
        <w:rPr>
          <w:rFonts w:ascii="Arial" w:cs="Arial" w:eastAsia="Arial" w:hAnsi="Arial"/>
          <w:sz w:val="18"/>
          <w:szCs w:val="18"/>
          <w:color w:val="auto"/>
        </w:rPr>
        <w:t>and</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CITIBANK, N.A.,</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as Documentation Agents</w:t>
      </w:r>
    </w:p>
    <w:p>
      <w:pPr>
        <w:spacing w:after="0" w:line="193"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 xml:space="preserve">JPMORGAN CHASE BANK, N.A. </w:t>
      </w:r>
      <w:r>
        <w:rPr>
          <w:rFonts w:ascii="Arial" w:cs="Arial" w:eastAsia="Arial" w:hAnsi="Arial"/>
          <w:sz w:val="18"/>
          <w:szCs w:val="18"/>
          <w:color w:val="auto"/>
        </w:rPr>
        <w:t>and</w:t>
      </w:r>
    </w:p>
    <w:p>
      <w:pPr>
        <w:spacing w:after="0" w:line="27"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HSBC SECURITIES (USA)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Syndication Agents</w:t>
      </w:r>
    </w:p>
    <w:p>
      <w:pPr>
        <w:spacing w:after="0" w:line="19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19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 xml:space="preserve">BARCLAYS BANK PLC </w:t>
      </w:r>
      <w:r>
        <w:rPr>
          <w:rFonts w:ascii="Arial" w:cs="Arial" w:eastAsia="Arial" w:hAnsi="Arial"/>
          <w:sz w:val="18"/>
          <w:szCs w:val="18"/>
          <w:color w:val="auto"/>
        </w:rPr>
        <w:t>and</w:t>
      </w:r>
    </w:p>
    <w:p>
      <w:pPr>
        <w:spacing w:after="0" w:line="2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HSBC SECURITIES (USA) INC.,</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as Sustainability Coordinators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747395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6"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60" w:type="dxa"/>
            <w:vAlign w:val="bottom"/>
          </w:tcPr>
          <w:p>
            <w:pPr>
              <w:spacing w:after="0"/>
              <w:rPr>
                <w:sz w:val="21"/>
                <w:szCs w:val="21"/>
                <w:color w:val="auto"/>
              </w:rPr>
            </w:pPr>
          </w:p>
        </w:tc>
        <w:tc>
          <w:tcPr>
            <w:tcW w:w="8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Page</w:t>
            </w:r>
          </w:p>
        </w:tc>
      </w:tr>
      <w:tr>
        <w:trPr>
          <w:trHeight w:val="702"/>
        </w:trPr>
        <w:tc>
          <w:tcPr>
            <w:tcW w:w="9520" w:type="dxa"/>
            <w:vAlign w:val="bottom"/>
            <w:gridSpan w:val="2"/>
          </w:tcPr>
          <w:p>
            <w:pPr>
              <w:ind w:left="20"/>
              <w:spacing w:after="0"/>
              <w:rPr>
                <w:sz w:val="20"/>
                <w:szCs w:val="20"/>
                <w:color w:val="auto"/>
              </w:rPr>
            </w:pPr>
            <w:r>
              <w:rPr>
                <w:rFonts w:ascii="Arial" w:cs="Arial" w:eastAsia="Arial" w:hAnsi="Arial"/>
                <w:sz w:val="20"/>
                <w:szCs w:val="20"/>
                <w:color w:val="auto"/>
              </w:rPr>
              <w:t>ARTICLE I DEFINITIONS AND ACCOUNTING TERMS</w:t>
            </w:r>
          </w:p>
        </w:tc>
        <w:tc>
          <w:tcPr>
            <w:tcW w:w="17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73"/>
        </w:trPr>
        <w:tc>
          <w:tcPr>
            <w:tcW w:w="1360" w:type="dxa"/>
            <w:vAlign w:val="bottom"/>
          </w:tcPr>
          <w:p>
            <w:pPr>
              <w:ind w:left="660"/>
              <w:spacing w:after="0"/>
              <w:rPr>
                <w:sz w:val="20"/>
                <w:szCs w:val="20"/>
                <w:color w:val="auto"/>
              </w:rPr>
            </w:pPr>
            <w:r>
              <w:rPr>
                <w:rFonts w:ascii="Arial" w:cs="Arial" w:eastAsia="Arial" w:hAnsi="Arial"/>
                <w:sz w:val="20"/>
                <w:szCs w:val="20"/>
                <w:color w:val="auto"/>
              </w:rPr>
              <w:t>1.01</w:t>
            </w:r>
          </w:p>
        </w:tc>
        <w:tc>
          <w:tcPr>
            <w:tcW w:w="8160" w:type="dxa"/>
            <w:vAlign w:val="bottom"/>
          </w:tcPr>
          <w:p>
            <w:pPr>
              <w:ind w:left="340"/>
              <w:spacing w:after="0"/>
              <w:rPr>
                <w:sz w:val="20"/>
                <w:szCs w:val="20"/>
                <w:color w:val="auto"/>
              </w:rPr>
            </w:pPr>
            <w:r>
              <w:rPr>
                <w:rFonts w:ascii="Arial" w:cs="Arial" w:eastAsia="Arial" w:hAnsi="Arial"/>
                <w:sz w:val="20"/>
                <w:szCs w:val="20"/>
                <w:color w:val="auto"/>
              </w:rPr>
              <w:t>Defined Terms</w:t>
            </w:r>
          </w:p>
        </w:tc>
        <w:tc>
          <w:tcPr>
            <w:tcW w:w="17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1.02</w:t>
            </w:r>
          </w:p>
        </w:tc>
        <w:tc>
          <w:tcPr>
            <w:tcW w:w="8160" w:type="dxa"/>
            <w:vAlign w:val="bottom"/>
          </w:tcPr>
          <w:p>
            <w:pPr>
              <w:ind w:left="340"/>
              <w:spacing w:after="0"/>
              <w:rPr>
                <w:sz w:val="20"/>
                <w:szCs w:val="20"/>
                <w:color w:val="auto"/>
              </w:rPr>
            </w:pPr>
            <w:r>
              <w:rPr>
                <w:rFonts w:ascii="Arial" w:cs="Arial" w:eastAsia="Arial" w:hAnsi="Arial"/>
                <w:sz w:val="20"/>
                <w:szCs w:val="20"/>
                <w:color w:val="auto"/>
              </w:rPr>
              <w:t>Other Interpretive Provisions</w:t>
            </w:r>
          </w:p>
        </w:tc>
        <w:tc>
          <w:tcPr>
            <w:tcW w:w="172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1.03</w:t>
            </w:r>
          </w:p>
        </w:tc>
        <w:tc>
          <w:tcPr>
            <w:tcW w:w="8160" w:type="dxa"/>
            <w:vAlign w:val="bottom"/>
          </w:tcPr>
          <w:p>
            <w:pPr>
              <w:ind w:left="340"/>
              <w:spacing w:after="0"/>
              <w:rPr>
                <w:sz w:val="20"/>
                <w:szCs w:val="20"/>
                <w:color w:val="auto"/>
              </w:rPr>
            </w:pPr>
            <w:r>
              <w:rPr>
                <w:rFonts w:ascii="Arial" w:cs="Arial" w:eastAsia="Arial" w:hAnsi="Arial"/>
                <w:sz w:val="20"/>
                <w:szCs w:val="20"/>
                <w:color w:val="auto"/>
              </w:rPr>
              <w:t>Accounting Terms</w:t>
            </w:r>
          </w:p>
        </w:tc>
        <w:tc>
          <w:tcPr>
            <w:tcW w:w="17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1.04</w:t>
            </w:r>
          </w:p>
        </w:tc>
        <w:tc>
          <w:tcPr>
            <w:tcW w:w="8160" w:type="dxa"/>
            <w:vAlign w:val="bottom"/>
          </w:tcPr>
          <w:p>
            <w:pPr>
              <w:ind w:left="340"/>
              <w:spacing w:after="0"/>
              <w:rPr>
                <w:sz w:val="20"/>
                <w:szCs w:val="20"/>
                <w:color w:val="auto"/>
              </w:rPr>
            </w:pPr>
            <w:r>
              <w:rPr>
                <w:rFonts w:ascii="Arial" w:cs="Arial" w:eastAsia="Arial" w:hAnsi="Arial"/>
                <w:sz w:val="20"/>
                <w:szCs w:val="20"/>
                <w:color w:val="auto"/>
              </w:rPr>
              <w:t>Rounding</w:t>
            </w:r>
          </w:p>
        </w:tc>
        <w:tc>
          <w:tcPr>
            <w:tcW w:w="17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1.05</w:t>
            </w:r>
          </w:p>
        </w:tc>
        <w:tc>
          <w:tcPr>
            <w:tcW w:w="8160" w:type="dxa"/>
            <w:vAlign w:val="bottom"/>
          </w:tcPr>
          <w:p>
            <w:pPr>
              <w:ind w:left="340"/>
              <w:spacing w:after="0"/>
              <w:rPr>
                <w:sz w:val="20"/>
                <w:szCs w:val="20"/>
                <w:color w:val="auto"/>
              </w:rPr>
            </w:pPr>
            <w:r>
              <w:rPr>
                <w:rFonts w:ascii="Arial" w:cs="Arial" w:eastAsia="Arial" w:hAnsi="Arial"/>
                <w:sz w:val="20"/>
                <w:szCs w:val="20"/>
                <w:color w:val="auto"/>
              </w:rPr>
              <w:t>Exchange Rates; Currency Equivalents</w:t>
            </w:r>
          </w:p>
        </w:tc>
        <w:tc>
          <w:tcPr>
            <w:tcW w:w="17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1.06</w:t>
            </w:r>
          </w:p>
        </w:tc>
        <w:tc>
          <w:tcPr>
            <w:tcW w:w="8160" w:type="dxa"/>
            <w:vAlign w:val="bottom"/>
          </w:tcPr>
          <w:p>
            <w:pPr>
              <w:ind w:left="340"/>
              <w:spacing w:after="0"/>
              <w:rPr>
                <w:sz w:val="20"/>
                <w:szCs w:val="20"/>
                <w:color w:val="auto"/>
              </w:rPr>
            </w:pPr>
            <w:r>
              <w:rPr>
                <w:rFonts w:ascii="Arial" w:cs="Arial" w:eastAsia="Arial" w:hAnsi="Arial"/>
                <w:sz w:val="20"/>
                <w:szCs w:val="20"/>
                <w:color w:val="auto"/>
              </w:rPr>
              <w:t>Additional Alternative Currencies</w:t>
            </w:r>
          </w:p>
        </w:tc>
        <w:tc>
          <w:tcPr>
            <w:tcW w:w="17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1.07</w:t>
            </w:r>
          </w:p>
        </w:tc>
        <w:tc>
          <w:tcPr>
            <w:tcW w:w="8160" w:type="dxa"/>
            <w:vAlign w:val="bottom"/>
          </w:tcPr>
          <w:p>
            <w:pPr>
              <w:ind w:left="340"/>
              <w:spacing w:after="0"/>
              <w:rPr>
                <w:sz w:val="20"/>
                <w:szCs w:val="20"/>
                <w:color w:val="auto"/>
              </w:rPr>
            </w:pPr>
            <w:r>
              <w:rPr>
                <w:rFonts w:ascii="Arial" w:cs="Arial" w:eastAsia="Arial" w:hAnsi="Arial"/>
                <w:sz w:val="20"/>
                <w:szCs w:val="20"/>
                <w:color w:val="auto"/>
              </w:rPr>
              <w:t>Change of Currency</w:t>
            </w:r>
          </w:p>
        </w:tc>
        <w:tc>
          <w:tcPr>
            <w:tcW w:w="17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1.08</w:t>
            </w:r>
          </w:p>
        </w:tc>
        <w:tc>
          <w:tcPr>
            <w:tcW w:w="8160" w:type="dxa"/>
            <w:vAlign w:val="bottom"/>
          </w:tcPr>
          <w:p>
            <w:pPr>
              <w:ind w:left="340"/>
              <w:spacing w:after="0"/>
              <w:rPr>
                <w:sz w:val="20"/>
                <w:szCs w:val="20"/>
                <w:color w:val="auto"/>
              </w:rPr>
            </w:pPr>
            <w:r>
              <w:rPr>
                <w:rFonts w:ascii="Arial" w:cs="Arial" w:eastAsia="Arial" w:hAnsi="Arial"/>
                <w:sz w:val="20"/>
                <w:szCs w:val="20"/>
                <w:color w:val="auto"/>
              </w:rPr>
              <w:t>Times of Day</w:t>
            </w:r>
          </w:p>
        </w:tc>
        <w:tc>
          <w:tcPr>
            <w:tcW w:w="17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1.09</w:t>
            </w:r>
          </w:p>
        </w:tc>
        <w:tc>
          <w:tcPr>
            <w:tcW w:w="8160" w:type="dxa"/>
            <w:vAlign w:val="bottom"/>
          </w:tcPr>
          <w:p>
            <w:pPr>
              <w:ind w:left="340"/>
              <w:spacing w:after="0"/>
              <w:rPr>
                <w:sz w:val="20"/>
                <w:szCs w:val="20"/>
                <w:color w:val="auto"/>
              </w:rPr>
            </w:pPr>
            <w:r>
              <w:rPr>
                <w:rFonts w:ascii="Arial" w:cs="Arial" w:eastAsia="Arial" w:hAnsi="Arial"/>
                <w:sz w:val="20"/>
                <w:szCs w:val="20"/>
                <w:color w:val="auto"/>
              </w:rPr>
              <w:t>Letter of Credit Amounts</w:t>
            </w:r>
          </w:p>
        </w:tc>
        <w:tc>
          <w:tcPr>
            <w:tcW w:w="17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1.10</w:t>
            </w:r>
          </w:p>
        </w:tc>
        <w:tc>
          <w:tcPr>
            <w:tcW w:w="8160" w:type="dxa"/>
            <w:vAlign w:val="bottom"/>
          </w:tcPr>
          <w:p>
            <w:pPr>
              <w:ind w:left="340"/>
              <w:spacing w:after="0"/>
              <w:rPr>
                <w:sz w:val="20"/>
                <w:szCs w:val="20"/>
                <w:color w:val="auto"/>
              </w:rPr>
            </w:pPr>
            <w:r>
              <w:rPr>
                <w:rFonts w:ascii="Arial" w:cs="Arial" w:eastAsia="Arial" w:hAnsi="Arial"/>
                <w:sz w:val="20"/>
                <w:szCs w:val="20"/>
                <w:color w:val="auto"/>
              </w:rPr>
              <w:t>Amendment and Restatement of Existing Credit Agreement</w:t>
            </w:r>
          </w:p>
        </w:tc>
        <w:tc>
          <w:tcPr>
            <w:tcW w:w="17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1.11</w:t>
            </w:r>
          </w:p>
        </w:tc>
        <w:tc>
          <w:tcPr>
            <w:tcW w:w="8160" w:type="dxa"/>
            <w:vAlign w:val="bottom"/>
          </w:tcPr>
          <w:p>
            <w:pPr>
              <w:ind w:left="340"/>
              <w:spacing w:after="0"/>
              <w:rPr>
                <w:sz w:val="20"/>
                <w:szCs w:val="20"/>
                <w:color w:val="auto"/>
              </w:rPr>
            </w:pPr>
            <w:r>
              <w:rPr>
                <w:rFonts w:ascii="Arial" w:cs="Arial" w:eastAsia="Arial" w:hAnsi="Arial"/>
                <w:sz w:val="20"/>
                <w:szCs w:val="20"/>
                <w:color w:val="auto"/>
              </w:rPr>
              <w:t>Divisions</w:t>
            </w:r>
          </w:p>
        </w:tc>
        <w:tc>
          <w:tcPr>
            <w:tcW w:w="17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473"/>
        </w:trPr>
        <w:tc>
          <w:tcPr>
            <w:tcW w:w="9520" w:type="dxa"/>
            <w:vAlign w:val="bottom"/>
            <w:gridSpan w:val="2"/>
          </w:tcPr>
          <w:p>
            <w:pPr>
              <w:ind w:left="20"/>
              <w:spacing w:after="0"/>
              <w:rPr>
                <w:sz w:val="20"/>
                <w:szCs w:val="20"/>
                <w:color w:val="auto"/>
              </w:rPr>
            </w:pPr>
            <w:r>
              <w:rPr>
                <w:rFonts w:ascii="Arial" w:cs="Arial" w:eastAsia="Arial" w:hAnsi="Arial"/>
                <w:sz w:val="20"/>
                <w:szCs w:val="20"/>
                <w:color w:val="auto"/>
              </w:rPr>
              <w:t>ARTICLE II THE COMMITMENTS AND BORROWINGS</w:t>
            </w:r>
          </w:p>
        </w:tc>
        <w:tc>
          <w:tcPr>
            <w:tcW w:w="17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473"/>
        </w:trPr>
        <w:tc>
          <w:tcPr>
            <w:tcW w:w="1360" w:type="dxa"/>
            <w:vAlign w:val="bottom"/>
          </w:tcPr>
          <w:p>
            <w:pPr>
              <w:ind w:left="660"/>
              <w:spacing w:after="0"/>
              <w:rPr>
                <w:sz w:val="20"/>
                <w:szCs w:val="20"/>
                <w:color w:val="auto"/>
              </w:rPr>
            </w:pPr>
            <w:r>
              <w:rPr>
                <w:rFonts w:ascii="Arial" w:cs="Arial" w:eastAsia="Arial" w:hAnsi="Arial"/>
                <w:sz w:val="20"/>
                <w:szCs w:val="20"/>
                <w:color w:val="auto"/>
              </w:rPr>
              <w:t>2.01</w:t>
            </w:r>
          </w:p>
        </w:tc>
        <w:tc>
          <w:tcPr>
            <w:tcW w:w="8160" w:type="dxa"/>
            <w:vAlign w:val="bottom"/>
          </w:tcPr>
          <w:p>
            <w:pPr>
              <w:ind w:left="340"/>
              <w:spacing w:after="0"/>
              <w:rPr>
                <w:sz w:val="20"/>
                <w:szCs w:val="20"/>
                <w:color w:val="auto"/>
              </w:rPr>
            </w:pPr>
            <w:r>
              <w:rPr>
                <w:rFonts w:ascii="Arial" w:cs="Arial" w:eastAsia="Arial" w:hAnsi="Arial"/>
                <w:sz w:val="20"/>
                <w:szCs w:val="20"/>
                <w:color w:val="auto"/>
              </w:rPr>
              <w:t>The Loans</w:t>
            </w:r>
          </w:p>
        </w:tc>
        <w:tc>
          <w:tcPr>
            <w:tcW w:w="17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2.02</w:t>
            </w:r>
          </w:p>
        </w:tc>
        <w:tc>
          <w:tcPr>
            <w:tcW w:w="8160" w:type="dxa"/>
            <w:vAlign w:val="bottom"/>
          </w:tcPr>
          <w:p>
            <w:pPr>
              <w:ind w:left="340"/>
              <w:spacing w:after="0"/>
              <w:rPr>
                <w:sz w:val="20"/>
                <w:szCs w:val="20"/>
                <w:color w:val="auto"/>
              </w:rPr>
            </w:pPr>
            <w:r>
              <w:rPr>
                <w:rFonts w:ascii="Arial" w:cs="Arial" w:eastAsia="Arial" w:hAnsi="Arial"/>
                <w:sz w:val="20"/>
                <w:szCs w:val="20"/>
                <w:color w:val="auto"/>
              </w:rPr>
              <w:t>Borrowings, Conversions and Continuations of Loans</w:t>
            </w:r>
          </w:p>
        </w:tc>
        <w:tc>
          <w:tcPr>
            <w:tcW w:w="17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2.03</w:t>
            </w:r>
          </w:p>
        </w:tc>
        <w:tc>
          <w:tcPr>
            <w:tcW w:w="8160" w:type="dxa"/>
            <w:vAlign w:val="bottom"/>
          </w:tcPr>
          <w:p>
            <w:pPr>
              <w:ind w:left="340"/>
              <w:spacing w:after="0"/>
              <w:rPr>
                <w:sz w:val="20"/>
                <w:szCs w:val="20"/>
                <w:color w:val="auto"/>
              </w:rPr>
            </w:pPr>
            <w:r>
              <w:rPr>
                <w:rFonts w:ascii="Arial" w:cs="Arial" w:eastAsia="Arial" w:hAnsi="Arial"/>
                <w:sz w:val="20"/>
                <w:szCs w:val="20"/>
                <w:color w:val="auto"/>
              </w:rPr>
              <w:t>Letters of Credit</w:t>
            </w:r>
          </w:p>
        </w:tc>
        <w:tc>
          <w:tcPr>
            <w:tcW w:w="172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2.04</w:t>
            </w:r>
          </w:p>
        </w:tc>
        <w:tc>
          <w:tcPr>
            <w:tcW w:w="8160" w:type="dxa"/>
            <w:vAlign w:val="bottom"/>
          </w:tcPr>
          <w:p>
            <w:pPr>
              <w:ind w:left="340"/>
              <w:spacing w:after="0"/>
              <w:rPr>
                <w:sz w:val="20"/>
                <w:szCs w:val="20"/>
                <w:color w:val="auto"/>
              </w:rPr>
            </w:pPr>
            <w:r>
              <w:rPr>
                <w:rFonts w:ascii="Arial" w:cs="Arial" w:eastAsia="Arial" w:hAnsi="Arial"/>
                <w:sz w:val="20"/>
                <w:szCs w:val="20"/>
                <w:color w:val="auto"/>
              </w:rPr>
              <w:t>Swing Line Loans</w:t>
            </w:r>
          </w:p>
        </w:tc>
        <w:tc>
          <w:tcPr>
            <w:tcW w:w="17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2.05</w:t>
            </w:r>
          </w:p>
        </w:tc>
        <w:tc>
          <w:tcPr>
            <w:tcW w:w="8160" w:type="dxa"/>
            <w:vAlign w:val="bottom"/>
          </w:tcPr>
          <w:p>
            <w:pPr>
              <w:ind w:left="340"/>
              <w:spacing w:after="0"/>
              <w:rPr>
                <w:sz w:val="20"/>
                <w:szCs w:val="20"/>
                <w:color w:val="auto"/>
              </w:rPr>
            </w:pPr>
            <w:r>
              <w:rPr>
                <w:rFonts w:ascii="Arial" w:cs="Arial" w:eastAsia="Arial" w:hAnsi="Arial"/>
                <w:sz w:val="20"/>
                <w:szCs w:val="20"/>
                <w:color w:val="auto"/>
              </w:rPr>
              <w:t>Prepayments</w:t>
            </w:r>
          </w:p>
        </w:tc>
        <w:tc>
          <w:tcPr>
            <w:tcW w:w="172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2.06</w:t>
            </w:r>
          </w:p>
        </w:tc>
        <w:tc>
          <w:tcPr>
            <w:tcW w:w="8160" w:type="dxa"/>
            <w:vAlign w:val="bottom"/>
          </w:tcPr>
          <w:p>
            <w:pPr>
              <w:ind w:left="340"/>
              <w:spacing w:after="0"/>
              <w:rPr>
                <w:sz w:val="20"/>
                <w:szCs w:val="20"/>
                <w:color w:val="auto"/>
              </w:rPr>
            </w:pPr>
            <w:r>
              <w:rPr>
                <w:rFonts w:ascii="Arial" w:cs="Arial" w:eastAsia="Arial" w:hAnsi="Arial"/>
                <w:sz w:val="20"/>
                <w:szCs w:val="20"/>
                <w:color w:val="auto"/>
              </w:rPr>
              <w:t>Termination or Reduction of Revolving Credit Commitments</w:t>
            </w:r>
          </w:p>
        </w:tc>
        <w:tc>
          <w:tcPr>
            <w:tcW w:w="172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2.07</w:t>
            </w:r>
          </w:p>
        </w:tc>
        <w:tc>
          <w:tcPr>
            <w:tcW w:w="8160" w:type="dxa"/>
            <w:vAlign w:val="bottom"/>
          </w:tcPr>
          <w:p>
            <w:pPr>
              <w:ind w:left="340"/>
              <w:spacing w:after="0"/>
              <w:rPr>
                <w:sz w:val="20"/>
                <w:szCs w:val="20"/>
                <w:color w:val="auto"/>
              </w:rPr>
            </w:pPr>
            <w:r>
              <w:rPr>
                <w:rFonts w:ascii="Arial" w:cs="Arial" w:eastAsia="Arial" w:hAnsi="Arial"/>
                <w:sz w:val="20"/>
                <w:szCs w:val="20"/>
                <w:color w:val="auto"/>
              </w:rPr>
              <w:t>Repayment of Loans</w:t>
            </w:r>
          </w:p>
        </w:tc>
        <w:tc>
          <w:tcPr>
            <w:tcW w:w="17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2.08</w:t>
            </w:r>
          </w:p>
        </w:tc>
        <w:tc>
          <w:tcPr>
            <w:tcW w:w="8160" w:type="dxa"/>
            <w:vAlign w:val="bottom"/>
          </w:tcPr>
          <w:p>
            <w:pPr>
              <w:ind w:left="340"/>
              <w:spacing w:after="0"/>
              <w:rPr>
                <w:sz w:val="20"/>
                <w:szCs w:val="20"/>
                <w:color w:val="auto"/>
              </w:rPr>
            </w:pPr>
            <w:r>
              <w:rPr>
                <w:rFonts w:ascii="Arial" w:cs="Arial" w:eastAsia="Arial" w:hAnsi="Arial"/>
                <w:sz w:val="20"/>
                <w:szCs w:val="20"/>
                <w:color w:val="auto"/>
              </w:rPr>
              <w:t>Interest</w:t>
            </w:r>
          </w:p>
        </w:tc>
        <w:tc>
          <w:tcPr>
            <w:tcW w:w="17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2.09</w:t>
            </w:r>
          </w:p>
        </w:tc>
        <w:tc>
          <w:tcPr>
            <w:tcW w:w="8160" w:type="dxa"/>
            <w:vAlign w:val="bottom"/>
          </w:tcPr>
          <w:p>
            <w:pPr>
              <w:ind w:left="340"/>
              <w:spacing w:after="0"/>
              <w:rPr>
                <w:sz w:val="20"/>
                <w:szCs w:val="20"/>
                <w:color w:val="auto"/>
              </w:rPr>
            </w:pPr>
            <w:r>
              <w:rPr>
                <w:rFonts w:ascii="Arial" w:cs="Arial" w:eastAsia="Arial" w:hAnsi="Arial"/>
                <w:sz w:val="20"/>
                <w:szCs w:val="20"/>
                <w:color w:val="auto"/>
              </w:rPr>
              <w:t>Fees</w:t>
            </w:r>
          </w:p>
        </w:tc>
        <w:tc>
          <w:tcPr>
            <w:tcW w:w="17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2.10</w:t>
            </w:r>
          </w:p>
        </w:tc>
        <w:tc>
          <w:tcPr>
            <w:tcW w:w="8160" w:type="dxa"/>
            <w:vAlign w:val="bottom"/>
          </w:tcPr>
          <w:p>
            <w:pPr>
              <w:ind w:left="340"/>
              <w:spacing w:after="0"/>
              <w:rPr>
                <w:sz w:val="20"/>
                <w:szCs w:val="20"/>
                <w:color w:val="auto"/>
              </w:rPr>
            </w:pPr>
            <w:r>
              <w:rPr>
                <w:rFonts w:ascii="Arial" w:cs="Arial" w:eastAsia="Arial" w:hAnsi="Arial"/>
                <w:sz w:val="20"/>
                <w:szCs w:val="20"/>
                <w:color w:val="auto"/>
              </w:rPr>
              <w:t>Computation of Interest and Fees</w:t>
            </w:r>
          </w:p>
        </w:tc>
        <w:tc>
          <w:tcPr>
            <w:tcW w:w="172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2.11</w:t>
            </w:r>
          </w:p>
        </w:tc>
        <w:tc>
          <w:tcPr>
            <w:tcW w:w="8160" w:type="dxa"/>
            <w:vAlign w:val="bottom"/>
          </w:tcPr>
          <w:p>
            <w:pPr>
              <w:ind w:left="340"/>
              <w:spacing w:after="0"/>
              <w:rPr>
                <w:sz w:val="20"/>
                <w:szCs w:val="20"/>
                <w:color w:val="auto"/>
              </w:rPr>
            </w:pPr>
            <w:r>
              <w:rPr>
                <w:rFonts w:ascii="Arial" w:cs="Arial" w:eastAsia="Arial" w:hAnsi="Arial"/>
                <w:sz w:val="20"/>
                <w:szCs w:val="20"/>
                <w:color w:val="auto"/>
              </w:rPr>
              <w:t>Evidence of Debt</w:t>
            </w:r>
          </w:p>
        </w:tc>
        <w:tc>
          <w:tcPr>
            <w:tcW w:w="172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2.12</w:t>
            </w:r>
          </w:p>
        </w:tc>
        <w:tc>
          <w:tcPr>
            <w:tcW w:w="8160" w:type="dxa"/>
            <w:vAlign w:val="bottom"/>
          </w:tcPr>
          <w:p>
            <w:pPr>
              <w:ind w:left="340"/>
              <w:spacing w:after="0"/>
              <w:rPr>
                <w:sz w:val="20"/>
                <w:szCs w:val="20"/>
                <w:color w:val="auto"/>
              </w:rPr>
            </w:pPr>
            <w:r>
              <w:rPr>
                <w:rFonts w:ascii="Arial" w:cs="Arial" w:eastAsia="Arial" w:hAnsi="Arial"/>
                <w:sz w:val="20"/>
                <w:szCs w:val="20"/>
                <w:color w:val="auto"/>
              </w:rPr>
              <w:t>Payments Generally; Administrative Agent’s Clawback</w:t>
            </w:r>
          </w:p>
        </w:tc>
        <w:tc>
          <w:tcPr>
            <w:tcW w:w="172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2.13</w:t>
            </w:r>
          </w:p>
        </w:tc>
        <w:tc>
          <w:tcPr>
            <w:tcW w:w="8160" w:type="dxa"/>
            <w:vAlign w:val="bottom"/>
          </w:tcPr>
          <w:p>
            <w:pPr>
              <w:ind w:left="340"/>
              <w:spacing w:after="0"/>
              <w:rPr>
                <w:sz w:val="20"/>
                <w:szCs w:val="20"/>
                <w:color w:val="auto"/>
              </w:rPr>
            </w:pPr>
            <w:r>
              <w:rPr>
                <w:rFonts w:ascii="Arial" w:cs="Arial" w:eastAsia="Arial" w:hAnsi="Arial"/>
                <w:sz w:val="20"/>
                <w:szCs w:val="20"/>
                <w:color w:val="auto"/>
              </w:rPr>
              <w:t>Sharing of Payments by Lenders</w:t>
            </w:r>
          </w:p>
        </w:tc>
        <w:tc>
          <w:tcPr>
            <w:tcW w:w="172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2.14</w:t>
            </w:r>
          </w:p>
        </w:tc>
        <w:tc>
          <w:tcPr>
            <w:tcW w:w="8160" w:type="dxa"/>
            <w:vAlign w:val="bottom"/>
          </w:tcPr>
          <w:p>
            <w:pPr>
              <w:ind w:left="340"/>
              <w:spacing w:after="0"/>
              <w:rPr>
                <w:sz w:val="20"/>
                <w:szCs w:val="20"/>
                <w:color w:val="auto"/>
              </w:rPr>
            </w:pPr>
            <w:r>
              <w:rPr>
                <w:rFonts w:ascii="Arial" w:cs="Arial" w:eastAsia="Arial" w:hAnsi="Arial"/>
                <w:sz w:val="20"/>
                <w:szCs w:val="20"/>
                <w:color w:val="auto"/>
              </w:rPr>
              <w:t>Increase in Commitments</w:t>
            </w:r>
          </w:p>
        </w:tc>
        <w:tc>
          <w:tcPr>
            <w:tcW w:w="172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2.15</w:t>
            </w:r>
          </w:p>
        </w:tc>
        <w:tc>
          <w:tcPr>
            <w:tcW w:w="8160" w:type="dxa"/>
            <w:vAlign w:val="bottom"/>
          </w:tcPr>
          <w:p>
            <w:pPr>
              <w:ind w:left="340"/>
              <w:spacing w:after="0"/>
              <w:rPr>
                <w:sz w:val="20"/>
                <w:szCs w:val="20"/>
                <w:color w:val="auto"/>
              </w:rPr>
            </w:pPr>
            <w:r>
              <w:rPr>
                <w:rFonts w:ascii="Arial" w:cs="Arial" w:eastAsia="Arial" w:hAnsi="Arial"/>
                <w:sz w:val="20"/>
                <w:szCs w:val="20"/>
                <w:color w:val="auto"/>
              </w:rPr>
              <w:t>Cash Collateral</w:t>
            </w:r>
          </w:p>
        </w:tc>
        <w:tc>
          <w:tcPr>
            <w:tcW w:w="17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2.16</w:t>
            </w:r>
          </w:p>
        </w:tc>
        <w:tc>
          <w:tcPr>
            <w:tcW w:w="8160" w:type="dxa"/>
            <w:vAlign w:val="bottom"/>
          </w:tcPr>
          <w:p>
            <w:pPr>
              <w:ind w:left="340"/>
              <w:spacing w:after="0"/>
              <w:rPr>
                <w:sz w:val="20"/>
                <w:szCs w:val="20"/>
                <w:color w:val="auto"/>
              </w:rPr>
            </w:pPr>
            <w:r>
              <w:rPr>
                <w:rFonts w:ascii="Arial" w:cs="Arial" w:eastAsia="Arial" w:hAnsi="Arial"/>
                <w:sz w:val="20"/>
                <w:szCs w:val="20"/>
                <w:color w:val="auto"/>
              </w:rPr>
              <w:t>Defaulting Lenders</w:t>
            </w:r>
          </w:p>
        </w:tc>
        <w:tc>
          <w:tcPr>
            <w:tcW w:w="172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2.17</w:t>
            </w:r>
          </w:p>
        </w:tc>
        <w:tc>
          <w:tcPr>
            <w:tcW w:w="8160" w:type="dxa"/>
            <w:vAlign w:val="bottom"/>
          </w:tcPr>
          <w:p>
            <w:pPr>
              <w:ind w:left="340"/>
              <w:spacing w:after="0"/>
              <w:rPr>
                <w:sz w:val="20"/>
                <w:szCs w:val="20"/>
                <w:color w:val="auto"/>
              </w:rPr>
            </w:pPr>
            <w:r>
              <w:rPr>
                <w:rFonts w:ascii="Arial" w:cs="Arial" w:eastAsia="Arial" w:hAnsi="Arial"/>
                <w:sz w:val="20"/>
                <w:szCs w:val="20"/>
                <w:color w:val="auto"/>
              </w:rPr>
              <w:t>Extensions of Revolving Credit Commitments</w:t>
            </w:r>
          </w:p>
        </w:tc>
        <w:tc>
          <w:tcPr>
            <w:tcW w:w="172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2.18</w:t>
            </w:r>
          </w:p>
        </w:tc>
        <w:tc>
          <w:tcPr>
            <w:tcW w:w="8160" w:type="dxa"/>
            <w:vAlign w:val="bottom"/>
          </w:tcPr>
          <w:p>
            <w:pPr>
              <w:ind w:left="340"/>
              <w:spacing w:after="0"/>
              <w:rPr>
                <w:sz w:val="20"/>
                <w:szCs w:val="20"/>
                <w:color w:val="auto"/>
              </w:rPr>
            </w:pPr>
            <w:r>
              <w:rPr>
                <w:rFonts w:ascii="Arial" w:cs="Arial" w:eastAsia="Arial" w:hAnsi="Arial"/>
                <w:sz w:val="20"/>
                <w:szCs w:val="20"/>
                <w:color w:val="auto"/>
              </w:rPr>
              <w:t>Designated Borrower</w:t>
            </w:r>
          </w:p>
        </w:tc>
        <w:tc>
          <w:tcPr>
            <w:tcW w:w="172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2.19</w:t>
            </w:r>
          </w:p>
        </w:tc>
        <w:tc>
          <w:tcPr>
            <w:tcW w:w="8160" w:type="dxa"/>
            <w:vAlign w:val="bottom"/>
          </w:tcPr>
          <w:p>
            <w:pPr>
              <w:ind w:left="340"/>
              <w:spacing w:after="0"/>
              <w:rPr>
                <w:sz w:val="20"/>
                <w:szCs w:val="20"/>
                <w:color w:val="auto"/>
              </w:rPr>
            </w:pPr>
            <w:r>
              <w:rPr>
                <w:rFonts w:ascii="Arial" w:cs="Arial" w:eastAsia="Arial" w:hAnsi="Arial"/>
                <w:sz w:val="20"/>
                <w:szCs w:val="20"/>
                <w:color w:val="auto"/>
              </w:rPr>
              <w:t>Sustainability Adjustments.</w:t>
            </w:r>
          </w:p>
        </w:tc>
        <w:tc>
          <w:tcPr>
            <w:tcW w:w="172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473"/>
        </w:trPr>
        <w:tc>
          <w:tcPr>
            <w:tcW w:w="9520" w:type="dxa"/>
            <w:vAlign w:val="bottom"/>
            <w:gridSpan w:val="2"/>
          </w:tcPr>
          <w:p>
            <w:pPr>
              <w:ind w:left="20"/>
              <w:spacing w:after="0"/>
              <w:rPr>
                <w:sz w:val="20"/>
                <w:szCs w:val="20"/>
                <w:color w:val="auto"/>
              </w:rPr>
            </w:pPr>
            <w:r>
              <w:rPr>
                <w:rFonts w:ascii="Arial" w:cs="Arial" w:eastAsia="Arial" w:hAnsi="Arial"/>
                <w:sz w:val="20"/>
                <w:szCs w:val="20"/>
                <w:color w:val="auto"/>
              </w:rPr>
              <w:t>ARTICLE III TAXES, YIELD PROTECTION AND ILLEGALITY</w:t>
            </w:r>
          </w:p>
        </w:tc>
        <w:tc>
          <w:tcPr>
            <w:tcW w:w="172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473"/>
        </w:trPr>
        <w:tc>
          <w:tcPr>
            <w:tcW w:w="1360" w:type="dxa"/>
            <w:vAlign w:val="bottom"/>
          </w:tcPr>
          <w:p>
            <w:pPr>
              <w:ind w:left="660"/>
              <w:spacing w:after="0"/>
              <w:rPr>
                <w:sz w:val="20"/>
                <w:szCs w:val="20"/>
                <w:color w:val="auto"/>
              </w:rPr>
            </w:pPr>
            <w:r>
              <w:rPr>
                <w:rFonts w:ascii="Arial" w:cs="Arial" w:eastAsia="Arial" w:hAnsi="Arial"/>
                <w:sz w:val="20"/>
                <w:szCs w:val="20"/>
                <w:color w:val="auto"/>
              </w:rPr>
              <w:t>3.01</w:t>
            </w:r>
          </w:p>
        </w:tc>
        <w:tc>
          <w:tcPr>
            <w:tcW w:w="8160" w:type="dxa"/>
            <w:vAlign w:val="bottom"/>
          </w:tcPr>
          <w:p>
            <w:pPr>
              <w:ind w:left="340"/>
              <w:spacing w:after="0"/>
              <w:rPr>
                <w:sz w:val="20"/>
                <w:szCs w:val="20"/>
                <w:color w:val="auto"/>
              </w:rPr>
            </w:pPr>
            <w:r>
              <w:rPr>
                <w:rFonts w:ascii="Arial" w:cs="Arial" w:eastAsia="Arial" w:hAnsi="Arial"/>
                <w:sz w:val="20"/>
                <w:szCs w:val="20"/>
                <w:color w:val="auto"/>
              </w:rPr>
              <w:t>Taxes</w:t>
            </w:r>
          </w:p>
        </w:tc>
        <w:tc>
          <w:tcPr>
            <w:tcW w:w="172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3.02</w:t>
            </w:r>
          </w:p>
        </w:tc>
        <w:tc>
          <w:tcPr>
            <w:tcW w:w="8160" w:type="dxa"/>
            <w:vAlign w:val="bottom"/>
          </w:tcPr>
          <w:p>
            <w:pPr>
              <w:ind w:left="340"/>
              <w:spacing w:after="0"/>
              <w:rPr>
                <w:sz w:val="20"/>
                <w:szCs w:val="20"/>
                <w:color w:val="auto"/>
              </w:rPr>
            </w:pPr>
            <w:r>
              <w:rPr>
                <w:rFonts w:ascii="Arial" w:cs="Arial" w:eastAsia="Arial" w:hAnsi="Arial"/>
                <w:sz w:val="20"/>
                <w:szCs w:val="20"/>
                <w:color w:val="auto"/>
              </w:rPr>
              <w:t>Illegality</w:t>
            </w:r>
          </w:p>
        </w:tc>
        <w:tc>
          <w:tcPr>
            <w:tcW w:w="172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3.03</w:t>
            </w:r>
          </w:p>
        </w:tc>
        <w:tc>
          <w:tcPr>
            <w:tcW w:w="8160" w:type="dxa"/>
            <w:vAlign w:val="bottom"/>
          </w:tcPr>
          <w:p>
            <w:pPr>
              <w:ind w:left="340"/>
              <w:spacing w:after="0"/>
              <w:rPr>
                <w:sz w:val="20"/>
                <w:szCs w:val="20"/>
                <w:color w:val="auto"/>
              </w:rPr>
            </w:pPr>
            <w:r>
              <w:rPr>
                <w:rFonts w:ascii="Arial" w:cs="Arial" w:eastAsia="Arial" w:hAnsi="Arial"/>
                <w:sz w:val="20"/>
                <w:szCs w:val="20"/>
                <w:color w:val="auto"/>
              </w:rPr>
              <w:t>Inability to Determine Rates; Benchmark Replacement Setting; Rates Notification</w:t>
            </w:r>
          </w:p>
        </w:tc>
        <w:tc>
          <w:tcPr>
            <w:tcW w:w="172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3.04</w:t>
            </w:r>
          </w:p>
        </w:tc>
        <w:tc>
          <w:tcPr>
            <w:tcW w:w="8160" w:type="dxa"/>
            <w:vAlign w:val="bottom"/>
          </w:tcPr>
          <w:p>
            <w:pPr>
              <w:ind w:left="340"/>
              <w:spacing w:after="0"/>
              <w:rPr>
                <w:sz w:val="20"/>
                <w:szCs w:val="20"/>
                <w:color w:val="auto"/>
              </w:rPr>
            </w:pPr>
            <w:r>
              <w:rPr>
                <w:rFonts w:ascii="Arial" w:cs="Arial" w:eastAsia="Arial" w:hAnsi="Arial"/>
                <w:sz w:val="20"/>
                <w:szCs w:val="20"/>
                <w:color w:val="auto"/>
              </w:rPr>
              <w:t>Increased Costs; Reserves on Term Benchmark Rate Loans</w:t>
            </w:r>
          </w:p>
        </w:tc>
        <w:tc>
          <w:tcPr>
            <w:tcW w:w="17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3.05</w:t>
            </w:r>
          </w:p>
        </w:tc>
        <w:tc>
          <w:tcPr>
            <w:tcW w:w="8160" w:type="dxa"/>
            <w:vAlign w:val="bottom"/>
          </w:tcPr>
          <w:p>
            <w:pPr>
              <w:ind w:left="340"/>
              <w:spacing w:after="0"/>
              <w:rPr>
                <w:sz w:val="20"/>
                <w:szCs w:val="20"/>
                <w:color w:val="auto"/>
              </w:rPr>
            </w:pPr>
            <w:r>
              <w:rPr>
                <w:rFonts w:ascii="Arial" w:cs="Arial" w:eastAsia="Arial" w:hAnsi="Arial"/>
                <w:sz w:val="20"/>
                <w:szCs w:val="20"/>
                <w:color w:val="auto"/>
              </w:rPr>
              <w:t>Compensation for Losses</w:t>
            </w:r>
          </w:p>
        </w:tc>
        <w:tc>
          <w:tcPr>
            <w:tcW w:w="172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49"/>
        </w:trPr>
        <w:tc>
          <w:tcPr>
            <w:tcW w:w="1360" w:type="dxa"/>
            <w:vAlign w:val="bottom"/>
          </w:tcPr>
          <w:p>
            <w:pPr>
              <w:ind w:left="660"/>
              <w:spacing w:after="0"/>
              <w:rPr>
                <w:sz w:val="20"/>
                <w:szCs w:val="20"/>
                <w:color w:val="auto"/>
              </w:rPr>
            </w:pPr>
            <w:r>
              <w:rPr>
                <w:rFonts w:ascii="Arial" w:cs="Arial" w:eastAsia="Arial" w:hAnsi="Arial"/>
                <w:sz w:val="20"/>
                <w:szCs w:val="20"/>
                <w:color w:val="auto"/>
              </w:rPr>
              <w:t>3.06</w:t>
            </w:r>
          </w:p>
        </w:tc>
        <w:tc>
          <w:tcPr>
            <w:tcW w:w="8160" w:type="dxa"/>
            <w:vAlign w:val="bottom"/>
          </w:tcPr>
          <w:p>
            <w:pPr>
              <w:ind w:left="340"/>
              <w:spacing w:after="0"/>
              <w:rPr>
                <w:sz w:val="20"/>
                <w:szCs w:val="20"/>
                <w:color w:val="auto"/>
              </w:rPr>
            </w:pPr>
            <w:r>
              <w:rPr>
                <w:rFonts w:ascii="Arial" w:cs="Arial" w:eastAsia="Arial" w:hAnsi="Arial"/>
                <w:sz w:val="20"/>
                <w:szCs w:val="20"/>
                <w:color w:val="auto"/>
              </w:rPr>
              <w:t>Mitigation Obligations; Replacement of Lenders</w:t>
            </w:r>
          </w:p>
        </w:tc>
        <w:tc>
          <w:tcPr>
            <w:tcW w:w="172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50"/>
        </w:trPr>
        <w:tc>
          <w:tcPr>
            <w:tcW w:w="1360" w:type="dxa"/>
            <w:vAlign w:val="bottom"/>
          </w:tcPr>
          <w:p>
            <w:pPr>
              <w:spacing w:after="0"/>
              <w:rPr>
                <w:sz w:val="21"/>
                <w:szCs w:val="21"/>
                <w:color w:val="auto"/>
              </w:rPr>
            </w:pPr>
          </w:p>
        </w:tc>
        <w:tc>
          <w:tcPr>
            <w:tcW w:w="8160" w:type="dxa"/>
            <w:vAlign w:val="bottom"/>
          </w:tcPr>
          <w:p>
            <w:pPr>
              <w:ind w:left="4240"/>
              <w:spacing w:after="0"/>
              <w:rPr>
                <w:sz w:val="20"/>
                <w:szCs w:val="20"/>
                <w:color w:val="auto"/>
              </w:rPr>
            </w:pPr>
            <w:r>
              <w:rPr>
                <w:rFonts w:ascii="Arial" w:cs="Arial" w:eastAsia="Arial" w:hAnsi="Arial"/>
                <w:sz w:val="20"/>
                <w:szCs w:val="20"/>
                <w:color w:val="auto"/>
              </w:rPr>
              <w:t>i</w:t>
            </w:r>
          </w:p>
        </w:tc>
        <w:tc>
          <w:tcPr>
            <w:tcW w:w="1720" w:type="dxa"/>
            <w:vAlign w:val="bottom"/>
          </w:tcPr>
          <w:p>
            <w:pPr>
              <w:spacing w:after="0"/>
              <w:rPr>
                <w:sz w:val="21"/>
                <w:szCs w:val="21"/>
                <w:color w:val="auto"/>
              </w:rPr>
            </w:pPr>
          </w:p>
        </w:tc>
      </w:tr>
      <w:tr>
        <w:trPr>
          <w:trHeight w:val="111"/>
        </w:trPr>
        <w:tc>
          <w:tcPr>
            <w:tcW w:w="1360" w:type="dxa"/>
            <w:vAlign w:val="bottom"/>
            <w:tcBorders>
              <w:bottom w:val="single" w:sz="8" w:color="9A9A9A"/>
            </w:tcBorders>
          </w:tcPr>
          <w:p>
            <w:pPr>
              <w:spacing w:after="0"/>
              <w:rPr>
                <w:sz w:val="9"/>
                <w:szCs w:val="9"/>
                <w:color w:val="auto"/>
              </w:rPr>
            </w:pPr>
          </w:p>
        </w:tc>
        <w:tc>
          <w:tcPr>
            <w:tcW w:w="81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50"/>
        </w:trPr>
        <w:tc>
          <w:tcPr>
            <w:tcW w:w="1360" w:type="dxa"/>
            <w:vAlign w:val="bottom"/>
          </w:tcPr>
          <w:p>
            <w:pPr>
              <w:ind w:left="660"/>
              <w:spacing w:after="0"/>
              <w:rPr>
                <w:sz w:val="20"/>
                <w:szCs w:val="20"/>
                <w:color w:val="auto"/>
              </w:rPr>
            </w:pPr>
            <w:r>
              <w:rPr>
                <w:rFonts w:ascii="Arial" w:cs="Arial" w:eastAsia="Arial" w:hAnsi="Arial"/>
                <w:sz w:val="20"/>
                <w:szCs w:val="20"/>
                <w:color w:val="auto"/>
              </w:rPr>
              <w:t>3.07</w:t>
            </w:r>
          </w:p>
        </w:tc>
        <w:tc>
          <w:tcPr>
            <w:tcW w:w="7380" w:type="dxa"/>
            <w:vAlign w:val="bottom"/>
          </w:tcPr>
          <w:p>
            <w:pPr>
              <w:ind w:left="340"/>
              <w:spacing w:after="0"/>
              <w:rPr>
                <w:sz w:val="20"/>
                <w:szCs w:val="20"/>
                <w:color w:val="auto"/>
              </w:rPr>
            </w:pPr>
            <w:r>
              <w:rPr>
                <w:rFonts w:ascii="Arial" w:cs="Arial" w:eastAsia="Arial" w:hAnsi="Arial"/>
                <w:sz w:val="20"/>
                <w:szCs w:val="20"/>
                <w:color w:val="auto"/>
              </w:rPr>
              <w:t>Survival</w:t>
            </w:r>
          </w:p>
        </w:tc>
        <w:tc>
          <w:tcPr>
            <w:tcW w:w="250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473"/>
        </w:trPr>
        <w:tc>
          <w:tcPr>
            <w:tcW w:w="8740" w:type="dxa"/>
            <w:vAlign w:val="bottom"/>
            <w:gridSpan w:val="2"/>
          </w:tcPr>
          <w:p>
            <w:pPr>
              <w:ind w:left="20"/>
              <w:spacing w:after="0"/>
              <w:rPr>
                <w:sz w:val="20"/>
                <w:szCs w:val="20"/>
                <w:color w:val="auto"/>
              </w:rPr>
            </w:pPr>
            <w:r>
              <w:rPr>
                <w:rFonts w:ascii="Arial" w:cs="Arial" w:eastAsia="Arial" w:hAnsi="Arial"/>
                <w:sz w:val="20"/>
                <w:szCs w:val="20"/>
                <w:color w:val="auto"/>
              </w:rPr>
              <w:t>ARTICLE IV CONDITIONS PRECEDENT TO BORROWINGS</w:t>
            </w:r>
          </w:p>
        </w:tc>
        <w:tc>
          <w:tcPr>
            <w:tcW w:w="250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473"/>
        </w:trPr>
        <w:tc>
          <w:tcPr>
            <w:tcW w:w="1360" w:type="dxa"/>
            <w:vAlign w:val="bottom"/>
          </w:tcPr>
          <w:p>
            <w:pPr>
              <w:ind w:left="660"/>
              <w:spacing w:after="0"/>
              <w:rPr>
                <w:sz w:val="20"/>
                <w:szCs w:val="20"/>
                <w:color w:val="auto"/>
              </w:rPr>
            </w:pPr>
            <w:r>
              <w:rPr>
                <w:rFonts w:ascii="Arial" w:cs="Arial" w:eastAsia="Arial" w:hAnsi="Arial"/>
                <w:sz w:val="20"/>
                <w:szCs w:val="20"/>
                <w:color w:val="auto"/>
              </w:rPr>
              <w:t>4.01</w:t>
            </w:r>
          </w:p>
        </w:tc>
        <w:tc>
          <w:tcPr>
            <w:tcW w:w="7380" w:type="dxa"/>
            <w:vAlign w:val="bottom"/>
          </w:tcPr>
          <w:p>
            <w:pPr>
              <w:ind w:left="340"/>
              <w:spacing w:after="0"/>
              <w:rPr>
                <w:sz w:val="20"/>
                <w:szCs w:val="20"/>
                <w:color w:val="auto"/>
              </w:rPr>
            </w:pPr>
            <w:r>
              <w:rPr>
                <w:rFonts w:ascii="Arial" w:cs="Arial" w:eastAsia="Arial" w:hAnsi="Arial"/>
                <w:sz w:val="20"/>
                <w:szCs w:val="20"/>
                <w:color w:val="auto"/>
              </w:rPr>
              <w:t>Conditions of Initial Credit Extension</w:t>
            </w:r>
          </w:p>
        </w:tc>
        <w:tc>
          <w:tcPr>
            <w:tcW w:w="250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4.02</w:t>
            </w:r>
          </w:p>
        </w:tc>
        <w:tc>
          <w:tcPr>
            <w:tcW w:w="7380" w:type="dxa"/>
            <w:vAlign w:val="bottom"/>
          </w:tcPr>
          <w:p>
            <w:pPr>
              <w:ind w:left="340"/>
              <w:spacing w:after="0"/>
              <w:rPr>
                <w:sz w:val="20"/>
                <w:szCs w:val="20"/>
                <w:color w:val="auto"/>
              </w:rPr>
            </w:pPr>
            <w:r>
              <w:rPr>
                <w:rFonts w:ascii="Arial" w:cs="Arial" w:eastAsia="Arial" w:hAnsi="Arial"/>
                <w:sz w:val="20"/>
                <w:szCs w:val="20"/>
                <w:color w:val="auto"/>
              </w:rPr>
              <w:t>Conditions to all Borrowings</w:t>
            </w:r>
          </w:p>
        </w:tc>
        <w:tc>
          <w:tcPr>
            <w:tcW w:w="250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473"/>
        </w:trPr>
        <w:tc>
          <w:tcPr>
            <w:tcW w:w="8740" w:type="dxa"/>
            <w:vAlign w:val="bottom"/>
            <w:gridSpan w:val="2"/>
          </w:tcPr>
          <w:p>
            <w:pPr>
              <w:ind w:left="20"/>
              <w:spacing w:after="0"/>
              <w:rPr>
                <w:sz w:val="20"/>
                <w:szCs w:val="20"/>
                <w:color w:val="auto"/>
              </w:rPr>
            </w:pPr>
            <w:r>
              <w:rPr>
                <w:rFonts w:ascii="Arial" w:cs="Arial" w:eastAsia="Arial" w:hAnsi="Arial"/>
                <w:sz w:val="20"/>
                <w:szCs w:val="20"/>
                <w:color w:val="auto"/>
              </w:rPr>
              <w:t>ARTICLE V REPRESENTATIONS AND WARRANTIES</w:t>
            </w:r>
          </w:p>
        </w:tc>
        <w:tc>
          <w:tcPr>
            <w:tcW w:w="250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473"/>
        </w:trPr>
        <w:tc>
          <w:tcPr>
            <w:tcW w:w="1360" w:type="dxa"/>
            <w:vAlign w:val="bottom"/>
          </w:tcPr>
          <w:p>
            <w:pPr>
              <w:ind w:left="660"/>
              <w:spacing w:after="0"/>
              <w:rPr>
                <w:sz w:val="20"/>
                <w:szCs w:val="20"/>
                <w:color w:val="auto"/>
              </w:rPr>
            </w:pPr>
            <w:r>
              <w:rPr>
                <w:rFonts w:ascii="Arial" w:cs="Arial" w:eastAsia="Arial" w:hAnsi="Arial"/>
                <w:sz w:val="20"/>
                <w:szCs w:val="20"/>
                <w:color w:val="auto"/>
              </w:rPr>
              <w:t>5.01</w:t>
            </w:r>
          </w:p>
        </w:tc>
        <w:tc>
          <w:tcPr>
            <w:tcW w:w="7380" w:type="dxa"/>
            <w:vAlign w:val="bottom"/>
          </w:tcPr>
          <w:p>
            <w:pPr>
              <w:ind w:left="340"/>
              <w:spacing w:after="0"/>
              <w:rPr>
                <w:sz w:val="20"/>
                <w:szCs w:val="20"/>
                <w:color w:val="auto"/>
              </w:rPr>
            </w:pPr>
            <w:r>
              <w:rPr>
                <w:rFonts w:ascii="Arial" w:cs="Arial" w:eastAsia="Arial" w:hAnsi="Arial"/>
                <w:sz w:val="20"/>
                <w:szCs w:val="20"/>
                <w:color w:val="auto"/>
              </w:rPr>
              <w:t>Organization; Powers</w:t>
            </w:r>
          </w:p>
        </w:tc>
        <w:tc>
          <w:tcPr>
            <w:tcW w:w="250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5.02</w:t>
            </w:r>
          </w:p>
        </w:tc>
        <w:tc>
          <w:tcPr>
            <w:tcW w:w="7380" w:type="dxa"/>
            <w:vAlign w:val="bottom"/>
          </w:tcPr>
          <w:p>
            <w:pPr>
              <w:ind w:left="340"/>
              <w:spacing w:after="0"/>
              <w:rPr>
                <w:sz w:val="20"/>
                <w:szCs w:val="20"/>
                <w:color w:val="auto"/>
              </w:rPr>
            </w:pPr>
            <w:r>
              <w:rPr>
                <w:rFonts w:ascii="Arial" w:cs="Arial" w:eastAsia="Arial" w:hAnsi="Arial"/>
                <w:sz w:val="20"/>
                <w:szCs w:val="20"/>
                <w:color w:val="auto"/>
              </w:rPr>
              <w:t>Authorization; Enforceability</w:t>
            </w:r>
          </w:p>
        </w:tc>
        <w:tc>
          <w:tcPr>
            <w:tcW w:w="250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5.03</w:t>
            </w:r>
          </w:p>
        </w:tc>
        <w:tc>
          <w:tcPr>
            <w:tcW w:w="7380" w:type="dxa"/>
            <w:vAlign w:val="bottom"/>
          </w:tcPr>
          <w:p>
            <w:pPr>
              <w:ind w:left="340"/>
              <w:spacing w:after="0"/>
              <w:rPr>
                <w:sz w:val="20"/>
                <w:szCs w:val="20"/>
                <w:color w:val="auto"/>
              </w:rPr>
            </w:pPr>
            <w:r>
              <w:rPr>
                <w:rFonts w:ascii="Arial" w:cs="Arial" w:eastAsia="Arial" w:hAnsi="Arial"/>
                <w:sz w:val="20"/>
                <w:szCs w:val="20"/>
                <w:color w:val="auto"/>
              </w:rPr>
              <w:t>Governmental Approvals; No Conflicts</w:t>
            </w:r>
          </w:p>
        </w:tc>
        <w:tc>
          <w:tcPr>
            <w:tcW w:w="250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5.04</w:t>
            </w:r>
          </w:p>
        </w:tc>
        <w:tc>
          <w:tcPr>
            <w:tcW w:w="7380" w:type="dxa"/>
            <w:vAlign w:val="bottom"/>
          </w:tcPr>
          <w:p>
            <w:pPr>
              <w:ind w:left="340"/>
              <w:spacing w:after="0"/>
              <w:rPr>
                <w:sz w:val="20"/>
                <w:szCs w:val="20"/>
                <w:color w:val="auto"/>
              </w:rPr>
            </w:pPr>
            <w:r>
              <w:rPr>
                <w:rFonts w:ascii="Arial" w:cs="Arial" w:eastAsia="Arial" w:hAnsi="Arial"/>
                <w:sz w:val="20"/>
                <w:szCs w:val="20"/>
                <w:color w:val="auto"/>
              </w:rPr>
              <w:t>Financial Condition; No Material Adverse Change</w:t>
            </w:r>
          </w:p>
        </w:tc>
        <w:tc>
          <w:tcPr>
            <w:tcW w:w="250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5.05</w:t>
            </w:r>
          </w:p>
        </w:tc>
        <w:tc>
          <w:tcPr>
            <w:tcW w:w="7380" w:type="dxa"/>
            <w:vAlign w:val="bottom"/>
          </w:tcPr>
          <w:p>
            <w:pPr>
              <w:ind w:left="340"/>
              <w:spacing w:after="0"/>
              <w:rPr>
                <w:sz w:val="20"/>
                <w:szCs w:val="20"/>
                <w:color w:val="auto"/>
              </w:rPr>
            </w:pPr>
            <w:r>
              <w:rPr>
                <w:rFonts w:ascii="Arial" w:cs="Arial" w:eastAsia="Arial" w:hAnsi="Arial"/>
                <w:sz w:val="20"/>
                <w:szCs w:val="20"/>
                <w:color w:val="auto"/>
              </w:rPr>
              <w:t>Properties</w:t>
            </w:r>
          </w:p>
        </w:tc>
        <w:tc>
          <w:tcPr>
            <w:tcW w:w="250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5.06</w:t>
            </w:r>
          </w:p>
        </w:tc>
        <w:tc>
          <w:tcPr>
            <w:tcW w:w="7380" w:type="dxa"/>
            <w:vAlign w:val="bottom"/>
          </w:tcPr>
          <w:p>
            <w:pPr>
              <w:ind w:left="340"/>
              <w:spacing w:after="0"/>
              <w:rPr>
                <w:sz w:val="20"/>
                <w:szCs w:val="20"/>
                <w:color w:val="auto"/>
              </w:rPr>
            </w:pPr>
            <w:r>
              <w:rPr>
                <w:rFonts w:ascii="Arial" w:cs="Arial" w:eastAsia="Arial" w:hAnsi="Arial"/>
                <w:sz w:val="20"/>
                <w:szCs w:val="20"/>
                <w:color w:val="auto"/>
              </w:rPr>
              <w:t>Litigation</w:t>
            </w:r>
          </w:p>
        </w:tc>
        <w:tc>
          <w:tcPr>
            <w:tcW w:w="250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5.07</w:t>
            </w:r>
          </w:p>
        </w:tc>
        <w:tc>
          <w:tcPr>
            <w:tcW w:w="7380" w:type="dxa"/>
            <w:vAlign w:val="bottom"/>
          </w:tcPr>
          <w:p>
            <w:pPr>
              <w:ind w:left="340"/>
              <w:spacing w:after="0"/>
              <w:rPr>
                <w:sz w:val="20"/>
                <w:szCs w:val="20"/>
                <w:color w:val="auto"/>
              </w:rPr>
            </w:pPr>
            <w:r>
              <w:rPr>
                <w:rFonts w:ascii="Arial" w:cs="Arial" w:eastAsia="Arial" w:hAnsi="Arial"/>
                <w:sz w:val="20"/>
                <w:szCs w:val="20"/>
                <w:color w:val="auto"/>
              </w:rPr>
              <w:t>Compliance with Laws; Absence of Default</w:t>
            </w:r>
          </w:p>
        </w:tc>
        <w:tc>
          <w:tcPr>
            <w:tcW w:w="250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5.08</w:t>
            </w:r>
          </w:p>
        </w:tc>
        <w:tc>
          <w:tcPr>
            <w:tcW w:w="7380" w:type="dxa"/>
            <w:vAlign w:val="bottom"/>
          </w:tcPr>
          <w:p>
            <w:pPr>
              <w:ind w:left="340"/>
              <w:spacing w:after="0"/>
              <w:rPr>
                <w:sz w:val="20"/>
                <w:szCs w:val="20"/>
                <w:color w:val="auto"/>
              </w:rPr>
            </w:pPr>
            <w:r>
              <w:rPr>
                <w:rFonts w:ascii="Arial" w:cs="Arial" w:eastAsia="Arial" w:hAnsi="Arial"/>
                <w:sz w:val="20"/>
                <w:szCs w:val="20"/>
                <w:color w:val="auto"/>
              </w:rPr>
              <w:t>Investment Company Status</w:t>
            </w:r>
          </w:p>
        </w:tc>
        <w:tc>
          <w:tcPr>
            <w:tcW w:w="250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5.09</w:t>
            </w:r>
          </w:p>
        </w:tc>
        <w:tc>
          <w:tcPr>
            <w:tcW w:w="7380" w:type="dxa"/>
            <w:vAlign w:val="bottom"/>
          </w:tcPr>
          <w:p>
            <w:pPr>
              <w:ind w:left="340"/>
              <w:spacing w:after="0"/>
              <w:rPr>
                <w:sz w:val="20"/>
                <w:szCs w:val="20"/>
                <w:color w:val="auto"/>
              </w:rPr>
            </w:pPr>
            <w:r>
              <w:rPr>
                <w:rFonts w:ascii="Arial" w:cs="Arial" w:eastAsia="Arial" w:hAnsi="Arial"/>
                <w:sz w:val="20"/>
                <w:szCs w:val="20"/>
                <w:color w:val="auto"/>
              </w:rPr>
              <w:t>Taxes</w:t>
            </w:r>
          </w:p>
        </w:tc>
        <w:tc>
          <w:tcPr>
            <w:tcW w:w="250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5.10</w:t>
            </w:r>
          </w:p>
        </w:tc>
        <w:tc>
          <w:tcPr>
            <w:tcW w:w="7380" w:type="dxa"/>
            <w:vAlign w:val="bottom"/>
          </w:tcPr>
          <w:p>
            <w:pPr>
              <w:ind w:left="340"/>
              <w:spacing w:after="0"/>
              <w:rPr>
                <w:sz w:val="20"/>
                <w:szCs w:val="20"/>
                <w:color w:val="auto"/>
              </w:rPr>
            </w:pPr>
            <w:r>
              <w:rPr>
                <w:rFonts w:ascii="Arial" w:cs="Arial" w:eastAsia="Arial" w:hAnsi="Arial"/>
                <w:sz w:val="20"/>
                <w:szCs w:val="20"/>
                <w:color w:val="auto"/>
              </w:rPr>
              <w:t>ERISA</w:t>
            </w:r>
          </w:p>
        </w:tc>
        <w:tc>
          <w:tcPr>
            <w:tcW w:w="2500" w:type="dxa"/>
            <w:vAlign w:val="bottom"/>
          </w:tcPr>
          <w:p>
            <w:pPr>
              <w:jc w:val="right"/>
              <w:spacing w:after="0"/>
              <w:rPr>
                <w:sz w:val="20"/>
                <w:szCs w:val="20"/>
                <w:color w:val="auto"/>
              </w:rPr>
            </w:pPr>
            <w:r>
              <w:rPr>
                <w:rFonts w:ascii="Arial" w:cs="Arial" w:eastAsia="Arial" w:hAnsi="Arial"/>
                <w:sz w:val="20"/>
                <w:szCs w:val="20"/>
                <w:color w:val="auto"/>
              </w:rPr>
              <w:t>91</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5.11</w:t>
            </w:r>
          </w:p>
        </w:tc>
        <w:tc>
          <w:tcPr>
            <w:tcW w:w="7380" w:type="dxa"/>
            <w:vAlign w:val="bottom"/>
          </w:tcPr>
          <w:p>
            <w:pPr>
              <w:ind w:left="340"/>
              <w:spacing w:after="0"/>
              <w:rPr>
                <w:sz w:val="20"/>
                <w:szCs w:val="20"/>
                <w:color w:val="auto"/>
              </w:rPr>
            </w:pPr>
            <w:r>
              <w:rPr>
                <w:rFonts w:ascii="Arial" w:cs="Arial" w:eastAsia="Arial" w:hAnsi="Arial"/>
                <w:sz w:val="20"/>
                <w:szCs w:val="20"/>
                <w:color w:val="auto"/>
              </w:rPr>
              <w:t>Disclosure</w:t>
            </w:r>
          </w:p>
        </w:tc>
        <w:tc>
          <w:tcPr>
            <w:tcW w:w="250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5.12</w:t>
            </w:r>
          </w:p>
        </w:tc>
        <w:tc>
          <w:tcPr>
            <w:tcW w:w="7380" w:type="dxa"/>
            <w:vAlign w:val="bottom"/>
          </w:tcPr>
          <w:p>
            <w:pPr>
              <w:ind w:left="340"/>
              <w:spacing w:after="0"/>
              <w:rPr>
                <w:sz w:val="20"/>
                <w:szCs w:val="20"/>
                <w:color w:val="auto"/>
              </w:rPr>
            </w:pPr>
            <w:r>
              <w:rPr>
                <w:rFonts w:ascii="Arial" w:cs="Arial" w:eastAsia="Arial" w:hAnsi="Arial"/>
                <w:sz w:val="20"/>
                <w:szCs w:val="20"/>
                <w:color w:val="auto"/>
              </w:rPr>
              <w:t>Subsidiaries</w:t>
            </w:r>
          </w:p>
        </w:tc>
        <w:tc>
          <w:tcPr>
            <w:tcW w:w="250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5.13</w:t>
            </w:r>
          </w:p>
        </w:tc>
        <w:tc>
          <w:tcPr>
            <w:tcW w:w="7380" w:type="dxa"/>
            <w:vAlign w:val="bottom"/>
          </w:tcPr>
          <w:p>
            <w:pPr>
              <w:ind w:left="340"/>
              <w:spacing w:after="0"/>
              <w:rPr>
                <w:sz w:val="20"/>
                <w:szCs w:val="20"/>
                <w:color w:val="auto"/>
              </w:rPr>
            </w:pPr>
            <w:r>
              <w:rPr>
                <w:rFonts w:ascii="Arial" w:cs="Arial" w:eastAsia="Arial" w:hAnsi="Arial"/>
                <w:sz w:val="20"/>
                <w:szCs w:val="20"/>
                <w:color w:val="auto"/>
              </w:rPr>
              <w:t>Beneficial Ownership Certification</w:t>
            </w:r>
          </w:p>
        </w:tc>
        <w:tc>
          <w:tcPr>
            <w:tcW w:w="250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5.14</w:t>
            </w:r>
          </w:p>
        </w:tc>
        <w:tc>
          <w:tcPr>
            <w:tcW w:w="7380" w:type="dxa"/>
            <w:vAlign w:val="bottom"/>
          </w:tcPr>
          <w:p>
            <w:pPr>
              <w:ind w:left="340"/>
              <w:spacing w:after="0"/>
              <w:rPr>
                <w:sz w:val="20"/>
                <w:szCs w:val="20"/>
                <w:color w:val="auto"/>
              </w:rPr>
            </w:pPr>
            <w:r>
              <w:rPr>
                <w:rFonts w:ascii="Arial" w:cs="Arial" w:eastAsia="Arial" w:hAnsi="Arial"/>
                <w:sz w:val="20"/>
                <w:szCs w:val="20"/>
                <w:color w:val="auto"/>
              </w:rPr>
              <w:t>PATRIOT Act, OFAC and FCPA; UK Bribery Act</w:t>
            </w:r>
          </w:p>
        </w:tc>
        <w:tc>
          <w:tcPr>
            <w:tcW w:w="250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5.15</w:t>
            </w:r>
          </w:p>
        </w:tc>
        <w:tc>
          <w:tcPr>
            <w:tcW w:w="7380" w:type="dxa"/>
            <w:vAlign w:val="bottom"/>
          </w:tcPr>
          <w:p>
            <w:pPr>
              <w:ind w:left="340"/>
              <w:spacing w:after="0"/>
              <w:rPr>
                <w:sz w:val="20"/>
                <w:szCs w:val="20"/>
                <w:color w:val="auto"/>
              </w:rPr>
            </w:pPr>
            <w:r>
              <w:rPr>
                <w:rFonts w:ascii="Arial" w:cs="Arial" w:eastAsia="Arial" w:hAnsi="Arial"/>
                <w:sz w:val="20"/>
                <w:szCs w:val="20"/>
                <w:color w:val="auto"/>
              </w:rPr>
              <w:t>Deduction of Tax</w:t>
            </w:r>
          </w:p>
        </w:tc>
        <w:tc>
          <w:tcPr>
            <w:tcW w:w="250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472"/>
        </w:trPr>
        <w:tc>
          <w:tcPr>
            <w:tcW w:w="8740" w:type="dxa"/>
            <w:vAlign w:val="bottom"/>
            <w:gridSpan w:val="2"/>
          </w:tcPr>
          <w:p>
            <w:pPr>
              <w:ind w:left="20"/>
              <w:spacing w:after="0"/>
              <w:rPr>
                <w:sz w:val="20"/>
                <w:szCs w:val="20"/>
                <w:color w:val="auto"/>
              </w:rPr>
            </w:pPr>
            <w:r>
              <w:rPr>
                <w:rFonts w:ascii="Arial" w:cs="Arial" w:eastAsia="Arial" w:hAnsi="Arial"/>
                <w:sz w:val="20"/>
                <w:szCs w:val="20"/>
                <w:color w:val="auto"/>
              </w:rPr>
              <w:t>ARTICLE VI AFFIRMATIVE COVENANTS</w:t>
            </w:r>
          </w:p>
        </w:tc>
        <w:tc>
          <w:tcPr>
            <w:tcW w:w="250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473"/>
        </w:trPr>
        <w:tc>
          <w:tcPr>
            <w:tcW w:w="1360" w:type="dxa"/>
            <w:vAlign w:val="bottom"/>
          </w:tcPr>
          <w:p>
            <w:pPr>
              <w:ind w:left="660"/>
              <w:spacing w:after="0"/>
              <w:rPr>
                <w:sz w:val="20"/>
                <w:szCs w:val="20"/>
                <w:color w:val="auto"/>
              </w:rPr>
            </w:pPr>
            <w:r>
              <w:rPr>
                <w:rFonts w:ascii="Arial" w:cs="Arial" w:eastAsia="Arial" w:hAnsi="Arial"/>
                <w:sz w:val="20"/>
                <w:szCs w:val="20"/>
                <w:color w:val="auto"/>
              </w:rPr>
              <w:t>6.01</w:t>
            </w:r>
          </w:p>
        </w:tc>
        <w:tc>
          <w:tcPr>
            <w:tcW w:w="7380" w:type="dxa"/>
            <w:vAlign w:val="bottom"/>
          </w:tcPr>
          <w:p>
            <w:pPr>
              <w:ind w:left="340"/>
              <w:spacing w:after="0"/>
              <w:rPr>
                <w:sz w:val="20"/>
                <w:szCs w:val="20"/>
                <w:color w:val="auto"/>
              </w:rPr>
            </w:pPr>
            <w:r>
              <w:rPr>
                <w:rFonts w:ascii="Arial" w:cs="Arial" w:eastAsia="Arial" w:hAnsi="Arial"/>
                <w:sz w:val="20"/>
                <w:szCs w:val="20"/>
                <w:color w:val="auto"/>
              </w:rPr>
              <w:t>Financial Statements; Ratings Change and Other Information</w:t>
            </w:r>
          </w:p>
        </w:tc>
        <w:tc>
          <w:tcPr>
            <w:tcW w:w="250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6.02</w:t>
            </w:r>
          </w:p>
        </w:tc>
        <w:tc>
          <w:tcPr>
            <w:tcW w:w="7380" w:type="dxa"/>
            <w:vAlign w:val="bottom"/>
          </w:tcPr>
          <w:p>
            <w:pPr>
              <w:ind w:left="340"/>
              <w:spacing w:after="0"/>
              <w:rPr>
                <w:sz w:val="20"/>
                <w:szCs w:val="20"/>
                <w:color w:val="auto"/>
              </w:rPr>
            </w:pPr>
            <w:r>
              <w:rPr>
                <w:rFonts w:ascii="Arial" w:cs="Arial" w:eastAsia="Arial" w:hAnsi="Arial"/>
                <w:sz w:val="20"/>
                <w:szCs w:val="20"/>
                <w:color w:val="auto"/>
              </w:rPr>
              <w:t>Notices of Material Events</w:t>
            </w:r>
          </w:p>
        </w:tc>
        <w:tc>
          <w:tcPr>
            <w:tcW w:w="250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6.03</w:t>
            </w:r>
          </w:p>
        </w:tc>
        <w:tc>
          <w:tcPr>
            <w:tcW w:w="7380" w:type="dxa"/>
            <w:vAlign w:val="bottom"/>
          </w:tcPr>
          <w:p>
            <w:pPr>
              <w:ind w:left="340"/>
              <w:spacing w:after="0"/>
              <w:rPr>
                <w:sz w:val="20"/>
                <w:szCs w:val="20"/>
                <w:color w:val="auto"/>
              </w:rPr>
            </w:pPr>
            <w:r>
              <w:rPr>
                <w:rFonts w:ascii="Arial" w:cs="Arial" w:eastAsia="Arial" w:hAnsi="Arial"/>
                <w:sz w:val="20"/>
                <w:szCs w:val="20"/>
                <w:color w:val="auto"/>
              </w:rPr>
              <w:t>Existence; Conduct of Business</w:t>
            </w:r>
          </w:p>
        </w:tc>
        <w:tc>
          <w:tcPr>
            <w:tcW w:w="250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6.04</w:t>
            </w:r>
          </w:p>
        </w:tc>
        <w:tc>
          <w:tcPr>
            <w:tcW w:w="7380" w:type="dxa"/>
            <w:vAlign w:val="bottom"/>
          </w:tcPr>
          <w:p>
            <w:pPr>
              <w:ind w:left="340"/>
              <w:spacing w:after="0"/>
              <w:rPr>
                <w:sz w:val="20"/>
                <w:szCs w:val="20"/>
                <w:color w:val="auto"/>
              </w:rPr>
            </w:pPr>
            <w:r>
              <w:rPr>
                <w:rFonts w:ascii="Arial" w:cs="Arial" w:eastAsia="Arial" w:hAnsi="Arial"/>
                <w:sz w:val="20"/>
                <w:szCs w:val="20"/>
                <w:color w:val="auto"/>
              </w:rPr>
              <w:t>Payment of Taxes</w:t>
            </w:r>
          </w:p>
        </w:tc>
        <w:tc>
          <w:tcPr>
            <w:tcW w:w="250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6.05</w:t>
            </w:r>
          </w:p>
        </w:tc>
        <w:tc>
          <w:tcPr>
            <w:tcW w:w="7380" w:type="dxa"/>
            <w:vAlign w:val="bottom"/>
          </w:tcPr>
          <w:p>
            <w:pPr>
              <w:ind w:left="340"/>
              <w:spacing w:after="0"/>
              <w:rPr>
                <w:sz w:val="20"/>
                <w:szCs w:val="20"/>
                <w:color w:val="auto"/>
              </w:rPr>
            </w:pPr>
            <w:r>
              <w:rPr>
                <w:rFonts w:ascii="Arial" w:cs="Arial" w:eastAsia="Arial" w:hAnsi="Arial"/>
                <w:sz w:val="20"/>
                <w:szCs w:val="20"/>
                <w:color w:val="auto"/>
              </w:rPr>
              <w:t>Maintenance of Properties; Insurance</w:t>
            </w:r>
          </w:p>
        </w:tc>
        <w:tc>
          <w:tcPr>
            <w:tcW w:w="250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6.06</w:t>
            </w:r>
          </w:p>
        </w:tc>
        <w:tc>
          <w:tcPr>
            <w:tcW w:w="7380" w:type="dxa"/>
            <w:vAlign w:val="bottom"/>
          </w:tcPr>
          <w:p>
            <w:pPr>
              <w:ind w:left="340"/>
              <w:spacing w:after="0"/>
              <w:rPr>
                <w:sz w:val="20"/>
                <w:szCs w:val="20"/>
                <w:color w:val="auto"/>
              </w:rPr>
            </w:pPr>
            <w:r>
              <w:rPr>
                <w:rFonts w:ascii="Arial" w:cs="Arial" w:eastAsia="Arial" w:hAnsi="Arial"/>
                <w:sz w:val="20"/>
                <w:szCs w:val="20"/>
                <w:color w:val="auto"/>
              </w:rPr>
              <w:t>Books and Records; Inspection Rights</w:t>
            </w:r>
          </w:p>
        </w:tc>
        <w:tc>
          <w:tcPr>
            <w:tcW w:w="250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6.07</w:t>
            </w:r>
          </w:p>
        </w:tc>
        <w:tc>
          <w:tcPr>
            <w:tcW w:w="7380" w:type="dxa"/>
            <w:vAlign w:val="bottom"/>
          </w:tcPr>
          <w:p>
            <w:pPr>
              <w:ind w:left="340"/>
              <w:spacing w:after="0"/>
              <w:rPr>
                <w:sz w:val="20"/>
                <w:szCs w:val="20"/>
                <w:color w:val="auto"/>
              </w:rPr>
            </w:pPr>
            <w:r>
              <w:rPr>
                <w:rFonts w:ascii="Arial" w:cs="Arial" w:eastAsia="Arial" w:hAnsi="Arial"/>
                <w:sz w:val="20"/>
                <w:szCs w:val="20"/>
                <w:color w:val="auto"/>
              </w:rPr>
              <w:t>Compliance with Laws</w:t>
            </w:r>
          </w:p>
        </w:tc>
        <w:tc>
          <w:tcPr>
            <w:tcW w:w="250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6.08</w:t>
            </w:r>
          </w:p>
        </w:tc>
        <w:tc>
          <w:tcPr>
            <w:tcW w:w="7380" w:type="dxa"/>
            <w:vAlign w:val="bottom"/>
          </w:tcPr>
          <w:p>
            <w:pPr>
              <w:ind w:left="340"/>
              <w:spacing w:after="0"/>
              <w:rPr>
                <w:sz w:val="20"/>
                <w:szCs w:val="20"/>
                <w:color w:val="auto"/>
              </w:rPr>
            </w:pPr>
            <w:r>
              <w:rPr>
                <w:rFonts w:ascii="Arial" w:cs="Arial" w:eastAsia="Arial" w:hAnsi="Arial"/>
                <w:sz w:val="20"/>
                <w:szCs w:val="20"/>
                <w:color w:val="auto"/>
              </w:rPr>
              <w:t>Use of Proceeds</w:t>
            </w:r>
          </w:p>
        </w:tc>
        <w:tc>
          <w:tcPr>
            <w:tcW w:w="250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473"/>
        </w:trPr>
        <w:tc>
          <w:tcPr>
            <w:tcW w:w="8740" w:type="dxa"/>
            <w:vAlign w:val="bottom"/>
            <w:gridSpan w:val="2"/>
          </w:tcPr>
          <w:p>
            <w:pPr>
              <w:ind w:left="20"/>
              <w:spacing w:after="0"/>
              <w:rPr>
                <w:sz w:val="20"/>
                <w:szCs w:val="20"/>
                <w:color w:val="auto"/>
              </w:rPr>
            </w:pPr>
            <w:r>
              <w:rPr>
                <w:rFonts w:ascii="Arial" w:cs="Arial" w:eastAsia="Arial" w:hAnsi="Arial"/>
                <w:sz w:val="20"/>
                <w:szCs w:val="20"/>
                <w:color w:val="auto"/>
              </w:rPr>
              <w:t>ARTICLE VII NEGATIVE COVENANTS</w:t>
            </w:r>
          </w:p>
        </w:tc>
        <w:tc>
          <w:tcPr>
            <w:tcW w:w="250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473"/>
        </w:trPr>
        <w:tc>
          <w:tcPr>
            <w:tcW w:w="1360" w:type="dxa"/>
            <w:vAlign w:val="bottom"/>
          </w:tcPr>
          <w:p>
            <w:pPr>
              <w:ind w:left="660"/>
              <w:spacing w:after="0"/>
              <w:rPr>
                <w:sz w:val="20"/>
                <w:szCs w:val="20"/>
                <w:color w:val="auto"/>
              </w:rPr>
            </w:pPr>
            <w:r>
              <w:rPr>
                <w:rFonts w:ascii="Arial" w:cs="Arial" w:eastAsia="Arial" w:hAnsi="Arial"/>
                <w:sz w:val="20"/>
                <w:szCs w:val="20"/>
                <w:color w:val="auto"/>
              </w:rPr>
              <w:t>7.01</w:t>
            </w:r>
          </w:p>
        </w:tc>
        <w:tc>
          <w:tcPr>
            <w:tcW w:w="7380" w:type="dxa"/>
            <w:vAlign w:val="bottom"/>
          </w:tcPr>
          <w:p>
            <w:pPr>
              <w:ind w:left="340"/>
              <w:spacing w:after="0"/>
              <w:rPr>
                <w:sz w:val="20"/>
                <w:szCs w:val="20"/>
                <w:color w:val="auto"/>
              </w:rPr>
            </w:pPr>
            <w:r>
              <w:rPr>
                <w:rFonts w:ascii="Arial" w:cs="Arial" w:eastAsia="Arial" w:hAnsi="Arial"/>
                <w:sz w:val="20"/>
                <w:szCs w:val="20"/>
                <w:color w:val="auto"/>
              </w:rPr>
              <w:t>Subsidiary Indebtedness</w:t>
            </w:r>
          </w:p>
        </w:tc>
        <w:tc>
          <w:tcPr>
            <w:tcW w:w="250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7.02</w:t>
            </w:r>
          </w:p>
        </w:tc>
        <w:tc>
          <w:tcPr>
            <w:tcW w:w="7380" w:type="dxa"/>
            <w:vAlign w:val="bottom"/>
          </w:tcPr>
          <w:p>
            <w:pPr>
              <w:ind w:left="340"/>
              <w:spacing w:after="0"/>
              <w:rPr>
                <w:sz w:val="20"/>
                <w:szCs w:val="20"/>
                <w:color w:val="auto"/>
              </w:rPr>
            </w:pPr>
            <w:r>
              <w:rPr>
                <w:rFonts w:ascii="Arial" w:cs="Arial" w:eastAsia="Arial" w:hAnsi="Arial"/>
                <w:sz w:val="20"/>
                <w:szCs w:val="20"/>
                <w:color w:val="auto"/>
              </w:rPr>
              <w:t>Liens</w:t>
            </w:r>
          </w:p>
        </w:tc>
        <w:tc>
          <w:tcPr>
            <w:tcW w:w="2500" w:type="dxa"/>
            <w:vAlign w:val="bottom"/>
          </w:tcPr>
          <w:p>
            <w:pPr>
              <w:jc w:val="right"/>
              <w:spacing w:after="0"/>
              <w:rPr>
                <w:sz w:val="20"/>
                <w:szCs w:val="20"/>
                <w:color w:val="auto"/>
              </w:rPr>
            </w:pPr>
            <w:r>
              <w:rPr>
                <w:rFonts w:ascii="Arial" w:cs="Arial" w:eastAsia="Arial" w:hAnsi="Arial"/>
                <w:sz w:val="20"/>
                <w:szCs w:val="20"/>
                <w:color w:val="auto"/>
              </w:rPr>
              <w:t>98</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7.03</w:t>
            </w:r>
          </w:p>
        </w:tc>
        <w:tc>
          <w:tcPr>
            <w:tcW w:w="7380" w:type="dxa"/>
            <w:vAlign w:val="bottom"/>
          </w:tcPr>
          <w:p>
            <w:pPr>
              <w:ind w:left="340"/>
              <w:spacing w:after="0"/>
              <w:rPr>
                <w:sz w:val="20"/>
                <w:szCs w:val="20"/>
                <w:color w:val="auto"/>
              </w:rPr>
            </w:pPr>
            <w:r>
              <w:rPr>
                <w:rFonts w:ascii="Arial" w:cs="Arial" w:eastAsia="Arial" w:hAnsi="Arial"/>
                <w:sz w:val="20"/>
                <w:szCs w:val="20"/>
                <w:color w:val="auto"/>
              </w:rPr>
              <w:t>Investments</w:t>
            </w:r>
          </w:p>
        </w:tc>
        <w:tc>
          <w:tcPr>
            <w:tcW w:w="2500" w:type="dxa"/>
            <w:vAlign w:val="bottom"/>
          </w:tcPr>
          <w:p>
            <w:pPr>
              <w:jc w:val="right"/>
              <w:spacing w:after="0"/>
              <w:rPr>
                <w:sz w:val="20"/>
                <w:szCs w:val="20"/>
                <w:color w:val="auto"/>
              </w:rPr>
            </w:pPr>
            <w:r>
              <w:rPr>
                <w:rFonts w:ascii="Arial" w:cs="Arial" w:eastAsia="Arial" w:hAnsi="Arial"/>
                <w:sz w:val="20"/>
                <w:szCs w:val="20"/>
                <w:color w:val="auto"/>
              </w:rPr>
              <w:t>99</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7.04</w:t>
            </w:r>
          </w:p>
        </w:tc>
        <w:tc>
          <w:tcPr>
            <w:tcW w:w="7380" w:type="dxa"/>
            <w:vAlign w:val="bottom"/>
          </w:tcPr>
          <w:p>
            <w:pPr>
              <w:ind w:left="340"/>
              <w:spacing w:after="0"/>
              <w:rPr>
                <w:sz w:val="20"/>
                <w:szCs w:val="20"/>
                <w:color w:val="auto"/>
              </w:rPr>
            </w:pPr>
            <w:r>
              <w:rPr>
                <w:rFonts w:ascii="Arial" w:cs="Arial" w:eastAsia="Arial" w:hAnsi="Arial"/>
                <w:sz w:val="20"/>
                <w:szCs w:val="20"/>
                <w:color w:val="auto"/>
              </w:rPr>
              <w:t>Fundamental Changes</w:t>
            </w:r>
          </w:p>
        </w:tc>
        <w:tc>
          <w:tcPr>
            <w:tcW w:w="2500" w:type="dxa"/>
            <w:vAlign w:val="bottom"/>
          </w:tcPr>
          <w:p>
            <w:pPr>
              <w:jc w:val="right"/>
              <w:spacing w:after="0"/>
              <w:rPr>
                <w:sz w:val="20"/>
                <w:szCs w:val="20"/>
                <w:color w:val="auto"/>
              </w:rPr>
            </w:pPr>
            <w:r>
              <w:rPr>
                <w:rFonts w:ascii="Arial" w:cs="Arial" w:eastAsia="Arial" w:hAnsi="Arial"/>
                <w:sz w:val="20"/>
                <w:szCs w:val="20"/>
                <w:color w:val="auto"/>
              </w:rPr>
              <w:t>99</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7.05</w:t>
            </w:r>
          </w:p>
        </w:tc>
        <w:tc>
          <w:tcPr>
            <w:tcW w:w="7380" w:type="dxa"/>
            <w:vAlign w:val="bottom"/>
          </w:tcPr>
          <w:p>
            <w:pPr>
              <w:ind w:left="340"/>
              <w:spacing w:after="0"/>
              <w:rPr>
                <w:sz w:val="20"/>
                <w:szCs w:val="20"/>
                <w:color w:val="auto"/>
              </w:rPr>
            </w:pPr>
            <w:r>
              <w:rPr>
                <w:rFonts w:ascii="Arial" w:cs="Arial" w:eastAsia="Arial" w:hAnsi="Arial"/>
                <w:sz w:val="20"/>
                <w:szCs w:val="20"/>
                <w:color w:val="auto"/>
              </w:rPr>
              <w:t>[Reserved]</w:t>
            </w:r>
          </w:p>
        </w:tc>
        <w:tc>
          <w:tcPr>
            <w:tcW w:w="250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7.06</w:t>
            </w:r>
          </w:p>
        </w:tc>
        <w:tc>
          <w:tcPr>
            <w:tcW w:w="7380" w:type="dxa"/>
            <w:vAlign w:val="bottom"/>
          </w:tcPr>
          <w:p>
            <w:pPr>
              <w:ind w:left="340"/>
              <w:spacing w:after="0"/>
              <w:rPr>
                <w:sz w:val="20"/>
                <w:szCs w:val="20"/>
                <w:color w:val="auto"/>
              </w:rPr>
            </w:pPr>
            <w:r>
              <w:rPr>
                <w:rFonts w:ascii="Arial" w:cs="Arial" w:eastAsia="Arial" w:hAnsi="Arial"/>
                <w:sz w:val="20"/>
                <w:szCs w:val="20"/>
                <w:color w:val="auto"/>
              </w:rPr>
              <w:t>[Reserved]</w:t>
            </w:r>
          </w:p>
        </w:tc>
        <w:tc>
          <w:tcPr>
            <w:tcW w:w="250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57"/>
        </w:trPr>
        <w:tc>
          <w:tcPr>
            <w:tcW w:w="1360" w:type="dxa"/>
            <w:vAlign w:val="bottom"/>
          </w:tcPr>
          <w:p>
            <w:pPr>
              <w:ind w:left="660"/>
              <w:spacing w:after="0"/>
              <w:rPr>
                <w:sz w:val="20"/>
                <w:szCs w:val="20"/>
                <w:color w:val="auto"/>
              </w:rPr>
            </w:pPr>
            <w:r>
              <w:rPr>
                <w:rFonts w:ascii="Arial" w:cs="Arial" w:eastAsia="Arial" w:hAnsi="Arial"/>
                <w:sz w:val="20"/>
                <w:szCs w:val="20"/>
                <w:color w:val="auto"/>
              </w:rPr>
              <w:t>7.07</w:t>
            </w:r>
          </w:p>
        </w:tc>
        <w:tc>
          <w:tcPr>
            <w:tcW w:w="7380" w:type="dxa"/>
            <w:vAlign w:val="bottom"/>
          </w:tcPr>
          <w:p>
            <w:pPr>
              <w:ind w:left="340"/>
              <w:spacing w:after="0"/>
              <w:rPr>
                <w:sz w:val="20"/>
                <w:szCs w:val="20"/>
                <w:color w:val="auto"/>
              </w:rPr>
            </w:pPr>
            <w:r>
              <w:rPr>
                <w:rFonts w:ascii="Arial" w:cs="Arial" w:eastAsia="Arial" w:hAnsi="Arial"/>
                <w:sz w:val="20"/>
                <w:szCs w:val="20"/>
                <w:color w:val="auto"/>
              </w:rPr>
              <w:t>[Reserved]</w:t>
            </w:r>
          </w:p>
        </w:tc>
        <w:tc>
          <w:tcPr>
            <w:tcW w:w="250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56"/>
        </w:trPr>
        <w:tc>
          <w:tcPr>
            <w:tcW w:w="1360" w:type="dxa"/>
            <w:vAlign w:val="bottom"/>
          </w:tcPr>
          <w:p>
            <w:pPr>
              <w:ind w:left="660"/>
              <w:spacing w:after="0"/>
              <w:rPr>
                <w:sz w:val="20"/>
                <w:szCs w:val="20"/>
                <w:color w:val="auto"/>
              </w:rPr>
            </w:pPr>
            <w:r>
              <w:rPr>
                <w:rFonts w:ascii="Arial" w:cs="Arial" w:eastAsia="Arial" w:hAnsi="Arial"/>
                <w:sz w:val="20"/>
                <w:szCs w:val="20"/>
                <w:color w:val="auto"/>
              </w:rPr>
              <w:t>7.08</w:t>
            </w:r>
          </w:p>
        </w:tc>
        <w:tc>
          <w:tcPr>
            <w:tcW w:w="7380" w:type="dxa"/>
            <w:vAlign w:val="bottom"/>
          </w:tcPr>
          <w:p>
            <w:pPr>
              <w:ind w:left="340"/>
              <w:spacing w:after="0"/>
              <w:rPr>
                <w:sz w:val="20"/>
                <w:szCs w:val="20"/>
                <w:color w:val="auto"/>
              </w:rPr>
            </w:pPr>
            <w:r>
              <w:rPr>
                <w:rFonts w:ascii="Arial" w:cs="Arial" w:eastAsia="Arial" w:hAnsi="Arial"/>
                <w:sz w:val="20"/>
                <w:szCs w:val="20"/>
                <w:color w:val="auto"/>
              </w:rPr>
              <w:t>Financial Covenants</w:t>
            </w:r>
          </w:p>
        </w:tc>
        <w:tc>
          <w:tcPr>
            <w:tcW w:w="250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473"/>
        </w:trPr>
        <w:tc>
          <w:tcPr>
            <w:tcW w:w="8740" w:type="dxa"/>
            <w:vAlign w:val="bottom"/>
            <w:gridSpan w:val="2"/>
          </w:tcPr>
          <w:p>
            <w:pPr>
              <w:ind w:left="20"/>
              <w:spacing w:after="0"/>
              <w:rPr>
                <w:sz w:val="20"/>
                <w:szCs w:val="20"/>
                <w:color w:val="auto"/>
              </w:rPr>
            </w:pPr>
            <w:r>
              <w:rPr>
                <w:rFonts w:ascii="Arial" w:cs="Arial" w:eastAsia="Arial" w:hAnsi="Arial"/>
                <w:sz w:val="20"/>
                <w:szCs w:val="20"/>
                <w:color w:val="auto"/>
              </w:rPr>
              <w:t>ARTICLE VIII EVENTS OF DEFAULT AND REMEDIES</w:t>
            </w:r>
          </w:p>
        </w:tc>
        <w:tc>
          <w:tcPr>
            <w:tcW w:w="250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473"/>
        </w:trPr>
        <w:tc>
          <w:tcPr>
            <w:tcW w:w="1360" w:type="dxa"/>
            <w:vAlign w:val="bottom"/>
          </w:tcPr>
          <w:p>
            <w:pPr>
              <w:ind w:left="660"/>
              <w:spacing w:after="0"/>
              <w:rPr>
                <w:sz w:val="20"/>
                <w:szCs w:val="20"/>
                <w:color w:val="auto"/>
              </w:rPr>
            </w:pPr>
            <w:r>
              <w:rPr>
                <w:rFonts w:ascii="Arial" w:cs="Arial" w:eastAsia="Arial" w:hAnsi="Arial"/>
                <w:sz w:val="20"/>
                <w:szCs w:val="20"/>
                <w:color w:val="auto"/>
              </w:rPr>
              <w:t>8.01</w:t>
            </w:r>
          </w:p>
        </w:tc>
        <w:tc>
          <w:tcPr>
            <w:tcW w:w="7380" w:type="dxa"/>
            <w:vAlign w:val="bottom"/>
          </w:tcPr>
          <w:p>
            <w:pPr>
              <w:ind w:left="340"/>
              <w:spacing w:after="0"/>
              <w:rPr>
                <w:sz w:val="20"/>
                <w:szCs w:val="20"/>
                <w:color w:val="auto"/>
              </w:rPr>
            </w:pPr>
            <w:r>
              <w:rPr>
                <w:rFonts w:ascii="Arial" w:cs="Arial" w:eastAsia="Arial" w:hAnsi="Arial"/>
                <w:sz w:val="20"/>
                <w:szCs w:val="20"/>
                <w:color w:val="auto"/>
              </w:rPr>
              <w:t>Events of Default</w:t>
            </w:r>
          </w:p>
        </w:tc>
        <w:tc>
          <w:tcPr>
            <w:tcW w:w="250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249"/>
        </w:trPr>
        <w:tc>
          <w:tcPr>
            <w:tcW w:w="1360" w:type="dxa"/>
            <w:vAlign w:val="bottom"/>
          </w:tcPr>
          <w:p>
            <w:pPr>
              <w:ind w:left="660"/>
              <w:spacing w:after="0"/>
              <w:rPr>
                <w:sz w:val="20"/>
                <w:szCs w:val="20"/>
                <w:color w:val="auto"/>
              </w:rPr>
            </w:pPr>
            <w:r>
              <w:rPr>
                <w:rFonts w:ascii="Arial" w:cs="Arial" w:eastAsia="Arial" w:hAnsi="Arial"/>
                <w:sz w:val="20"/>
                <w:szCs w:val="20"/>
                <w:color w:val="auto"/>
              </w:rPr>
              <w:t>8.02</w:t>
            </w:r>
          </w:p>
        </w:tc>
        <w:tc>
          <w:tcPr>
            <w:tcW w:w="7380" w:type="dxa"/>
            <w:vAlign w:val="bottom"/>
          </w:tcPr>
          <w:p>
            <w:pPr>
              <w:ind w:left="340"/>
              <w:spacing w:after="0"/>
              <w:rPr>
                <w:sz w:val="20"/>
                <w:szCs w:val="20"/>
                <w:color w:val="auto"/>
              </w:rPr>
            </w:pPr>
            <w:r>
              <w:rPr>
                <w:rFonts w:ascii="Arial" w:cs="Arial" w:eastAsia="Arial" w:hAnsi="Arial"/>
                <w:sz w:val="20"/>
                <w:szCs w:val="20"/>
                <w:color w:val="auto"/>
              </w:rPr>
              <w:t>Remedies Upon Event of Default</w:t>
            </w:r>
          </w:p>
        </w:tc>
        <w:tc>
          <w:tcPr>
            <w:tcW w:w="2500" w:type="dxa"/>
            <w:vAlign w:val="bottom"/>
          </w:tcPr>
          <w:p>
            <w:pPr>
              <w:jc w:val="right"/>
              <w:spacing w:after="0"/>
              <w:rPr>
                <w:sz w:val="20"/>
                <w:szCs w:val="20"/>
                <w:color w:val="auto"/>
              </w:rPr>
            </w:pPr>
            <w:r>
              <w:rPr>
                <w:rFonts w:ascii="Arial" w:cs="Arial" w:eastAsia="Arial" w:hAnsi="Arial"/>
                <w:sz w:val="20"/>
                <w:szCs w:val="20"/>
                <w:color w:val="auto"/>
              </w:rPr>
              <w:t>102</w:t>
            </w:r>
          </w:p>
        </w:tc>
      </w:tr>
      <w:tr>
        <w:trPr>
          <w:trHeight w:val="250"/>
        </w:trPr>
        <w:tc>
          <w:tcPr>
            <w:tcW w:w="1360" w:type="dxa"/>
            <w:vAlign w:val="bottom"/>
          </w:tcPr>
          <w:p>
            <w:pPr>
              <w:ind w:left="400"/>
              <w:spacing w:after="0"/>
              <w:rPr>
                <w:sz w:val="20"/>
                <w:szCs w:val="20"/>
                <w:color w:val="auto"/>
              </w:rPr>
            </w:pPr>
            <w:r>
              <w:rPr>
                <w:rFonts w:ascii="Arial" w:cs="Arial" w:eastAsia="Arial" w:hAnsi="Arial"/>
                <w:sz w:val="20"/>
                <w:szCs w:val="20"/>
                <w:color w:val="auto"/>
              </w:rPr>
              <w:t>ii</w:t>
            </w:r>
          </w:p>
        </w:tc>
        <w:tc>
          <w:tcPr>
            <w:tcW w:w="738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111"/>
        </w:trPr>
        <w:tc>
          <w:tcPr>
            <w:tcW w:w="1360" w:type="dxa"/>
            <w:vAlign w:val="bottom"/>
            <w:tcBorders>
              <w:bottom w:val="single" w:sz="8" w:color="9A9A9A"/>
            </w:tcBorders>
          </w:tcPr>
          <w:p>
            <w:pPr>
              <w:spacing w:after="0"/>
              <w:rPr>
                <w:sz w:val="9"/>
                <w:szCs w:val="9"/>
                <w:color w:val="auto"/>
              </w:rPr>
            </w:pPr>
          </w:p>
        </w:tc>
        <w:tc>
          <w:tcPr>
            <w:tcW w:w="738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50"/>
        </w:trPr>
        <w:tc>
          <w:tcPr>
            <w:tcW w:w="1380" w:type="dxa"/>
            <w:vAlign w:val="bottom"/>
          </w:tcPr>
          <w:p>
            <w:pPr>
              <w:ind w:left="640"/>
              <w:spacing w:after="0"/>
              <w:rPr>
                <w:sz w:val="20"/>
                <w:szCs w:val="20"/>
                <w:color w:val="auto"/>
              </w:rPr>
            </w:pPr>
            <w:r>
              <w:rPr>
                <w:rFonts w:ascii="Arial" w:cs="Arial" w:eastAsia="Arial" w:hAnsi="Arial"/>
                <w:sz w:val="20"/>
                <w:szCs w:val="20"/>
                <w:color w:val="auto"/>
              </w:rPr>
              <w:t>8.03</w:t>
            </w:r>
          </w:p>
        </w:tc>
        <w:tc>
          <w:tcPr>
            <w:tcW w:w="7920" w:type="dxa"/>
            <w:vAlign w:val="bottom"/>
          </w:tcPr>
          <w:p>
            <w:pPr>
              <w:ind w:left="300"/>
              <w:spacing w:after="0"/>
              <w:rPr>
                <w:sz w:val="20"/>
                <w:szCs w:val="20"/>
                <w:color w:val="auto"/>
              </w:rPr>
            </w:pPr>
            <w:r>
              <w:rPr>
                <w:rFonts w:ascii="Arial" w:cs="Arial" w:eastAsia="Arial" w:hAnsi="Arial"/>
                <w:sz w:val="20"/>
                <w:szCs w:val="20"/>
                <w:color w:val="auto"/>
              </w:rPr>
              <w:t>Application of Funds</w:t>
            </w:r>
          </w:p>
        </w:tc>
        <w:tc>
          <w:tcPr>
            <w:tcW w:w="190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473"/>
        </w:trPr>
        <w:tc>
          <w:tcPr>
            <w:tcW w:w="9300" w:type="dxa"/>
            <w:vAlign w:val="bottom"/>
            <w:gridSpan w:val="2"/>
          </w:tcPr>
          <w:p>
            <w:pPr>
              <w:spacing w:after="0"/>
              <w:rPr>
                <w:sz w:val="20"/>
                <w:szCs w:val="20"/>
                <w:color w:val="auto"/>
              </w:rPr>
            </w:pPr>
            <w:r>
              <w:rPr>
                <w:rFonts w:ascii="Arial" w:cs="Arial" w:eastAsia="Arial" w:hAnsi="Arial"/>
                <w:sz w:val="20"/>
                <w:szCs w:val="20"/>
                <w:color w:val="auto"/>
              </w:rPr>
              <w:t>ARTICLE IX ADMINISTRATIVE AGENT</w:t>
            </w:r>
          </w:p>
        </w:tc>
        <w:tc>
          <w:tcPr>
            <w:tcW w:w="190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473"/>
        </w:trPr>
        <w:tc>
          <w:tcPr>
            <w:tcW w:w="1380" w:type="dxa"/>
            <w:vAlign w:val="bottom"/>
          </w:tcPr>
          <w:p>
            <w:pPr>
              <w:ind w:left="640"/>
              <w:spacing w:after="0"/>
              <w:rPr>
                <w:sz w:val="20"/>
                <w:szCs w:val="20"/>
                <w:color w:val="auto"/>
              </w:rPr>
            </w:pPr>
            <w:r>
              <w:rPr>
                <w:rFonts w:ascii="Arial" w:cs="Arial" w:eastAsia="Arial" w:hAnsi="Arial"/>
                <w:sz w:val="20"/>
                <w:szCs w:val="20"/>
                <w:color w:val="auto"/>
              </w:rPr>
              <w:t>9.01</w:t>
            </w:r>
          </w:p>
        </w:tc>
        <w:tc>
          <w:tcPr>
            <w:tcW w:w="7920" w:type="dxa"/>
            <w:vAlign w:val="bottom"/>
          </w:tcPr>
          <w:p>
            <w:pPr>
              <w:ind w:left="300"/>
              <w:spacing w:after="0"/>
              <w:rPr>
                <w:sz w:val="20"/>
                <w:szCs w:val="20"/>
                <w:color w:val="auto"/>
              </w:rPr>
            </w:pPr>
            <w:r>
              <w:rPr>
                <w:rFonts w:ascii="Arial" w:cs="Arial" w:eastAsia="Arial" w:hAnsi="Arial"/>
                <w:sz w:val="20"/>
                <w:szCs w:val="20"/>
                <w:color w:val="auto"/>
              </w:rPr>
              <w:t>Appointment and Authorization of Agents</w:t>
            </w:r>
          </w:p>
        </w:tc>
        <w:tc>
          <w:tcPr>
            <w:tcW w:w="1900" w:type="dxa"/>
            <w:vAlign w:val="bottom"/>
          </w:tcPr>
          <w:p>
            <w:pPr>
              <w:jc w:val="right"/>
              <w:spacing w:after="0"/>
              <w:rPr>
                <w:sz w:val="20"/>
                <w:szCs w:val="20"/>
                <w:color w:val="auto"/>
              </w:rPr>
            </w:pPr>
            <w:r>
              <w:rPr>
                <w:rFonts w:ascii="Arial" w:cs="Arial" w:eastAsia="Arial" w:hAnsi="Arial"/>
                <w:sz w:val="20"/>
                <w:szCs w:val="20"/>
                <w:color w:val="auto"/>
              </w:rPr>
              <w:t>103</w:t>
            </w:r>
          </w:p>
        </w:tc>
      </w:tr>
      <w:tr>
        <w:trPr>
          <w:trHeight w:val="256"/>
        </w:trPr>
        <w:tc>
          <w:tcPr>
            <w:tcW w:w="1380" w:type="dxa"/>
            <w:vAlign w:val="bottom"/>
          </w:tcPr>
          <w:p>
            <w:pPr>
              <w:ind w:left="640"/>
              <w:spacing w:after="0"/>
              <w:rPr>
                <w:sz w:val="20"/>
                <w:szCs w:val="20"/>
                <w:color w:val="auto"/>
              </w:rPr>
            </w:pPr>
            <w:r>
              <w:rPr>
                <w:rFonts w:ascii="Arial" w:cs="Arial" w:eastAsia="Arial" w:hAnsi="Arial"/>
                <w:sz w:val="20"/>
                <w:szCs w:val="20"/>
                <w:color w:val="auto"/>
              </w:rPr>
              <w:t>9.02</w:t>
            </w:r>
          </w:p>
        </w:tc>
        <w:tc>
          <w:tcPr>
            <w:tcW w:w="7920" w:type="dxa"/>
            <w:vAlign w:val="bottom"/>
          </w:tcPr>
          <w:p>
            <w:pPr>
              <w:ind w:left="300"/>
              <w:spacing w:after="0"/>
              <w:rPr>
                <w:sz w:val="20"/>
                <w:szCs w:val="20"/>
                <w:color w:val="auto"/>
              </w:rPr>
            </w:pPr>
            <w:r>
              <w:rPr>
                <w:rFonts w:ascii="Arial" w:cs="Arial" w:eastAsia="Arial" w:hAnsi="Arial"/>
                <w:sz w:val="20"/>
                <w:szCs w:val="20"/>
                <w:color w:val="auto"/>
              </w:rPr>
              <w:t>Rights as a Lender</w:t>
            </w:r>
          </w:p>
        </w:tc>
        <w:tc>
          <w:tcPr>
            <w:tcW w:w="190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9.03</w:t>
            </w:r>
          </w:p>
        </w:tc>
        <w:tc>
          <w:tcPr>
            <w:tcW w:w="7920" w:type="dxa"/>
            <w:vAlign w:val="bottom"/>
          </w:tcPr>
          <w:p>
            <w:pPr>
              <w:ind w:left="300"/>
              <w:spacing w:after="0"/>
              <w:rPr>
                <w:sz w:val="20"/>
                <w:szCs w:val="20"/>
                <w:color w:val="auto"/>
              </w:rPr>
            </w:pPr>
            <w:r>
              <w:rPr>
                <w:rFonts w:ascii="Arial" w:cs="Arial" w:eastAsia="Arial" w:hAnsi="Arial"/>
                <w:sz w:val="20"/>
                <w:szCs w:val="20"/>
                <w:color w:val="auto"/>
              </w:rPr>
              <w:t>Exculpatory Provisions</w:t>
            </w:r>
          </w:p>
        </w:tc>
        <w:tc>
          <w:tcPr>
            <w:tcW w:w="1900" w:type="dxa"/>
            <w:vAlign w:val="bottom"/>
          </w:tcPr>
          <w:p>
            <w:pPr>
              <w:jc w:val="right"/>
              <w:spacing w:after="0"/>
              <w:rPr>
                <w:sz w:val="20"/>
                <w:szCs w:val="20"/>
                <w:color w:val="auto"/>
              </w:rPr>
            </w:pPr>
            <w:r>
              <w:rPr>
                <w:rFonts w:ascii="Arial" w:cs="Arial" w:eastAsia="Arial" w:hAnsi="Arial"/>
                <w:sz w:val="20"/>
                <w:szCs w:val="20"/>
                <w:color w:val="auto"/>
              </w:rPr>
              <w:t>104</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9.04</w:t>
            </w:r>
          </w:p>
        </w:tc>
        <w:tc>
          <w:tcPr>
            <w:tcW w:w="7920" w:type="dxa"/>
            <w:vAlign w:val="bottom"/>
          </w:tcPr>
          <w:p>
            <w:pPr>
              <w:ind w:left="300"/>
              <w:spacing w:after="0"/>
              <w:rPr>
                <w:sz w:val="20"/>
                <w:szCs w:val="20"/>
                <w:color w:val="auto"/>
              </w:rPr>
            </w:pPr>
            <w:r>
              <w:rPr>
                <w:rFonts w:ascii="Arial" w:cs="Arial" w:eastAsia="Arial" w:hAnsi="Arial"/>
                <w:sz w:val="20"/>
                <w:szCs w:val="20"/>
                <w:color w:val="auto"/>
              </w:rPr>
              <w:t>Reliance by Administrative Agent</w:t>
            </w:r>
          </w:p>
        </w:tc>
        <w:tc>
          <w:tcPr>
            <w:tcW w:w="190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9.05</w:t>
            </w:r>
          </w:p>
        </w:tc>
        <w:tc>
          <w:tcPr>
            <w:tcW w:w="7920" w:type="dxa"/>
            <w:vAlign w:val="bottom"/>
          </w:tcPr>
          <w:p>
            <w:pPr>
              <w:ind w:left="300"/>
              <w:spacing w:after="0"/>
              <w:rPr>
                <w:sz w:val="20"/>
                <w:szCs w:val="20"/>
                <w:color w:val="auto"/>
              </w:rPr>
            </w:pPr>
            <w:r>
              <w:rPr>
                <w:rFonts w:ascii="Arial" w:cs="Arial" w:eastAsia="Arial" w:hAnsi="Arial"/>
                <w:sz w:val="20"/>
                <w:szCs w:val="20"/>
                <w:color w:val="auto"/>
              </w:rPr>
              <w:t>Delegation of Duties</w:t>
            </w:r>
          </w:p>
        </w:tc>
        <w:tc>
          <w:tcPr>
            <w:tcW w:w="190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9.06</w:t>
            </w:r>
          </w:p>
        </w:tc>
        <w:tc>
          <w:tcPr>
            <w:tcW w:w="7920" w:type="dxa"/>
            <w:vAlign w:val="bottom"/>
          </w:tcPr>
          <w:p>
            <w:pPr>
              <w:ind w:left="300"/>
              <w:spacing w:after="0"/>
              <w:rPr>
                <w:sz w:val="20"/>
                <w:szCs w:val="20"/>
                <w:color w:val="auto"/>
              </w:rPr>
            </w:pPr>
            <w:r>
              <w:rPr>
                <w:rFonts w:ascii="Arial" w:cs="Arial" w:eastAsia="Arial" w:hAnsi="Arial"/>
                <w:sz w:val="20"/>
                <w:szCs w:val="20"/>
                <w:color w:val="auto"/>
              </w:rPr>
              <w:t>Resignation of Administrative Agent</w:t>
            </w:r>
          </w:p>
        </w:tc>
        <w:tc>
          <w:tcPr>
            <w:tcW w:w="190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256"/>
        </w:trPr>
        <w:tc>
          <w:tcPr>
            <w:tcW w:w="1380" w:type="dxa"/>
            <w:vAlign w:val="bottom"/>
          </w:tcPr>
          <w:p>
            <w:pPr>
              <w:ind w:left="640"/>
              <w:spacing w:after="0"/>
              <w:rPr>
                <w:sz w:val="20"/>
                <w:szCs w:val="20"/>
                <w:color w:val="auto"/>
              </w:rPr>
            </w:pPr>
            <w:r>
              <w:rPr>
                <w:rFonts w:ascii="Arial" w:cs="Arial" w:eastAsia="Arial" w:hAnsi="Arial"/>
                <w:sz w:val="20"/>
                <w:szCs w:val="20"/>
                <w:color w:val="auto"/>
              </w:rPr>
              <w:t>9.07</w:t>
            </w:r>
          </w:p>
        </w:tc>
        <w:tc>
          <w:tcPr>
            <w:tcW w:w="7920" w:type="dxa"/>
            <w:vAlign w:val="bottom"/>
          </w:tcPr>
          <w:p>
            <w:pPr>
              <w:ind w:left="300"/>
              <w:spacing w:after="0"/>
              <w:rPr>
                <w:sz w:val="20"/>
                <w:szCs w:val="20"/>
                <w:color w:val="auto"/>
              </w:rPr>
            </w:pPr>
            <w:r>
              <w:rPr>
                <w:rFonts w:ascii="Arial" w:cs="Arial" w:eastAsia="Arial" w:hAnsi="Arial"/>
                <w:sz w:val="20"/>
                <w:szCs w:val="20"/>
                <w:color w:val="auto"/>
              </w:rPr>
              <w:t>Non-Reliance on Administrative Agent and Other Lenders</w:t>
            </w:r>
          </w:p>
        </w:tc>
        <w:tc>
          <w:tcPr>
            <w:tcW w:w="190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9.08</w:t>
            </w:r>
          </w:p>
        </w:tc>
        <w:tc>
          <w:tcPr>
            <w:tcW w:w="7920" w:type="dxa"/>
            <w:vAlign w:val="bottom"/>
          </w:tcPr>
          <w:p>
            <w:pPr>
              <w:ind w:left="300"/>
              <w:spacing w:after="0"/>
              <w:rPr>
                <w:sz w:val="20"/>
                <w:szCs w:val="20"/>
                <w:color w:val="auto"/>
              </w:rPr>
            </w:pPr>
            <w:r>
              <w:rPr>
                <w:rFonts w:ascii="Arial" w:cs="Arial" w:eastAsia="Arial" w:hAnsi="Arial"/>
                <w:sz w:val="20"/>
                <w:szCs w:val="20"/>
                <w:color w:val="auto"/>
              </w:rPr>
              <w:t>Duties of Other Agents</w:t>
            </w:r>
          </w:p>
        </w:tc>
        <w:tc>
          <w:tcPr>
            <w:tcW w:w="190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9.09</w:t>
            </w:r>
          </w:p>
        </w:tc>
        <w:tc>
          <w:tcPr>
            <w:tcW w:w="7920" w:type="dxa"/>
            <w:vAlign w:val="bottom"/>
          </w:tcPr>
          <w:p>
            <w:pPr>
              <w:ind w:left="300"/>
              <w:spacing w:after="0"/>
              <w:rPr>
                <w:sz w:val="20"/>
                <w:szCs w:val="20"/>
                <w:color w:val="auto"/>
              </w:rPr>
            </w:pPr>
            <w:r>
              <w:rPr>
                <w:rFonts w:ascii="Arial" w:cs="Arial" w:eastAsia="Arial" w:hAnsi="Arial"/>
                <w:sz w:val="20"/>
                <w:szCs w:val="20"/>
                <w:color w:val="auto"/>
              </w:rPr>
              <w:t>Administrative Agent May File Proofs of Claim</w:t>
            </w:r>
          </w:p>
        </w:tc>
        <w:tc>
          <w:tcPr>
            <w:tcW w:w="190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9.10</w:t>
            </w:r>
          </w:p>
        </w:tc>
        <w:tc>
          <w:tcPr>
            <w:tcW w:w="7920" w:type="dxa"/>
            <w:vAlign w:val="bottom"/>
          </w:tcPr>
          <w:p>
            <w:pPr>
              <w:ind w:left="300"/>
              <w:spacing w:after="0"/>
              <w:rPr>
                <w:sz w:val="20"/>
                <w:szCs w:val="20"/>
                <w:color w:val="auto"/>
              </w:rPr>
            </w:pPr>
            <w:r>
              <w:rPr>
                <w:rFonts w:ascii="Arial" w:cs="Arial" w:eastAsia="Arial" w:hAnsi="Arial"/>
                <w:sz w:val="20"/>
                <w:szCs w:val="20"/>
                <w:color w:val="auto"/>
              </w:rPr>
              <w:t>Withholding</w:t>
            </w:r>
          </w:p>
        </w:tc>
        <w:tc>
          <w:tcPr>
            <w:tcW w:w="190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9.11</w:t>
            </w:r>
          </w:p>
        </w:tc>
        <w:tc>
          <w:tcPr>
            <w:tcW w:w="7920" w:type="dxa"/>
            <w:vAlign w:val="bottom"/>
          </w:tcPr>
          <w:p>
            <w:pPr>
              <w:ind w:left="300"/>
              <w:spacing w:after="0"/>
              <w:rPr>
                <w:sz w:val="20"/>
                <w:szCs w:val="20"/>
                <w:color w:val="auto"/>
              </w:rPr>
            </w:pPr>
            <w:r>
              <w:rPr>
                <w:rFonts w:ascii="Arial" w:cs="Arial" w:eastAsia="Arial" w:hAnsi="Arial"/>
                <w:sz w:val="20"/>
                <w:szCs w:val="20"/>
                <w:color w:val="auto"/>
              </w:rPr>
              <w:t>Guaranty Matters</w:t>
            </w:r>
          </w:p>
        </w:tc>
        <w:tc>
          <w:tcPr>
            <w:tcW w:w="190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256"/>
        </w:trPr>
        <w:tc>
          <w:tcPr>
            <w:tcW w:w="1380" w:type="dxa"/>
            <w:vAlign w:val="bottom"/>
          </w:tcPr>
          <w:p>
            <w:pPr>
              <w:ind w:left="640"/>
              <w:spacing w:after="0"/>
              <w:rPr>
                <w:sz w:val="20"/>
                <w:szCs w:val="20"/>
                <w:color w:val="auto"/>
              </w:rPr>
            </w:pPr>
            <w:r>
              <w:rPr>
                <w:rFonts w:ascii="Arial" w:cs="Arial" w:eastAsia="Arial" w:hAnsi="Arial"/>
                <w:sz w:val="20"/>
                <w:szCs w:val="20"/>
                <w:color w:val="auto"/>
              </w:rPr>
              <w:t>9.12</w:t>
            </w:r>
          </w:p>
        </w:tc>
        <w:tc>
          <w:tcPr>
            <w:tcW w:w="7920" w:type="dxa"/>
            <w:vAlign w:val="bottom"/>
          </w:tcPr>
          <w:p>
            <w:pPr>
              <w:ind w:left="300"/>
              <w:spacing w:after="0"/>
              <w:rPr>
                <w:sz w:val="20"/>
                <w:szCs w:val="20"/>
                <w:color w:val="auto"/>
              </w:rPr>
            </w:pPr>
            <w:r>
              <w:rPr>
                <w:rFonts w:ascii="Arial" w:cs="Arial" w:eastAsia="Arial" w:hAnsi="Arial"/>
                <w:sz w:val="20"/>
                <w:szCs w:val="20"/>
                <w:color w:val="auto"/>
              </w:rPr>
              <w:t>Survival</w:t>
            </w:r>
          </w:p>
        </w:tc>
        <w:tc>
          <w:tcPr>
            <w:tcW w:w="190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9.13</w:t>
            </w:r>
          </w:p>
        </w:tc>
        <w:tc>
          <w:tcPr>
            <w:tcW w:w="7920" w:type="dxa"/>
            <w:vAlign w:val="bottom"/>
          </w:tcPr>
          <w:p>
            <w:pPr>
              <w:ind w:left="300"/>
              <w:spacing w:after="0"/>
              <w:rPr>
                <w:sz w:val="20"/>
                <w:szCs w:val="20"/>
                <w:color w:val="auto"/>
              </w:rPr>
            </w:pPr>
            <w:r>
              <w:rPr>
                <w:rFonts w:ascii="Arial" w:cs="Arial" w:eastAsia="Arial" w:hAnsi="Arial"/>
                <w:sz w:val="20"/>
                <w:szCs w:val="20"/>
                <w:color w:val="auto"/>
              </w:rPr>
              <w:t>Erroneous Payment</w:t>
            </w:r>
          </w:p>
        </w:tc>
        <w:tc>
          <w:tcPr>
            <w:tcW w:w="190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9.14</w:t>
            </w:r>
          </w:p>
        </w:tc>
        <w:tc>
          <w:tcPr>
            <w:tcW w:w="7920" w:type="dxa"/>
            <w:vAlign w:val="bottom"/>
          </w:tcPr>
          <w:p>
            <w:pPr>
              <w:ind w:left="300"/>
              <w:spacing w:after="0"/>
              <w:rPr>
                <w:sz w:val="20"/>
                <w:szCs w:val="20"/>
                <w:color w:val="auto"/>
              </w:rPr>
            </w:pPr>
            <w:r>
              <w:rPr>
                <w:rFonts w:ascii="Arial" w:cs="Arial" w:eastAsia="Arial" w:hAnsi="Arial"/>
                <w:sz w:val="20"/>
                <w:szCs w:val="20"/>
                <w:color w:val="auto"/>
              </w:rPr>
              <w:t>Certain ERISA Matters</w:t>
            </w:r>
          </w:p>
        </w:tc>
        <w:tc>
          <w:tcPr>
            <w:tcW w:w="190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473"/>
        </w:trPr>
        <w:tc>
          <w:tcPr>
            <w:tcW w:w="9300" w:type="dxa"/>
            <w:vAlign w:val="bottom"/>
            <w:gridSpan w:val="2"/>
          </w:tcPr>
          <w:p>
            <w:pPr>
              <w:spacing w:after="0"/>
              <w:rPr>
                <w:sz w:val="20"/>
                <w:szCs w:val="20"/>
                <w:color w:val="auto"/>
              </w:rPr>
            </w:pPr>
            <w:r>
              <w:rPr>
                <w:rFonts w:ascii="Arial" w:cs="Arial" w:eastAsia="Arial" w:hAnsi="Arial"/>
                <w:sz w:val="20"/>
                <w:szCs w:val="20"/>
                <w:color w:val="auto"/>
              </w:rPr>
              <w:t>ARTICLE X MISCELLANEOUS</w:t>
            </w:r>
          </w:p>
        </w:tc>
        <w:tc>
          <w:tcPr>
            <w:tcW w:w="190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473"/>
        </w:trPr>
        <w:tc>
          <w:tcPr>
            <w:tcW w:w="1380" w:type="dxa"/>
            <w:vAlign w:val="bottom"/>
          </w:tcPr>
          <w:p>
            <w:pPr>
              <w:ind w:left="640"/>
              <w:spacing w:after="0"/>
              <w:rPr>
                <w:sz w:val="20"/>
                <w:szCs w:val="20"/>
                <w:color w:val="auto"/>
              </w:rPr>
            </w:pPr>
            <w:r>
              <w:rPr>
                <w:rFonts w:ascii="Arial" w:cs="Arial" w:eastAsia="Arial" w:hAnsi="Arial"/>
                <w:sz w:val="20"/>
                <w:szCs w:val="20"/>
                <w:color w:val="auto"/>
              </w:rPr>
              <w:t>10.01</w:t>
            </w:r>
          </w:p>
        </w:tc>
        <w:tc>
          <w:tcPr>
            <w:tcW w:w="7920" w:type="dxa"/>
            <w:vAlign w:val="bottom"/>
          </w:tcPr>
          <w:p>
            <w:pPr>
              <w:ind w:left="300"/>
              <w:spacing w:after="0"/>
              <w:rPr>
                <w:sz w:val="20"/>
                <w:szCs w:val="20"/>
                <w:color w:val="auto"/>
              </w:rPr>
            </w:pPr>
            <w:r>
              <w:rPr>
                <w:rFonts w:ascii="Arial" w:cs="Arial" w:eastAsia="Arial" w:hAnsi="Arial"/>
                <w:sz w:val="20"/>
                <w:szCs w:val="20"/>
                <w:color w:val="auto"/>
              </w:rPr>
              <w:t>Amendments, Etc.</w:t>
            </w:r>
          </w:p>
        </w:tc>
        <w:tc>
          <w:tcPr>
            <w:tcW w:w="190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10.02</w:t>
            </w:r>
          </w:p>
        </w:tc>
        <w:tc>
          <w:tcPr>
            <w:tcW w:w="7920" w:type="dxa"/>
            <w:vAlign w:val="bottom"/>
          </w:tcPr>
          <w:p>
            <w:pPr>
              <w:ind w:left="300"/>
              <w:spacing w:after="0"/>
              <w:rPr>
                <w:sz w:val="20"/>
                <w:szCs w:val="20"/>
                <w:color w:val="auto"/>
              </w:rPr>
            </w:pPr>
            <w:r>
              <w:rPr>
                <w:rFonts w:ascii="Arial" w:cs="Arial" w:eastAsia="Arial" w:hAnsi="Arial"/>
                <w:sz w:val="20"/>
                <w:szCs w:val="20"/>
                <w:color w:val="auto"/>
              </w:rPr>
              <w:t>Notices; Effectiveness; Electronic Communications</w:t>
            </w:r>
          </w:p>
        </w:tc>
        <w:tc>
          <w:tcPr>
            <w:tcW w:w="190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10.03</w:t>
            </w:r>
          </w:p>
        </w:tc>
        <w:tc>
          <w:tcPr>
            <w:tcW w:w="7920" w:type="dxa"/>
            <w:vAlign w:val="bottom"/>
          </w:tcPr>
          <w:p>
            <w:pPr>
              <w:ind w:left="300"/>
              <w:spacing w:after="0"/>
              <w:rPr>
                <w:sz w:val="20"/>
                <w:szCs w:val="20"/>
                <w:color w:val="auto"/>
              </w:rPr>
            </w:pPr>
            <w:r>
              <w:rPr>
                <w:rFonts w:ascii="Arial" w:cs="Arial" w:eastAsia="Arial" w:hAnsi="Arial"/>
                <w:sz w:val="20"/>
                <w:szCs w:val="20"/>
                <w:color w:val="auto"/>
              </w:rPr>
              <w:t>No Waiver; Cumulative Remedies; Enforcement</w:t>
            </w:r>
          </w:p>
        </w:tc>
        <w:tc>
          <w:tcPr>
            <w:tcW w:w="1900" w:type="dxa"/>
            <w:vAlign w:val="bottom"/>
          </w:tcPr>
          <w:p>
            <w:pPr>
              <w:jc w:val="right"/>
              <w:spacing w:after="0"/>
              <w:rPr>
                <w:sz w:val="20"/>
                <w:szCs w:val="20"/>
                <w:color w:val="auto"/>
              </w:rPr>
            </w:pPr>
            <w:r>
              <w:rPr>
                <w:rFonts w:ascii="Arial" w:cs="Arial" w:eastAsia="Arial" w:hAnsi="Arial"/>
                <w:sz w:val="20"/>
                <w:szCs w:val="20"/>
                <w:color w:val="auto"/>
              </w:rPr>
              <w:t>113</w:t>
            </w:r>
          </w:p>
        </w:tc>
      </w:tr>
      <w:tr>
        <w:trPr>
          <w:trHeight w:val="256"/>
        </w:trPr>
        <w:tc>
          <w:tcPr>
            <w:tcW w:w="1380" w:type="dxa"/>
            <w:vAlign w:val="bottom"/>
          </w:tcPr>
          <w:p>
            <w:pPr>
              <w:ind w:left="640"/>
              <w:spacing w:after="0"/>
              <w:rPr>
                <w:sz w:val="20"/>
                <w:szCs w:val="20"/>
                <w:color w:val="auto"/>
              </w:rPr>
            </w:pPr>
            <w:r>
              <w:rPr>
                <w:rFonts w:ascii="Arial" w:cs="Arial" w:eastAsia="Arial" w:hAnsi="Arial"/>
                <w:sz w:val="20"/>
                <w:szCs w:val="20"/>
                <w:color w:val="auto"/>
              </w:rPr>
              <w:t>10.04</w:t>
            </w:r>
          </w:p>
        </w:tc>
        <w:tc>
          <w:tcPr>
            <w:tcW w:w="7920" w:type="dxa"/>
            <w:vAlign w:val="bottom"/>
          </w:tcPr>
          <w:p>
            <w:pPr>
              <w:ind w:left="300"/>
              <w:spacing w:after="0"/>
              <w:rPr>
                <w:sz w:val="20"/>
                <w:szCs w:val="20"/>
                <w:color w:val="auto"/>
              </w:rPr>
            </w:pPr>
            <w:r>
              <w:rPr>
                <w:rFonts w:ascii="Arial" w:cs="Arial" w:eastAsia="Arial" w:hAnsi="Arial"/>
                <w:sz w:val="20"/>
                <w:szCs w:val="20"/>
                <w:color w:val="auto"/>
              </w:rPr>
              <w:t>Expenses; Indemnity; Damage Waiver</w:t>
            </w:r>
          </w:p>
        </w:tc>
        <w:tc>
          <w:tcPr>
            <w:tcW w:w="1900" w:type="dxa"/>
            <w:vAlign w:val="bottom"/>
          </w:tcPr>
          <w:p>
            <w:pPr>
              <w:jc w:val="right"/>
              <w:spacing w:after="0"/>
              <w:rPr>
                <w:sz w:val="20"/>
                <w:szCs w:val="20"/>
                <w:color w:val="auto"/>
              </w:rPr>
            </w:pPr>
            <w:r>
              <w:rPr>
                <w:rFonts w:ascii="Arial" w:cs="Arial" w:eastAsia="Arial" w:hAnsi="Arial"/>
                <w:sz w:val="20"/>
                <w:szCs w:val="20"/>
                <w:color w:val="auto"/>
              </w:rPr>
              <w:t>114</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10.05</w:t>
            </w:r>
          </w:p>
        </w:tc>
        <w:tc>
          <w:tcPr>
            <w:tcW w:w="7920" w:type="dxa"/>
            <w:vAlign w:val="bottom"/>
          </w:tcPr>
          <w:p>
            <w:pPr>
              <w:ind w:left="300"/>
              <w:spacing w:after="0"/>
              <w:rPr>
                <w:sz w:val="20"/>
                <w:szCs w:val="20"/>
                <w:color w:val="auto"/>
              </w:rPr>
            </w:pPr>
            <w:r>
              <w:rPr>
                <w:rFonts w:ascii="Arial" w:cs="Arial" w:eastAsia="Arial" w:hAnsi="Arial"/>
                <w:sz w:val="20"/>
                <w:szCs w:val="20"/>
                <w:color w:val="auto"/>
              </w:rPr>
              <w:t>Payments Set Aside</w:t>
            </w:r>
          </w:p>
        </w:tc>
        <w:tc>
          <w:tcPr>
            <w:tcW w:w="190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10.06</w:t>
            </w:r>
          </w:p>
        </w:tc>
        <w:tc>
          <w:tcPr>
            <w:tcW w:w="7920" w:type="dxa"/>
            <w:vAlign w:val="bottom"/>
          </w:tcPr>
          <w:p>
            <w:pPr>
              <w:ind w:left="300"/>
              <w:spacing w:after="0"/>
              <w:rPr>
                <w:sz w:val="20"/>
                <w:szCs w:val="20"/>
                <w:color w:val="auto"/>
              </w:rPr>
            </w:pPr>
            <w:r>
              <w:rPr>
                <w:rFonts w:ascii="Arial" w:cs="Arial" w:eastAsia="Arial" w:hAnsi="Arial"/>
                <w:sz w:val="20"/>
                <w:szCs w:val="20"/>
                <w:color w:val="auto"/>
              </w:rPr>
              <w:t>Successors and Assigns</w:t>
            </w:r>
          </w:p>
        </w:tc>
        <w:tc>
          <w:tcPr>
            <w:tcW w:w="1900" w:type="dxa"/>
            <w:vAlign w:val="bottom"/>
          </w:tcPr>
          <w:p>
            <w:pPr>
              <w:jc w:val="right"/>
              <w:spacing w:after="0"/>
              <w:rPr>
                <w:sz w:val="20"/>
                <w:szCs w:val="20"/>
                <w:color w:val="auto"/>
              </w:rPr>
            </w:pPr>
            <w:r>
              <w:rPr>
                <w:rFonts w:ascii="Arial" w:cs="Arial" w:eastAsia="Arial" w:hAnsi="Arial"/>
                <w:sz w:val="20"/>
                <w:szCs w:val="20"/>
                <w:color w:val="auto"/>
              </w:rPr>
              <w:t>116</w:t>
            </w:r>
          </w:p>
        </w:tc>
      </w:tr>
      <w:tr>
        <w:trPr>
          <w:trHeight w:val="256"/>
        </w:trPr>
        <w:tc>
          <w:tcPr>
            <w:tcW w:w="1380" w:type="dxa"/>
            <w:vAlign w:val="bottom"/>
          </w:tcPr>
          <w:p>
            <w:pPr>
              <w:ind w:left="640"/>
              <w:spacing w:after="0"/>
              <w:rPr>
                <w:sz w:val="20"/>
                <w:szCs w:val="20"/>
                <w:color w:val="auto"/>
              </w:rPr>
            </w:pPr>
            <w:r>
              <w:rPr>
                <w:rFonts w:ascii="Arial" w:cs="Arial" w:eastAsia="Arial" w:hAnsi="Arial"/>
                <w:sz w:val="20"/>
                <w:szCs w:val="20"/>
                <w:color w:val="auto"/>
              </w:rPr>
              <w:t>10.07</w:t>
            </w:r>
          </w:p>
        </w:tc>
        <w:tc>
          <w:tcPr>
            <w:tcW w:w="7920" w:type="dxa"/>
            <w:vAlign w:val="bottom"/>
          </w:tcPr>
          <w:p>
            <w:pPr>
              <w:ind w:left="300"/>
              <w:spacing w:after="0"/>
              <w:rPr>
                <w:sz w:val="20"/>
                <w:szCs w:val="20"/>
                <w:color w:val="auto"/>
              </w:rPr>
            </w:pPr>
            <w:r>
              <w:rPr>
                <w:rFonts w:ascii="Arial" w:cs="Arial" w:eastAsia="Arial" w:hAnsi="Arial"/>
                <w:sz w:val="20"/>
                <w:szCs w:val="20"/>
                <w:color w:val="auto"/>
              </w:rPr>
              <w:t>Treatment of Certain Information; Confidentiality</w:t>
            </w:r>
          </w:p>
        </w:tc>
        <w:tc>
          <w:tcPr>
            <w:tcW w:w="190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10.08</w:t>
            </w:r>
          </w:p>
        </w:tc>
        <w:tc>
          <w:tcPr>
            <w:tcW w:w="7920" w:type="dxa"/>
            <w:vAlign w:val="bottom"/>
          </w:tcPr>
          <w:p>
            <w:pPr>
              <w:ind w:left="300"/>
              <w:spacing w:after="0"/>
              <w:rPr>
                <w:sz w:val="20"/>
                <w:szCs w:val="20"/>
                <w:color w:val="auto"/>
              </w:rPr>
            </w:pPr>
            <w:r>
              <w:rPr>
                <w:rFonts w:ascii="Arial" w:cs="Arial" w:eastAsia="Arial" w:hAnsi="Arial"/>
                <w:sz w:val="20"/>
                <w:szCs w:val="20"/>
                <w:color w:val="auto"/>
              </w:rPr>
              <w:t>Right of Setoff</w:t>
            </w:r>
          </w:p>
        </w:tc>
        <w:tc>
          <w:tcPr>
            <w:tcW w:w="190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10.09</w:t>
            </w:r>
          </w:p>
        </w:tc>
        <w:tc>
          <w:tcPr>
            <w:tcW w:w="7920" w:type="dxa"/>
            <w:vAlign w:val="bottom"/>
          </w:tcPr>
          <w:p>
            <w:pPr>
              <w:ind w:left="300"/>
              <w:spacing w:after="0"/>
              <w:rPr>
                <w:sz w:val="20"/>
                <w:szCs w:val="20"/>
                <w:color w:val="auto"/>
              </w:rPr>
            </w:pPr>
            <w:r>
              <w:rPr>
                <w:rFonts w:ascii="Arial" w:cs="Arial" w:eastAsia="Arial" w:hAnsi="Arial"/>
                <w:sz w:val="20"/>
                <w:szCs w:val="20"/>
                <w:color w:val="auto"/>
              </w:rPr>
              <w:t>Interest Rate Limitation</w:t>
            </w:r>
          </w:p>
        </w:tc>
        <w:tc>
          <w:tcPr>
            <w:tcW w:w="190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56"/>
        </w:trPr>
        <w:tc>
          <w:tcPr>
            <w:tcW w:w="1380" w:type="dxa"/>
            <w:vAlign w:val="bottom"/>
          </w:tcPr>
          <w:p>
            <w:pPr>
              <w:ind w:left="640"/>
              <w:spacing w:after="0"/>
              <w:rPr>
                <w:sz w:val="20"/>
                <w:szCs w:val="20"/>
                <w:color w:val="auto"/>
              </w:rPr>
            </w:pPr>
            <w:r>
              <w:rPr>
                <w:rFonts w:ascii="Arial" w:cs="Arial" w:eastAsia="Arial" w:hAnsi="Arial"/>
                <w:sz w:val="20"/>
                <w:szCs w:val="20"/>
                <w:color w:val="auto"/>
              </w:rPr>
              <w:t>10.10</w:t>
            </w:r>
          </w:p>
        </w:tc>
        <w:tc>
          <w:tcPr>
            <w:tcW w:w="7920" w:type="dxa"/>
            <w:vAlign w:val="bottom"/>
          </w:tcPr>
          <w:p>
            <w:pPr>
              <w:ind w:left="300"/>
              <w:spacing w:after="0"/>
              <w:rPr>
                <w:sz w:val="20"/>
                <w:szCs w:val="20"/>
                <w:color w:val="auto"/>
              </w:rPr>
            </w:pPr>
            <w:r>
              <w:rPr>
                <w:rFonts w:ascii="Arial" w:cs="Arial" w:eastAsia="Arial" w:hAnsi="Arial"/>
                <w:sz w:val="20"/>
                <w:szCs w:val="20"/>
                <w:color w:val="auto"/>
              </w:rPr>
              <w:t>Counterparts; Integration; Effectiveness</w:t>
            </w:r>
          </w:p>
        </w:tc>
        <w:tc>
          <w:tcPr>
            <w:tcW w:w="190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10.11</w:t>
            </w:r>
          </w:p>
        </w:tc>
        <w:tc>
          <w:tcPr>
            <w:tcW w:w="7920" w:type="dxa"/>
            <w:vAlign w:val="bottom"/>
          </w:tcPr>
          <w:p>
            <w:pPr>
              <w:ind w:left="300"/>
              <w:spacing w:after="0"/>
              <w:rPr>
                <w:sz w:val="20"/>
                <w:szCs w:val="20"/>
                <w:color w:val="auto"/>
              </w:rPr>
            </w:pPr>
            <w:r>
              <w:rPr>
                <w:rFonts w:ascii="Arial" w:cs="Arial" w:eastAsia="Arial" w:hAnsi="Arial"/>
                <w:sz w:val="20"/>
                <w:szCs w:val="20"/>
                <w:color w:val="auto"/>
              </w:rPr>
              <w:t>Survival of Representations and Warranties</w:t>
            </w:r>
          </w:p>
        </w:tc>
        <w:tc>
          <w:tcPr>
            <w:tcW w:w="190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56"/>
        </w:trPr>
        <w:tc>
          <w:tcPr>
            <w:tcW w:w="1380" w:type="dxa"/>
            <w:vAlign w:val="bottom"/>
          </w:tcPr>
          <w:p>
            <w:pPr>
              <w:ind w:left="640"/>
              <w:spacing w:after="0"/>
              <w:rPr>
                <w:sz w:val="20"/>
                <w:szCs w:val="20"/>
                <w:color w:val="auto"/>
              </w:rPr>
            </w:pPr>
            <w:r>
              <w:rPr>
                <w:rFonts w:ascii="Arial" w:cs="Arial" w:eastAsia="Arial" w:hAnsi="Arial"/>
                <w:sz w:val="20"/>
                <w:szCs w:val="20"/>
                <w:color w:val="auto"/>
              </w:rPr>
              <w:t>10.12</w:t>
            </w:r>
          </w:p>
        </w:tc>
        <w:tc>
          <w:tcPr>
            <w:tcW w:w="7920" w:type="dxa"/>
            <w:vAlign w:val="bottom"/>
          </w:tcPr>
          <w:p>
            <w:pPr>
              <w:ind w:left="300"/>
              <w:spacing w:after="0"/>
              <w:rPr>
                <w:sz w:val="20"/>
                <w:szCs w:val="20"/>
                <w:color w:val="auto"/>
              </w:rPr>
            </w:pPr>
            <w:r>
              <w:rPr>
                <w:rFonts w:ascii="Arial" w:cs="Arial" w:eastAsia="Arial" w:hAnsi="Arial"/>
                <w:sz w:val="20"/>
                <w:szCs w:val="20"/>
                <w:color w:val="auto"/>
              </w:rPr>
              <w:t>Severability</w:t>
            </w:r>
          </w:p>
        </w:tc>
        <w:tc>
          <w:tcPr>
            <w:tcW w:w="190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10.13</w:t>
            </w:r>
          </w:p>
        </w:tc>
        <w:tc>
          <w:tcPr>
            <w:tcW w:w="7920" w:type="dxa"/>
            <w:vAlign w:val="bottom"/>
          </w:tcPr>
          <w:p>
            <w:pPr>
              <w:ind w:left="300"/>
              <w:spacing w:after="0"/>
              <w:rPr>
                <w:sz w:val="20"/>
                <w:szCs w:val="20"/>
                <w:color w:val="auto"/>
              </w:rPr>
            </w:pPr>
            <w:r>
              <w:rPr>
                <w:rFonts w:ascii="Arial" w:cs="Arial" w:eastAsia="Arial" w:hAnsi="Arial"/>
                <w:sz w:val="20"/>
                <w:szCs w:val="20"/>
                <w:color w:val="auto"/>
              </w:rPr>
              <w:t>Replacement of Lenders</w:t>
            </w:r>
          </w:p>
        </w:tc>
        <w:tc>
          <w:tcPr>
            <w:tcW w:w="1900" w:type="dxa"/>
            <w:vAlign w:val="bottom"/>
          </w:tcPr>
          <w:p>
            <w:pPr>
              <w:jc w:val="right"/>
              <w:spacing w:after="0"/>
              <w:rPr>
                <w:sz w:val="20"/>
                <w:szCs w:val="20"/>
                <w:color w:val="auto"/>
              </w:rPr>
            </w:pPr>
            <w:r>
              <w:rPr>
                <w:rFonts w:ascii="Arial" w:cs="Arial" w:eastAsia="Arial" w:hAnsi="Arial"/>
                <w:sz w:val="20"/>
                <w:szCs w:val="20"/>
                <w:color w:val="auto"/>
              </w:rPr>
              <w:t>124</w:t>
            </w:r>
          </w:p>
        </w:tc>
      </w:tr>
      <w:tr>
        <w:trPr>
          <w:trHeight w:val="256"/>
        </w:trPr>
        <w:tc>
          <w:tcPr>
            <w:tcW w:w="1380" w:type="dxa"/>
            <w:vAlign w:val="bottom"/>
          </w:tcPr>
          <w:p>
            <w:pPr>
              <w:ind w:left="640"/>
              <w:spacing w:after="0"/>
              <w:rPr>
                <w:sz w:val="20"/>
                <w:szCs w:val="20"/>
                <w:color w:val="auto"/>
              </w:rPr>
            </w:pPr>
            <w:r>
              <w:rPr>
                <w:rFonts w:ascii="Arial" w:cs="Arial" w:eastAsia="Arial" w:hAnsi="Arial"/>
                <w:sz w:val="20"/>
                <w:szCs w:val="20"/>
                <w:color w:val="auto"/>
              </w:rPr>
              <w:t>10.14</w:t>
            </w:r>
          </w:p>
        </w:tc>
        <w:tc>
          <w:tcPr>
            <w:tcW w:w="7920" w:type="dxa"/>
            <w:vAlign w:val="bottom"/>
          </w:tcPr>
          <w:p>
            <w:pPr>
              <w:ind w:left="300"/>
              <w:spacing w:after="0"/>
              <w:rPr>
                <w:sz w:val="20"/>
                <w:szCs w:val="20"/>
                <w:color w:val="auto"/>
              </w:rPr>
            </w:pPr>
            <w:r>
              <w:rPr>
                <w:rFonts w:ascii="Arial" w:cs="Arial" w:eastAsia="Arial" w:hAnsi="Arial"/>
                <w:sz w:val="20"/>
                <w:szCs w:val="20"/>
                <w:color w:val="auto"/>
              </w:rPr>
              <w:t>Governing Law; Jurisdiction; Etc.</w:t>
            </w:r>
          </w:p>
        </w:tc>
        <w:tc>
          <w:tcPr>
            <w:tcW w:w="190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10.15</w:t>
            </w:r>
          </w:p>
        </w:tc>
        <w:tc>
          <w:tcPr>
            <w:tcW w:w="7920" w:type="dxa"/>
            <w:vAlign w:val="bottom"/>
          </w:tcPr>
          <w:p>
            <w:pPr>
              <w:ind w:left="300"/>
              <w:spacing w:after="0"/>
              <w:rPr>
                <w:sz w:val="20"/>
                <w:szCs w:val="20"/>
                <w:color w:val="auto"/>
              </w:rPr>
            </w:pPr>
            <w:r>
              <w:rPr>
                <w:rFonts w:ascii="Arial" w:cs="Arial" w:eastAsia="Arial" w:hAnsi="Arial"/>
                <w:sz w:val="20"/>
                <w:szCs w:val="20"/>
                <w:color w:val="auto"/>
              </w:rPr>
              <w:t>Waiver of Jury Trial</w:t>
            </w:r>
          </w:p>
        </w:tc>
        <w:tc>
          <w:tcPr>
            <w:tcW w:w="1900" w:type="dxa"/>
            <w:vAlign w:val="bottom"/>
          </w:tcPr>
          <w:p>
            <w:pPr>
              <w:jc w:val="right"/>
              <w:spacing w:after="0"/>
              <w:rPr>
                <w:sz w:val="20"/>
                <w:szCs w:val="20"/>
                <w:color w:val="auto"/>
              </w:rPr>
            </w:pPr>
            <w:r>
              <w:rPr>
                <w:rFonts w:ascii="Arial" w:cs="Arial" w:eastAsia="Arial" w:hAnsi="Arial"/>
                <w:sz w:val="20"/>
                <w:szCs w:val="20"/>
                <w:color w:val="auto"/>
              </w:rPr>
              <w:t>125</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10.16</w:t>
            </w:r>
          </w:p>
        </w:tc>
        <w:tc>
          <w:tcPr>
            <w:tcW w:w="7920" w:type="dxa"/>
            <w:vAlign w:val="bottom"/>
          </w:tcPr>
          <w:p>
            <w:pPr>
              <w:ind w:left="300"/>
              <w:spacing w:after="0"/>
              <w:rPr>
                <w:sz w:val="20"/>
                <w:szCs w:val="20"/>
                <w:color w:val="auto"/>
              </w:rPr>
            </w:pPr>
            <w:r>
              <w:rPr>
                <w:rFonts w:ascii="Arial" w:cs="Arial" w:eastAsia="Arial" w:hAnsi="Arial"/>
                <w:sz w:val="20"/>
                <w:szCs w:val="20"/>
                <w:color w:val="auto"/>
              </w:rPr>
              <w:t>No Advisory or Fiduciary Responsibility</w:t>
            </w:r>
          </w:p>
        </w:tc>
        <w:tc>
          <w:tcPr>
            <w:tcW w:w="190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56"/>
        </w:trPr>
        <w:tc>
          <w:tcPr>
            <w:tcW w:w="1380" w:type="dxa"/>
            <w:vAlign w:val="bottom"/>
          </w:tcPr>
          <w:p>
            <w:pPr>
              <w:ind w:left="640"/>
              <w:spacing w:after="0"/>
              <w:rPr>
                <w:sz w:val="20"/>
                <w:szCs w:val="20"/>
                <w:color w:val="auto"/>
              </w:rPr>
            </w:pPr>
            <w:r>
              <w:rPr>
                <w:rFonts w:ascii="Arial" w:cs="Arial" w:eastAsia="Arial" w:hAnsi="Arial"/>
                <w:sz w:val="20"/>
                <w:szCs w:val="20"/>
                <w:color w:val="auto"/>
              </w:rPr>
              <w:t>10.17</w:t>
            </w:r>
          </w:p>
        </w:tc>
        <w:tc>
          <w:tcPr>
            <w:tcW w:w="7920" w:type="dxa"/>
            <w:vAlign w:val="bottom"/>
          </w:tcPr>
          <w:p>
            <w:pPr>
              <w:ind w:left="300"/>
              <w:spacing w:after="0"/>
              <w:rPr>
                <w:sz w:val="20"/>
                <w:szCs w:val="20"/>
                <w:color w:val="auto"/>
              </w:rPr>
            </w:pPr>
            <w:r>
              <w:rPr>
                <w:rFonts w:ascii="Arial" w:cs="Arial" w:eastAsia="Arial" w:hAnsi="Arial"/>
                <w:sz w:val="20"/>
                <w:szCs w:val="20"/>
                <w:color w:val="auto"/>
              </w:rPr>
              <w:t>Electronic Execution of Assignments and Certain Other Documents</w:t>
            </w:r>
          </w:p>
        </w:tc>
        <w:tc>
          <w:tcPr>
            <w:tcW w:w="190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10.18</w:t>
            </w:r>
          </w:p>
        </w:tc>
        <w:tc>
          <w:tcPr>
            <w:tcW w:w="7920" w:type="dxa"/>
            <w:vAlign w:val="bottom"/>
          </w:tcPr>
          <w:p>
            <w:pPr>
              <w:ind w:left="300"/>
              <w:spacing w:after="0"/>
              <w:rPr>
                <w:sz w:val="20"/>
                <w:szCs w:val="20"/>
                <w:color w:val="auto"/>
              </w:rPr>
            </w:pPr>
            <w:r>
              <w:rPr>
                <w:rFonts w:ascii="Arial" w:cs="Arial" w:eastAsia="Arial" w:hAnsi="Arial"/>
                <w:sz w:val="20"/>
                <w:szCs w:val="20"/>
                <w:color w:val="auto"/>
              </w:rPr>
              <w:t>USA PATRIOT Act</w:t>
            </w:r>
          </w:p>
        </w:tc>
        <w:tc>
          <w:tcPr>
            <w:tcW w:w="190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56"/>
        </w:trPr>
        <w:tc>
          <w:tcPr>
            <w:tcW w:w="1380" w:type="dxa"/>
            <w:vAlign w:val="bottom"/>
          </w:tcPr>
          <w:p>
            <w:pPr>
              <w:ind w:left="640"/>
              <w:spacing w:after="0"/>
              <w:rPr>
                <w:sz w:val="20"/>
                <w:szCs w:val="20"/>
                <w:color w:val="auto"/>
              </w:rPr>
            </w:pPr>
            <w:r>
              <w:rPr>
                <w:rFonts w:ascii="Arial" w:cs="Arial" w:eastAsia="Arial" w:hAnsi="Arial"/>
                <w:sz w:val="20"/>
                <w:szCs w:val="20"/>
                <w:color w:val="auto"/>
              </w:rPr>
              <w:t>10.19</w:t>
            </w:r>
          </w:p>
        </w:tc>
        <w:tc>
          <w:tcPr>
            <w:tcW w:w="7920" w:type="dxa"/>
            <w:vAlign w:val="bottom"/>
          </w:tcPr>
          <w:p>
            <w:pPr>
              <w:ind w:left="300"/>
              <w:spacing w:after="0"/>
              <w:rPr>
                <w:sz w:val="20"/>
                <w:szCs w:val="20"/>
                <w:color w:val="auto"/>
              </w:rPr>
            </w:pPr>
            <w:r>
              <w:rPr>
                <w:rFonts w:ascii="Arial" w:cs="Arial" w:eastAsia="Arial" w:hAnsi="Arial"/>
                <w:sz w:val="20"/>
                <w:szCs w:val="20"/>
                <w:color w:val="auto"/>
              </w:rPr>
              <w:t>Judgment Currency</w:t>
            </w:r>
          </w:p>
        </w:tc>
        <w:tc>
          <w:tcPr>
            <w:tcW w:w="190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10.20</w:t>
            </w:r>
          </w:p>
        </w:tc>
        <w:tc>
          <w:tcPr>
            <w:tcW w:w="7920" w:type="dxa"/>
            <w:vAlign w:val="bottom"/>
          </w:tcPr>
          <w:p>
            <w:pPr>
              <w:ind w:left="300"/>
              <w:spacing w:after="0"/>
              <w:rPr>
                <w:sz w:val="20"/>
                <w:szCs w:val="20"/>
                <w:color w:val="auto"/>
              </w:rPr>
            </w:pPr>
            <w:r>
              <w:rPr>
                <w:rFonts w:ascii="Arial" w:cs="Arial" w:eastAsia="Arial" w:hAnsi="Arial"/>
                <w:sz w:val="20"/>
                <w:szCs w:val="20"/>
                <w:color w:val="auto"/>
              </w:rPr>
              <w:t>Acknowledgement and Consent to Bail-In of Affected Financial Institutions</w:t>
            </w:r>
          </w:p>
        </w:tc>
        <w:tc>
          <w:tcPr>
            <w:tcW w:w="1900" w:type="dxa"/>
            <w:vAlign w:val="bottom"/>
          </w:tcPr>
          <w:p>
            <w:pPr>
              <w:jc w:val="right"/>
              <w:spacing w:after="0"/>
              <w:rPr>
                <w:sz w:val="20"/>
                <w:szCs w:val="20"/>
                <w:color w:val="auto"/>
              </w:rPr>
            </w:pPr>
            <w:r>
              <w:rPr>
                <w:rFonts w:ascii="Arial" w:cs="Arial" w:eastAsia="Arial" w:hAnsi="Arial"/>
                <w:sz w:val="20"/>
                <w:szCs w:val="20"/>
                <w:color w:val="auto"/>
              </w:rPr>
              <w:t>127</w:t>
            </w:r>
          </w:p>
        </w:tc>
      </w:tr>
      <w:tr>
        <w:trPr>
          <w:trHeight w:val="257"/>
        </w:trPr>
        <w:tc>
          <w:tcPr>
            <w:tcW w:w="1380" w:type="dxa"/>
            <w:vAlign w:val="bottom"/>
          </w:tcPr>
          <w:p>
            <w:pPr>
              <w:ind w:left="640"/>
              <w:spacing w:after="0"/>
              <w:rPr>
                <w:sz w:val="20"/>
                <w:szCs w:val="20"/>
                <w:color w:val="auto"/>
              </w:rPr>
            </w:pPr>
            <w:r>
              <w:rPr>
                <w:rFonts w:ascii="Arial" w:cs="Arial" w:eastAsia="Arial" w:hAnsi="Arial"/>
                <w:sz w:val="20"/>
                <w:szCs w:val="20"/>
                <w:color w:val="auto"/>
              </w:rPr>
              <w:t>10.21</w:t>
            </w:r>
          </w:p>
        </w:tc>
        <w:tc>
          <w:tcPr>
            <w:tcW w:w="7920" w:type="dxa"/>
            <w:vAlign w:val="bottom"/>
          </w:tcPr>
          <w:p>
            <w:pPr>
              <w:ind w:left="300"/>
              <w:spacing w:after="0"/>
              <w:rPr>
                <w:sz w:val="20"/>
                <w:szCs w:val="20"/>
                <w:color w:val="auto"/>
              </w:rPr>
            </w:pPr>
            <w:r>
              <w:rPr>
                <w:rFonts w:ascii="Arial" w:cs="Arial" w:eastAsia="Arial" w:hAnsi="Arial"/>
                <w:sz w:val="20"/>
                <w:szCs w:val="20"/>
                <w:color w:val="auto"/>
              </w:rPr>
              <w:t>Power of Attorney</w:t>
            </w:r>
          </w:p>
        </w:tc>
        <w:tc>
          <w:tcPr>
            <w:tcW w:w="1900" w:type="dxa"/>
            <w:vAlign w:val="bottom"/>
          </w:tcPr>
          <w:p>
            <w:pPr>
              <w:jc w:val="right"/>
              <w:spacing w:after="0"/>
              <w:rPr>
                <w:sz w:val="20"/>
                <w:szCs w:val="20"/>
                <w:color w:val="auto"/>
              </w:rPr>
            </w:pPr>
            <w:r>
              <w:rPr>
                <w:rFonts w:ascii="Arial" w:cs="Arial" w:eastAsia="Arial" w:hAnsi="Arial"/>
                <w:sz w:val="20"/>
                <w:szCs w:val="20"/>
                <w:color w:val="auto"/>
              </w:rPr>
              <w:t>127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93" w:right="359" w:bottom="1440" w:gutter="0" w:footer="0" w:header="0"/>
        </w:sectPr>
      </w:pPr>
    </w:p>
    <w:bookmarkStart w:id="67" w:name="page68"/>
    <w:bookmarkEnd w:id="67"/>
    <w:p>
      <w:pPr>
        <w:spacing w:after="0"/>
        <w:rPr>
          <w:sz w:val="20"/>
          <w:szCs w:val="20"/>
          <w:color w:val="auto"/>
        </w:rPr>
      </w:pPr>
      <w:r>
        <w:rPr>
          <w:rFonts w:ascii="Arial" w:cs="Arial" w:eastAsia="Arial" w:hAnsi="Arial"/>
          <w:sz w:val="20"/>
          <w:szCs w:val="20"/>
          <w:color w:val="auto"/>
        </w:rPr>
        <w:t>SCHEDULES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20"/>
                <w:szCs w:val="20"/>
                <w:color w:val="auto"/>
              </w:rPr>
              <w:t>1.01(a)</w:t>
            </w:r>
          </w:p>
        </w:tc>
        <w:tc>
          <w:tcPr>
            <w:tcW w:w="8800" w:type="dxa"/>
            <w:vAlign w:val="bottom"/>
          </w:tcPr>
          <w:p>
            <w:pPr>
              <w:ind w:left="260"/>
              <w:spacing w:after="0"/>
              <w:rPr>
                <w:sz w:val="20"/>
                <w:szCs w:val="20"/>
                <w:color w:val="auto"/>
              </w:rPr>
            </w:pPr>
            <w:r>
              <w:rPr>
                <w:rFonts w:ascii="Arial" w:cs="Arial" w:eastAsia="Arial" w:hAnsi="Arial"/>
                <w:sz w:val="20"/>
                <w:szCs w:val="20"/>
                <w:color w:val="auto"/>
              </w:rPr>
              <w:t>Existing Letters of Credit</w:t>
            </w:r>
          </w:p>
        </w:tc>
      </w:tr>
      <w:tr>
        <w:trPr>
          <w:trHeight w:val="230"/>
        </w:trPr>
        <w:tc>
          <w:tcPr>
            <w:tcW w:w="840" w:type="dxa"/>
            <w:vAlign w:val="bottom"/>
          </w:tcPr>
          <w:p>
            <w:pPr>
              <w:spacing w:after="0"/>
              <w:rPr>
                <w:sz w:val="20"/>
                <w:szCs w:val="20"/>
                <w:color w:val="auto"/>
              </w:rPr>
            </w:pPr>
            <w:r>
              <w:rPr>
                <w:rFonts w:ascii="Arial" w:cs="Arial" w:eastAsia="Arial" w:hAnsi="Arial"/>
                <w:sz w:val="20"/>
                <w:szCs w:val="20"/>
                <w:color w:val="auto"/>
              </w:rPr>
              <w:t>1.01(b)</w:t>
            </w:r>
          </w:p>
        </w:tc>
        <w:tc>
          <w:tcPr>
            <w:tcW w:w="8800" w:type="dxa"/>
            <w:vAlign w:val="bottom"/>
          </w:tcPr>
          <w:p>
            <w:pPr>
              <w:ind w:left="260"/>
              <w:spacing w:after="0"/>
              <w:rPr>
                <w:sz w:val="20"/>
                <w:szCs w:val="20"/>
                <w:color w:val="auto"/>
              </w:rPr>
            </w:pPr>
            <w:r>
              <w:rPr>
                <w:rFonts w:ascii="Arial" w:cs="Arial" w:eastAsia="Arial" w:hAnsi="Arial"/>
                <w:sz w:val="20"/>
                <w:szCs w:val="20"/>
                <w:color w:val="auto"/>
              </w:rPr>
              <w:t>Guarantors</w:t>
            </w:r>
          </w:p>
        </w:tc>
      </w:tr>
      <w:tr>
        <w:trPr>
          <w:trHeight w:val="229"/>
        </w:trPr>
        <w:tc>
          <w:tcPr>
            <w:tcW w:w="840" w:type="dxa"/>
            <w:vAlign w:val="bottom"/>
          </w:tcPr>
          <w:p>
            <w:pPr>
              <w:spacing w:after="0"/>
              <w:rPr>
                <w:sz w:val="20"/>
                <w:szCs w:val="20"/>
                <w:color w:val="auto"/>
              </w:rPr>
            </w:pPr>
            <w:r>
              <w:rPr>
                <w:rFonts w:ascii="Arial" w:cs="Arial" w:eastAsia="Arial" w:hAnsi="Arial"/>
                <w:sz w:val="20"/>
                <w:szCs w:val="20"/>
                <w:color w:val="auto"/>
              </w:rPr>
              <w:t>1.01(c)</w:t>
            </w:r>
          </w:p>
        </w:tc>
        <w:tc>
          <w:tcPr>
            <w:tcW w:w="8800" w:type="dxa"/>
            <w:vAlign w:val="bottom"/>
          </w:tcPr>
          <w:p>
            <w:pPr>
              <w:ind w:left="260"/>
              <w:spacing w:after="0"/>
              <w:rPr>
                <w:sz w:val="20"/>
                <w:szCs w:val="20"/>
                <w:color w:val="auto"/>
              </w:rPr>
            </w:pPr>
            <w:r>
              <w:rPr>
                <w:rFonts w:ascii="Arial" w:cs="Arial" w:eastAsia="Arial" w:hAnsi="Arial"/>
                <w:sz w:val="20"/>
                <w:szCs w:val="20"/>
                <w:color w:val="auto"/>
              </w:rPr>
              <w:t>Existing Senior Notes</w:t>
            </w:r>
          </w:p>
        </w:tc>
      </w:tr>
      <w:tr>
        <w:trPr>
          <w:trHeight w:val="230"/>
        </w:trPr>
        <w:tc>
          <w:tcPr>
            <w:tcW w:w="840" w:type="dxa"/>
            <w:vAlign w:val="bottom"/>
          </w:tcPr>
          <w:p>
            <w:pPr>
              <w:spacing w:after="0"/>
              <w:rPr>
                <w:sz w:val="20"/>
                <w:szCs w:val="20"/>
                <w:color w:val="auto"/>
              </w:rPr>
            </w:pPr>
            <w:r>
              <w:rPr>
                <w:rFonts w:ascii="Arial" w:cs="Arial" w:eastAsia="Arial" w:hAnsi="Arial"/>
                <w:sz w:val="20"/>
                <w:szCs w:val="20"/>
                <w:color w:val="auto"/>
              </w:rPr>
              <w:t>2.01</w:t>
            </w:r>
          </w:p>
        </w:tc>
        <w:tc>
          <w:tcPr>
            <w:tcW w:w="8800" w:type="dxa"/>
            <w:vAlign w:val="bottom"/>
          </w:tcPr>
          <w:p>
            <w:pPr>
              <w:ind w:left="260"/>
              <w:spacing w:after="0"/>
              <w:rPr>
                <w:sz w:val="20"/>
                <w:szCs w:val="20"/>
                <w:color w:val="auto"/>
              </w:rPr>
            </w:pPr>
            <w:r>
              <w:rPr>
                <w:rFonts w:ascii="Arial" w:cs="Arial" w:eastAsia="Arial" w:hAnsi="Arial"/>
                <w:sz w:val="20"/>
                <w:szCs w:val="20"/>
                <w:color w:val="auto"/>
                <w:w w:val="90"/>
              </w:rPr>
              <w:t>Revolving Credit Commitments, L/C Commitments, Swing Line Commitments and Applicable Percentages</w:t>
            </w:r>
          </w:p>
        </w:tc>
      </w:tr>
      <w:tr>
        <w:trPr>
          <w:trHeight w:val="229"/>
        </w:trPr>
        <w:tc>
          <w:tcPr>
            <w:tcW w:w="840" w:type="dxa"/>
            <w:vAlign w:val="bottom"/>
          </w:tcPr>
          <w:p>
            <w:pPr>
              <w:spacing w:after="0"/>
              <w:rPr>
                <w:sz w:val="20"/>
                <w:szCs w:val="20"/>
                <w:color w:val="auto"/>
              </w:rPr>
            </w:pPr>
            <w:r>
              <w:rPr>
                <w:rFonts w:ascii="Arial" w:cs="Arial" w:eastAsia="Arial" w:hAnsi="Arial"/>
                <w:sz w:val="20"/>
                <w:szCs w:val="20"/>
                <w:color w:val="auto"/>
              </w:rPr>
              <w:t>3.01</w:t>
            </w:r>
          </w:p>
        </w:tc>
        <w:tc>
          <w:tcPr>
            <w:tcW w:w="8800" w:type="dxa"/>
            <w:vAlign w:val="bottom"/>
          </w:tcPr>
          <w:p>
            <w:pPr>
              <w:ind w:left="260"/>
              <w:spacing w:after="0"/>
              <w:rPr>
                <w:sz w:val="20"/>
                <w:szCs w:val="20"/>
                <w:color w:val="auto"/>
              </w:rPr>
            </w:pPr>
            <w:r>
              <w:rPr>
                <w:rFonts w:ascii="Arial" w:cs="Arial" w:eastAsia="Arial" w:hAnsi="Arial"/>
                <w:sz w:val="20"/>
                <w:szCs w:val="20"/>
                <w:color w:val="auto"/>
              </w:rPr>
              <w:t>Status of Lenders</w:t>
            </w:r>
          </w:p>
        </w:tc>
      </w:tr>
      <w:tr>
        <w:trPr>
          <w:trHeight w:val="229"/>
        </w:trPr>
        <w:tc>
          <w:tcPr>
            <w:tcW w:w="840" w:type="dxa"/>
            <w:vAlign w:val="bottom"/>
          </w:tcPr>
          <w:p>
            <w:pPr>
              <w:spacing w:after="0"/>
              <w:rPr>
                <w:sz w:val="20"/>
                <w:szCs w:val="20"/>
                <w:color w:val="auto"/>
              </w:rPr>
            </w:pPr>
            <w:r>
              <w:rPr>
                <w:rFonts w:ascii="Arial" w:cs="Arial" w:eastAsia="Arial" w:hAnsi="Arial"/>
                <w:sz w:val="20"/>
                <w:szCs w:val="20"/>
                <w:color w:val="auto"/>
              </w:rPr>
              <w:t>3.01(i)</w:t>
            </w:r>
          </w:p>
        </w:tc>
        <w:tc>
          <w:tcPr>
            <w:tcW w:w="8800" w:type="dxa"/>
            <w:vAlign w:val="bottom"/>
          </w:tcPr>
          <w:p>
            <w:pPr>
              <w:ind w:left="260"/>
              <w:spacing w:after="0"/>
              <w:rPr>
                <w:sz w:val="20"/>
                <w:szCs w:val="20"/>
                <w:color w:val="auto"/>
              </w:rPr>
            </w:pPr>
            <w:r>
              <w:rPr>
                <w:rFonts w:ascii="Arial" w:cs="Arial" w:eastAsia="Arial" w:hAnsi="Arial"/>
                <w:sz w:val="20"/>
                <w:szCs w:val="20"/>
                <w:color w:val="auto"/>
              </w:rPr>
              <w:t>HMRC DT Treaty Passport Scheme Lenders</w:t>
            </w:r>
          </w:p>
        </w:tc>
      </w:tr>
      <w:tr>
        <w:trPr>
          <w:trHeight w:val="230"/>
        </w:trPr>
        <w:tc>
          <w:tcPr>
            <w:tcW w:w="840" w:type="dxa"/>
            <w:vAlign w:val="bottom"/>
          </w:tcPr>
          <w:p>
            <w:pPr>
              <w:spacing w:after="0"/>
              <w:rPr>
                <w:sz w:val="20"/>
                <w:szCs w:val="20"/>
                <w:color w:val="auto"/>
              </w:rPr>
            </w:pPr>
            <w:r>
              <w:rPr>
                <w:rFonts w:ascii="Arial" w:cs="Arial" w:eastAsia="Arial" w:hAnsi="Arial"/>
                <w:sz w:val="20"/>
                <w:szCs w:val="20"/>
                <w:color w:val="auto"/>
              </w:rPr>
              <w:t>3.01(j)</w:t>
            </w:r>
          </w:p>
        </w:tc>
        <w:tc>
          <w:tcPr>
            <w:tcW w:w="8800" w:type="dxa"/>
            <w:vAlign w:val="bottom"/>
          </w:tcPr>
          <w:p>
            <w:pPr>
              <w:ind w:left="260"/>
              <w:spacing w:after="0"/>
              <w:rPr>
                <w:sz w:val="20"/>
                <w:szCs w:val="20"/>
                <w:color w:val="auto"/>
              </w:rPr>
            </w:pPr>
            <w:r>
              <w:rPr>
                <w:rFonts w:ascii="Arial" w:cs="Arial" w:eastAsia="Arial" w:hAnsi="Arial"/>
                <w:sz w:val="20"/>
                <w:szCs w:val="20"/>
                <w:color w:val="auto"/>
              </w:rPr>
              <w:t>UK Non-Bank Lenders</w:t>
            </w:r>
          </w:p>
        </w:tc>
      </w:tr>
      <w:tr>
        <w:trPr>
          <w:trHeight w:val="229"/>
        </w:trPr>
        <w:tc>
          <w:tcPr>
            <w:tcW w:w="840" w:type="dxa"/>
            <w:vAlign w:val="bottom"/>
          </w:tcPr>
          <w:p>
            <w:pPr>
              <w:spacing w:after="0"/>
              <w:rPr>
                <w:sz w:val="20"/>
                <w:szCs w:val="20"/>
                <w:color w:val="auto"/>
              </w:rPr>
            </w:pPr>
            <w:r>
              <w:rPr>
                <w:rFonts w:ascii="Arial" w:cs="Arial" w:eastAsia="Arial" w:hAnsi="Arial"/>
                <w:sz w:val="20"/>
                <w:szCs w:val="20"/>
                <w:color w:val="auto"/>
              </w:rPr>
              <w:t>5.06</w:t>
            </w:r>
          </w:p>
        </w:tc>
        <w:tc>
          <w:tcPr>
            <w:tcW w:w="8800" w:type="dxa"/>
            <w:vAlign w:val="bottom"/>
          </w:tcPr>
          <w:p>
            <w:pPr>
              <w:ind w:left="260"/>
              <w:spacing w:after="0"/>
              <w:rPr>
                <w:sz w:val="20"/>
                <w:szCs w:val="20"/>
                <w:color w:val="auto"/>
              </w:rPr>
            </w:pPr>
            <w:r>
              <w:rPr>
                <w:rFonts w:ascii="Arial" w:cs="Arial" w:eastAsia="Arial" w:hAnsi="Arial"/>
                <w:sz w:val="20"/>
                <w:szCs w:val="20"/>
                <w:color w:val="auto"/>
              </w:rPr>
              <w:t>Disclosed Matters</w:t>
            </w:r>
          </w:p>
        </w:tc>
      </w:tr>
      <w:tr>
        <w:trPr>
          <w:trHeight w:val="229"/>
        </w:trPr>
        <w:tc>
          <w:tcPr>
            <w:tcW w:w="840" w:type="dxa"/>
            <w:vAlign w:val="bottom"/>
          </w:tcPr>
          <w:p>
            <w:pPr>
              <w:spacing w:after="0"/>
              <w:rPr>
                <w:sz w:val="20"/>
                <w:szCs w:val="20"/>
                <w:color w:val="auto"/>
              </w:rPr>
            </w:pPr>
            <w:r>
              <w:rPr>
                <w:rFonts w:ascii="Arial" w:cs="Arial" w:eastAsia="Arial" w:hAnsi="Arial"/>
                <w:sz w:val="20"/>
                <w:szCs w:val="20"/>
                <w:color w:val="auto"/>
              </w:rPr>
              <w:t>5.12</w:t>
            </w:r>
          </w:p>
        </w:tc>
        <w:tc>
          <w:tcPr>
            <w:tcW w:w="8800" w:type="dxa"/>
            <w:vAlign w:val="bottom"/>
          </w:tcPr>
          <w:p>
            <w:pPr>
              <w:ind w:left="260"/>
              <w:spacing w:after="0"/>
              <w:rPr>
                <w:sz w:val="20"/>
                <w:szCs w:val="20"/>
                <w:color w:val="auto"/>
              </w:rPr>
            </w:pPr>
            <w:r>
              <w:rPr>
                <w:rFonts w:ascii="Arial" w:cs="Arial" w:eastAsia="Arial" w:hAnsi="Arial"/>
                <w:sz w:val="20"/>
                <w:szCs w:val="20"/>
                <w:color w:val="auto"/>
              </w:rPr>
              <w:t>Subsidiaries</w:t>
            </w:r>
          </w:p>
        </w:tc>
      </w:tr>
      <w:tr>
        <w:trPr>
          <w:trHeight w:val="230"/>
        </w:trPr>
        <w:tc>
          <w:tcPr>
            <w:tcW w:w="840" w:type="dxa"/>
            <w:vAlign w:val="bottom"/>
          </w:tcPr>
          <w:p>
            <w:pPr>
              <w:spacing w:after="0"/>
              <w:rPr>
                <w:sz w:val="20"/>
                <w:szCs w:val="20"/>
                <w:color w:val="auto"/>
              </w:rPr>
            </w:pPr>
            <w:r>
              <w:rPr>
                <w:rFonts w:ascii="Arial" w:cs="Arial" w:eastAsia="Arial" w:hAnsi="Arial"/>
                <w:sz w:val="20"/>
                <w:szCs w:val="20"/>
                <w:color w:val="auto"/>
              </w:rPr>
              <w:t>7.02</w:t>
            </w:r>
          </w:p>
        </w:tc>
        <w:tc>
          <w:tcPr>
            <w:tcW w:w="8800" w:type="dxa"/>
            <w:vAlign w:val="bottom"/>
          </w:tcPr>
          <w:p>
            <w:pPr>
              <w:ind w:left="260"/>
              <w:spacing w:after="0"/>
              <w:rPr>
                <w:sz w:val="20"/>
                <w:szCs w:val="20"/>
                <w:color w:val="auto"/>
              </w:rPr>
            </w:pPr>
            <w:r>
              <w:rPr>
                <w:rFonts w:ascii="Arial" w:cs="Arial" w:eastAsia="Arial" w:hAnsi="Arial"/>
                <w:sz w:val="20"/>
                <w:szCs w:val="20"/>
                <w:color w:val="auto"/>
              </w:rPr>
              <w:t>Existing Liens</w:t>
            </w:r>
          </w:p>
        </w:tc>
      </w:t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10.02</w:t>
            </w:r>
          </w:p>
        </w:tc>
        <w:tc>
          <w:tcPr>
            <w:tcW w:w="8800" w:type="dxa"/>
            <w:vAlign w:val="bottom"/>
          </w:tcPr>
          <w:p>
            <w:pPr>
              <w:ind w:left="260"/>
              <w:spacing w:after="0"/>
              <w:rPr>
                <w:sz w:val="20"/>
                <w:szCs w:val="20"/>
                <w:color w:val="auto"/>
              </w:rPr>
            </w:pPr>
            <w:r>
              <w:rPr>
                <w:rFonts w:ascii="Arial" w:cs="Arial" w:eastAsia="Arial" w:hAnsi="Arial"/>
                <w:sz w:val="20"/>
                <w:szCs w:val="20"/>
                <w:color w:val="auto"/>
              </w:rPr>
              <w:t>Administrative Agent’s Office; Certain Addresses for Notices</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EXHIBITS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Form of</w:t>
      </w:r>
    </w:p>
    <w:p>
      <w:pPr>
        <w:spacing w:after="0" w:line="216"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A-1</w:t>
      </w:r>
      <w:r>
        <w:rPr>
          <w:sz w:val="20"/>
          <w:szCs w:val="20"/>
          <w:color w:val="auto"/>
        </w:rPr>
        <w:tab/>
      </w:r>
      <w:r>
        <w:rPr>
          <w:rFonts w:ascii="Arial" w:cs="Arial" w:eastAsia="Arial" w:hAnsi="Arial"/>
          <w:sz w:val="18"/>
          <w:szCs w:val="18"/>
          <w:color w:val="auto"/>
        </w:rPr>
        <w:t>Committed Loan Borrowing Request</w:t>
      </w:r>
    </w:p>
    <w:p>
      <w:pPr>
        <w:spacing w:after="0" w:line="15"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A-2</w:t>
      </w:r>
      <w:r>
        <w:rPr>
          <w:sz w:val="20"/>
          <w:szCs w:val="20"/>
          <w:color w:val="auto"/>
        </w:rPr>
        <w:tab/>
      </w:r>
      <w:r>
        <w:rPr>
          <w:rFonts w:ascii="Arial" w:cs="Arial" w:eastAsia="Arial" w:hAnsi="Arial"/>
          <w:sz w:val="18"/>
          <w:szCs w:val="18"/>
          <w:color w:val="auto"/>
        </w:rPr>
        <w:t>Swing Line Loan Borrowing Request</w:t>
      </w:r>
    </w:p>
    <w:p>
      <w:pPr>
        <w:ind w:left="720" w:hanging="712"/>
        <w:spacing w:after="0"/>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Revolving Credit Note</w:t>
      </w:r>
    </w:p>
    <w:p>
      <w:pPr>
        <w:spacing w:after="0"/>
        <w:rPr>
          <w:rFonts w:ascii="Arial" w:cs="Arial" w:eastAsia="Arial" w:hAnsi="Arial"/>
          <w:sz w:val="20"/>
          <w:szCs w:val="20"/>
          <w:color w:val="auto"/>
        </w:rPr>
      </w:pPr>
      <w:r>
        <w:rPr>
          <w:rFonts w:ascii="Arial" w:cs="Arial" w:eastAsia="Arial" w:hAnsi="Arial"/>
          <w:sz w:val="20"/>
          <w:szCs w:val="20"/>
          <w:color w:val="auto"/>
        </w:rPr>
        <w:t>C</w:t>
      </w:r>
      <w:r>
        <w:rPr>
          <w:rFonts w:ascii="Arial" w:cs="Arial" w:eastAsia="Arial" w:hAnsi="Arial"/>
          <w:sz w:val="18"/>
          <w:szCs w:val="18"/>
          <w:color w:val="auto"/>
        </w:rPr>
        <w:t>Compliance Certificate</w:t>
      </w:r>
    </w:p>
    <w:p>
      <w:pPr>
        <w:spacing w:after="0"/>
        <w:rPr>
          <w:rFonts w:ascii="Arial" w:cs="Arial" w:eastAsia="Arial" w:hAnsi="Arial"/>
          <w:sz w:val="20"/>
          <w:szCs w:val="20"/>
          <w:color w:val="auto"/>
        </w:rPr>
      </w:pPr>
      <w:r>
        <w:rPr>
          <w:rFonts w:ascii="Arial" w:cs="Arial" w:eastAsia="Arial" w:hAnsi="Arial"/>
          <w:sz w:val="20"/>
          <w:szCs w:val="20"/>
          <w:color w:val="auto"/>
        </w:rPr>
        <w:t>D-1</w:t>
      </w:r>
      <w:r>
        <w:rPr>
          <w:rFonts w:ascii="Arial" w:cs="Arial" w:eastAsia="Arial" w:hAnsi="Arial"/>
          <w:sz w:val="16"/>
          <w:szCs w:val="16"/>
          <w:color w:val="auto"/>
        </w:rPr>
        <w:t>Assignment and Assumption</w:t>
      </w:r>
    </w:p>
    <w:p>
      <w:pPr>
        <w:spacing w:after="0"/>
        <w:rPr>
          <w:rFonts w:ascii="Arial" w:cs="Arial" w:eastAsia="Arial" w:hAnsi="Arial"/>
          <w:sz w:val="20"/>
          <w:szCs w:val="20"/>
          <w:color w:val="auto"/>
        </w:rPr>
      </w:pPr>
      <w:r>
        <w:rPr>
          <w:rFonts w:ascii="Arial" w:cs="Arial" w:eastAsia="Arial" w:hAnsi="Arial"/>
          <w:sz w:val="20"/>
          <w:szCs w:val="20"/>
          <w:color w:val="auto"/>
        </w:rPr>
        <w:t>D-2</w:t>
      </w:r>
      <w:r>
        <w:rPr>
          <w:rFonts w:ascii="Arial" w:cs="Arial" w:eastAsia="Arial" w:hAnsi="Arial"/>
          <w:sz w:val="16"/>
          <w:szCs w:val="16"/>
          <w:color w:val="auto"/>
        </w:rPr>
        <w:t>Borrower Request and Assumption</w:t>
      </w:r>
    </w:p>
    <w:p>
      <w:pPr>
        <w:ind w:left="720" w:hanging="712"/>
        <w:spacing w:after="0"/>
        <w:tabs>
          <w:tab w:leader="none" w:pos="7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Guaranty Agreement</w:t>
      </w:r>
    </w:p>
    <w:p>
      <w:pPr>
        <w:spacing w:after="0"/>
        <w:rPr>
          <w:rFonts w:ascii="Arial" w:cs="Arial" w:eastAsia="Arial" w:hAnsi="Arial"/>
          <w:sz w:val="20"/>
          <w:szCs w:val="20"/>
          <w:color w:val="auto"/>
        </w:rPr>
      </w:pPr>
      <w:r>
        <w:rPr>
          <w:rFonts w:ascii="Arial" w:cs="Arial" w:eastAsia="Arial" w:hAnsi="Arial"/>
          <w:sz w:val="20"/>
          <w:szCs w:val="20"/>
          <w:color w:val="auto"/>
        </w:rPr>
        <w:t>F</w:t>
      </w:r>
      <w:r>
        <w:rPr>
          <w:rFonts w:ascii="Arial" w:cs="Arial" w:eastAsia="Arial" w:hAnsi="Arial"/>
          <w:sz w:val="16"/>
          <w:szCs w:val="16"/>
          <w:color w:val="auto"/>
        </w:rPr>
        <w:t>Prepayment Notice</w:t>
      </w:r>
    </w:p>
    <w:p>
      <w:pPr>
        <w:spacing w:after="0"/>
        <w:rPr>
          <w:rFonts w:ascii="Arial" w:cs="Arial" w:eastAsia="Arial" w:hAnsi="Arial"/>
          <w:sz w:val="20"/>
          <w:szCs w:val="20"/>
          <w:color w:val="auto"/>
        </w:rPr>
      </w:pPr>
      <w:r>
        <w:rPr>
          <w:rFonts w:ascii="Arial" w:cs="Arial" w:eastAsia="Arial" w:hAnsi="Arial"/>
          <w:sz w:val="20"/>
          <w:szCs w:val="20"/>
          <w:color w:val="auto"/>
        </w:rPr>
        <w:t>G</w:t>
      </w:r>
      <w:r>
        <w:rPr>
          <w:rFonts w:ascii="Arial" w:cs="Arial" w:eastAsia="Arial" w:hAnsi="Arial"/>
          <w:sz w:val="16"/>
          <w:szCs w:val="16"/>
          <w:color w:val="auto"/>
        </w:rPr>
        <w:t>Joinder Agreement</w:t>
      </w:r>
    </w:p>
    <w:p>
      <w:pPr>
        <w:spacing w:after="0"/>
        <w:rPr>
          <w:rFonts w:ascii="Arial" w:cs="Arial" w:eastAsia="Arial" w:hAnsi="Arial"/>
          <w:sz w:val="20"/>
          <w:szCs w:val="20"/>
          <w:color w:val="auto"/>
        </w:rPr>
      </w:pPr>
      <w:r>
        <w:rPr>
          <w:rFonts w:ascii="Arial" w:cs="Arial" w:eastAsia="Arial" w:hAnsi="Arial"/>
          <w:sz w:val="20"/>
          <w:szCs w:val="20"/>
          <w:color w:val="auto"/>
        </w:rPr>
        <w:t>H</w:t>
      </w:r>
      <w:r>
        <w:rPr>
          <w:rFonts w:ascii="Arial" w:cs="Arial" w:eastAsia="Arial" w:hAnsi="Arial"/>
          <w:sz w:val="18"/>
          <w:szCs w:val="18"/>
          <w:color w:val="auto"/>
        </w:rPr>
        <w:t>Several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43"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SECOND AMENDED AND RESTATED CREDIT AGREEMENT</w:t>
      </w:r>
    </w:p>
    <w:p>
      <w:pPr>
        <w:spacing w:after="0" w:line="22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This SECOND AMENDED AND RESTATED CREDIT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as of October 6, 2021, among TRINITY ACQUISITION PLC, a company formed under the laws of England and Wales having company number 03588435 (the “</w:t>
      </w:r>
      <w:r>
        <w:rPr>
          <w:rFonts w:ascii="Arial" w:cs="Arial" w:eastAsia="Arial" w:hAnsi="Arial"/>
          <w:sz w:val="20"/>
          <w:szCs w:val="20"/>
          <w:u w:val="single" w:color="auto"/>
          <w:color w:val="auto"/>
        </w:rPr>
        <w:t>Company</w:t>
      </w:r>
      <w:r>
        <w:rPr>
          <w:rFonts w:ascii="Arial" w:cs="Arial" w:eastAsia="Arial" w:hAnsi="Arial"/>
          <w:sz w:val="20"/>
          <w:szCs w:val="20"/>
          <w:color w:val="auto"/>
        </w:rPr>
        <w:t>”), the Designated Borrower(s) from time to time party hereto (as defined below; together with the Company, the “</w:t>
      </w:r>
      <w:r>
        <w:rPr>
          <w:rFonts w:ascii="Arial" w:cs="Arial" w:eastAsia="Arial" w:hAnsi="Arial"/>
          <w:sz w:val="20"/>
          <w:szCs w:val="20"/>
          <w:u w:val="single" w:color="auto"/>
          <w:color w:val="auto"/>
        </w:rPr>
        <w:t>Borrowers</w:t>
      </w:r>
      <w:r>
        <w:rPr>
          <w:rFonts w:ascii="Arial" w:cs="Arial" w:eastAsia="Arial" w:hAnsi="Arial"/>
          <w:sz w:val="20"/>
          <w:szCs w:val="20"/>
          <w:color w:val="auto"/>
        </w:rPr>
        <w:t>” and individually a “</w:t>
      </w:r>
      <w:r>
        <w:rPr>
          <w:rFonts w:ascii="Arial" w:cs="Arial" w:eastAsia="Arial" w:hAnsi="Arial"/>
          <w:sz w:val="20"/>
          <w:szCs w:val="20"/>
          <w:u w:val="single" w:color="auto"/>
          <w:color w:val="auto"/>
        </w:rPr>
        <w:t>Borrower</w:t>
      </w:r>
      <w:r>
        <w:rPr>
          <w:rFonts w:ascii="Arial" w:cs="Arial" w:eastAsia="Arial" w:hAnsi="Arial"/>
          <w:sz w:val="20"/>
          <w:szCs w:val="20"/>
          <w:color w:val="auto"/>
        </w:rPr>
        <w:t xml:space="preserve"> ”), WILLIS TOWERS WATSON PUBLIC LIMITED COMPANY, a company incorporated under the laws of Ireland having company number 475616 (the “</w:t>
      </w:r>
      <w:r>
        <w:rPr>
          <w:rFonts w:ascii="Arial" w:cs="Arial" w:eastAsia="Arial" w:hAnsi="Arial"/>
          <w:sz w:val="20"/>
          <w:szCs w:val="20"/>
          <w:u w:val="single" w:color="auto"/>
          <w:color w:val="auto"/>
        </w:rPr>
        <w:t>Parent</w:t>
      </w:r>
      <w:r>
        <w:rPr>
          <w:rFonts w:ascii="Arial" w:cs="Arial" w:eastAsia="Arial" w:hAnsi="Arial"/>
          <w:sz w:val="20"/>
          <w:szCs w:val="20"/>
          <w:color w:val="auto"/>
        </w:rPr>
        <w:t>”), each lender from time to time party hereto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 and individually, a “</w:t>
      </w:r>
      <w:r>
        <w:rPr>
          <w:rFonts w:ascii="Arial" w:cs="Arial" w:eastAsia="Arial" w:hAnsi="Arial"/>
          <w:sz w:val="20"/>
          <w:szCs w:val="20"/>
          <w:u w:val="single" w:color="auto"/>
          <w:color w:val="auto"/>
        </w:rPr>
        <w:t>Lender</w:t>
      </w:r>
      <w:r>
        <w:rPr>
          <w:rFonts w:ascii="Arial" w:cs="Arial" w:eastAsia="Arial" w:hAnsi="Arial"/>
          <w:sz w:val="20"/>
          <w:szCs w:val="20"/>
          <w:color w:val="auto"/>
        </w:rPr>
        <w:t>”), each Issuing Lender from time to time party hereto, and BARCLAYS BANK PLC, as Administrative Agent and a Swing Line Lender.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PRELIMINARY STATEMENTS</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The Company, the Parent, the lenders party thereto and Barclays Bank PLC, as administrative agent thereunder, are currently party to the Amended and Restated Credit Agreement, dated as of March 7, 2017 (as amended, restated, amended and restated, supplemented or otherwise modified prior to the date hereof,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w:t>
      </w:r>
    </w:p>
    <w:p>
      <w:pPr>
        <w:spacing w:after="0" w:line="18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The Parent, the Company, the Lenders and the Administrative Agent have agreed to enter into this Agreement in order to (i) amend and restate the Existing Credit Agreement in its entirety and (ii) extend credit to the Borrowers in the form of Committed Loans to be made at any time on or after the Closing Date and from time to time prior to the latest Applicable Maturity Date in an aggregate principal amount at any time outstanding not in excess of $1,500,000,000. The Parent and the Company have requested that (a) the Applicable Issuing Party issue (i) Fronted Letters of Credit, and (ii) Several Letters of Credit, in an aggregate face amount at any time outstanding not in excess of $150,000,000, in each case to support payment obligations incurred in the ordinary course of business by the Company and its Subsidiaries and (b) the Swing Line Lenders make Swing Line Loans in an aggregate principal amount at any time outstanding not in excess of $300,000,000. The proceeds of the Facility are to be used solely (i) to refinance all Indebtedness and any amounts due under the Existing Credit Agreement, (ii) to pay the costs and expenses incurred by the Company in connection with the transactions contemplated by this Agreement and (iii) for working capital, capital expenditures, other permitted acquisitions and other lawful corporate purposes of the Company and its Subsidiaries.</w:t>
      </w:r>
    </w:p>
    <w:p>
      <w:pPr>
        <w:spacing w:after="0" w:line="187"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In furtherance of the foregoing, the Lenders are willing to make available the Facility on the terms and subject to the conditions set forth herein. In consideration of the mutual covenants and agreements herein contained, the parties hereto covenant and agree as follows: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DEFINITIONS AND ACCOUNTING TERMS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1.01 </w:t>
      </w:r>
      <w:r>
        <w:rPr>
          <w:rFonts w:ascii="Arial" w:cs="Arial" w:eastAsia="Arial" w:hAnsi="Arial"/>
          <w:sz w:val="20"/>
          <w:szCs w:val="20"/>
          <w:color w:val="000000"/>
        </w:rPr>
        <w:t>Defined Terms. As used in this Agreement, the following terms shall have the meanings set forth below:</w:t>
      </w:r>
    </w:p>
    <w:p>
      <w:pPr>
        <w:spacing w:after="0" w:line="21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Acquired EBITDA</w:t>
      </w:r>
      <w:r>
        <w:rPr>
          <w:rFonts w:ascii="Arial" w:cs="Arial" w:eastAsia="Arial" w:hAnsi="Arial"/>
          <w:sz w:val="20"/>
          <w:szCs w:val="20"/>
          <w:color w:val="auto"/>
        </w:rPr>
        <w:t>” means, with respect to any Acquired Entity or Business or any Sold Entity or Business (any of the foregoing, a “Pro Forma Entity”) for any period, the portion of Consolidated Net Income for such period attributable to such Pro Forma Entity plus (a) without duplication and to the extent deducted in determining such portion of Consolidated Net Income for such Pro Forma Entity, the sum of (i) consolidated interest expense for such period, (ii) consolidated income tax expense for such period, (iii) all amounts attributable to depreciation and amortization for such period, (iv) any extraordinary losses and non-recurring charges for such period, (v) any non-cash charges (including the non-cash portion of 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9" w:name="page70"/>
    <w:bookmarkEnd w:id="69"/>
    <w:p>
      <w:pPr>
        <w:jc w:val="both"/>
        <w:spacing w:after="0" w:line="255" w:lineRule="auto"/>
        <w:rPr>
          <w:sz w:val="20"/>
          <w:szCs w:val="20"/>
          <w:color w:val="auto"/>
        </w:rPr>
      </w:pPr>
      <w:r>
        <w:rPr>
          <w:rFonts w:ascii="Arial" w:cs="Arial" w:eastAsia="Arial" w:hAnsi="Arial"/>
          <w:sz w:val="19"/>
          <w:szCs w:val="19"/>
          <w:color w:val="auto"/>
        </w:rPr>
        <w:t>expense) for such period, (vi) losses on asset sales outside the ordinary course of business for such period, (vii) restructuring charges or provisions for such period, (viii) any expenses or charges incurred in connection with any issuance of debt or equity securities for such period and (ix) any deduction for minority interest expense for such period with respect to a Subsidiary that is not wholly owned by the Parent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amount added to Consolidated Net Income pursuant to this subclause (ix) for any period shall not exceed 5% of the amount of Consolidated EBITDA computed in accordance with this definition for such period and (B) the Indebtedness and interest expense of such Subsidiary are included in the calculation of Indebtedness and Consolidated Cash Interest Expense to the same extent as would be required if such Subsidiary were wholly owned by the Parent), and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without duplication and to the extent included in determining such portion of Consolidated Net Income (i) any extraordinary gains and non-recurring gains for such period, (ii) any non-cash gains for such period and (iii) any gains on asset sales outside the ordinary course of business for such period, all determined on a consolidated basis for such Pro Forma Entity in accordance with GAAP.</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Acquired Entity or Business</w:t>
      </w:r>
      <w:r>
        <w:rPr>
          <w:rFonts w:ascii="Arial" w:cs="Arial" w:eastAsia="Arial" w:hAnsi="Arial"/>
          <w:sz w:val="20"/>
          <w:szCs w:val="20"/>
          <w:color w:val="auto"/>
        </w:rPr>
        <w:t>” has the meaning assigned to such term in the definition of “Consolidated EBITDA”.</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EURIBOR Rate</w:t>
      </w:r>
      <w:r>
        <w:rPr>
          <w:rFonts w:ascii="Arial" w:cs="Arial" w:eastAsia="Arial" w:hAnsi="Arial"/>
          <w:sz w:val="20"/>
          <w:szCs w:val="20"/>
          <w:color w:val="auto"/>
        </w:rPr>
        <w:t>” means, with respect to any EURIBOR Borrowing denominated in Euros for any Interest Period, an interest rate per annum (rounded upwards, if necessary, to the next 1/16 of 1.00%) equal to the EURIBOR Screen Rate for Euros for such Interest Period.</w:t>
      </w:r>
    </w:p>
    <w:p>
      <w:pPr>
        <w:spacing w:after="0" w:line="186" w:lineRule="exact"/>
        <w:rPr>
          <w:sz w:val="20"/>
          <w:szCs w:val="20"/>
          <w:color w:val="auto"/>
        </w:rPr>
      </w:pPr>
    </w:p>
    <w:p>
      <w:pPr>
        <w:jc w:val="both"/>
        <w:ind w:firstLine="802"/>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Barclays in its capacity as administrative agent under any of the Loan Documents, or any successor thereof in such capacity.</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with respect to any currency, the Administrative Agent’s address and, as appropriate, account as set forth on </w:t>
      </w:r>
      <w:r>
        <w:rPr>
          <w:rFonts w:ascii="Arial" w:cs="Arial" w:eastAsia="Arial" w:hAnsi="Arial"/>
          <w:sz w:val="20"/>
          <w:szCs w:val="20"/>
          <w:u w:val="single" w:color="auto"/>
          <w:color w:val="auto"/>
        </w:rPr>
        <w:t>Schedule 10.02</w:t>
      </w:r>
      <w:r>
        <w:rPr>
          <w:rFonts w:ascii="Arial" w:cs="Arial" w:eastAsia="Arial" w:hAnsi="Arial"/>
          <w:sz w:val="20"/>
          <w:szCs w:val="20"/>
          <w:color w:val="auto"/>
        </w:rPr>
        <w:t xml:space="preserve"> with respect to such currency, or such other address or account with respect to such currency as the Administrative Agent may from time to time notify to the Company and the Lenders.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the form approved by the Administrative Agent.</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21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 Notwithstanding the foregoing, in relation to The Royal Bank of Scotland plc, the term “Affiliate” shall not include (a) the UK government or any member or instrumentality thereof, including Her Majesty’s Treasury and UK Financial Investments Limited (or any directors, officers, employees or entities thereof) or (b) any persons or entities controlled by or under common control with the UK government or any member or instrumentality thereof (including Her Majesty’s Treasury and UK Financial Investments Limited) and which are not part of The Royal Bank of Scotland Group plc and its subsidiaries or subsidiary undertakings.</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Agency Fee Letter</w:t>
      </w:r>
      <w:r>
        <w:rPr>
          <w:rFonts w:ascii="Arial" w:cs="Arial" w:eastAsia="Arial" w:hAnsi="Arial"/>
          <w:sz w:val="18"/>
          <w:szCs w:val="18"/>
          <w:color w:val="auto"/>
        </w:rPr>
        <w:t>” means the agency fee letter agreement dated as of September 8, 2021, among the Parent, the Company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Barclays.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Agent-Related Persons</w:t>
      </w:r>
      <w:r>
        <w:rPr>
          <w:rFonts w:ascii="Arial" w:cs="Arial" w:eastAsia="Arial" w:hAnsi="Arial"/>
          <w:sz w:val="20"/>
          <w:szCs w:val="20"/>
          <w:color w:val="auto"/>
        </w:rPr>
        <w:t>” means each Agent together with its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0" w:name="page71"/>
    <w:bookmarkEnd w:id="70"/>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w:t>
      </w:r>
      <w:r>
        <w:rPr>
          <w:rFonts w:ascii="Arial" w:cs="Arial" w:eastAsia="Arial" w:hAnsi="Arial"/>
          <w:sz w:val="20"/>
          <w:szCs w:val="20"/>
          <w:color w:val="auto"/>
        </w:rPr>
        <w:t>” means, collectively, the Administrative Agent, each Arranger, each Joint Bookrunner, the Syndication Agents and the Documentation Agents.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the aggregate amount of the Commitments of all the Lenders.</w:t>
      </w:r>
    </w:p>
    <w:p>
      <w:pPr>
        <w:spacing w:after="0" w:line="21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Revolving Credit Commitment</w:t>
      </w:r>
      <w:r>
        <w:rPr>
          <w:rFonts w:ascii="Arial" w:cs="Arial" w:eastAsia="Arial" w:hAnsi="Arial"/>
          <w:sz w:val="19"/>
          <w:szCs w:val="19"/>
          <w:color w:val="auto"/>
        </w:rPr>
        <w:t>” means the aggregate amount of the Revolving Credit Commitments of the Revolving Credit Lenders at any given time. The Aggregate Revolving Credit Commitment on the Closing Date is $1,500,000,000.</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Second Amended and Restated Credit 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 Currency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10.19</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xml:space="preserve">” means each of Euro, Sterling and each other currency (other than Dollars) that is approved in accordance with </w:t>
      </w:r>
      <w:r>
        <w:rPr>
          <w:rFonts w:ascii="Arial" w:cs="Arial" w:eastAsia="Arial" w:hAnsi="Arial"/>
          <w:sz w:val="20"/>
          <w:szCs w:val="20"/>
          <w:u w:val="single" w:color="auto"/>
          <w:color w:val="auto"/>
        </w:rPr>
        <w:t>Section 1.06</w:t>
      </w:r>
      <w:r>
        <w:rPr>
          <w:rFonts w:ascii="Arial" w:cs="Arial" w:eastAsia="Arial" w:hAnsi="Arial"/>
          <w:sz w:val="20"/>
          <w:szCs w:val="20"/>
          <w:color w:val="auto"/>
        </w:rPr>
        <w:t>.</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Equivalent</w:t>
      </w:r>
      <w:r>
        <w:rPr>
          <w:rFonts w:ascii="Arial" w:cs="Arial" w:eastAsia="Arial" w:hAnsi="Arial"/>
          <w:sz w:val="20"/>
          <w:szCs w:val="20"/>
          <w:color w:val="auto"/>
        </w:rPr>
        <w:t>” means, at any time, with respect to any amount denominated in Dollars, the equivalent amount thereof in the applicable Alternative Currency as determined by the Administrative Agent or the Applicable Issuing Party, as the case may be, at such time on the basis of the Spot Rate (determined in respect of the most recent Revaluation Date) for the purchase of such Alternative Currency with Dollars.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Currencies</w:t>
      </w:r>
      <w:r>
        <w:rPr>
          <w:rFonts w:ascii="Arial" w:cs="Arial" w:eastAsia="Arial" w:hAnsi="Arial"/>
          <w:sz w:val="20"/>
          <w:szCs w:val="20"/>
          <w:color w:val="auto"/>
        </w:rPr>
        <w:t>” means Dollars and each Alternative Currency.</w:t>
      </w:r>
    </w:p>
    <w:p>
      <w:pPr>
        <w:spacing w:after="0" w:line="1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Issuing Party</w:t>
      </w:r>
      <w:r>
        <w:rPr>
          <w:rFonts w:ascii="Arial" w:cs="Arial" w:eastAsia="Arial" w:hAnsi="Arial"/>
          <w:sz w:val="20"/>
          <w:szCs w:val="20"/>
          <w:color w:val="auto"/>
        </w:rPr>
        <w:t>” means (a) in the case of Fronted Letters of Credit, the Issuing Lenders and (b) in the case of Several Letters of Credit, the L/C Administrator.</w:t>
      </w:r>
    </w:p>
    <w:p>
      <w:pPr>
        <w:spacing w:after="0" w:line="191"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Maturity Date</w:t>
      </w:r>
      <w:r>
        <w:rPr>
          <w:rFonts w:ascii="Arial" w:cs="Arial" w:eastAsia="Arial" w:hAnsi="Arial"/>
          <w:sz w:val="18"/>
          <w:szCs w:val="18"/>
          <w:color w:val="auto"/>
        </w:rPr>
        <w:t xml:space="preserve">” means at any time, in the case of the Revolving Credit Commitments (including with respect to Committed Loans, Swing Line Loans and Letters of Credit made or issued thereunder), (a) if no Extended Commitments have been made in accordance with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the Original Revolving Credit Maturity Date or (b) if Extended Commitments have been made in accordance with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(i) the Original Revolving Credit Maturity Date with respect to the Non-Extended Commitments and (ii) the Extended Revolving Credit Maturity Date with respect to the Extended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(I) any Letter of Credit outstanding on the Original Revolving Credit Maturity Date, “Applicable Maturity Date” shall mean the Original Revolving Credit Maturity Date unless</w:t>
      </w:r>
    </w:p>
    <w:p>
      <w:pPr>
        <w:spacing w:after="0" w:line="1" w:lineRule="exact"/>
        <w:rPr>
          <w:sz w:val="20"/>
          <w:szCs w:val="20"/>
          <w:color w:val="auto"/>
        </w:rPr>
      </w:pPr>
    </w:p>
    <w:p>
      <w:pPr>
        <w:jc w:val="both"/>
        <w:ind w:firstLine="8"/>
        <w:spacing w:after="0" w:line="253" w:lineRule="auto"/>
        <w:tabs>
          <w:tab w:leader="none" w:pos="316"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Extended Commitments have been made in accordance with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and (2) as of such date, (w) the Total Revolving Credit Outstandings would not exceed the Aggregate Revolving Credit Commitment, (x) the aggregate Outstanding Amount of the Committed Loans of any Revolving Credit Lender with Extended Commitments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Revolving Credit Lender’s Applicable Percentage of the Outstanding Amount of all L/C Obligations plus such Revolving Credit Lender’s Applicable Percentage of the Outstanding Amount of all Swing Line Loans would not exceed such Revolving Credit Lender’s Revolving Credit Commitment, (y) the Outstanding Amount of the L/C Obligations with respect to Fronted Letters of Credit issued by any Issuing Lender with Extended L/C Commitments would not exceed the Extended L/C Commitment of such Issuing Lender and (z) the Outstanding Amount of the L/C Obligations with respect to Fronted Letters of Credit would not exceed the Letter of Credit Sublimit, in which case “Applicable Maturity Date” with respect to such Letter of Credit shall mean the Extended Revolving Credit Maturity Date, (II) any Letter of Credit issued after the Original Revolving Credit Maturity Date, “Applicable Maturity Date” shall mean the Extended Revolving Credit Maturity Date and (III) each L/C Commitment, “Applicable Maturity Date” shall mean the Original Revolving Credit Maturity Date unless such L/C Commitment has been extended by the applicable Issuing Lender in accordance with </w:t>
      </w:r>
      <w:r>
        <w:rPr>
          <w:rFonts w:ascii="Arial" w:cs="Arial" w:eastAsia="Arial" w:hAnsi="Arial"/>
          <w:sz w:val="19"/>
          <w:szCs w:val="19"/>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1" w:name="page72"/>
    <w:bookmarkEnd w:id="71"/>
    <w:p>
      <w:pPr>
        <w:jc w:val="both"/>
        <w:spacing w:after="0" w:line="260" w:lineRule="auto"/>
        <w:rPr>
          <w:sz w:val="20"/>
          <w:szCs w:val="20"/>
          <w:color w:val="auto"/>
        </w:rPr>
      </w:pPr>
      <w:r>
        <w:rPr>
          <w:rFonts w:ascii="Arial" w:cs="Arial" w:eastAsia="Arial" w:hAnsi="Arial"/>
          <w:sz w:val="20"/>
          <w:szCs w:val="20"/>
          <w:u w:val="single" w:color="auto"/>
          <w:color w:val="auto"/>
        </w:rPr>
        <w:t>2.17</w:t>
      </w:r>
      <w:r>
        <w:rPr>
          <w:rFonts w:ascii="Arial" w:cs="Arial" w:eastAsia="Arial" w:hAnsi="Arial"/>
          <w:sz w:val="20"/>
          <w:szCs w:val="20"/>
          <w:color w:val="auto"/>
        </w:rPr>
        <w:t>, in which case “Applicable Maturity Date” with respect to such L/C Commitment shall mean the Extended Revolving Credit Maturity Date.</w:t>
      </w:r>
    </w:p>
    <w:p>
      <w:pPr>
        <w:spacing w:after="0" w:line="177" w:lineRule="exact"/>
        <w:rPr>
          <w:sz w:val="20"/>
          <w:szCs w:val="20"/>
          <w:color w:val="auto"/>
        </w:rPr>
      </w:pPr>
    </w:p>
    <w:p>
      <w:pPr>
        <w:jc w:val="both"/>
        <w:ind w:firstLine="749"/>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with respect to any Revolving Credit Lender at any time, the percentage (carried out to the ninth decimal place) of the Facility represented by the Aggregate Revolving Credit Commitment held by such Lender at such time, in each case, subject to adjustment as provided in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If the commitment of each Lender to make Committed Loans and the obligation of each L/C Issuer to make L/C Credit Extensions have been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if the Aggregate Revolving Credit Commitment has expired, then the Applicable Percentage of each Revolving Credit Lender shall be determined based on the Applicable Percentage of such Lender most recently in effect, giving effect to any subsequent assignments. The initial Applicable Percentage is set forth opposite the name of such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from time to time, the following percentages </w:t>
      </w:r>
      <w:r>
        <w:rPr>
          <w:rFonts w:ascii="Arial" w:cs="Arial" w:eastAsia="Arial" w:hAnsi="Arial"/>
          <w:sz w:val="18"/>
          <w:szCs w:val="18"/>
          <w:i w:val="1"/>
          <w:iCs w:val="1"/>
          <w:color w:val="auto"/>
        </w:rPr>
        <w:t>per annum</w:t>
      </w:r>
      <w:r>
        <w:rPr>
          <w:rFonts w:ascii="Arial" w:cs="Arial" w:eastAsia="Arial" w:hAnsi="Arial"/>
          <w:sz w:val="18"/>
          <w:szCs w:val="18"/>
          <w:color w:val="auto"/>
        </w:rPr>
        <w:t>, based upon the Debt Rating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177165</wp:posOffset>
            </wp:positionV>
            <wp:extent cx="7067550" cy="1841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7067550" cy="184150"/>
                    </a:xfrm>
                    <a:prstGeom prst="rect">
                      <a:avLst/>
                    </a:prstGeom>
                    <a:noFill/>
                  </pic:spPr>
                </pic:pic>
              </a:graphicData>
            </a:graphic>
          </wp:anchor>
        </w:drawing>
      </w: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Applicable Rate</w:t>
      </w:r>
    </w:p>
    <w:p>
      <w:pPr>
        <w:spacing w:after="0" w:line="26" w:lineRule="exact"/>
        <w:rPr>
          <w:sz w:val="20"/>
          <w:szCs w:val="20"/>
          <w:color w:val="auto"/>
        </w:rPr>
      </w:pPr>
    </w:p>
    <w:tbl>
      <w:tblPr>
        <w:tblLayout w:type="fixed"/>
        <w:tblInd w:w="130" w:type="dxa"/>
        <w:tblCellMar>
          <w:top w:w="0" w:type="dxa"/>
          <w:left w:w="0" w:type="dxa"/>
          <w:bottom w:w="0" w:type="dxa"/>
          <w:right w:w="0" w:type="dxa"/>
        </w:tblCellMar>
      </w:tblPr>
      <w:tr>
        <w:trPr>
          <w:trHeight w:val="223"/>
        </w:trPr>
        <w:tc>
          <w:tcPr>
            <w:tcW w:w="1860" w:type="dxa"/>
            <w:vAlign w:val="bottom"/>
            <w:tcBorders>
              <w:top w:val="single" w:sz="8" w:color="auto"/>
              <w:left w:val="single" w:sz="8" w:color="auto"/>
              <w:right w:val="single" w:sz="8" w:color="auto"/>
            </w:tcBorders>
          </w:tcPr>
          <w:p>
            <w:pPr>
              <w:ind w:left="120"/>
              <w:spacing w:after="0" w:line="223" w:lineRule="exact"/>
              <w:rPr>
                <w:sz w:val="20"/>
                <w:szCs w:val="20"/>
                <w:color w:val="auto"/>
              </w:rPr>
            </w:pPr>
            <w:r>
              <w:rPr>
                <w:rFonts w:ascii="Arial" w:cs="Arial" w:eastAsia="Arial" w:hAnsi="Arial"/>
                <w:sz w:val="20"/>
                <w:szCs w:val="20"/>
                <w:b w:val="1"/>
                <w:bCs w:val="1"/>
                <w:color w:val="auto"/>
              </w:rPr>
              <w:t>Pricing</w:t>
            </w:r>
          </w:p>
        </w:tc>
        <w:tc>
          <w:tcPr>
            <w:tcW w:w="2880" w:type="dxa"/>
            <w:vAlign w:val="bottom"/>
            <w:tcBorders>
              <w:top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b w:val="1"/>
                <w:bCs w:val="1"/>
                <w:color w:val="auto"/>
              </w:rPr>
              <w:t>Debt Ratings</w:t>
            </w:r>
          </w:p>
        </w:tc>
        <w:tc>
          <w:tcPr>
            <w:tcW w:w="2020" w:type="dxa"/>
            <w:vAlign w:val="bottom"/>
            <w:tcBorders>
              <w:top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b w:val="1"/>
                <w:bCs w:val="1"/>
                <w:color w:val="auto"/>
              </w:rPr>
              <w:t>Commitment Fee</w:t>
            </w:r>
          </w:p>
        </w:tc>
        <w:tc>
          <w:tcPr>
            <w:tcW w:w="2700" w:type="dxa"/>
            <w:vAlign w:val="bottom"/>
            <w:tcBorders>
              <w:top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b w:val="1"/>
                <w:bCs w:val="1"/>
                <w:color w:val="auto"/>
              </w:rPr>
              <w:t>Term Benchmark</w:t>
            </w:r>
          </w:p>
        </w:tc>
        <w:tc>
          <w:tcPr>
            <w:tcW w:w="1660" w:type="dxa"/>
            <w:vAlign w:val="bottom"/>
            <w:tcBorders>
              <w:top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b w:val="1"/>
                <w:bCs w:val="1"/>
                <w:color w:val="auto"/>
              </w:rPr>
              <w:t>Base</w:t>
            </w:r>
          </w:p>
        </w:tc>
      </w:tr>
      <w:tr>
        <w:trPr>
          <w:trHeight w:val="229"/>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Level</w:t>
            </w:r>
          </w:p>
        </w:tc>
        <w:tc>
          <w:tcPr>
            <w:tcW w:w="288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S&amp;P/Moody’s</w:t>
            </w:r>
          </w:p>
        </w:tc>
        <w:tc>
          <w:tcPr>
            <w:tcW w:w="2020" w:type="dxa"/>
            <w:vAlign w:val="bottom"/>
            <w:tcBorders>
              <w:right w:val="single" w:sz="8" w:color="auto"/>
            </w:tcBorders>
          </w:tcPr>
          <w:p>
            <w:pPr>
              <w:spacing w:after="0"/>
              <w:rPr>
                <w:sz w:val="19"/>
                <w:szCs w:val="19"/>
                <w:color w:val="auto"/>
              </w:rPr>
            </w:pPr>
          </w:p>
        </w:tc>
        <w:tc>
          <w:tcPr>
            <w:tcW w:w="270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Rate+ / Daily Simple RFR+</w:t>
            </w: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Rate+</w:t>
            </w:r>
          </w:p>
        </w:tc>
      </w:tr>
      <w:tr>
        <w:trPr>
          <w:trHeight w:val="261"/>
        </w:trPr>
        <w:tc>
          <w:tcPr>
            <w:tcW w:w="1860" w:type="dxa"/>
            <w:vAlign w:val="bottom"/>
            <w:tcBorders>
              <w:left w:val="single" w:sz="8" w:color="auto"/>
              <w:bottom w:val="single" w:sz="8" w:color="auto"/>
              <w:right w:val="single" w:sz="8" w:color="auto"/>
            </w:tcBorders>
          </w:tcPr>
          <w:p>
            <w:pPr>
              <w:spacing w:after="0"/>
              <w:rPr>
                <w:sz w:val="22"/>
                <w:szCs w:val="22"/>
                <w:color w:val="auto"/>
              </w:rPr>
            </w:pPr>
          </w:p>
        </w:tc>
        <w:tc>
          <w:tcPr>
            <w:tcW w:w="2880" w:type="dxa"/>
            <w:vAlign w:val="bottom"/>
            <w:tcBorders>
              <w:bottom w:val="single" w:sz="8" w:color="auto"/>
              <w:right w:val="single" w:sz="8" w:color="auto"/>
            </w:tcBorders>
          </w:tcPr>
          <w:p>
            <w:pPr>
              <w:spacing w:after="0"/>
              <w:rPr>
                <w:sz w:val="22"/>
                <w:szCs w:val="22"/>
                <w:color w:val="auto"/>
              </w:rPr>
            </w:pPr>
          </w:p>
        </w:tc>
        <w:tc>
          <w:tcPr>
            <w:tcW w:w="202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Letters of Credit</w:t>
            </w:r>
          </w:p>
        </w:tc>
        <w:tc>
          <w:tcPr>
            <w:tcW w:w="1660" w:type="dxa"/>
            <w:vAlign w:val="bottom"/>
            <w:tcBorders>
              <w:bottom w:val="single" w:sz="8" w:color="auto"/>
              <w:right w:val="single" w:sz="8" w:color="auto"/>
            </w:tcBorders>
          </w:tcPr>
          <w:p>
            <w:pPr>
              <w:spacing w:after="0"/>
              <w:rPr>
                <w:sz w:val="22"/>
                <w:szCs w:val="22"/>
                <w:color w:val="auto"/>
              </w:rPr>
            </w:pPr>
          </w:p>
        </w:tc>
      </w:tr>
      <w:tr>
        <w:trPr>
          <w:trHeight w:val="249"/>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1</w:t>
            </w:r>
          </w:p>
        </w:tc>
        <w:tc>
          <w:tcPr>
            <w:tcW w:w="28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A-/A3 or better</w:t>
            </w: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0.090%</w:t>
            </w:r>
          </w:p>
        </w:tc>
        <w:tc>
          <w:tcPr>
            <w:tcW w:w="27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1.000%</w:t>
            </w: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0.000%</w:t>
            </w:r>
          </w:p>
        </w:tc>
      </w:tr>
      <w:tr>
        <w:trPr>
          <w:trHeight w:val="253"/>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2</w:t>
            </w:r>
          </w:p>
        </w:tc>
        <w:tc>
          <w:tcPr>
            <w:tcW w:w="28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BBB+/Baa1</w:t>
            </w: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0.110%</w:t>
            </w:r>
          </w:p>
        </w:tc>
        <w:tc>
          <w:tcPr>
            <w:tcW w:w="27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1.125%</w:t>
            </w: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0.125%</w:t>
            </w:r>
          </w:p>
        </w:tc>
      </w:tr>
      <w:tr>
        <w:trPr>
          <w:trHeight w:val="257"/>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3</w:t>
            </w:r>
          </w:p>
        </w:tc>
        <w:tc>
          <w:tcPr>
            <w:tcW w:w="28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BBB/Baa2</w:t>
            </w: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0.150%</w:t>
            </w:r>
          </w:p>
        </w:tc>
        <w:tc>
          <w:tcPr>
            <w:tcW w:w="27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1.250%</w:t>
            </w: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0.250%</w:t>
            </w:r>
          </w:p>
        </w:tc>
      </w:tr>
      <w:tr>
        <w:trPr>
          <w:trHeight w:val="257"/>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4</w:t>
            </w:r>
          </w:p>
        </w:tc>
        <w:tc>
          <w:tcPr>
            <w:tcW w:w="28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BBB-/Baa3</w:t>
            </w: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0.200%</w:t>
            </w:r>
          </w:p>
        </w:tc>
        <w:tc>
          <w:tcPr>
            <w:tcW w:w="270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1.500%</w:t>
            </w:r>
          </w:p>
        </w:tc>
        <w:tc>
          <w:tcPr>
            <w:tcW w:w="166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0.500%</w:t>
            </w:r>
          </w:p>
        </w:tc>
      </w:tr>
      <w:tr>
        <w:trPr>
          <w:trHeight w:val="261"/>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5</w:t>
            </w:r>
          </w:p>
        </w:tc>
        <w:tc>
          <w:tcPr>
            <w:tcW w:w="2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BB+/Ba1 or worse</w:t>
            </w:r>
          </w:p>
        </w:tc>
        <w:tc>
          <w:tcPr>
            <w:tcW w:w="2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0.250%</w:t>
            </w:r>
          </w:p>
        </w:tc>
        <w:tc>
          <w:tcPr>
            <w:tcW w:w="2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1.750%</w:t>
            </w:r>
          </w:p>
        </w:tc>
        <w:tc>
          <w:tcPr>
            <w:tcW w:w="16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0.750%</w:t>
            </w:r>
          </w:p>
        </w:tc>
      </w:tr>
    </w:tbl>
    <w:p>
      <w:pPr>
        <w:spacing w:after="0" w:line="2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SOFR Adjustment</w:t>
      </w:r>
      <w:r>
        <w:rPr>
          <w:rFonts w:ascii="Arial" w:cs="Arial" w:eastAsia="Arial" w:hAnsi="Arial"/>
          <w:sz w:val="18"/>
          <w:szCs w:val="18"/>
          <w:color w:val="auto"/>
        </w:rPr>
        <w:t>” means, for any calculation with respect to a SOFR Loan, a percentage per annum equal to 0.10%.</w:t>
      </w:r>
    </w:p>
    <w:p>
      <w:pPr>
        <w:spacing w:after="0" w:line="239"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Debt Rating</w:t>
      </w:r>
      <w:r>
        <w:rPr>
          <w:rFonts w:ascii="Arial" w:cs="Arial" w:eastAsia="Arial" w:hAnsi="Arial"/>
          <w:sz w:val="18"/>
          <w:szCs w:val="18"/>
          <w:color w:val="auto"/>
        </w:rPr>
        <w:t>” means, as of any date of determination, the rating as determined by either S&amp;P or Moody’s (collectively, the “</w:t>
      </w:r>
      <w:r>
        <w:rPr>
          <w:rFonts w:ascii="Arial" w:cs="Arial" w:eastAsia="Arial" w:hAnsi="Arial"/>
          <w:sz w:val="18"/>
          <w:szCs w:val="18"/>
          <w:u w:val="single" w:color="auto"/>
          <w:color w:val="auto"/>
        </w:rPr>
        <w:t>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Ratings</w:t>
      </w:r>
      <w:r>
        <w:rPr>
          <w:rFonts w:ascii="Arial" w:cs="Arial" w:eastAsia="Arial" w:hAnsi="Arial"/>
          <w:sz w:val="18"/>
          <w:szCs w:val="18"/>
          <w:color w:val="auto"/>
        </w:rPr>
        <w:t xml:space="preserve">”), as applicable, of the Parent’s guaranteed, senior unsecured long-term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the respective Debt Ratings issued by foregoing rating agencies differ by one level, then the Pricing Level for the higher of such Debt Ratings shall apply (with the Debt Rating for Pricing Level 1 being the highest and the Debt Rating for Pricing Level 5 being the lowest); (b) if there is a split in Debt Ratings of more than one level, then the Pricing Level that is one level lower than the Pricing Level of the higher Debt Rating shall apply; (c) if the Parent has only one Debt Rating, the Pricing Level for such Debt Rating shall apply; (d) if the Parent does not have any Debt Rating (other than as a result of both S&amp;P and Moody’s ceasing to be engaged in the business of rating debt, in which case the provisions of the next sentence shall apply), then Pricing Level 5 will apply. If either the rating system of S&amp;P or Moody’s shall change in a manner that directly and materially impacts the pricing grid set forth above, or if both S&amp;P and Moody’s shall cease to be engaged in the business of rating debt, then in either such case the Parent, the Company and the Lenders shall negotiate in good faith to amend the references to Debt Ratings in the table above to reflect such changed rating system or to replace such rating system with an alternative measurement scheme, as applicable, and pending the effectiveness of any such amendment, the ratings of such rating agency (or both rating agencies, if applicable) most recently in effect prior to such change or cessation shall be employed in determining the Applicable Rate.</w:t>
      </w:r>
    </w:p>
    <w:p>
      <w:pPr>
        <w:spacing w:after="0" w:line="17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 xml:space="preserve">Initially, the Applicable Rate shall be determined based upon the Debt Rating specified in Borrowing Notice delivered in connection with the Initial Credit Extension pursuant to </w:t>
      </w:r>
      <w:r>
        <w:rPr>
          <w:rFonts w:ascii="Arial" w:cs="Arial" w:eastAsia="Arial" w:hAnsi="Arial"/>
          <w:sz w:val="20"/>
          <w:szCs w:val="20"/>
          <w:u w:val="single" w:color="auto"/>
          <w:color w:val="auto"/>
        </w:rPr>
        <w:t>Section 4.01</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2" w:name="page73"/>
    <w:bookmarkEnd w:id="72"/>
    <w:p>
      <w:pPr>
        <w:jc w:val="both"/>
        <w:spacing w:after="0" w:line="282" w:lineRule="auto"/>
        <w:rPr>
          <w:sz w:val="20"/>
          <w:szCs w:val="20"/>
          <w:color w:val="auto"/>
        </w:rPr>
      </w:pPr>
      <w:r>
        <w:rPr>
          <w:rFonts w:ascii="Arial" w:cs="Arial" w:eastAsia="Arial" w:hAnsi="Arial"/>
          <w:sz w:val="18"/>
          <w:szCs w:val="18"/>
          <w:color w:val="auto"/>
        </w:rPr>
        <w:t xml:space="preserve">Thereafter, each change in the Applicable Rate resulting from a publicly announced change in the Debt Rating (other than as a result of a change in the rating system of S&amp;P or Moody’s) shall be effective during the period commencing on the date of the public announcement thereof, irrespective of when notice of such change shall have been furnished by the Parent or Company to the Administrative Agent and the Lenders pursuant to </w:t>
      </w:r>
      <w:r>
        <w:rPr>
          <w:rFonts w:ascii="Arial" w:cs="Arial" w:eastAsia="Arial" w:hAnsi="Arial"/>
          <w:sz w:val="18"/>
          <w:szCs w:val="18"/>
          <w:u w:val="single" w:color="auto"/>
          <w:color w:val="auto"/>
        </w:rPr>
        <w:t>Section 6.01(f)</w:t>
      </w:r>
      <w:r>
        <w:rPr>
          <w:rFonts w:ascii="Arial" w:cs="Arial" w:eastAsia="Arial" w:hAnsi="Arial"/>
          <w:sz w:val="18"/>
          <w:szCs w:val="18"/>
          <w:color w:val="auto"/>
        </w:rPr>
        <w:t xml:space="preserve"> or otherwise, and ending on the date immediately preceding the effective date of the next such change.</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SONIA Adjustment</w:t>
      </w:r>
      <w:r>
        <w:rPr>
          <w:rFonts w:ascii="Arial" w:cs="Arial" w:eastAsia="Arial" w:hAnsi="Arial"/>
          <w:sz w:val="19"/>
          <w:szCs w:val="19"/>
          <w:color w:val="auto"/>
        </w:rPr>
        <w:t>” means, for any day, with respect to any SONIA Loan, the rate per annum equal to 0.0326%.</w:t>
      </w:r>
    </w:p>
    <w:p>
      <w:pPr>
        <w:spacing w:after="0" w:line="227"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borrowings and payments in any Alternative Currency, the local time in the place of settlement for such Alternative Currency as may be determined by the Administrative Agent or the Applicable Issuing Party, as the case may be, to be necessary for timely settlement on the relevant date in accordance with normal banking procedures in the place of payment.</w:t>
      </w:r>
    </w:p>
    <w:p>
      <w:pPr>
        <w:spacing w:after="0" w:line="15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 Fee Letter</w:t>
      </w:r>
      <w:r>
        <w:rPr>
          <w:rFonts w:ascii="Arial" w:cs="Arial" w:eastAsia="Arial" w:hAnsi="Arial"/>
          <w:sz w:val="20"/>
          <w:szCs w:val="20"/>
          <w:color w:val="auto"/>
        </w:rPr>
        <w:t>” means the arranger fee letter agreement dated as of September 8, 2021, among the Parent, the Company, Barclays, JPM and HSBC.</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means Barclays, JPM, HSBC, Bank of America, N.A., PNC Bank, National Association, Truist Securities, Inc., Wells Fargo Securities, LLC, BNP Paribas London Branch, and Citibank, N.A., London Branch, each in its capacity as a joint lead arranger and joint bookrunner of the Facility.</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 Group</w:t>
      </w:r>
      <w:r>
        <w:rPr>
          <w:rFonts w:ascii="Arial" w:cs="Arial" w:eastAsia="Arial" w:hAnsi="Arial"/>
          <w:sz w:val="20"/>
          <w:szCs w:val="20"/>
          <w:color w:val="auto"/>
        </w:rPr>
        <w:t>” means two or more Eligible Assignees that are Affiliates of one another or two or more Approved Funds managed by the same investment advisor.</w:t>
      </w:r>
    </w:p>
    <w:p>
      <w:pPr>
        <w:spacing w:after="0" w:line="17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 means an assignment and assumption entered into by a Lender and an assignee (with the consent of any party whose consent is required by </w:t>
      </w:r>
      <w:r>
        <w:rPr>
          <w:rFonts w:ascii="Arial" w:cs="Arial" w:eastAsia="Arial" w:hAnsi="Arial"/>
          <w:sz w:val="19"/>
          <w:szCs w:val="19"/>
          <w:u w:val="single" w:color="auto"/>
          <w:color w:val="auto"/>
        </w:rPr>
        <w:t>Section 10.06(b)</w:t>
      </w:r>
      <w:r>
        <w:rPr>
          <w:rFonts w:ascii="Arial" w:cs="Arial" w:eastAsia="Arial" w:hAnsi="Arial"/>
          <w:sz w:val="19"/>
          <w:szCs w:val="19"/>
          <w:color w:val="auto"/>
        </w:rPr>
        <w:t xml:space="preserve">), and accepted by the Administrative Agent, in substantially the form of </w:t>
      </w:r>
      <w:r>
        <w:rPr>
          <w:rFonts w:ascii="Arial" w:cs="Arial" w:eastAsia="Arial" w:hAnsi="Arial"/>
          <w:sz w:val="19"/>
          <w:szCs w:val="19"/>
          <w:u w:val="single" w:color="auto"/>
          <w:color w:val="auto"/>
        </w:rPr>
        <w:t>Exhibit D-1</w:t>
      </w:r>
      <w:r>
        <w:rPr>
          <w:rFonts w:ascii="Arial" w:cs="Arial" w:eastAsia="Arial" w:hAnsi="Arial"/>
          <w:sz w:val="19"/>
          <w:szCs w:val="19"/>
          <w:color w:val="auto"/>
        </w:rPr>
        <w:t xml:space="preserve"> or any other form approved by the Administrative Agent and, if such assignment and assumption requires the Borrower’s consent, the applicable Borrower (such consent not to be unreasonably withheld, conditioned or delayed).</w:t>
      </w:r>
    </w:p>
    <w:p>
      <w:pPr>
        <w:spacing w:after="0" w:line="17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the Parent and its Subsidiaries for the fiscal year ended December 31, 2020, and the related consolidated statements of income or operations, shareholders’ equity and cash flows for such fiscal year of the Parent and its Subsidiaries, including the notes thereto.</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xml:space="preserve">” means, with respect to the Facility, the period from and including the Closing Date to the earliest of (a) the Applicable Maturity Date; (b) the date of termination of the Aggregate Revolving Credit Commitment pursuant to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and (c) the date of termination of the commitment of each Lender to make Loans and of the obligation of each L/C Issuer to make L/C Credit Extensions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19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Tenor</w:t>
      </w:r>
      <w:r>
        <w:rPr>
          <w:rFonts w:ascii="Arial" w:cs="Arial" w:eastAsia="Arial" w:hAnsi="Arial"/>
          <w:sz w:val="19"/>
          <w:szCs w:val="19"/>
          <w:color w:val="auto"/>
        </w:rPr>
        <w:t>” means, as of any date of determination and with respect to any then-current Benchmark for any currency, as applicable, (x) if any then-current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3" w:name="page74"/>
    <w:bookmarkEnd w:id="73"/>
    <w:p>
      <w:pPr>
        <w:jc w:val="both"/>
        <w:spacing w:after="0" w:line="316" w:lineRule="auto"/>
        <w:rPr>
          <w:sz w:val="20"/>
          <w:szCs w:val="20"/>
          <w:color w:val="auto"/>
        </w:rPr>
      </w:pPr>
      <w:r>
        <w:rPr>
          <w:rFonts w:ascii="Arial" w:cs="Arial" w:eastAsia="Arial" w:hAnsi="Arial"/>
          <w:sz w:val="18"/>
          <w:szCs w:val="18"/>
          <w:color w:val="auto"/>
        </w:rPr>
        <w:t>of making payments of interest calculated with reference to such Benchmark, in each case, as of such date and not including, for the avoidance of doubt, any tenor for such Benchmark that is then-removed from the definition of “Interest Period” pursuant to Section 3.03(b).</w:t>
      </w:r>
    </w:p>
    <w:p>
      <w:pPr>
        <w:spacing w:after="0" w:line="13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7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Levy</w:t>
      </w:r>
      <w:r>
        <w:rPr>
          <w:rFonts w:ascii="Arial" w:cs="Arial" w:eastAsia="Arial" w:hAnsi="Arial"/>
          <w:sz w:val="18"/>
          <w:szCs w:val="18"/>
          <w:color w:val="auto"/>
        </w:rPr>
        <w:t>” means any amount payable by the Administrative Agent, any L/C Issuer, any Finance Party or any of their Affiliates:</w:t>
      </w:r>
    </w:p>
    <w:p>
      <w:pPr>
        <w:spacing w:after="0" w:line="39" w:lineRule="exact"/>
        <w:rPr>
          <w:sz w:val="20"/>
          <w:szCs w:val="20"/>
          <w:color w:val="auto"/>
        </w:rPr>
      </w:pPr>
    </w:p>
    <w:p>
      <w:pPr>
        <w:jc w:val="both"/>
        <w:ind w:firstLine="8"/>
        <w:spacing w:after="0" w:line="270" w:lineRule="auto"/>
        <w:tabs>
          <w:tab w:leader="none" w:pos="2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pursuant to the UK bank levy as set out in the Finance Act 2011 (as amended) or any Tax in any other jurisdiction that is a bank levy of a similar nature in all material respects and which is imposed on the basis of, or in relation to, its balance sheet or capital base (or any part of it) or its liabilities or minimum regulatory capital or any combination thereof (and not by reference to income, profits or gains); or (ii) pursuant to the tax surcharge on banking companies as set out in Chapter 4 of Part 7A of the UK’s Corporation Tax Act 2010, or any equivalent tax, surcharge or similar increased rate of tax in any other jurisdiction of a similar nature in all material respects and which is levied for the same or an equivalent purpose, which (in either case): (A) is in force as at the date of this Agreement; or (B) has been formally announced in sufficient detail for the Administrative Agent, any L/C Issuer, and/or any Lender (as the case may be) to ascertain its nature and implications for that party and (if relevant) its Affiliates, as at the date of this Agreement.</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Barclays</w:t>
      </w:r>
      <w:r>
        <w:rPr>
          <w:rFonts w:ascii="Arial" w:cs="Arial" w:eastAsia="Arial" w:hAnsi="Arial"/>
          <w:sz w:val="20"/>
          <w:szCs w:val="20"/>
          <w:color w:val="auto"/>
        </w:rPr>
        <w:t>” means Barclays Bank PLC and its successors.</w:t>
      </w:r>
    </w:p>
    <w:p>
      <w:pPr>
        <w:spacing w:after="0" w:line="21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for any day, a rate per annum equal to the greatest of (a) the Prime Rate in effect on such day, (b) the Federal Funds Effective Rate in effect on such day plus 0.50% and (c) the sum of 1.0% plus Term SOFR for an Interest Period of one month on such day (or if such day is not a Business Day, on the immediately preceding Business Day); provided that if Term SOFR shall be less than the Floor, such rate shall be deemed to be the Floor for purposes of this clause (c). Any change in the Base Rate due to a change in the Prime Rate or the Federal Funds Effective Rate shall be effective from and including the effective date of such change in the Prime Rate or the Federal Funds Effective Rate, respectively. If the Base Rate is being used as an alternate rate of interest pursuant to Section 3.03, then the Base Rate shall be the greater of clauses (a) and (b) above and shall be determined without reference to clause (c) above.</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Committed Loan</w:t>
      </w:r>
      <w:r>
        <w:rPr>
          <w:rFonts w:ascii="Arial" w:cs="Arial" w:eastAsia="Arial" w:hAnsi="Arial"/>
          <w:sz w:val="20"/>
          <w:szCs w:val="20"/>
          <w:color w:val="auto"/>
        </w:rPr>
        <w:t>” means a Committed Loan that is a Base Rate Loan.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 All Base Rate Loans shall be denominated in Dollars.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Term SOFR Determination Day</w:t>
      </w:r>
      <w:r>
        <w:rPr>
          <w:rFonts w:ascii="Arial" w:cs="Arial" w:eastAsia="Arial" w:hAnsi="Arial"/>
          <w:sz w:val="20"/>
          <w:szCs w:val="20"/>
          <w:color w:val="auto"/>
        </w:rPr>
        <w:t>” has the meaning assigned to such term in the definition of “Term SOFR”.</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w:t>
      </w:r>
      <w:r>
        <w:rPr>
          <w:rFonts w:ascii="Arial" w:cs="Arial" w:eastAsia="Arial" w:hAnsi="Arial"/>
          <w:sz w:val="20"/>
          <w:szCs w:val="20"/>
          <w:color w:val="auto"/>
        </w:rPr>
        <w:t>” means, initially, (i) with respect to amounts denominated in Dollars, Term SOFR, (ii) with respect to amounts denominated in Sterling, the Daily Simple SONIA and (iii) with respect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4" w:name="page75"/>
    <w:bookmarkEnd w:id="74"/>
    <w:p>
      <w:pPr>
        <w:jc w:val="both"/>
        <w:spacing w:after="0" w:line="246" w:lineRule="auto"/>
        <w:rPr>
          <w:sz w:val="20"/>
          <w:szCs w:val="20"/>
          <w:color w:val="auto"/>
        </w:rPr>
      </w:pPr>
      <w:r>
        <w:rPr>
          <w:rFonts w:ascii="Arial" w:cs="Arial" w:eastAsia="Arial" w:hAnsi="Arial"/>
          <w:sz w:val="20"/>
          <w:szCs w:val="20"/>
          <w:color w:val="auto"/>
        </w:rPr>
        <w:t>amounts denominated in Euro, the EURIBOR Screen Rate; provided that if a Benchmark Transition Event has occurred with respect to Term SOFR, Daily Simple SONIA, the EURIBOR Screen Rate or the then-current Benchmark, as applicable, then “Benchmark” means the applicable Benchmark Replacement to the extent that such Benchmark Replacement has replaced such prior benchmark rate pursuant to Section 3.03.</w:t>
      </w:r>
    </w:p>
    <w:p>
      <w:pPr>
        <w:spacing w:after="0" w:line="191"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means with respect to any Benchmark Transition Event, the first alternative set forth in the order below that can be determined by the Administrative Agent for the applicable Benchmark Replacement Date; provided that, in the case of any Loan denominated in an Alternative Currency, “Benchmark Replacement” shall mean the alternative set forth in clause (b) below:</w:t>
      </w:r>
    </w:p>
    <w:p>
      <w:pPr>
        <w:spacing w:after="0" w:line="152" w:lineRule="exact"/>
        <w:rPr>
          <w:sz w:val="20"/>
          <w:szCs w:val="20"/>
          <w:color w:val="auto"/>
        </w:rPr>
      </w:pPr>
    </w:p>
    <w:p>
      <w:pPr>
        <w:ind w:left="1980" w:hanging="475"/>
        <w:spacing w:after="0"/>
        <w:tabs>
          <w:tab w:leader="none" w:pos="19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with respect to Term SOFR Loans, Daily Simple SOFR; or</w:t>
      </w:r>
    </w:p>
    <w:p>
      <w:pPr>
        <w:spacing w:after="0" w:line="215" w:lineRule="exact"/>
        <w:rPr>
          <w:rFonts w:ascii="Arial" w:cs="Arial" w:eastAsia="Arial" w:hAnsi="Arial"/>
          <w:sz w:val="20"/>
          <w:szCs w:val="20"/>
          <w:color w:val="auto"/>
        </w:rPr>
      </w:pPr>
    </w:p>
    <w:p>
      <w:pPr>
        <w:jc w:val="both"/>
        <w:ind w:firstLine="1505"/>
        <w:spacing w:after="0" w:line="282" w:lineRule="auto"/>
        <w:tabs>
          <w:tab w:leader="none" w:pos="199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syndicated credit facilities and (ii) the related Benchmark Replacement Adjustment;</w:t>
      </w:r>
    </w:p>
    <w:p>
      <w:pPr>
        <w:spacing w:after="0" w:line="161"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that if the Benchmark Replacement as determined pursuant to clause (a) or (b) above would be less than the Floor, the Benchmark Replacement will be deemed to be the Floor for the purposes of this Agreement and the other Loan Documents.</w:t>
      </w:r>
    </w:p>
    <w:p>
      <w:pPr>
        <w:spacing w:after="0" w:line="16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Adjustment</w:t>
      </w:r>
      <w:r>
        <w:rPr>
          <w:rFonts w:ascii="Arial" w:cs="Arial" w:eastAsia="Arial" w:hAnsi="Arial"/>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w:t>
      </w:r>
    </w:p>
    <w:p>
      <w:pPr>
        <w:spacing w:after="0" w:line="16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means, with respect to either the use or administration of any Term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breakage provisions, the formula for calculating any successor rates identified pursuant to the definition of “Benchmark Replacement” or a Daily Simple RFR, the formula, methodology or convention for applying the successor Floor to the successor Benchmark Replacement and other technical, administrative or operational matters) that the Administrative Agent decides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in consultation with the Borrower, is reasonably necessary in connection with the administration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5" w:name="page76"/>
    <w:bookmarkEnd w:id="75"/>
    <w:p>
      <w:pPr>
        <w:ind w:left="4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means the earliest to occur of the following events with respect to the then-current Benchmark:</w:t>
      </w:r>
    </w:p>
    <w:p>
      <w:pPr>
        <w:spacing w:after="0" w:line="227" w:lineRule="exact"/>
        <w:rPr>
          <w:sz w:val="20"/>
          <w:szCs w:val="20"/>
          <w:color w:val="auto"/>
        </w:rPr>
      </w:pPr>
    </w:p>
    <w:p>
      <w:pPr>
        <w:jc w:val="both"/>
        <w:ind w:left="760" w:firstLine="1494"/>
        <w:spacing w:after="0" w:line="246" w:lineRule="auto"/>
        <w:tabs>
          <w:tab w:leader="none" w:pos="27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91" w:lineRule="exact"/>
        <w:rPr>
          <w:rFonts w:ascii="Arial" w:cs="Arial" w:eastAsia="Arial" w:hAnsi="Arial"/>
          <w:sz w:val="20"/>
          <w:szCs w:val="20"/>
          <w:color w:val="auto"/>
        </w:rPr>
      </w:pPr>
    </w:p>
    <w:p>
      <w:pPr>
        <w:jc w:val="both"/>
        <w:ind w:left="760" w:firstLine="1494"/>
        <w:spacing w:after="0" w:line="259" w:lineRule="auto"/>
        <w:tabs>
          <w:tab w:leader="none" w:pos="2756"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8"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0"/>
          <w:szCs w:val="20"/>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8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means the occurrence of one or more of the following events with respect to the then-current Benchmark:</w:t>
      </w:r>
    </w:p>
    <w:p>
      <w:pPr>
        <w:spacing w:after="0" w:line="177" w:lineRule="exact"/>
        <w:rPr>
          <w:sz w:val="20"/>
          <w:szCs w:val="20"/>
          <w:color w:val="auto"/>
        </w:rPr>
      </w:pPr>
    </w:p>
    <w:p>
      <w:pPr>
        <w:jc w:val="both"/>
        <w:ind w:firstLine="1505"/>
        <w:spacing w:after="0" w:line="244" w:lineRule="auto"/>
        <w:tabs>
          <w:tab w:leader="none" w:pos="2002"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94" w:lineRule="exact"/>
        <w:rPr>
          <w:rFonts w:ascii="Arial" w:cs="Arial" w:eastAsia="Arial" w:hAnsi="Arial"/>
          <w:sz w:val="20"/>
          <w:szCs w:val="20"/>
          <w:color w:val="auto"/>
        </w:rPr>
      </w:pPr>
    </w:p>
    <w:p>
      <w:pPr>
        <w:jc w:val="both"/>
        <w:ind w:firstLine="1505"/>
        <w:spacing w:after="0" w:line="257" w:lineRule="auto"/>
        <w:tabs>
          <w:tab w:leader="none" w:pos="2034" w:val="left"/>
        </w:tabs>
        <w:numPr>
          <w:ilvl w:val="0"/>
          <w:numId w:val="45"/>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0" w:lineRule="exact"/>
        <w:rPr>
          <w:rFonts w:ascii="Arial" w:cs="Arial" w:eastAsia="Arial" w:hAnsi="Arial"/>
          <w:sz w:val="19"/>
          <w:szCs w:val="19"/>
          <w:color w:val="auto"/>
        </w:rPr>
      </w:pPr>
    </w:p>
    <w:p>
      <w:pPr>
        <w:jc w:val="both"/>
        <w:ind w:firstLine="1505"/>
        <w:spacing w:after="0" w:line="246" w:lineRule="auto"/>
        <w:tabs>
          <w:tab w:leader="none" w:pos="2002" w:val="left"/>
        </w:tabs>
        <w:numPr>
          <w:ilvl w:val="0"/>
          <w:numId w:val="45"/>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6" w:name="page77"/>
    <w:bookmarkEnd w:id="76"/>
    <w:p>
      <w:pPr>
        <w:jc w:val="both"/>
        <w:ind w:firstLine="1497"/>
        <w:spacing w:after="0" w:line="250" w:lineRule="auto"/>
        <w:rPr>
          <w:sz w:val="20"/>
          <w:szCs w:val="20"/>
          <w:color w:val="auto"/>
        </w:rPr>
      </w:pPr>
      <w:r>
        <w:rPr>
          <w:rFonts w:ascii="Arial" w:cs="Arial" w:eastAsia="Arial" w:hAnsi="Arial"/>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6" w:lineRule="exact"/>
        <w:rPr>
          <w:sz w:val="20"/>
          <w:szCs w:val="20"/>
          <w:color w:val="auto"/>
        </w:rPr>
      </w:pPr>
    </w:p>
    <w:p>
      <w:pPr>
        <w:jc w:val="both"/>
        <w:ind w:firstLine="43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2.19 and (b) ending at the time that a Benchmark Replacement has replaced the then-current Benchmark for all purposes hereunder and under any Loan Document in accordance with Section 3.03(b).</w:t>
      </w:r>
    </w:p>
    <w:p>
      <w:pPr>
        <w:spacing w:after="0" w:line="17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Benefit Plans</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and “</w:t>
      </w:r>
      <w:r>
        <w:rPr>
          <w:rFonts w:ascii="Arial" w:cs="Arial" w:eastAsia="Arial" w:hAnsi="Arial"/>
          <w:sz w:val="20"/>
          <w:szCs w:val="20"/>
          <w:u w:val="single" w:color="auto"/>
          <w:color w:val="auto"/>
        </w:rPr>
        <w:t>Borrowers</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Request and Assumption</w:t>
      </w:r>
      <w:r>
        <w:rPr>
          <w:rFonts w:ascii="Arial" w:cs="Arial" w:eastAsia="Arial" w:hAnsi="Arial"/>
          <w:sz w:val="20"/>
          <w:szCs w:val="20"/>
          <w:color w:val="auto"/>
        </w:rPr>
        <w:t xml:space="preserve">” means a borrower request and assumption entered into by any wholly-owned Subsidiary of the Parent and accepted by the Administrative Agent, in substantially the form of </w:t>
      </w:r>
      <w:r>
        <w:rPr>
          <w:rFonts w:ascii="Arial" w:cs="Arial" w:eastAsia="Arial" w:hAnsi="Arial"/>
          <w:sz w:val="20"/>
          <w:szCs w:val="20"/>
          <w:u w:val="single" w:color="auto"/>
          <w:color w:val="auto"/>
        </w:rPr>
        <w:t>Exhibit D-2</w:t>
      </w:r>
      <w:r>
        <w:rPr>
          <w:rFonts w:ascii="Arial" w:cs="Arial" w:eastAsia="Arial" w:hAnsi="Arial"/>
          <w:sz w:val="20"/>
          <w:szCs w:val="20"/>
          <w:color w:val="auto"/>
        </w:rPr>
        <w:t xml:space="preserve"> or any other form approved by the Administrative Agent and the applicable Borrower.</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as the context may require, a Committed Borrowing or a Swing Line Borrowing.</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Request</w:t>
      </w:r>
      <w:r>
        <w:rPr>
          <w:rFonts w:ascii="Arial" w:cs="Arial" w:eastAsia="Arial" w:hAnsi="Arial"/>
          <w:sz w:val="20"/>
          <w:szCs w:val="20"/>
          <w:color w:val="auto"/>
        </w:rPr>
        <w:t>” means, as the context may require, a Swing Line Loan Borrowing Request, a Committed Loan Borrowing Request or a Letter of Credit Application.</w:t>
      </w:r>
    </w:p>
    <w:p>
      <w:pPr>
        <w:spacing w:after="0" w:line="17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 means (a) any day excluding Saturday, Sunday or any other day which is a legal holiday under the laws of the State of New York or is a day on which banking institutions located in such state are authorized or required by Law to close, (b) with respect to all notices, determinations, fundings and payments in connection with the Term Benchmark or any Term Benchmark Loans denominated in Dollars, the term “Business Day” shall mean any day which is a Business Day described in clause (a) and which is also a U.S. Government Securities Business Day, (c) with respect to all notices, determinations, fundings and payments in connection with any Term Benchmark Loans denominated in Euro, the term “Business Day” shall mean any day which is a Business Day described in clause (a) and which is also a TARGET Day, (d) when used in connection with a Swing Line Borrowing, the term “Business Day” shall also exclude any day which banks are closed for general business in London, (e) with respect to all notices, determinations, fundings and payments in connection with RFR Loans, the term “Business Day” shall mean any day which is an RFR Business Day and (f) with respect to all notices, determinations, fundings and payments in connection with any Term Benchmark Loans denominated in a currency other than Dollars or Euro or SONIA Loans denominated in Sterling, the term “Business Day” shall mean any day which is a Business Day described in clause (a) and which is also a day on which dealings in deposits in the relevant currency are conducted by and between banks in the London or other applicable offshore interbank market for such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7" w:name="page78"/>
    <w:bookmarkEnd w:id="77"/>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xml:space="preserve">” of any Person means, subject to </w:t>
      </w:r>
      <w:r>
        <w:rPr>
          <w:rFonts w:ascii="Arial" w:cs="Arial" w:eastAsia="Arial" w:hAnsi="Arial"/>
          <w:sz w:val="18"/>
          <w:szCs w:val="18"/>
          <w:u w:val="single" w:color="auto"/>
          <w:color w:val="auto"/>
        </w:rPr>
        <w:t>Section 1.03(b)</w:t>
      </w:r>
      <w:r>
        <w:rPr>
          <w:rFonts w:ascii="Arial" w:cs="Arial" w:eastAsia="Arial" w:hAnsi="Arial"/>
          <w:sz w:val="18"/>
          <w:szCs w:val="18"/>
          <w:color w:val="auto"/>
        </w:rPr>
        <w:t>, the obligations of such Person to pay rent or other amounts under any lease of (or other arrangement conveying the right to use) real or personal property, or a combination thereof, which obligations are required to be classified and accounted for as capital or finance leases on a balance sheet of such Person under GAAP, and the amount of such obligations shall be the capitalized amount thereof determined in accordance with GAAP.</w:t>
      </w:r>
    </w:p>
    <w:p>
      <w:pPr>
        <w:spacing w:after="0" w:line="161"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Administrative Agent, for the benefit of the Administrative Agent or the Applicable Issuing Party (as applicable) and the Lenders, as collateral for L/C Obligations or obligations of Lenders to issue Letters of Credit or fund participations in respect thereof (as the context may require), cash or deposit account balances or, if the Applicable Issuing Party benefitting from such collateral shall agree in its sole discretion, other credit support, in each case pursuant to documentation in form and substance reasonably satisfactory to the Administrative Agent and such Applicable Issuing Party. “</w:t>
      </w:r>
      <w:r>
        <w:rPr>
          <w:rFonts w:ascii="Arial" w:cs="Arial" w:eastAsia="Arial" w:hAnsi="Arial"/>
          <w:sz w:val="18"/>
          <w:szCs w:val="18"/>
          <w:u w:val="single" w:color="auto"/>
          <w:color w:val="auto"/>
        </w:rPr>
        <w:t>Cash Collateral</w:t>
      </w:r>
      <w:r>
        <w:rPr>
          <w:rFonts w:ascii="Arial" w:cs="Arial" w:eastAsia="Arial" w:hAnsi="Arial"/>
          <w:sz w:val="18"/>
          <w:szCs w:val="18"/>
          <w:color w:val="auto"/>
        </w:rPr>
        <w:t>” shall have a meaning correlative to the foregoing and shall include the proceeds of such cash collateral and other credit support.</w:t>
      </w:r>
    </w:p>
    <w:p>
      <w:pPr>
        <w:spacing w:after="0" w:line="16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w:t>
      </w:r>
      <w:r>
        <w:rPr>
          <w:rFonts w:ascii="Arial" w:cs="Arial" w:eastAsia="Arial" w:hAnsi="Arial"/>
          <w:sz w:val="18"/>
          <w:szCs w:val="18"/>
          <w:color w:val="auto"/>
        </w:rPr>
        <w:t>” means, (A) the greater of (i)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in consultation with the Borrower: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Alternative Currency, a central bank rate as determined by the Administrative Agent in its reasonable discretion in consultation with the Borrower and (ii) the Floor; plus (B) the applicable Central Bank Rate Adjustment.</w:t>
      </w:r>
    </w:p>
    <w:p>
      <w:pPr>
        <w:spacing w:after="0" w:line="174"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Central Bank Rate Adjustment</w:t>
      </w:r>
      <w:r>
        <w:rPr>
          <w:rFonts w:ascii="Arial" w:cs="Arial" w:eastAsia="Arial" w:hAnsi="Arial"/>
          <w:sz w:val="19"/>
          <w:szCs w:val="19"/>
          <w:color w:val="auto"/>
        </w:rPr>
        <w:t>” means, for any day, for any Loan denominated in (a) Euro, a rate equal to the difference (which may be a positive or negative value or zero) of (i) the average of EURIBOR Screen Rate for the five most recent Business Days preceding such day for which the EURIBOR Screen Rate was available (excluding, from such averaging, the highest and the lowest EURIBOR Screen Rate applicable during such period of five Business Days) minus (ii) the Central Bank Rate in respect of Euro in effect on the last Business Day in such period, (b) Sterling, a rate equal to the difference (which may be a positive or negative value or zero) of (i) the average of SONIA for the five most recent RFR Business Days preceding such day for which SONIA was available (excluding, from such averaging, the highest and the lowest SONIA applicable during such period of five RFR Business Days) minus (ii) the Central Bank Rate in respect of Sterling in effect on the last RFR Business Day in such period and (c) any other Alternative Currency, a Central Bank Rate Adjustment as determined by the Administrative Agent in its reasonable discretion in consultation with the Borrower. For purposes of this definition, (x) the term Central Bank Rate shall be determined disregarding clause (B) of the definition of such term and (y) the EURIBOR Screen Rate for Loans denominated in Euros on any day shall be based on the EURIBOR Screen Rate on such day at approximately the time referred to in the definition of such term for deposits in Euro for a maturity of one month; provided that if such rate shall be less than the Floor, such rate shall be deemed to be the Floor.</w:t>
      </w:r>
    </w:p>
    <w:p>
      <w:pPr>
        <w:spacing w:after="0" w:line="182"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of Equity Interests representing more than 50% of the aggregate ordinary voting power represented by the issued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8" w:name="page79"/>
    <w:bookmarkEnd w:id="78"/>
    <w:p>
      <w:pPr>
        <w:jc w:val="both"/>
        <w:spacing w:after="0" w:line="243" w:lineRule="auto"/>
        <w:rPr>
          <w:sz w:val="20"/>
          <w:szCs w:val="20"/>
          <w:color w:val="auto"/>
        </w:rPr>
      </w:pPr>
      <w:r>
        <w:rPr>
          <w:rFonts w:ascii="Arial" w:cs="Arial" w:eastAsia="Arial" w:hAnsi="Arial"/>
          <w:sz w:val="20"/>
          <w:szCs w:val="20"/>
          <w:color w:val="auto"/>
        </w:rPr>
        <w:t>outstanding Equity Interests of the Parent; (b) occupation of a majority of the seats (other than vacant seats) on the board of directors of the Parent by Persons who were neither (i) nominated, appointed or approved by the board of directors of the Company or the Parent for consideration by shareholders for election nor (ii) appointed by directors so nominated, appointed or approved; (c) the failure of the Parent to own, directly or indirectly, at least 80% of the outstanding Equity Interests of WNA; (d) the failure of the Parent to own, directly or indirectly, at least 80% of the outstanding Equity Interests of the Company; or (e) the failure of the Parent to own, directly or indirectly, at least 80% of the outstanding Equity Interests of WGL.</w:t>
      </w:r>
    </w:p>
    <w:p>
      <w:pPr>
        <w:spacing w:after="0" w:line="19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United States or foreign regulatory authorities, in each case pursuant to Basel III, shall in each case be deemed to be a “Change in Law”, regardless of the date enacted, adopted or issued.</w:t>
      </w:r>
    </w:p>
    <w:p>
      <w:pPr>
        <w:spacing w:after="0" w:line="168"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means the first date all the conditions precedent in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are satisfied or waived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10.01</w:t>
      </w:r>
      <w:r>
        <w:rPr>
          <w:rFonts w:ascii="Arial" w:cs="Arial" w:eastAsia="Arial" w:hAnsi="Arial"/>
          <w:sz w:val="20"/>
          <w:szCs w:val="20"/>
          <w:color w:val="auto"/>
        </w:rPr>
        <w:t>, which date is October 6, 2021.</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as to each Revolving Credit Lender at any given time, its Revolving Credit Commitment.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Share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2.03(f)(i)</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Borrowing</w:t>
      </w:r>
      <w:r>
        <w:rPr>
          <w:rFonts w:ascii="Arial" w:cs="Arial" w:eastAsia="Arial" w:hAnsi="Arial"/>
          <w:sz w:val="20"/>
          <w:szCs w:val="20"/>
          <w:color w:val="auto"/>
        </w:rPr>
        <w:t xml:space="preserve">” means a Borrowing consisting of simultaneous Committed Loans of the same Type, in the same currency and, in the case of Term Benchmark Loans, having the same Interest Period made by each of the Revolving Credit Lenders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w:t>
      </w:r>
      <w:r>
        <w:rPr>
          <w:rFonts w:ascii="Arial" w:cs="Arial" w:eastAsia="Arial" w:hAnsi="Arial"/>
          <w:sz w:val="20"/>
          <w:szCs w:val="20"/>
          <w:color w:val="auto"/>
        </w:rPr>
        <w:t>, and also includes, to the extent applicable, any New Loans, Non-Extended Committed Loans and Extended Committed Loans.</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Loan Borrowing Request</w:t>
      </w:r>
      <w:r>
        <w:rPr>
          <w:rFonts w:ascii="Arial" w:cs="Arial" w:eastAsia="Arial" w:hAnsi="Arial"/>
          <w:sz w:val="20"/>
          <w:szCs w:val="20"/>
          <w:color w:val="auto"/>
        </w:rPr>
        <w:t xml:space="preserve">” means a notice of (a) a Committed Borrowing, (b) a conversion of Committed Loans from one Type to the other or (c) a continuation of Committed Loans that are Term Benchmark Loans pursuant to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which, if in writing, shall be substantially in the form of </w:t>
      </w:r>
      <w:r>
        <w:rPr>
          <w:rFonts w:ascii="Arial" w:cs="Arial" w:eastAsia="Arial" w:hAnsi="Arial"/>
          <w:sz w:val="20"/>
          <w:szCs w:val="20"/>
          <w:u w:val="single" w:color="auto"/>
          <w:color w:val="auto"/>
        </w:rPr>
        <w:t>Exhibit A-1</w:t>
      </w:r>
      <w:r>
        <w:rPr>
          <w:rFonts w:ascii="Arial" w:cs="Arial" w:eastAsia="Arial" w:hAnsi="Arial"/>
          <w:sz w:val="20"/>
          <w:szCs w:val="20"/>
          <w:color w:val="auto"/>
        </w:rPr>
        <w: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216" w:lineRule="exact"/>
        <w:rPr>
          <w:sz w:val="20"/>
          <w:szCs w:val="20"/>
          <w:color w:val="auto"/>
        </w:rPr>
      </w:pPr>
    </w:p>
    <w:p>
      <w:pPr>
        <w:jc w:val="both"/>
        <w:ind w:firstLine="811"/>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Cash Interest Coverage Ratio</w:t>
      </w:r>
      <w:r>
        <w:rPr>
          <w:rFonts w:ascii="Arial" w:cs="Arial" w:eastAsia="Arial" w:hAnsi="Arial"/>
          <w:sz w:val="18"/>
          <w:szCs w:val="18"/>
          <w:color w:val="auto"/>
        </w:rPr>
        <w:t>” means, on any date of determination, the ratio of (a) Consolidated EBITDA for the period of four consecutive fiscal quarters of the Parent most recently ended to (b) Consolidated Cash Interest Expense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9" w:name="page80"/>
    <w:bookmarkEnd w:id="79"/>
    <w:p>
      <w:pPr>
        <w:jc w:val="both"/>
        <w:ind w:firstLine="74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Cash Interest Expense</w:t>
      </w:r>
      <w:r>
        <w:rPr>
          <w:rFonts w:ascii="Arial" w:cs="Arial" w:eastAsia="Arial" w:hAnsi="Arial"/>
          <w:sz w:val="18"/>
          <w:szCs w:val="18"/>
          <w:color w:val="auto"/>
        </w:rPr>
        <w:t xml:space="preserve">” means, for any period, for the Parent and its Subsidiaries, on a consolidated basis, all cash interest, premium payments, debt discount, fees, charges and related cash expenses of the Parent and its Subsidiaries in connection with borrowed money or in connection with the deferred purchase price of assets and net cash costs under Swap Contracts in respect of interest rates to the extent that such net cash costs are allocable to such period, in each case to the extent treated as interest in accordance with GAAP,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cash interest income of the Parent and its Subsidiaries on a consolidated basis for such period (including all net cash gains under Swap Contracts in respect of interest rates to the extent that such net cash gains are allocable to such period).</w:t>
      </w:r>
    </w:p>
    <w:p>
      <w:pPr>
        <w:spacing w:after="0" w:line="165"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without duplication and to the extent deducted in determining Consolidated Net Income, the </w:t>
      </w:r>
      <w:r>
        <w:rPr>
          <w:rFonts w:ascii="Arial" w:cs="Arial" w:eastAsia="Arial" w:hAnsi="Arial"/>
          <w:sz w:val="18"/>
          <w:szCs w:val="18"/>
          <w:u w:val="single" w:color="auto"/>
          <w:color w:val="auto"/>
        </w:rPr>
        <w:t>sum</w:t>
      </w:r>
      <w:r>
        <w:rPr>
          <w:rFonts w:ascii="Arial" w:cs="Arial" w:eastAsia="Arial" w:hAnsi="Arial"/>
          <w:sz w:val="18"/>
          <w:szCs w:val="18"/>
          <w:color w:val="auto"/>
        </w:rPr>
        <w:t xml:space="preserve"> of (i) consolidated interest expense for such period, (ii) consolidated income tax expense for such period, (iii) all amounts attributable to depreciation and amortization for such period, (iv) any extraordinary losses and nonrecurring charges for such period, (v) any non-cash charges (including the non-cash portion of pension expense) for such period, (vi) losses on asset sales outside the ordinary course of business for such period, (vii) restructuring charges or provisions for such period, (viii) any costs incurred in connection with acquisitions (including in connection with closure and/or consolidation of facilities) in an aggregate amount with respect to any such acquisition not to exceed 5% of the aggregate consideration for such acquisition, (ix) any expenses or charges incurred in connection with any issuance of debt or equity securities for such period and (x) any deduction for minority interest expense for such period with respect to a Subsidiary that is not wholly owned by the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amount added to Consolidated Net Income pursuant to this subclause (x) for any period shall not exceed 5% of the amount of Consolidated EBITDA computed in accordance with this definition for such period and (B) the Indebtedness and interest expense of such Subsidiary are included in the calculation of Indebtedness and Consolidated Cash Interest Expense to the same extent as would be required if such Subsidiary were wholly owned by the Parent) and minus (b) without duplication and to the extent included in determining such Consolidated Net Income, (i) any extraordinary gains and non-recurring gains for such period, (ii) any non-cash gains for such period and (iii) any gains on asset sales outside the ordinary course of business for such period, all determined on a consolidated basis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determining the Consolidated Leverage Ratio only, (A) there shall be included in determining the Consolidated EBITDA for any period the Acquired EBITDA of any Person, property, business or asset acquired outside the ordinary course of business during such period by the Parent or a Subsidiary, to the extent not subsequently sold, transferred or otherwise disposed of by the Parent or a Subsidiary during such period (each such Person, property, business or asset acquired and not subsequently so disposed of, an “</w:t>
      </w:r>
      <w:r>
        <w:rPr>
          <w:rFonts w:ascii="Arial" w:cs="Arial" w:eastAsia="Arial" w:hAnsi="Arial"/>
          <w:sz w:val="18"/>
          <w:szCs w:val="18"/>
          <w:u w:val="single" w:color="auto"/>
          <w:color w:val="auto"/>
        </w:rPr>
        <w:t>Acquired Entity or Business</w:t>
      </w:r>
      <w:r>
        <w:rPr>
          <w:rFonts w:ascii="Arial" w:cs="Arial" w:eastAsia="Arial" w:hAnsi="Arial"/>
          <w:sz w:val="18"/>
          <w:szCs w:val="18"/>
          <w:color w:val="auto"/>
        </w:rPr>
        <w:t xml:space="preserve"> ”), based on the actual Acquired EBITDA of such Acquired Entity or Business for such period (including the portion thereof occurring prior to such acquisition) and (B) there shall be excluded in determining Consolidated EBITDA for any period the Acquired EBITDA of any Person, property, business or asset sold, transferred or otherwise disposed of outside the ordinary course of business by the Parent or any Subsidiary during such period (each such Person, property, business or asset so sold or disposed of, a “</w:t>
      </w:r>
      <w:r>
        <w:rPr>
          <w:rFonts w:ascii="Arial" w:cs="Arial" w:eastAsia="Arial" w:hAnsi="Arial"/>
          <w:sz w:val="18"/>
          <w:szCs w:val="18"/>
          <w:u w:val="single" w:color="auto"/>
          <w:color w:val="auto"/>
        </w:rPr>
        <w:t>Sold Entity or Business</w:t>
      </w:r>
      <w:r>
        <w:rPr>
          <w:rFonts w:ascii="Arial" w:cs="Arial" w:eastAsia="Arial" w:hAnsi="Arial"/>
          <w:sz w:val="18"/>
          <w:szCs w:val="18"/>
          <w:color w:val="auto"/>
        </w:rPr>
        <w:t>”) based on the actual Acquired EBITDA of such Sold Entity or Business for such period (including the portion thereof occurring prior to such sale, transfer or disposition).</w:t>
      </w:r>
    </w:p>
    <w:p>
      <w:pPr>
        <w:spacing w:after="0" w:line="175"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Funded Indebtedness</w:t>
      </w:r>
      <w:r>
        <w:rPr>
          <w:rFonts w:ascii="Arial" w:cs="Arial" w:eastAsia="Arial" w:hAnsi="Arial"/>
          <w:sz w:val="20"/>
          <w:szCs w:val="20"/>
          <w:color w:val="auto"/>
        </w:rPr>
        <w:t xml:space="preserve">” means, as of any date of determination, the sum of (a) the aggregate principal amount of Indebtedness of the Parent and its Subsidiaries outstanding as of such date, in the amount that would be reflected on the balance sheet of the Parent and its Subsidiaries prepared as of such date on a consolidated basis in accordance with GAAP, excluding the principal amount of any Existing Senior Notes following the issuance of any New Senior Notes, the proceeds of which are to be used to redeem, repurchase or otherwise retire any such Existing Senior Notes,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aggregate principal amount of obligations for borrowed money that are outstanding as of such date of Persons other than the Parent and its Subsidiaries, to the extent Guaranteed by the Parent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0" w:name="page81"/>
    <w:bookmarkEnd w:id="80"/>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Leverage Ratio</w:t>
      </w:r>
      <w:r>
        <w:rPr>
          <w:rFonts w:ascii="Arial" w:cs="Arial" w:eastAsia="Arial" w:hAnsi="Arial"/>
          <w:sz w:val="20"/>
          <w:szCs w:val="20"/>
          <w:color w:val="auto"/>
        </w:rPr>
        <w:t>” means, as of any date of determination, the ratio of (a) Consolidated Funded Indebtedness as of such date to (b) Consolidated EBITDA for the period of the four fiscal quarters most recently ended.</w:t>
      </w:r>
    </w:p>
    <w:p>
      <w:pPr>
        <w:spacing w:after="0" w:line="177"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Income</w:t>
      </w:r>
      <w:r>
        <w:rPr>
          <w:rFonts w:ascii="Arial" w:cs="Arial" w:eastAsia="Arial" w:hAnsi="Arial"/>
          <w:sz w:val="20"/>
          <w:szCs w:val="20"/>
          <w:color w:val="auto"/>
        </w:rPr>
        <w:t xml:space="preserve">” means, for any period, the net income or loss of the Parent and its Subsidiaries for such period determined on a consolidated basis in accordance with GAAP;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there shall be excluded from such net income or loss the income or loss of any Person accrued prior to the date it becomes a Subsidiary or is merged into or consolidated with the Parent or any Subsidiary or the date that such Person’s assets are acquired by the Parent or any Subsidiary and (ii) there shall be included in such net income or loss the net income of any Person that is not a Subsidiary of the Parent and its Subsidiaries (including, for the avoidance of doubt, joint venture and other minority Investments) to the extent of the amount of dividends or distributions or other payments (including any ordinary course dividends, distributions or other payments) actually paid to the Parent or any Subsidiary by such Person in respect of such period.</w:t>
      </w:r>
    </w:p>
    <w:p>
      <w:pPr>
        <w:spacing w:after="0" w:line="19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Tangible Assets</w:t>
      </w:r>
      <w:r>
        <w:rPr>
          <w:rFonts w:ascii="Arial" w:cs="Arial" w:eastAsia="Arial" w:hAnsi="Arial"/>
          <w:sz w:val="19"/>
          <w:szCs w:val="19"/>
          <w:color w:val="auto"/>
        </w:rPr>
        <w:t>” means, with respect to the Parent and its Subsidiaries on a Consolidated basis determined in accordance with GAAP, the aggregate amounts of assets (less depreciation and valuation reserves and other reserves and items deductible from gross book value of specific asset accounts under GAAP) which under GAAP would be included on a balance sheet after deducting therefrom (a) all liability items except deferred income taxes, commercial paper, short-term Indebtedness, other long term liabilities and shareholders’ equity and (b) all goodwill, trade names, trademarks, patents, unamortized debt discount and expense and other like intangibles, which in each case would be so included on such balance sheet.</w:t>
      </w:r>
    </w:p>
    <w:p>
      <w:pPr>
        <w:spacing w:after="0" w:line="17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Cost of Funds Rate</w:t>
      </w:r>
      <w:r>
        <w:rPr>
          <w:rFonts w:ascii="Arial" w:cs="Arial" w:eastAsia="Arial" w:hAnsi="Arial"/>
          <w:sz w:val="19"/>
          <w:szCs w:val="19"/>
          <w:color w:val="auto"/>
        </w:rPr>
        <w:t>” means, as of any day, the rate of interest determined by the Administrative Agent to be representative of its or the applicable Lenders’ cost of funds, as applicable, to extend or maintain credit under this Agreement on such day.</w:t>
      </w:r>
    </w:p>
    <w:p>
      <w:pPr>
        <w:spacing w:after="0" w:line="15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Covenant Reset Period</w:t>
      </w:r>
      <w:r>
        <w:rPr>
          <w:rFonts w:ascii="Arial" w:cs="Arial" w:eastAsia="Arial" w:hAnsi="Arial"/>
          <w:sz w:val="20"/>
          <w:szCs w:val="20"/>
          <w:color w:val="auto"/>
        </w:rPr>
        <w:t>” means the four fiscal quarter period following a Covenant Reset Request by the Company (including, for the avoidance of doubt, the first fiscal quarter for which the Covenant Reset Request was made).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Covenant Reset Request</w:t>
      </w:r>
      <w:r>
        <w:rPr>
          <w:rFonts w:ascii="Arial" w:cs="Arial" w:eastAsia="Arial" w:hAnsi="Arial"/>
          <w:sz w:val="20"/>
          <w:szCs w:val="20"/>
          <w:color w:val="auto"/>
        </w:rPr>
        <w:t>” has the meaning specified in Section 7.08(b).</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any of the following: (a) a Committed Borrowing; (b) an L/C Credit Extension; or (c) a Swing Line Borrowing.</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CTA</w:t>
      </w:r>
      <w:r>
        <w:rPr>
          <w:rFonts w:ascii="Arial" w:cs="Arial" w:eastAsia="Arial" w:hAnsi="Arial"/>
          <w:sz w:val="20"/>
          <w:szCs w:val="20"/>
          <w:color w:val="auto"/>
        </w:rPr>
        <w:t>” means the United Kingdom Corporation Tax Act 2009.</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RFR</w:t>
      </w:r>
      <w:r>
        <w:rPr>
          <w:rFonts w:ascii="Arial" w:cs="Arial" w:eastAsia="Arial" w:hAnsi="Arial"/>
          <w:sz w:val="20"/>
          <w:szCs w:val="20"/>
          <w:color w:val="auto"/>
        </w:rPr>
        <w:t>” means, for any day (an “</w:t>
      </w:r>
      <w:r>
        <w:rPr>
          <w:rFonts w:ascii="Arial" w:cs="Arial" w:eastAsia="Arial" w:hAnsi="Arial"/>
          <w:sz w:val="20"/>
          <w:szCs w:val="20"/>
          <w:u w:val="single" w:color="auto"/>
          <w:color w:val="auto"/>
        </w:rPr>
        <w:t>RFR Rate Day</w:t>
      </w:r>
      <w:r>
        <w:rPr>
          <w:rFonts w:ascii="Arial" w:cs="Arial" w:eastAsia="Arial" w:hAnsi="Arial"/>
          <w:sz w:val="20"/>
          <w:szCs w:val="20"/>
          <w:color w:val="auto"/>
        </w:rPr>
        <w:t>”), a rate per annum equal to, for any Obligations, interest, fees, commissions or other amounts denominated in, or calculated with respect to (i) Sterling, Daily Simple SONIA and (ii) solely to the extent applicable pursuant to Section 3.03(b), Dollars, Daily Simple SOFR.</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SOFR</w:t>
      </w:r>
      <w:r>
        <w:rPr>
          <w:rFonts w:ascii="Arial" w:cs="Arial" w:eastAsia="Arial" w:hAnsi="Arial"/>
          <w:sz w:val="20"/>
          <w:szCs w:val="20"/>
          <w:color w:val="auto"/>
        </w:rPr>
        <w:t>” means, for any day (a “</w:t>
      </w:r>
      <w:r>
        <w:rPr>
          <w:rFonts w:ascii="Arial" w:cs="Arial" w:eastAsia="Arial" w:hAnsi="Arial"/>
          <w:sz w:val="20"/>
          <w:szCs w:val="20"/>
          <w:u w:val="single" w:color="auto"/>
          <w:color w:val="auto"/>
        </w:rPr>
        <w:t>SOFR Rate Day</w:t>
      </w:r>
      <w:r>
        <w:rPr>
          <w:rFonts w:ascii="Arial" w:cs="Arial" w:eastAsia="Arial" w:hAnsi="Arial"/>
          <w:sz w:val="20"/>
          <w:szCs w:val="20"/>
          <w:color w:val="auto"/>
        </w:rPr>
        <w:t>”), a rate per annum equal to (a) SOFR for the day (such day a “SOFR Determination Day”) that is five U.S. Government Securities Business Days prior to (i) if such SOFR Rate Day is a U.S. Government Securities Business Day,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1" w:name="page82"/>
    <w:bookmarkEnd w:id="81"/>
    <w:p>
      <w:pPr>
        <w:jc w:val="both"/>
        <w:spacing w:after="0" w:line="255" w:lineRule="auto"/>
        <w:rPr>
          <w:sz w:val="20"/>
          <w:szCs w:val="20"/>
          <w:color w:val="auto"/>
        </w:rPr>
      </w:pPr>
      <w:r>
        <w:rPr>
          <w:rFonts w:ascii="Arial" w:cs="Arial" w:eastAsia="Arial" w:hAnsi="Arial"/>
          <w:sz w:val="19"/>
          <w:szCs w:val="19"/>
          <w:color w:val="auto"/>
        </w:rPr>
        <w:t xml:space="preserve">SOFR Rate Day or (ii) if such SOFR Rate Day is not a U.S. Government Securities Business Day, the U.S. Government Securities Business Day immediately preceding such SOFR Rate Day, in each case, as such SOFR is published by the SOFR Administrator on the SOFR Administrator’s Website plus (b) the Applicable SOFR Adjustment.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spacing w:after="0" w:line="19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SONIA</w:t>
      </w:r>
      <w:r>
        <w:rPr>
          <w:rFonts w:ascii="Arial" w:cs="Arial" w:eastAsia="Arial" w:hAnsi="Arial"/>
          <w:sz w:val="18"/>
          <w:szCs w:val="18"/>
          <w:color w:val="auto"/>
        </w:rPr>
        <w:t>” means, for any day (a “</w:t>
      </w:r>
      <w:r>
        <w:rPr>
          <w:rFonts w:ascii="Arial" w:cs="Arial" w:eastAsia="Arial" w:hAnsi="Arial"/>
          <w:sz w:val="18"/>
          <w:szCs w:val="18"/>
          <w:u w:val="single" w:color="auto"/>
          <w:color w:val="auto"/>
        </w:rPr>
        <w:t>SONIA Rate Day</w:t>
      </w:r>
      <w:r>
        <w:rPr>
          <w:rFonts w:ascii="Arial" w:cs="Arial" w:eastAsia="Arial" w:hAnsi="Arial"/>
          <w:sz w:val="18"/>
          <w:szCs w:val="18"/>
          <w:color w:val="auto"/>
        </w:rPr>
        <w:t xml:space="preserve">”), a rate per annum equal to the greater of (i) SONIA for the day (such day “i”) that is five RFR Business Days (or such other period as determined by the Parent and the Administrative Agent based on the prevailing market conditions) prior to (A) if such SONIA Rate Day is a RFR Business Day, such SONIA Rate Day or (B) if such SONIA Rate Day is not a RFR Business Day, the RFR Business Day immediately preceding such SONIA Rate Day, in each case, as such SONIA is published by the SONIA Administrator on the SONIA Administrator’s Website, and (ii) the Floor. If by 5:00 pm (local time for SONIA) on the second RFR Business Day immediately following any day “i”, the SONIA in respect of such day “i” has not been published on the SONIA Administrator’s Website and a Benchmark Replacement Date with respect to the applicable Daily Simple SONIA has not occurred, then the SONIA for such day “i” will be the SONIA as published in respect of the first preceding RFR Business Day for which SONIA was published on the SONIA Administrator’s Website;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SONIA determined pursuant to this sentence shall be utilized for purposes of calculation of Daily Simple SONIA for no more than three (3) consecutive SONIA Rate Days. Any change in Daily Simple SONIA due to a change in SONIA shall be effective from and including the effective date of such change in SONIA without notice to the Borrower.</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Rating</w:t>
      </w:r>
      <w:r>
        <w:rPr>
          <w:rFonts w:ascii="Arial" w:cs="Arial" w:eastAsia="Arial" w:hAnsi="Arial"/>
          <w:sz w:val="20"/>
          <w:szCs w:val="20"/>
          <w:color w:val="auto"/>
        </w:rPr>
        <w:t>” has the meaning specified in the definition of “Applicable Rate.”</w:t>
      </w:r>
    </w:p>
    <w:p>
      <w:pPr>
        <w:spacing w:after="0" w:line="216"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administration,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Declining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2.17(c)</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unless cured or waived, become an Event of Default.</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Default Rate</w:t>
      </w:r>
      <w:r>
        <w:rPr>
          <w:rFonts w:ascii="Arial" w:cs="Arial" w:eastAsia="Arial" w:hAnsi="Arial"/>
          <w:sz w:val="19"/>
          <w:szCs w:val="19"/>
          <w:color w:val="auto"/>
        </w:rPr>
        <w:t xml:space="preserve">” means (a) when used with respect to Obligations other than Letter of Credit Fees, an interest rate equal to (i)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Applicable Rate, if any, applicable to Base Rate Loans plus (iii) 2%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 Term Benchmark Loan or an RFR Loan (or a Loan bearing interest at the Cost of Funds Rate), the Default Rate shall be an interest rate equal to the interest rate (including any Applicable Rate) otherwise applicable to such Loan plus 2%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and (b) when used with respect to Letter of Credit Fees, a rate equal to the Applicable Rate plus 2% </w:t>
      </w:r>
      <w:r>
        <w:rPr>
          <w:rFonts w:ascii="Arial" w:cs="Arial" w:eastAsia="Arial" w:hAnsi="Arial"/>
          <w:sz w:val="19"/>
          <w:szCs w:val="19"/>
          <w:i w:val="1"/>
          <w:iCs w:val="1"/>
          <w:color w:val="auto"/>
        </w:rPr>
        <w:t>per annum</w:t>
      </w:r>
      <w:r>
        <w:rPr>
          <w:rFonts w:ascii="Arial" w:cs="Arial" w:eastAsia="Arial" w:hAnsi="Arial"/>
          <w:sz w:val="19"/>
          <w:szCs w:val="19"/>
          <w:color w:val="auto"/>
        </w:rPr>
        <w:t>.</w:t>
      </w:r>
    </w:p>
    <w:p>
      <w:pPr>
        <w:spacing w:after="0" w:line="18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w:t>
      </w:r>
      <w:r>
        <w:rPr>
          <w:rFonts w:ascii="Arial" w:cs="Arial" w:eastAsia="Arial" w:hAnsi="Arial"/>
          <w:sz w:val="20"/>
          <w:szCs w:val="20"/>
          <w:color w:val="auto"/>
        </w:rPr>
        <w:t xml:space="preserve">” means, subject to </w:t>
      </w:r>
      <w:r>
        <w:rPr>
          <w:rFonts w:ascii="Arial" w:cs="Arial" w:eastAsia="Arial" w:hAnsi="Arial"/>
          <w:sz w:val="20"/>
          <w:szCs w:val="20"/>
          <w:u w:val="single" w:color="auto"/>
          <w:color w:val="auto"/>
        </w:rPr>
        <w:t>Section 2.16(b)</w:t>
      </w:r>
      <w:r>
        <w:rPr>
          <w:rFonts w:ascii="Arial" w:cs="Arial" w:eastAsia="Arial" w:hAnsi="Arial"/>
          <w:sz w:val="20"/>
          <w:szCs w:val="20"/>
          <w:color w:val="auto"/>
        </w:rPr>
        <w:t xml:space="preserve"> , any Lender that (a) has failed to (i) fund all or any portion of its Loans or other obligations with respect to Several Letters of Credit within two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2" w:name="page83"/>
    <w:bookmarkEnd w:id="82"/>
    <w:p>
      <w:pPr>
        <w:jc w:val="both"/>
        <w:spacing w:after="0" w:line="268" w:lineRule="auto"/>
        <w:rPr>
          <w:sz w:val="20"/>
          <w:szCs w:val="20"/>
          <w:color w:val="auto"/>
        </w:rPr>
      </w:pPr>
      <w:r>
        <w:rPr>
          <w:rFonts w:ascii="Arial" w:cs="Arial" w:eastAsia="Arial" w:hAnsi="Arial"/>
          <w:sz w:val="18"/>
          <w:szCs w:val="18"/>
          <w:color w:val="auto"/>
        </w:rPr>
        <w:t>Days of the date such Loans or other obligations with respect to Several Letters of Credit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Lender, the Swing Line Lender or any other Lender any other amount required to be paid by it hereunder (including in respect of its participation in Fronted Letters of Credit or Swing Line Loans) within two Business Days of the date when due; (b) has notified the Company, the Administrative Agent, any Issuing Lender or the Swing Line Lender in writing that it does not intend to comply with such Lender’s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two Business Days after written request by the Administrative Agent or the Company, to confirm in writing to the Administrative Agent and the Company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Federal or state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such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absent manifest error, and such Lender shall be deemed to be a Defaulting Lender (subject to </w:t>
      </w:r>
      <w:r>
        <w:rPr>
          <w:rFonts w:ascii="Arial" w:cs="Arial" w:eastAsia="Arial" w:hAnsi="Arial"/>
          <w:sz w:val="18"/>
          <w:szCs w:val="18"/>
          <w:u w:val="single" w:color="auto"/>
          <w:color w:val="auto"/>
        </w:rPr>
        <w:t>Section 2.16(b)</w:t>
      </w:r>
      <w:r>
        <w:rPr>
          <w:rFonts w:ascii="Arial" w:cs="Arial" w:eastAsia="Arial" w:hAnsi="Arial"/>
          <w:sz w:val="18"/>
          <w:szCs w:val="18"/>
          <w:color w:val="auto"/>
        </w:rPr>
        <w:t>) upon delivery of written notice of such determination to the Company, each Issuing Lender, the Swing Line Lender and each Lender.</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2.18</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3.01(h)</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Disclosed Matters</w:t>
      </w:r>
      <w:r>
        <w:rPr>
          <w:rFonts w:ascii="Arial" w:cs="Arial" w:eastAsia="Arial" w:hAnsi="Arial"/>
          <w:sz w:val="20"/>
          <w:szCs w:val="20"/>
          <w:color w:val="auto"/>
        </w:rPr>
        <w:t xml:space="preserve">” means the actions, suits and proceedings disclosed in </w:t>
      </w:r>
      <w:r>
        <w:rPr>
          <w:rFonts w:ascii="Arial" w:cs="Arial" w:eastAsia="Arial" w:hAnsi="Arial"/>
          <w:sz w:val="20"/>
          <w:szCs w:val="20"/>
          <w:u w:val="single" w:color="auto"/>
          <w:color w:val="auto"/>
        </w:rPr>
        <w:t>Schedule 5.06</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w:t>
      </w:r>
      <w:r>
        <w:rPr>
          <w:rFonts w:ascii="Arial" w:cs="Arial" w:eastAsia="Arial" w:hAnsi="Arial"/>
          <w:sz w:val="20"/>
          <w:szCs w:val="20"/>
          <w:color w:val="auto"/>
        </w:rPr>
        <w:t>” or “</w:t>
      </w:r>
      <w:r>
        <w:rPr>
          <w:rFonts w:ascii="Arial" w:cs="Arial" w:eastAsia="Arial" w:hAnsi="Arial"/>
          <w:sz w:val="20"/>
          <w:szCs w:val="20"/>
          <w:u w:val="single" w:color="auto"/>
          <w:color w:val="auto"/>
        </w:rPr>
        <w:t>Dispose</w:t>
      </w:r>
      <w:r>
        <w:rPr>
          <w:rFonts w:ascii="Arial" w:cs="Arial" w:eastAsia="Arial" w:hAnsi="Arial"/>
          <w:sz w:val="20"/>
          <w:szCs w:val="20"/>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Documentation Agents</w:t>
      </w:r>
      <w:r>
        <w:rPr>
          <w:rFonts w:ascii="Arial" w:cs="Arial" w:eastAsia="Arial" w:hAnsi="Arial"/>
          <w:sz w:val="20"/>
          <w:szCs w:val="20"/>
          <w:color w:val="auto"/>
        </w:rPr>
        <w:t>” means, collectively, Bank of America, N.A., PNC Bank, National Association, Truist Bank, Wells Fargo Bank, National Association, BNP Paribas London Branch, and Citibank, N.A., London Branch, each in its capacity as co-documentation agent.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3" w:name="page84"/>
    <w:bookmarkEnd w:id="83"/>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Equivalent</w:t>
      </w:r>
      <w:r>
        <w:rPr>
          <w:rFonts w:ascii="Arial" w:cs="Arial" w:eastAsia="Arial" w:hAnsi="Arial"/>
          <w:sz w:val="20"/>
          <w:szCs w:val="20"/>
          <w:color w:val="auto"/>
        </w:rPr>
        <w:t xml:space="preserve"> ” means, at any time, (a) with respect to any amount denominated in Dollars, such amount, and (b) with respect to any amount denominated in any Alternative Currency, the equivalent amount thereof in Dollars as determined by the Administrative Agent at such time on the basis of the Spot Rate (determined in respect of the most recent Revaluation Date) for the purchase of Dollars with such Alternative Currency.</w:t>
      </w:r>
    </w:p>
    <w:p>
      <w:pPr>
        <w:spacing w:after="0" w:line="191" w:lineRule="exact"/>
        <w:rPr>
          <w:sz w:val="20"/>
          <w:szCs w:val="20"/>
          <w:color w:val="auto"/>
        </w:rPr>
      </w:pPr>
    </w:p>
    <w:p>
      <w:pPr>
        <w:jc w:val="both"/>
        <w:ind w:firstLine="86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EMU</w:t>
      </w:r>
      <w:r>
        <w:rPr>
          <w:rFonts w:ascii="Arial" w:cs="Arial" w:eastAsia="Arial" w:hAnsi="Arial"/>
          <w:sz w:val="20"/>
          <w:szCs w:val="20"/>
          <w:color w:val="auto"/>
        </w:rPr>
        <w:t>” means the economic and monetary union in accordance with the Treaty of Rome 1957, as amended by the Single European Act 1986, the Maastricht Treaty of 1992 and the Amsterdam Treaty of 1998.</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EMU Legislation</w:t>
      </w:r>
      <w:r>
        <w:rPr>
          <w:rFonts w:ascii="Arial" w:cs="Arial" w:eastAsia="Arial" w:hAnsi="Arial"/>
          <w:sz w:val="20"/>
          <w:szCs w:val="20"/>
          <w:color w:val="auto"/>
        </w:rPr>
        <w:t>” means the legislative measures of the European Council for the introduction of, changeover to or operation of a single or unified European currency.</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Materials, substances or wastes, air emissions and discharges to waste or public systems.</w:t>
      </w:r>
    </w:p>
    <w:p>
      <w:pPr>
        <w:spacing w:after="0" w:line="19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means any liability, contingent or otherwise (including any liability for damages, costs of environmental remediation, fines, penalties or indemnities), of the Parent,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9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4" w:name="page85"/>
    <w:bookmarkEnd w:id="84"/>
    <w:p>
      <w:pPr>
        <w:spacing w:after="0"/>
        <w:rPr>
          <w:sz w:val="20"/>
          <w:szCs w:val="20"/>
          <w:color w:val="auto"/>
        </w:rPr>
      </w:pPr>
      <w:r>
        <w:rPr>
          <w:rFonts w:ascii="Arial" w:cs="Arial" w:eastAsia="Arial" w:hAnsi="Arial"/>
          <w:sz w:val="20"/>
          <w:szCs w:val="20"/>
          <w:color w:val="auto"/>
        </w:rPr>
        <w:t>whether or not such shares, warrants, options, rights or other interests are outstanding on any date of determination.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 time to time.</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xml:space="preserve">” means any trade or business (whether or not incorporated) that, together with the Parent, is treated as a single employer under </w:t>
      </w:r>
      <w:r>
        <w:rPr>
          <w:rFonts w:ascii="Arial" w:cs="Arial" w:eastAsia="Arial" w:hAnsi="Arial"/>
          <w:sz w:val="20"/>
          <w:szCs w:val="20"/>
          <w:u w:val="single" w:color="auto"/>
          <w:color w:val="auto"/>
        </w:rPr>
        <w:t>Section 414(b)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of the Code (and </w:t>
      </w:r>
      <w:r>
        <w:rPr>
          <w:rFonts w:ascii="Arial" w:cs="Arial" w:eastAsia="Arial" w:hAnsi="Arial"/>
          <w:sz w:val="20"/>
          <w:szCs w:val="20"/>
          <w:u w:val="single" w:color="auto"/>
          <w:color w:val="auto"/>
        </w:rPr>
        <w:t>Sections 414(m)</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(o)</w:t>
      </w:r>
      <w:r>
        <w:rPr>
          <w:rFonts w:ascii="Arial" w:cs="Arial" w:eastAsia="Arial" w:hAnsi="Arial"/>
          <w:sz w:val="20"/>
          <w:szCs w:val="20"/>
          <w:color w:val="auto"/>
        </w:rPr>
        <w:t xml:space="preserve"> of the Code for purposes of provisions relating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412</w:t>
      </w:r>
      <w:r>
        <w:rPr>
          <w:rFonts w:ascii="Arial" w:cs="Arial" w:eastAsia="Arial" w:hAnsi="Arial"/>
          <w:sz w:val="20"/>
          <w:szCs w:val="20"/>
          <w:color w:val="auto"/>
        </w:rPr>
        <w:t xml:space="preserve"> of the Code) or Section 4001 of ERISA.</w:t>
      </w:r>
    </w:p>
    <w:p>
      <w:pPr>
        <w:spacing w:after="0" w:line="18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 Reportable Event with respect to a Pension Plan; (b) the failure to meet the minimum funding standard of Sections 412 and 430 of the Code or Sections 302 and 303 of ERISA, in each case, whether or not waived; (c) a withdrawal by the Parent or any ERISA Affiliate from a Pension Plan subject to Section 4063 of ERISA during a plan year in which it was a substantial employer (as defined in Section 4001(a)(2) of ERISA) or a cessation of operations that is treated as such a withdrawal under Section 4062(e) of ERISA;</w:t>
      </w:r>
    </w:p>
    <w:p>
      <w:pPr>
        <w:spacing w:after="0" w:line="3" w:lineRule="exact"/>
        <w:rPr>
          <w:sz w:val="20"/>
          <w:szCs w:val="20"/>
          <w:color w:val="auto"/>
        </w:rPr>
      </w:pPr>
    </w:p>
    <w:p>
      <w:pPr>
        <w:jc w:val="both"/>
        <w:ind w:firstLine="8"/>
        <w:spacing w:after="0"/>
        <w:tabs>
          <w:tab w:leader="none" w:pos="295" w:val="left"/>
        </w:tabs>
        <w:numPr>
          <w:ilvl w:val="0"/>
          <w:numId w:val="46"/>
        </w:numPr>
        <w:rPr>
          <w:rFonts w:ascii="Arial" w:cs="Arial" w:eastAsia="Arial" w:hAnsi="Arial"/>
          <w:sz w:val="20"/>
          <w:szCs w:val="20"/>
          <w:color w:val="auto"/>
        </w:rPr>
      </w:pPr>
      <w:r>
        <w:rPr>
          <w:rFonts w:ascii="Arial" w:cs="Arial" w:eastAsia="Arial" w:hAnsi="Arial"/>
          <w:sz w:val="20"/>
          <w:szCs w:val="20"/>
          <w:color w:val="auto"/>
        </w:rPr>
        <w:t>a complete or partial withdrawal by the Parent or any ERISA Affiliate from a Multiemployer Plan or notification that a Multiemployer Plan is in “insolvent” (within the meaning of Section 4245 of ERISA) or is in endangered or critical status under Section 432 of the Code or Section 305 of ERISA; (e) the filing of a notice of intent to terminate, the treatment of a Pension Plan amendment as a termination under Section 4041 or 4041A of ERISA, or the commencement of proceedings by the PBGC to terminate a Pension Plan; (f) an event or condition which constitutes grounds under Section 4042 of ERISA for the termination of, or the appointment of a trustee to administer, any Pension Plan; and (g) the imposition of any liability under Title IV of ERISA upon the Parent or any ERISA Affiliate with respect to the termination of any Pension Plan.</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ESG</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2.19</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ESG Amendment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2.19</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ESG Pricing Provisions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2.19</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EURIBOR</w:t>
      </w:r>
      <w:r>
        <w:rPr>
          <w:rFonts w:ascii="Arial" w:cs="Arial" w:eastAsia="Arial" w:hAnsi="Arial"/>
          <w:sz w:val="20"/>
          <w:szCs w:val="20"/>
          <w:color w:val="auto"/>
        </w:rPr>
        <w:t>”, when used in reference to any Loan or Borrowing, refers to whether such Loan, or the Loans comprising such Borrowing, are bearing interest at a rate determined by reference to the EURIBOR Screen Rate.</w:t>
      </w:r>
    </w:p>
    <w:p>
      <w:pPr>
        <w:spacing w:after="0" w:line="17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EURIBOR Screen Rate</w:t>
      </w:r>
      <w:r>
        <w:rPr>
          <w:rFonts w:ascii="Arial" w:cs="Arial" w:eastAsia="Arial" w:hAnsi="Arial"/>
          <w:sz w:val="19"/>
          <w:szCs w:val="19"/>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two TARGET Days prior to the commencement of such Interest Period. If such page or service ceases to be available, the Administrative Agent may specify another page or service displaying the relevant rate after consultation with the Company. If the EURIBOR Screen Rate shall be less than the Floor, the EURIBOR Screen Rate shall be deemed to be the Floor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5" w:name="page86"/>
    <w:bookmarkEnd w:id="85"/>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and “</w:t>
      </w:r>
      <w:r>
        <w:rPr>
          <w:rFonts w:ascii="Arial" w:cs="Arial" w:eastAsia="Arial" w:hAnsi="Arial"/>
          <w:sz w:val="20"/>
          <w:szCs w:val="20"/>
          <w:u w:val="single" w:color="auto"/>
          <w:color w:val="auto"/>
        </w:rPr>
        <w:t>EUR</w:t>
      </w:r>
      <w:r>
        <w:rPr>
          <w:rFonts w:ascii="Arial" w:cs="Arial" w:eastAsia="Arial" w:hAnsi="Arial"/>
          <w:sz w:val="20"/>
          <w:szCs w:val="20"/>
          <w:color w:val="auto"/>
        </w:rPr>
        <w:t>” mean the lawful currency of the Participating Member States introduced in accordance with the EMU Legislation.</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Swap Obligation</w:t>
      </w:r>
      <w:r>
        <w:rPr>
          <w:rFonts w:ascii="Arial" w:cs="Arial" w:eastAsia="Arial" w:hAnsi="Arial"/>
          <w:sz w:val="20"/>
          <w:szCs w:val="20"/>
          <w:color w:val="auto"/>
        </w:rPr>
        <w:t>” has the meaning assigned to such term in the Guaranty Agreement.</w:t>
      </w:r>
    </w:p>
    <w:p>
      <w:pPr>
        <w:spacing w:after="0" w:line="21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means any of the following Taxes imposed on or with respect to a Recipient or required to be withheld or deducted from a payment to a Recipient, (a) Taxes imposed on or measured by net income (however denominated), franchise Taxes imposed in lieu of net income taxes, and branch profits Taxes, in each case, imposed by the jurisdiction (or any political subdivision thereof) under the Laws of which such Recipient is organized or, if different, the jurisdiction(s) in which that Recipient is treated as resident for tax purposes or in which its principal office or a permanent establishment is located or, in the case of any Lender, in which its applicable Lending Office is located, (b) any branch profits Taxes imposed by the United States or any similar Taxes imposed by any other jurisdiction in which any Borrower is located, (c) any United States federal backup withholding Taxes, (d) any Taxes imposed under FATCA, (e) in the case of a Lender (other than an assignee pursuant to a request by the Company under </w:t>
      </w:r>
      <w:r>
        <w:rPr>
          <w:rFonts w:ascii="Arial" w:cs="Arial" w:eastAsia="Arial" w:hAnsi="Arial"/>
          <w:sz w:val="19"/>
          <w:szCs w:val="19"/>
          <w:u w:val="single" w:color="auto"/>
          <w:color w:val="auto"/>
        </w:rPr>
        <w:t>Section 10.13</w:t>
      </w:r>
      <w:r>
        <w:rPr>
          <w:rFonts w:ascii="Arial" w:cs="Arial" w:eastAsia="Arial" w:hAnsi="Arial"/>
          <w:sz w:val="19"/>
          <w:szCs w:val="19"/>
          <w:color w:val="auto"/>
        </w:rPr>
        <w:t xml:space="preserve">), any United States withholding Taxes imposed on amounts payable to such Lender pursuant to the Laws in force at the time such Lender becomes a party hereto (or designates a new Lending Office), except in each case, to the extent that such Lender (or its assignor, if any) was entitled, at the time of designation of a new Lending Office (or assignment), to receive additional amounts from the Borrowers with respect to such withholding tax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 (f) any Taxes attributable to such Recipient’s failure to comply with </w:t>
      </w:r>
      <w:r>
        <w:rPr>
          <w:rFonts w:ascii="Arial" w:cs="Arial" w:eastAsia="Arial" w:hAnsi="Arial"/>
          <w:sz w:val="19"/>
          <w:szCs w:val="19"/>
          <w:u w:val="single" w:color="auto"/>
          <w:color w:val="auto"/>
        </w:rPr>
        <w:t>Section 3.01(e)</w:t>
      </w:r>
      <w:r>
        <w:rPr>
          <w:rFonts w:ascii="Arial" w:cs="Arial" w:eastAsia="Arial" w:hAnsi="Arial"/>
          <w:sz w:val="19"/>
          <w:szCs w:val="19"/>
          <w:color w:val="auto"/>
        </w:rPr>
        <w:t>, (g) any Bank Levy, and (h) any Taxes levied under the Dutch Withholding Tax Act 2021 (</w:t>
      </w:r>
      <w:r>
        <w:rPr>
          <w:rFonts w:ascii="Arial" w:cs="Arial" w:eastAsia="Arial" w:hAnsi="Arial"/>
          <w:sz w:val="19"/>
          <w:szCs w:val="19"/>
          <w:i w:val="1"/>
          <w:iCs w:val="1"/>
          <w:color w:val="auto"/>
        </w:rPr>
        <w:t>Wet Bronbelasting 2021</w:t>
      </w:r>
      <w:r>
        <w:rPr>
          <w:rFonts w:ascii="Arial" w:cs="Arial" w:eastAsia="Arial" w:hAnsi="Arial"/>
          <w:sz w:val="19"/>
          <w:szCs w:val="19"/>
          <w:color w:val="auto"/>
        </w:rPr>
        <w:t>). Notwithstanding anything to the contrary contained in this definition, “Excluded Taxes” shall not include any Tax Deduction on account of Taxes imposed by the United Kingdom provided, for the avoidance of doubt, that nothing in this qualification shall be construed so as to exclude from this definition of Excluded Taxes any Taxes imposed under FATCA in any jurisdiction.</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has the meaning specified in the recitals hereof.</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means the letters of credit issued pursuant to the terms of the Existing Credit Agreement and outstanding on the Closing Date as identified on </w:t>
      </w:r>
      <w:r>
        <w:rPr>
          <w:rFonts w:ascii="Arial" w:cs="Arial" w:eastAsia="Arial" w:hAnsi="Arial"/>
          <w:sz w:val="20"/>
          <w:szCs w:val="20"/>
          <w:u w:val="single" w:color="auto"/>
          <w:color w:val="auto"/>
        </w:rPr>
        <w:t>Schedule 1.01(a)</w:t>
      </w:r>
      <w:r>
        <w:rPr>
          <w:rFonts w:ascii="Arial" w:cs="Arial" w:eastAsia="Arial" w:hAnsi="Arial"/>
          <w:sz w:val="20"/>
          <w:szCs w:val="20"/>
          <w:color w:val="auto"/>
        </w:rPr>
        <w: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Senior Notes</w:t>
      </w:r>
      <w:r>
        <w:rPr>
          <w:rFonts w:ascii="Arial" w:cs="Arial" w:eastAsia="Arial" w:hAnsi="Arial"/>
          <w:sz w:val="20"/>
          <w:szCs w:val="20"/>
          <w:color w:val="auto"/>
        </w:rPr>
        <w:t xml:space="preserve">” means the notes described on </w:t>
      </w:r>
      <w:r>
        <w:rPr>
          <w:rFonts w:ascii="Arial" w:cs="Arial" w:eastAsia="Arial" w:hAnsi="Arial"/>
          <w:sz w:val="20"/>
          <w:szCs w:val="20"/>
          <w:u w:val="single" w:color="auto"/>
          <w:color w:val="auto"/>
        </w:rPr>
        <w:t>Schedule 1.01(c)</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Commitments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2.17(d)</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Committed Loans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2.17(d)</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L/C Commitments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2.17(d)</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Lender Obligations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2.17(d)</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Letter of Credit</w:t>
      </w:r>
      <w:r>
        <w:rPr>
          <w:rFonts w:ascii="Arial" w:cs="Arial" w:eastAsia="Arial" w:hAnsi="Arial"/>
          <w:sz w:val="20"/>
          <w:szCs w:val="20"/>
          <w:color w:val="auto"/>
        </w:rPr>
        <w:t>” means any Letter of Credit that for any reason at any time, whether on the date of issuance, amendment, extension or renewal thereof or otherwise, has an expiry date later than the date that is five Business Days prior to the Applicable Maturity Date in respect thereof.</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Credit Maturity Date</w:t>
      </w:r>
      <w:r>
        <w:rPr>
          <w:rFonts w:ascii="Arial" w:cs="Arial" w:eastAsia="Arial" w:hAnsi="Arial"/>
          <w:sz w:val="20"/>
          <w:szCs w:val="20"/>
          <w:color w:val="auto"/>
        </w:rPr>
        <w:t>” means the earliest of (i) the sixth (if one extension has been effected pursuant to Section 2.17) or seventh (if two extensions have been effected pursuant to Section 2.17) anniversary of the Closing Date, (ii) the date of termination of all of the Revolving Credit Commitments pursuant to the terms hereof and (iii) the date on which the Extended Committed Loans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6" w:name="page87"/>
    <w:bookmarkEnd w:id="86"/>
    <w:p>
      <w:pPr>
        <w:jc w:val="both"/>
        <w:spacing w:after="0" w:line="260" w:lineRule="auto"/>
        <w:rPr>
          <w:sz w:val="20"/>
          <w:szCs w:val="20"/>
          <w:color w:val="auto"/>
        </w:rPr>
      </w:pPr>
      <w:r>
        <w:rPr>
          <w:rFonts w:ascii="Arial" w:cs="Arial" w:eastAsia="Arial" w:hAnsi="Arial"/>
          <w:sz w:val="20"/>
          <w:szCs w:val="20"/>
          <w:color w:val="auto"/>
        </w:rPr>
        <w:t xml:space="preserve">declared or become due and payable pursuant to the terms 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date is not a Business Day, the Extended Revolving Credit Maturity Date shall be the next preceding Business Day.</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2.17(c)</w:t>
      </w:r>
      <w:r>
        <w:rPr>
          <w:rFonts w:ascii="Arial" w:cs="Arial" w:eastAsia="Arial" w:hAnsi="Arial"/>
          <w:sz w:val="18"/>
          <w:szCs w:val="18"/>
          <w:color w:val="auto"/>
        </w:rPr>
        <w:t xml:space="preserve"> and includes, to the extent applicable, any New Extending Lender.</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Amendment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2.17(e)</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2.17(f)</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Election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2.17(c)</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Request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2.17(a)</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Facility</w:t>
      </w:r>
      <w:r>
        <w:rPr>
          <w:rFonts w:ascii="Arial" w:cs="Arial" w:eastAsia="Arial" w:hAnsi="Arial"/>
          <w:sz w:val="20"/>
          <w:szCs w:val="20"/>
          <w:color w:val="auto"/>
        </w:rPr>
        <w:t>” means, at any time, the Aggregate Revolving Credit Commitment at such time and the provisions herein related to the Revolving Credit Commitments.</w:t>
      </w:r>
    </w:p>
    <w:p>
      <w:pPr>
        <w:spacing w:after="0" w:line="177"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(a) Sections 1471 through 1474 of the Code, as of the date of this Agreement (or any amended or successor version that is substantively comparable and not materially more onerous to comply with), any current or future regulations or official interpretations thereof, (b) any treaty, law or regulation of any other jurisdiction, or relating to an intergovernmental agreement between the United States and any other jurisdiction, which (in either case) facilitates the implementation of any law or regulation referred to in paragraph</w:t>
      </w:r>
    </w:p>
    <w:p>
      <w:pPr>
        <w:spacing w:after="0" w:line="3"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above, or (c) any agreement pursuant to the implementation of any treaty, law, regulation, rule or practice referred to in paragraphs (a) or</w:t>
      </w:r>
    </w:p>
    <w:p>
      <w:pPr>
        <w:spacing w:after="0" w:line="22" w:lineRule="exact"/>
        <w:rPr>
          <w:rFonts w:ascii="Arial" w:cs="Arial" w:eastAsia="Arial" w:hAnsi="Arial"/>
          <w:sz w:val="18"/>
          <w:szCs w:val="18"/>
          <w:color w:val="auto"/>
        </w:rPr>
      </w:pPr>
    </w:p>
    <w:p>
      <w:pPr>
        <w:ind w:firstLine="8"/>
        <w:spacing w:after="0" w:line="244" w:lineRule="auto"/>
        <w:tabs>
          <w:tab w:leader="none" w:pos="295" w:val="left"/>
        </w:tabs>
        <w:numPr>
          <w:ilvl w:val="0"/>
          <w:numId w:val="47"/>
        </w:numPr>
        <w:rPr>
          <w:rFonts w:ascii="Arial" w:cs="Arial" w:eastAsia="Arial" w:hAnsi="Arial"/>
          <w:sz w:val="20"/>
          <w:szCs w:val="20"/>
          <w:color w:val="auto"/>
        </w:rPr>
      </w:pPr>
      <w:r>
        <w:rPr>
          <w:rFonts w:ascii="Arial" w:cs="Arial" w:eastAsia="Arial" w:hAnsi="Arial"/>
          <w:sz w:val="20"/>
          <w:szCs w:val="20"/>
          <w:color w:val="auto"/>
        </w:rPr>
        <w:t>above with the United States Internal Revenue Service, the United States government or any governmental or taxation authority in any other jurisdiction.</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FCPA</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5.14(c).</w:t>
      </w:r>
    </w:p>
    <w:p>
      <w:pPr>
        <w:spacing w:after="0" w:line="21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Effective Rate</w:t>
      </w:r>
      <w:r>
        <w:rPr>
          <w:rFonts w:ascii="Arial" w:cs="Arial" w:eastAsia="Arial" w:hAnsi="Arial"/>
          <w:sz w:val="20"/>
          <w:szCs w:val="20"/>
          <w:color w:val="auto"/>
        </w:rPr>
        <w:t>”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applicable rate described above shall be less than the Floor, it shall be deemed to be the Floor for purposes of this Agreement.</w:t>
      </w:r>
    </w:p>
    <w:p>
      <w:pPr>
        <w:spacing w:after="0" w:line="19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Reserve Bank</w:t>
      </w:r>
      <w:r>
        <w:rPr>
          <w:rFonts w:ascii="Arial" w:cs="Arial" w:eastAsia="Arial" w:hAnsi="Arial"/>
          <w:sz w:val="20"/>
          <w:szCs w:val="20"/>
          <w:color w:val="auto"/>
        </w:rPr>
        <w:t xml:space="preserve"> of New York’s Website” means the website of the Federal Reserve Bank of New York at http://www.newyorkfed.org, or any successor source.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Reserve Board</w:t>
      </w:r>
      <w:r>
        <w:rPr>
          <w:rFonts w:ascii="Arial" w:cs="Arial" w:eastAsia="Arial" w:hAnsi="Arial"/>
          <w:sz w:val="20"/>
          <w:szCs w:val="20"/>
          <w:color w:val="auto"/>
        </w:rPr>
        <w:t>” means the Board of Governors of the Federal Reserve System of the United States.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Letters</w:t>
      </w:r>
      <w:r>
        <w:rPr>
          <w:rFonts w:ascii="Arial" w:cs="Arial" w:eastAsia="Arial" w:hAnsi="Arial"/>
          <w:sz w:val="20"/>
          <w:szCs w:val="20"/>
          <w:color w:val="auto"/>
        </w:rPr>
        <w:t>” means (a) the Arranger Fee Letter and (b) the Agency Fee Letter.</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Finance Party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3.01(k)</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means, with respect to the Parent or any Borrower, the chief executive officer, chief financial officer, principal accounting officer, treasurer or controller thereof or any director or other authorized signatory thereof with similar responsibilities, as applicable.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“Floor” means a rate of interest equal to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7" w:name="page88"/>
    <w:bookmarkEnd w:id="87"/>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Fronted Letter of Credit</w:t>
      </w:r>
      <w:r>
        <w:rPr>
          <w:rFonts w:ascii="Arial" w:cs="Arial" w:eastAsia="Arial" w:hAnsi="Arial"/>
          <w:sz w:val="20"/>
          <w:szCs w:val="20"/>
          <w:color w:val="auto"/>
        </w:rPr>
        <w:t xml:space="preserve">” means a Letter of Credit issued by an Issuing Lender in which the Lenders purchase risk participations pursuant to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177"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any Issuing Lender, such Defaulting Lender’s Applicable Percentage of the outstanding L/C Obligations with respect to Fronted Letters of Credit issued by such Issuing Lender other than such L/C Obligations as to which such Defaulting Lender’s participation obligation has been reallocated to other Lenders or Cash Collateralized in accordance with the terms hereof and (b) with respect to the Swing Line Lender, such Defaulting Lender’s Applicable Percentage of outstanding Swing Line Loans made by the Swing Line Lender other than Swing Line Loans as to which such Defaulting Lender’s participation obligation has been reallocated to other Lenders or Cash Collateralized in accordance with the terms hereof.</w:t>
      </w:r>
    </w:p>
    <w:p>
      <w:pPr>
        <w:spacing w:after="0" w:line="16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in general use by a significant segment of the accounting profession in the United States, that are applicable to the circumstances as of the date of determination.</w:t>
      </w:r>
    </w:p>
    <w:p>
      <w:pPr>
        <w:spacing w:after="0" w:line="17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Kingdom, United States, the Netherlands or any other nation, or of any political subdivision thereof, whether state or local, and any agency, authority, organization, instrumentality, regulatory body, department, court, central bank, governmental, intergovernmental or supranational body or other entity exercising executive, legislative, judicial, taxing, regulatory or administrative powers or functions of or pertaining to government (including any supra-national bodies such as the European Union or the European Central Bank).</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Granting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10.06(h)</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xml:space="preserve">” means, as to any Person, any obligation, contingent or otherwise, of such Person guaranteeing or having the economic effect of guaranteeing any Indebtedness (the “primary obligor”) in any manner, whether directly or indirectly;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w:t>
      </w:r>
      <w:r>
        <w:rPr>
          <w:rFonts w:ascii="Arial" w:cs="Arial" w:eastAsia="Arial" w:hAnsi="Arial"/>
          <w:sz w:val="19"/>
          <w:szCs w:val="19"/>
          <w:u w:val="single" w:color="auto"/>
          <w:color w:val="auto"/>
        </w:rPr>
        <w:t>Guarantee</w:t>
      </w:r>
      <w:r>
        <w:rPr>
          <w:rFonts w:ascii="Arial" w:cs="Arial" w:eastAsia="Arial" w:hAnsi="Arial"/>
          <w:sz w:val="19"/>
          <w:szCs w:val="19"/>
          <w:color w:val="auto"/>
        </w:rPr>
        <w:t xml:space="preserve"> ” shall not include endorsements for collection or deposit in the ordinary course of business or any guaranty of performance of obligations other than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9"/>
          <w:szCs w:val="19"/>
          <w:u w:val="single" w:color="auto"/>
          <w:color w:val="auto"/>
        </w:rPr>
        <w:t>Guarantee</w:t>
      </w:r>
      <w:r>
        <w:rPr>
          <w:rFonts w:ascii="Arial" w:cs="Arial" w:eastAsia="Arial" w:hAnsi="Arial"/>
          <w:sz w:val="19"/>
          <w:szCs w:val="19"/>
          <w:color w:val="auto"/>
        </w:rPr>
        <w:t>” as a verb has a corresponding meaning.</w:t>
      </w:r>
    </w:p>
    <w:p>
      <w:pPr>
        <w:spacing w:after="0" w:line="185"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(a) the Parent, WNA, each Borrower (with respect to the obligations of the other Borrowers) and each other Subsidiary of the Parent identified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and (b) each other Person that, whether at the option of the Parent, pursuant to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of the Guaranty Agreement or otherwise, at any time becomes a party to the Guaranty Agreement as a Guarantor thereunder.</w:t>
      </w:r>
    </w:p>
    <w:p>
      <w:pPr>
        <w:spacing w:after="0" w:line="15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Agreement</w:t>
      </w:r>
      <w:r>
        <w:rPr>
          <w:rFonts w:ascii="Arial" w:cs="Arial" w:eastAsia="Arial" w:hAnsi="Arial"/>
          <w:sz w:val="20"/>
          <w:szCs w:val="20"/>
          <w:color w:val="auto"/>
        </w:rPr>
        <w:t xml:space="preserve">” means the Amended and Restated Guaranty Agreement,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among the Borrowers, the Guarantors and the Administrative Agent, and any other agreement entered into from time to time pursuant to which any Person guarantees any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8" w:name="page89"/>
    <w:bookmarkEnd w:id="88"/>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materials,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HMRC</w:t>
      </w:r>
      <w:r>
        <w:rPr>
          <w:rFonts w:ascii="Arial" w:cs="Arial" w:eastAsia="Arial" w:hAnsi="Arial"/>
          <w:sz w:val="20"/>
          <w:szCs w:val="20"/>
          <w:color w:val="auto"/>
        </w:rPr>
        <w:t>” means United Kingdom H.M. Revenue &amp; Customs.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HSBC</w:t>
      </w:r>
      <w:r>
        <w:rPr>
          <w:rFonts w:ascii="Arial" w:cs="Arial" w:eastAsia="Arial" w:hAnsi="Arial"/>
          <w:sz w:val="20"/>
          <w:szCs w:val="20"/>
          <w:color w:val="auto"/>
        </w:rPr>
        <w:t>” means HSBC Bank plc or HSBC Securities (USA) Inc., as applicable, or in each case, any successor thereto.</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(the amount of such Indebtedness shall be deemed to be an amount equal to the stated or determinable amount of the related primary obligation, or portion thereof, in respect of which such Lien is granted or, if not stated or determinable, the maximum reasonably anticipated liability in respect thereof as determined by the Person who granted such Lien in good faith), (g) all Guarantees by such Person of Indebtedness of others, (h) all Capital Lease Obligations of such Person, (i) all obligations, contingent or otherwise, of such Person as an account party in respect of letters of credit and letters of guaranty provided with respect to Indebtedness of others and (j) all obligations, contingent or otherwise, of such Person in respect of bankers’ acceptances. 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to the extent otherwise constituting Indebtedness, on any date shall be deemed to be the Swap Termination Value thereof as of such date.</w:t>
      </w:r>
    </w:p>
    <w:p>
      <w:pPr>
        <w:spacing w:after="0" w:line="17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Taxes other than Excluded Taxes and Other Taxes, imposed on or with respect to any payment made under any Loan Document.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Credit Extension</w:t>
      </w:r>
      <w:r>
        <w:rPr>
          <w:rFonts w:ascii="Arial" w:cs="Arial" w:eastAsia="Arial" w:hAnsi="Arial"/>
          <w:sz w:val="20"/>
          <w:szCs w:val="20"/>
          <w:color w:val="auto"/>
        </w:rPr>
        <w:t xml:space="preserve">” means the Credit Extension occurring promptly following the satisfaction of the conditions set forth in </w:t>
      </w:r>
      <w:r>
        <w:rPr>
          <w:rFonts w:ascii="Arial" w:cs="Arial" w:eastAsia="Arial" w:hAnsi="Arial"/>
          <w:sz w:val="20"/>
          <w:szCs w:val="20"/>
          <w:u w:val="single" w:color="auto"/>
          <w:color w:val="auto"/>
        </w:rPr>
        <w:t>Section 4.01</w:t>
      </w:r>
      <w:r>
        <w:rPr>
          <w:rFonts w:ascii="Arial" w:cs="Arial" w:eastAsia="Arial" w:hAnsi="Arial"/>
          <w:sz w:val="20"/>
          <w:szCs w:val="20"/>
          <w:color w:val="auto"/>
        </w:rPr>
        <w:t>.</w:t>
      </w:r>
    </w:p>
    <w:p>
      <w:pPr>
        <w:spacing w:after="0" w:line="17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means, (a) with respect to any Base Rate Loan, the last day of each March, June, September and December, (b) with respect to any Term Benchmark Loan, the last day of the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(c) with respect to any RFR Loan, each date that is on the numerically corresponding day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9" w:name="page90"/>
    <w:bookmarkEnd w:id="89"/>
    <w:p>
      <w:pPr>
        <w:jc w:val="both"/>
        <w:spacing w:after="0" w:line="243" w:lineRule="auto"/>
        <w:rPr>
          <w:sz w:val="20"/>
          <w:szCs w:val="20"/>
          <w:color w:val="auto"/>
        </w:rPr>
      </w:pPr>
      <w:r>
        <w:rPr>
          <w:rFonts w:ascii="Arial" w:cs="Arial" w:eastAsia="Arial" w:hAnsi="Arial"/>
          <w:sz w:val="20"/>
          <w:szCs w:val="20"/>
          <w:color w:val="auto"/>
        </w:rPr>
        <w:t xml:space="preserve">each calendar month that is one month after the date of the Borrowing of which such Loan is a part;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such RFR Loan, (i) if any such date would be a day other than a Business Day, such date shall be extended to the next succeeding Business Day unless such next succeeding Business Day would fall in the next calendar month, in which case such date shall be the next preceding Business Day and (ii) the Interest Payment Date with respect to any Borrowing that occurs on the last Business Day of a calendar month (or on a day for which there is no numerically corresponding day in any applicable calendar month) shall be the last Business Day of any such succeeding applicable calendar month.</w:t>
      </w:r>
    </w:p>
    <w:p>
      <w:pPr>
        <w:spacing w:after="0" w:line="196"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means, with respect to any Term Benchmark Borrowing, the period beginning on the date of such Borrowing specified in the applicable Borrowing Request or on the date specified in the applicable interest election request and ending on the numerically corresponding day in the calendar month that is one, three or six months thereafter (or, if available to all of the Lenders under the Facility, 12 months or, subject to the consent of the Administrative Agent, and if available to and agreed by all Lenders, any other longer or shorter period that may be requested by the relevant Borrower), as the Borrower may elect;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w:t>
      </w:r>
    </w:p>
    <w:p>
      <w:pPr>
        <w:spacing w:after="0" w:line="5" w:lineRule="exact"/>
        <w:rPr>
          <w:sz w:val="20"/>
          <w:szCs w:val="20"/>
          <w:color w:val="auto"/>
        </w:rPr>
      </w:pPr>
    </w:p>
    <w:p>
      <w:pPr>
        <w:ind w:firstLine="8"/>
        <w:spacing w:after="0" w:line="244" w:lineRule="auto"/>
        <w:tabs>
          <w:tab w:leader="none" w:pos="371" w:val="left"/>
        </w:tabs>
        <w:numPr>
          <w:ilvl w:val="0"/>
          <w:numId w:val="48"/>
        </w:numPr>
        <w:rPr>
          <w:rFonts w:ascii="Arial" w:cs="Arial" w:eastAsia="Arial" w:hAnsi="Arial"/>
          <w:sz w:val="20"/>
          <w:szCs w:val="20"/>
          <w:color w:val="auto"/>
        </w:rPr>
      </w:pPr>
      <w:r>
        <w:rPr>
          <w:rFonts w:ascii="Arial" w:cs="Arial" w:eastAsia="Arial" w:hAnsi="Arial"/>
          <w:sz w:val="20"/>
          <w:szCs w:val="20"/>
          <w:color w:val="auto"/>
        </w:rPr>
        <w:t>no Interest Period shall extend beyond the Applicable Maturity Date and (iv) no tenor which has been removed pursuant to Section 3.03(b)(iv) may be selected.</w:t>
      </w:r>
    </w:p>
    <w:p>
      <w:pPr>
        <w:spacing w:after="0" w:line="191" w:lineRule="exact"/>
        <w:rPr>
          <w:sz w:val="20"/>
          <w:szCs w:val="20"/>
          <w:color w:val="auto"/>
        </w:rPr>
      </w:pPr>
    </w:p>
    <w:p>
      <w:pPr>
        <w:jc w:val="both"/>
        <w:ind w:firstLine="802"/>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direct or indirect acquisition or investment by such Person, whether by means of (a) the purchase or other acquisition of any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the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Letter of Credit Application, and any other document, agreement and instrument entered into by the Applicable Issuing Party and the relevant Borrower (or any Subsidiary) or in favor of such Applicable Issuing Party and relating to such Letter of Credit.</w:t>
      </w:r>
    </w:p>
    <w:p>
      <w:pPr>
        <w:spacing w:after="0" w:line="186"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means (a) with respect to the Existing Letters of Credit only, Barclays, and (b) with respect to any other Fronted Letter of Credit other than Existing Letters of Credit, one or more other Lenders selected by the Company with the consent of such Lender, each in its capacity as an issuer of Fronted Letters of Credit hereunder, or any successor issuer of Fronted Letters of Credit hereunder.</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ITA</w:t>
      </w:r>
      <w:r>
        <w:rPr>
          <w:rFonts w:ascii="Arial" w:cs="Arial" w:eastAsia="Arial" w:hAnsi="Arial"/>
          <w:sz w:val="20"/>
          <w:szCs w:val="20"/>
          <w:color w:val="auto"/>
        </w:rPr>
        <w:t>” means the United Kingdom Income Tax Act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0" w:name="page91"/>
    <w:bookmarkEnd w:id="90"/>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means a joinder or similar agreement entered into by any Person (including any Lender) under </w:t>
      </w:r>
      <w:r>
        <w:rPr>
          <w:rFonts w:ascii="Arial" w:cs="Arial" w:eastAsia="Arial" w:hAnsi="Arial"/>
          <w:sz w:val="20"/>
          <w:szCs w:val="20"/>
          <w:u w:val="single" w:color="auto"/>
          <w:color w:val="auto"/>
        </w:rPr>
        <w:t>Section 2.14(b)</w:t>
      </w:r>
      <w:r>
        <w:rPr>
          <w:rFonts w:ascii="Arial" w:cs="Arial" w:eastAsia="Arial" w:hAnsi="Arial"/>
          <w:sz w:val="20"/>
          <w:szCs w:val="20"/>
          <w:color w:val="auto"/>
        </w:rPr>
        <w:t xml:space="preserve"> pursuant to which such Person shall provide New Loans or a New Loan Commitment, as applicable, hereunder and (if such Person is not then a Lender) shall become a Lender party hereto.</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JPMorgan</w:t>
      </w:r>
      <w:r>
        <w:rPr>
          <w:rFonts w:ascii="Arial" w:cs="Arial" w:eastAsia="Arial" w:hAnsi="Arial"/>
          <w:sz w:val="20"/>
          <w:szCs w:val="20"/>
          <w:color w:val="auto"/>
        </w:rPr>
        <w:t>” means JPMorgan Chase Bank, N.A., and its successors.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 Currency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10.19</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KPIs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2.19</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Administrator</w:t>
      </w:r>
      <w:r>
        <w:rPr>
          <w:rFonts w:ascii="Arial" w:cs="Arial" w:eastAsia="Arial" w:hAnsi="Arial"/>
          <w:sz w:val="20"/>
          <w:szCs w:val="20"/>
          <w:color w:val="auto"/>
        </w:rPr>
        <w:t>” means Barclays Bank PLC, as letter of credit administrator for the Lenders, together with any replacement L/C Administrator.</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with respect to each Lender, such Lender’s funding of its participation in any L/C Borrowing in accordance with its Applicable Percentage. All L/C Advances shall be denominated in Dollars or, to the extent the relevant L/C Borrowing is denominated in Sterling or Euro, such Alternative Currencies.</w:t>
      </w:r>
    </w:p>
    <w:p>
      <w:pPr>
        <w:spacing w:after="0" w:line="18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Borrowing</w:t>
      </w:r>
      <w:r>
        <w:rPr>
          <w:rFonts w:ascii="Arial" w:cs="Arial" w:eastAsia="Arial" w:hAnsi="Arial"/>
          <w:sz w:val="19"/>
          <w:szCs w:val="19"/>
          <w:color w:val="auto"/>
        </w:rPr>
        <w:t>” means an extension of credit resulting from a drawing under any Fronted Letter of Credit that has not been reimbursed on the date when made or refinanced as a Committed Borrowing. All L/C Borrowings shall be denominated in Dollars or, to the extent the relevant drawing of the Fronted Letter of Credit is denominated in Sterling or Euro, such Alternative Currencies.</w:t>
      </w:r>
    </w:p>
    <w:p>
      <w:pPr>
        <w:spacing w:after="0" w:line="17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Commitment</w:t>
      </w:r>
      <w:r>
        <w:rPr>
          <w:rFonts w:ascii="Arial" w:cs="Arial" w:eastAsia="Arial" w:hAnsi="Arial"/>
          <w:sz w:val="19"/>
          <w:szCs w:val="19"/>
          <w:color w:val="auto"/>
        </w:rPr>
        <w:t xml:space="preserve">” means, as to any Issuing Lender, its commitment to issue Fronted Letters of Credit, and to amend, renew or extend Fronted Letters of Credit previously issued by it, pursuant to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in an aggregate face amount at any time outstanding not to exceed (a) in the case of any Issuing Lender party hereto as of the Closing Date, the amount set forth opposite such Issuing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under the heading “L/C Commitments” and (b) in the case of any Revolving Credit Lender that becomes an Issuing Lender hereunder thereafter, that amount which shall be set forth in the written agreement by which such Revolving Credit Lender shall become an Issuing Lender, in each case as the maximum Outstanding Amount of Fronted Letters of Credit to be issued by such Issuing Lender, as such commitment may be changed from time to time pursuant to the terms hereof or with the agreement in writing of such Revolving Credit Lender, the Company and the Administrative Agent. The aggregate L/C Commitments of all the Issuing Lenders shall be less than or equal to the Letter of Credit Sublimit at all times.</w:t>
      </w:r>
    </w:p>
    <w:p>
      <w:pPr>
        <w:spacing w:after="0" w:line="18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increase of the amount thereof.</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Issuer</w:t>
      </w:r>
      <w:r>
        <w:rPr>
          <w:rFonts w:ascii="Arial" w:cs="Arial" w:eastAsia="Arial" w:hAnsi="Arial"/>
          <w:sz w:val="20"/>
          <w:szCs w:val="20"/>
          <w:color w:val="auto"/>
        </w:rPr>
        <w:t>” means, (a) with respect to Fronted Letters of Credit, the Issuing Lenders and (b) with respect to a Several Letter of Credit, each Revolving Credit Lender.</w:t>
      </w:r>
    </w:p>
    <w:p>
      <w:pPr>
        <w:spacing w:after="0" w:line="17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means, as at any date of determination, the aggregate amount available to be drawn under all outstanding Letters of Credit plus the aggregate of all Unreimbursed Amounts, including all L/C Borrowings. For purposes of determining the L/C Obligations held by any Revolving Credit Lender, a Revolving Credit Lender shall be deemed to hold an amount equal to the sum of (a) the aggregate amount of such Revolving Credit Lender’s direct obligation in all outstanding Several Letters of Credit, (b) such Revolving Credit Lender’s risk participation in all outstanding Fronted Letters of Credit and (c) such Revolving Credit Lender’s risk participation in all outstanding Several Letters of Credit, if any, with respect to which another Revolving Credit Lender has acted as Limited Fronting Lender on such Revolving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1" w:name="page92"/>
    <w:bookmarkEnd w:id="91"/>
    <w:p>
      <w:pPr>
        <w:jc w:val="both"/>
        <w:spacing w:after="0" w:line="244" w:lineRule="auto"/>
        <w:rPr>
          <w:sz w:val="20"/>
          <w:szCs w:val="20"/>
          <w:color w:val="auto"/>
        </w:rPr>
      </w:pPr>
      <w:r>
        <w:rPr>
          <w:rFonts w:ascii="Arial" w:cs="Arial" w:eastAsia="Arial" w:hAnsi="Arial"/>
          <w:sz w:val="20"/>
          <w:szCs w:val="20"/>
          <w:color w:val="auto"/>
        </w:rPr>
        <w:t xml:space="preserve">Lender’s behalf pursuant to a Limited Fronting Lender Agreement in accordance with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For purposes of computing the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 1.09</w:t>
      </w:r>
      <w:r>
        <w:rPr>
          <w:rFonts w:ascii="Arial" w:cs="Arial" w:eastAsia="Arial" w:hAnsi="Arial"/>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94"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shall have become a Lender hereunder pursuant to an Assignment and Assumption or a Joinder Agreement (other than any such Person that ceases to be a party hereto pursuant to an Assignment and Assumption) and, as the context may require, includes the Issuing Lenders and the Swing Line Lender.</w:t>
      </w:r>
    </w:p>
    <w:p>
      <w:pPr>
        <w:spacing w:after="0" w:line="152"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w:t>
      </w:r>
    </w:p>
    <w:p>
      <w:pPr>
        <w:spacing w:after="0" w:line="13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standby letter of credit issued hereunder. Letters of Credit may only be issued in Dollars or, if consented by the relevant L/C Issuers, Sterling and Euro.</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Applicable Issuing Party.</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means, with respect to any Letter of Credit, the day that is one year after the Applicable Maturity Date with respect to such Letter of Credit.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2.03(j)</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xml:space="preserve">” means an amount equal to the least of (a) the aggregate amount of the L/C Commitments of the Issuing Lenders, (b) the Aggregate Revolving Credit Commitment and (c) $150,000,000;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Letter of Credit Sublimit is subject to adjustment in accordance with </w:t>
      </w:r>
      <w:r>
        <w:rPr>
          <w:rFonts w:ascii="Arial" w:cs="Arial" w:eastAsia="Arial" w:hAnsi="Arial"/>
          <w:sz w:val="20"/>
          <w:szCs w:val="20"/>
          <w:u w:val="single" w:color="auto"/>
          <w:color w:val="auto"/>
        </w:rPr>
        <w:t>Section 2.06</w:t>
      </w:r>
      <w:r>
        <w:rPr>
          <w:rFonts w:ascii="Arial" w:cs="Arial" w:eastAsia="Arial" w:hAnsi="Arial"/>
          <w:sz w:val="20"/>
          <w:szCs w:val="20"/>
          <w:color w:val="auto"/>
        </w:rPr>
        <w:t>. The Letter of Credit Sublimit is part of, and not in addition to, the Aggregate Revolving Credit Commitment.</w:t>
      </w:r>
    </w:p>
    <w:p>
      <w:pPr>
        <w:spacing w:after="0" w:line="191" w:lineRule="exact"/>
        <w:rPr>
          <w:sz w:val="20"/>
          <w:szCs w:val="20"/>
          <w:color w:val="auto"/>
        </w:rPr>
      </w:pPr>
    </w:p>
    <w:p>
      <w:pPr>
        <w:jc w:val="both"/>
        <w:ind w:firstLine="83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7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Fronting Lender</w:t>
      </w:r>
      <w:r>
        <w:rPr>
          <w:rFonts w:ascii="Arial" w:cs="Arial" w:eastAsia="Arial" w:hAnsi="Arial"/>
          <w:sz w:val="20"/>
          <w:szCs w:val="20"/>
          <w:color w:val="auto"/>
        </w:rPr>
        <w:t xml:space="preserve">” means, as provided in </w:t>
      </w:r>
      <w:r>
        <w:rPr>
          <w:rFonts w:ascii="Arial" w:cs="Arial" w:eastAsia="Arial" w:hAnsi="Arial"/>
          <w:sz w:val="20"/>
          <w:szCs w:val="20"/>
          <w:u w:val="single" w:color="auto"/>
          <w:color w:val="auto"/>
        </w:rPr>
        <w:t>Section 2.03</w:t>
      </w:r>
      <w:r>
        <w:rPr>
          <w:rFonts w:ascii="Arial" w:cs="Arial" w:eastAsia="Arial" w:hAnsi="Arial"/>
          <w:sz w:val="20"/>
          <w:szCs w:val="20"/>
          <w:color w:val="auto"/>
        </w:rPr>
        <w:t>, any Revolving Credit Lender that agrees that it shall be an issuer with respect to any Non-SLC Bank’s Applicable Percentage of Several Letters of Credit outstanding and/or issued during the period that such Non-SLC Bank is a Non-SLC Bank, in each case pursuant to a Limited Fronting Lender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2" w:name="page93"/>
    <w:bookmarkEnd w:id="92"/>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Fronting Lender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2.03(f)(iv)</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means an extension of credit by a Lender to any Borrower under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 the form of a Committed Loan, a Swing Line Loan or a New Loan.</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this Agreement, each Revolving Credit Note, each Issuer Document, the Fee Letters, each Joinder Agreement, the Guaranty Agreement, any Extension Amendment and any other agreement or instrument designated by the Administrative Agent and any Loan Party as a Loan Document.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the Borrowers and the Guarantors.</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Marketing Information</w:t>
      </w:r>
      <w:r>
        <w:rPr>
          <w:rFonts w:ascii="Arial" w:cs="Arial" w:eastAsia="Arial" w:hAnsi="Arial"/>
          <w:sz w:val="20"/>
          <w:szCs w:val="20"/>
          <w:color w:val="auto"/>
        </w:rPr>
        <w:t>” means the Confidential Information Memorandum of the Company and the Parent dated September 2021 and provided to the Lenders in connection with the syndication of the Facility.</w:t>
      </w:r>
    </w:p>
    <w:p>
      <w:pPr>
        <w:spacing w:after="0" w:line="17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a material adverse change in, or a material adverse effect upon, the business, financial position, property or results of operations of the Parent and its Subsidiaries taken as a whole; (b) a material impairment of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spacing w:after="0" w:line="17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Indebtedness</w:t>
      </w:r>
      <w:r>
        <w:rPr>
          <w:rFonts w:ascii="Arial" w:cs="Arial" w:eastAsia="Arial" w:hAnsi="Arial"/>
          <w:sz w:val="19"/>
          <w:szCs w:val="19"/>
          <w:color w:val="auto"/>
        </w:rPr>
        <w:t>” means any Indebtedness (other than the Loans or any intercompany debt between and among the Parent and its Subsidiaries so long as such intercompany debt (a) is not owed by any Loan Party and (b) is not guaranteed by any Loan Party) of any one or more of the Parent and its Subsidiaries in an aggregate principal amount exceeding $100,000,000.</w:t>
      </w:r>
    </w:p>
    <w:p>
      <w:pPr>
        <w:spacing w:after="0" w:line="17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Swap Obligations</w:t>
      </w:r>
      <w:r>
        <w:rPr>
          <w:rFonts w:ascii="Arial" w:cs="Arial" w:eastAsia="Arial" w:hAnsi="Arial"/>
          <w:sz w:val="20"/>
          <w:szCs w:val="20"/>
          <w:color w:val="auto"/>
        </w:rPr>
        <w:t>” means obligations in respect of one or more Swap Contracts with an aggregate Swap Termination Value exceeding $50,000,000.</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Measurement Period</w:t>
      </w:r>
      <w:r>
        <w:rPr>
          <w:rFonts w:ascii="Arial" w:cs="Arial" w:eastAsia="Arial" w:hAnsi="Arial"/>
          <w:sz w:val="20"/>
          <w:szCs w:val="20"/>
          <w:color w:val="auto"/>
        </w:rPr>
        <w:t>” means, at any date of determination, the most recently completed four consecutive fiscal quarters of the Parent ending on or prior to such date.</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Extension Condition</w:t>
      </w:r>
      <w:r>
        <w:rPr>
          <w:rFonts w:ascii="Arial" w:cs="Arial" w:eastAsia="Arial" w:hAnsi="Arial"/>
          <w:sz w:val="20"/>
          <w:szCs w:val="20"/>
          <w:color w:val="auto"/>
        </w:rPr>
        <w:t xml:space="preserve">” means the holders of more than 50% of the Aggregate Revolving Credit Commitments then in effect shall have delivered Extension Elections with respect thereto on or prior to the date described in </w:t>
      </w:r>
      <w:r>
        <w:rPr>
          <w:rFonts w:ascii="Arial" w:cs="Arial" w:eastAsia="Arial" w:hAnsi="Arial"/>
          <w:sz w:val="20"/>
          <w:szCs w:val="20"/>
          <w:u w:val="single" w:color="auto"/>
          <w:color w:val="auto"/>
        </w:rPr>
        <w:t>Section 2.17(c)</w:t>
      </w:r>
      <w:r>
        <w:rPr>
          <w:rFonts w:ascii="Arial" w:cs="Arial" w:eastAsia="Arial" w:hAnsi="Arial"/>
          <w:sz w:val="20"/>
          <w:szCs w:val="20"/>
          <w:color w:val="auto"/>
        </w:rPr>
        <w: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xml:space="preserve">” means any employee benefit plan as defined in </w:t>
      </w:r>
      <w:r>
        <w:rPr>
          <w:rFonts w:ascii="Arial" w:cs="Arial" w:eastAsia="Arial" w:hAnsi="Arial"/>
          <w:sz w:val="20"/>
          <w:szCs w:val="20"/>
          <w:u w:val="single" w:color="auto"/>
          <w:color w:val="auto"/>
        </w:rPr>
        <w:t>Section 4001(a)(3)</w:t>
      </w:r>
      <w:r>
        <w:rPr>
          <w:rFonts w:ascii="Arial" w:cs="Arial" w:eastAsia="Arial" w:hAnsi="Arial"/>
          <w:sz w:val="20"/>
          <w:szCs w:val="20"/>
          <w:color w:val="auto"/>
        </w:rPr>
        <w:t xml:space="preserve"> of ERISA, to which the Parent or any ERISA Affiliate makes or is obligated to make contributions.</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Net Worth</w:t>
      </w:r>
      <w:r>
        <w:rPr>
          <w:rFonts w:ascii="Arial" w:cs="Arial" w:eastAsia="Arial" w:hAnsi="Arial"/>
          <w:sz w:val="20"/>
          <w:szCs w:val="20"/>
          <w:color w:val="auto"/>
        </w:rPr>
        <w:t xml:space="preserve">” means, as of any date, (a) the amount of consolidated total assets of the Parent and its Subsidiaries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the amount of consolidated total liabilities of the Parent and its Subsidiaries, in each case, that would be reflected on a balance sheet of the Parent and its Subsidiaries prepared as of such date on a consolidated basis in accordance with GAAP.</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Extending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2.17(c)</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2.14(b)(vi)</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2.14(b)(i)</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3" w:name="page94"/>
    <w:bookmarkEnd w:id="93"/>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Loan Commitment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2.14(a)</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Senior Notes</w:t>
      </w:r>
      <w:r>
        <w:rPr>
          <w:rFonts w:ascii="Arial" w:cs="Arial" w:eastAsia="Arial" w:hAnsi="Arial"/>
          <w:sz w:val="20"/>
          <w:szCs w:val="20"/>
          <w:color w:val="auto"/>
        </w:rPr>
        <w:t xml:space="preserve"> ” means any issuance of senior notes by the Parent after the Closing Date hereof, the proceeds of which are intended to be used, in whole or in part, to redeem, repurchase or otherwise retire any Existing Senior Notes.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Non-Extended Commitments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Non-Extended Committed Loans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Non-Extended L/C Commitments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Non-Extended Lender Obligations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2.17(b)</w:t>
      </w:r>
      <w:r>
        <w:rPr>
          <w:rFonts w:ascii="Arial" w:cs="Arial" w:eastAsia="Arial" w:hAnsi="Arial"/>
          <w:sz w:val="20"/>
          <w:szCs w:val="20"/>
          <w:color w:val="auto"/>
        </w:rPr>
        <w:t>.</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means the Federal Reserve Bank of New York.</w:t>
      </w:r>
    </w:p>
    <w:p>
      <w:pPr>
        <w:spacing w:after="0" w:line="1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Non-SLC Bank</w:t>
      </w:r>
      <w:r>
        <w:rPr>
          <w:rFonts w:ascii="Arial" w:cs="Arial" w:eastAsia="Arial" w:hAnsi="Arial"/>
          <w:sz w:val="19"/>
          <w:szCs w:val="19"/>
          <w:color w:val="auto"/>
        </w:rPr>
        <w:t>” means a Revolving Credit Lender that as a result of one or more policies applicable to it regarding Letters of Credit, is precluded from issuing Several Letters of Credit directly as a L/C Issuer pursuant to the terms of this Agreement.</w:t>
      </w:r>
    </w:p>
    <w:p>
      <w:pPr>
        <w:spacing w:after="0" w:line="16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with respect thereto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Obligations of any Guarantor shall not include any Excluded Swap Obligations.</w:t>
      </w:r>
    </w:p>
    <w:p>
      <w:pPr>
        <w:spacing w:after="0" w:line="17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Original Revolving Credit Maturity Date</w:t>
      </w:r>
      <w:r>
        <w:rPr>
          <w:rFonts w:ascii="Arial" w:cs="Arial" w:eastAsia="Arial" w:hAnsi="Arial"/>
          <w:sz w:val="20"/>
          <w:szCs w:val="20"/>
          <w:color w:val="auto"/>
        </w:rPr>
        <w:t xml:space="preserve">” means the earliest of (a) the fifth anniversary of the Closing Date, (b) the date of termination of all of the Revolving Credit Commitments pursuant to the terms hereof and (c) the date on which the Non-Extended Committed Loans are declared or become due and payable pursuant to the terms 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date is not a Business Day, the Original Revolving Credit Maturity Date shall be the next preceding Business Day.</w:t>
      </w:r>
    </w:p>
    <w:p>
      <w:pPr>
        <w:spacing w:after="0" w:line="19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Other Taxes</w:t>
      </w:r>
      <w:r>
        <w:rPr>
          <w:rFonts w:ascii="Arial" w:cs="Arial" w:eastAsia="Arial" w:hAnsi="Arial"/>
          <w:sz w:val="20"/>
          <w:szCs w:val="20"/>
          <w:color w:val="auto"/>
        </w:rPr>
        <w:t xml:space="preserve">” means all present or future stamp, registration or documentary Taxes or duties or any other excise or property Taxes, charges or similar levies arising from any payment made hereunder or under any other Loan Document or from the execution, delivery or enforcement of, or otherwise with respect to, this Agreement or any other Loan Document (but excluding any such Tax in respect of the assignment, transfer, participation or sub-participation (other than pursuant to a written request by or notice from a Loan Party or any request or notice delivered pursuant to </w:t>
      </w:r>
      <w:r>
        <w:rPr>
          <w:rFonts w:ascii="Arial" w:cs="Arial" w:eastAsia="Arial" w:hAnsi="Arial"/>
          <w:sz w:val="20"/>
          <w:szCs w:val="20"/>
          <w:u w:val="single" w:color="auto"/>
          <w:color w:val="auto"/>
        </w:rPr>
        <w:t>Section 3.01(e)(ii)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3.06(a)</w:t>
      </w:r>
      <w:r>
        <w:rPr>
          <w:rFonts w:ascii="Arial" w:cs="Arial" w:eastAsia="Arial" w:hAnsi="Arial"/>
          <w:sz w:val="20"/>
          <w:szCs w:val="20"/>
          <w:color w:val="auto"/>
        </w:rPr>
        <w:t>) by any Lender of any of its rights and obligations under this Agreement or any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4" w:name="page95"/>
    <w:bookmarkEnd w:id="94"/>
    <w:p>
      <w:pPr>
        <w:jc w:val="both"/>
        <w:ind w:firstLine="749"/>
        <w:spacing w:after="0" w:line="243"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Outstanding Amount</w:t>
      </w:r>
      <w:r>
        <w:rPr>
          <w:rFonts w:ascii="Arial" w:cs="Arial" w:eastAsia="Arial" w:hAnsi="Arial"/>
          <w:sz w:val="20"/>
          <w:szCs w:val="20"/>
          <w:color w:val="auto"/>
        </w:rPr>
        <w:t>” means (a) with respect to Committed Loans and Swing Line Loans on any date, the Dollar Equivalent amount of the aggregate outstanding principal amount thereof after giving effect to any borrowings and prepayments or repayments of such Committed Loans and Swing Line Loans, as the case may be, occurring on such date and (b) with respect to any L/C Obligations on any date, the aggregate outstanding amount of such L/C Obligations on such date after giving effect to any L/C Credit Extension occurring on such date and any other changes in the aggregate amount of the L/C Obligations as of such date, including as a result of any reimbursements by the Borrowers of Unreimbursed Amounts.</w:t>
      </w:r>
    </w:p>
    <w:p>
      <w:pPr>
        <w:spacing w:after="0" w:line="19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Rate</w:t>
      </w:r>
      <w:r>
        <w:rPr>
          <w:rFonts w:ascii="Arial" w:cs="Arial" w:eastAsia="Arial" w:hAnsi="Arial"/>
          <w:sz w:val="19"/>
          <w:szCs w:val="19"/>
          <w:color w:val="auto"/>
        </w:rPr>
        <w:t xml:space="preserve">” means, for any day, (a) with respect to any amount denominated in Dollars, the greater of (i) the Federal Funds Effective Rate and (ii) an overnight rate determined by the Administrative Agent or the applicable Issuing Lender, as the case may be, in accordance with banking industry rules on interbank compensation; and (b) with respect to any amount denominated in an Alternative Currency, the rate of interest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at which overnight deposits in the applicable Alternative Currency, in an amount approximately equal to the amount with respect to which such rate is being determined, would be offered for such day by a branch or Affiliate of Barclays in the applicable offshore interbank market for such currency to major banks in such interbank market.</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and 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10.06(e)</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10.06(e)</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w:t>
      </w:r>
      <w:r>
        <w:rPr>
          <w:rFonts w:ascii="Arial" w:cs="Arial" w:eastAsia="Arial" w:hAnsi="Arial"/>
          <w:sz w:val="20"/>
          <w:szCs w:val="20"/>
          <w:color w:val="auto"/>
        </w:rPr>
        <w:t>” means each state so described in any EMU Legislation.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9.13(a)</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9.13(b)</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Recipient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9.13(a)</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referred to and defined in ERISA and any successor entity performing similar functions.</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xml:space="preserve">” means any “employee pension benefit plan” (as such term is defined in </w:t>
      </w: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of ERISA), other than a Multiemployer Plan, that is subject to Title IV of ERISA and is sponsored or maintained by the Parent or any ERISA Affiliate or to which the Parent or any ERISA Affiliate contributes or has an obligation to contribute.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Periodic Term SOFR Determination Day</w:t>
      </w:r>
      <w:r>
        <w:rPr>
          <w:rFonts w:ascii="Arial" w:cs="Arial" w:eastAsia="Arial" w:hAnsi="Arial"/>
          <w:sz w:val="20"/>
          <w:szCs w:val="20"/>
          <w:color w:val="auto"/>
        </w:rPr>
        <w:t>” has the meaning assigned to such term in the definition of “Term SOFR”.</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means:</w:t>
      </w:r>
    </w:p>
    <w:p>
      <w:pPr>
        <w:spacing w:after="0" w:line="216" w:lineRule="exact"/>
        <w:rPr>
          <w:sz w:val="20"/>
          <w:szCs w:val="20"/>
          <w:color w:val="auto"/>
        </w:rPr>
      </w:pPr>
    </w:p>
    <w:p>
      <w:pPr>
        <w:ind w:left="1940" w:hanging="435"/>
        <w:spacing w:after="0"/>
        <w:tabs>
          <w:tab w:leader="none" w:pos="1940" w:val="left"/>
        </w:tabs>
        <w:numPr>
          <w:ilvl w:val="0"/>
          <w:numId w:val="49"/>
        </w:numPr>
        <w:rPr>
          <w:rFonts w:ascii="Arial" w:cs="Arial" w:eastAsia="Arial" w:hAnsi="Arial"/>
          <w:sz w:val="20"/>
          <w:szCs w:val="20"/>
          <w:color w:val="010000"/>
        </w:rPr>
      </w:pPr>
      <w:r>
        <w:rPr>
          <w:rFonts w:ascii="Arial" w:cs="Arial" w:eastAsia="Arial" w:hAnsi="Arial"/>
          <w:sz w:val="20"/>
          <w:szCs w:val="20"/>
          <w:color w:val="auto"/>
        </w:rPr>
        <w:t xml:space="preserve">Liens for Taxes that are not yet due or are being contested in compliance with </w:t>
      </w:r>
      <w:r>
        <w:rPr>
          <w:rFonts w:ascii="Arial" w:cs="Arial" w:eastAsia="Arial" w:hAnsi="Arial"/>
          <w:sz w:val="20"/>
          <w:szCs w:val="20"/>
          <w:u w:val="single" w:color="auto"/>
          <w:color w:val="auto"/>
        </w:rPr>
        <w:t>Section 6.04</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ind w:left="760" w:firstLine="745"/>
        <w:spacing w:after="0" w:line="260" w:lineRule="auto"/>
        <w:tabs>
          <w:tab w:leader="none" w:pos="1962" w:val="left"/>
        </w:tabs>
        <w:numPr>
          <w:ilvl w:val="0"/>
          <w:numId w:val="49"/>
        </w:numPr>
        <w:rPr>
          <w:rFonts w:ascii="Arial" w:cs="Arial" w:eastAsia="Arial" w:hAnsi="Arial"/>
          <w:sz w:val="20"/>
          <w:szCs w:val="20"/>
          <w:color w:val="010000"/>
        </w:rPr>
      </w:pPr>
      <w:r>
        <w:rPr>
          <w:rFonts w:ascii="Arial" w:cs="Arial" w:eastAsia="Arial" w:hAnsi="Arial"/>
          <w:sz w:val="20"/>
          <w:szCs w:val="20"/>
          <w:color w:val="auto"/>
        </w:rPr>
        <w:t>carriers’, warehousemen’s, mechanics’, materialmen’s, repairmen’s and other like Liens imposed by law, arising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5" w:name="page96"/>
    <w:bookmarkEnd w:id="95"/>
    <w:p>
      <w:pPr>
        <w:ind w:left="760" w:firstLine="745"/>
        <w:spacing w:after="0" w:line="260" w:lineRule="auto"/>
        <w:tabs>
          <w:tab w:leader="none" w:pos="2012" w:val="left"/>
        </w:tabs>
        <w:numPr>
          <w:ilvl w:val="0"/>
          <w:numId w:val="50"/>
        </w:numPr>
        <w:rPr>
          <w:rFonts w:ascii="Arial" w:cs="Arial" w:eastAsia="Arial" w:hAnsi="Arial"/>
          <w:sz w:val="20"/>
          <w:szCs w:val="20"/>
          <w:color w:val="010000"/>
        </w:rPr>
      </w:pPr>
      <w:r>
        <w:rPr>
          <w:rFonts w:ascii="Arial" w:cs="Arial" w:eastAsia="Arial" w:hAnsi="Arial"/>
          <w:sz w:val="20"/>
          <w:szCs w:val="20"/>
          <w:color w:val="auto"/>
        </w:rPr>
        <w:t>pledges and deposits made in the ordinary course of business in compliance with workers’ compensation, unemployment insurance and other social security laws or regulations;</w:t>
      </w:r>
    </w:p>
    <w:p>
      <w:pPr>
        <w:spacing w:after="0" w:line="176" w:lineRule="exact"/>
        <w:rPr>
          <w:rFonts w:ascii="Arial" w:cs="Arial" w:eastAsia="Arial" w:hAnsi="Arial"/>
          <w:sz w:val="20"/>
          <w:szCs w:val="20"/>
          <w:color w:val="010000"/>
        </w:rPr>
      </w:pPr>
    </w:p>
    <w:p>
      <w:pPr>
        <w:jc w:val="both"/>
        <w:ind w:left="760" w:firstLine="745"/>
        <w:spacing w:after="0" w:line="246" w:lineRule="auto"/>
        <w:tabs>
          <w:tab w:leader="none" w:pos="1999" w:val="left"/>
        </w:tabs>
        <w:numPr>
          <w:ilvl w:val="0"/>
          <w:numId w:val="50"/>
        </w:numPr>
        <w:rPr>
          <w:rFonts w:ascii="Arial" w:cs="Arial" w:eastAsia="Arial" w:hAnsi="Arial"/>
          <w:sz w:val="20"/>
          <w:szCs w:val="20"/>
          <w:color w:val="010000"/>
        </w:rPr>
      </w:pPr>
      <w:r>
        <w:rPr>
          <w:rFonts w:ascii="Arial" w:cs="Arial" w:eastAsia="Arial" w:hAnsi="Arial"/>
          <w:sz w:val="20"/>
          <w:szCs w:val="20"/>
          <w:color w:val="auto"/>
        </w:rPr>
        <w:t>deposits and other Liens (limited solely to Liens on consideration owing under the contracts and other like obligations the performance of which is secured thereby) to secure the performance of bids, trade contracts, leases, statutory obligations, surety and appeal bonds, performance bonds and other obligations of a like nature, in each case in the ordinary course of business;</w:t>
      </w:r>
    </w:p>
    <w:p>
      <w:pPr>
        <w:spacing w:after="0" w:line="191" w:lineRule="exact"/>
        <w:rPr>
          <w:rFonts w:ascii="Arial" w:cs="Arial" w:eastAsia="Arial" w:hAnsi="Arial"/>
          <w:sz w:val="20"/>
          <w:szCs w:val="20"/>
          <w:color w:val="010000"/>
        </w:rPr>
      </w:pPr>
    </w:p>
    <w:p>
      <w:pPr>
        <w:ind w:left="1940" w:hanging="435"/>
        <w:spacing w:after="0"/>
        <w:tabs>
          <w:tab w:leader="none" w:pos="1940"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 xml:space="preserve">judgment liens in respect of judgments that do not constitute an Event of Default under </w:t>
      </w:r>
      <w:r>
        <w:rPr>
          <w:rFonts w:ascii="Arial" w:cs="Arial" w:eastAsia="Arial" w:hAnsi="Arial"/>
          <w:sz w:val="19"/>
          <w:szCs w:val="19"/>
          <w:u w:val="single" w:color="auto"/>
          <w:color w:val="auto"/>
        </w:rPr>
        <w:t>Section 8.01(i)</w:t>
      </w:r>
      <w:r>
        <w:rPr>
          <w:rFonts w:ascii="Arial" w:cs="Arial" w:eastAsia="Arial" w:hAnsi="Arial"/>
          <w:sz w:val="19"/>
          <w:szCs w:val="19"/>
          <w:color w:val="auto"/>
        </w:rPr>
        <w:t>; and</w:t>
      </w:r>
    </w:p>
    <w:p>
      <w:pPr>
        <w:spacing w:after="0" w:line="227" w:lineRule="exact"/>
        <w:rPr>
          <w:rFonts w:ascii="Arial" w:cs="Arial" w:eastAsia="Arial" w:hAnsi="Arial"/>
          <w:sz w:val="19"/>
          <w:szCs w:val="19"/>
          <w:color w:val="010000"/>
        </w:rPr>
      </w:pPr>
    </w:p>
    <w:p>
      <w:pPr>
        <w:jc w:val="both"/>
        <w:ind w:left="760" w:firstLine="745"/>
        <w:spacing w:after="0" w:line="269" w:lineRule="auto"/>
        <w:tabs>
          <w:tab w:leader="none" w:pos="1948"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Parent or any Subsidiary;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term “Permitted Encumbrances” shall not include any Lien securing Indebtedness.</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of interest last quoted by The Wall Street Journal as the “Prime Rate” in the U.S. or, if The Wall Street Journal ceases to quote such rate, the highest per annum interest rate published by the FRB in Federal Reserve Statistical Release H.15 (519) (Selected Interest Rates) as the “bank prime loan” rate or, if such rate is no longer quoted therein, any similar rate quoted therein (as determined by the Administrative Agent) or any similar release by the FRB (as determined by the Administrative Agent).</w:t>
      </w:r>
    </w:p>
    <w:p>
      <w:pPr>
        <w:spacing w:after="0" w:line="16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xml:space="preserve"> ” means a prohibited transaction class exemption issued by the U.S. Department of Labor, as any such exemption may be amended from time to time.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 the Administrative Agent, (b) any Lender, (c) the L/C Administrator, or (d) any Issuing Lender, as applicable.</w:t>
      </w:r>
    </w:p>
    <w:p>
      <w:pPr>
        <w:spacing w:after="0" w:line="23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Reimbursement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partners, directors, officers, employees, agents, trustees and advisors of such Person and of such Person’s Affiliates.</w:t>
      </w:r>
    </w:p>
    <w:p>
      <w:pPr>
        <w:spacing w:after="0" w:line="177"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(a) with respect to a Benchmark Replacement in respect of Dollars, the Board of Governors or the NYFRB, or a committee officially endorsed or convened by the Board of Governors or the NYFRB, or any successor thereto, (b) with respect to a Benchmark Replacement in respect of Loans denominated in Sterling, the Bank of England, or a committee officially endorsed or convened by the Bank of England or, in each case, any successor thereto, (c) with respect to a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6" w:name="page97"/>
    <w:bookmarkEnd w:id="96"/>
    <w:p>
      <w:pPr>
        <w:jc w:val="both"/>
        <w:spacing w:after="0" w:line="257" w:lineRule="auto"/>
        <w:rPr>
          <w:sz w:val="20"/>
          <w:szCs w:val="20"/>
          <w:color w:val="auto"/>
        </w:rPr>
      </w:pPr>
      <w:r>
        <w:rPr>
          <w:rFonts w:ascii="Arial" w:cs="Arial" w:eastAsia="Arial" w:hAnsi="Arial"/>
          <w:sz w:val="19"/>
          <w:szCs w:val="19"/>
          <w:color w:val="auto"/>
        </w:rPr>
        <w:t>Replacement in respect of Loans denominated in Euros, the European Central Bank, or a committee officially endorsed or convened by the European Central Bank or, in each case, any successor thereto and (d) with respect to a Benchmark Replacement in respect of any other currency, (1) the central bank for the currency in which such amounts are denominated hereunder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amounts are denominated,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80" w:lineRule="exact"/>
        <w:rPr>
          <w:sz w:val="20"/>
          <w:szCs w:val="20"/>
          <w:color w:val="auto"/>
        </w:rPr>
      </w:pPr>
    </w:p>
    <w:p>
      <w:pPr>
        <w:jc w:val="both"/>
        <w:ind w:firstLine="80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xml:space="preserve">” means any of the events set forth in </w:t>
      </w:r>
      <w:r>
        <w:rPr>
          <w:rFonts w:ascii="Arial" w:cs="Arial" w:eastAsia="Arial" w:hAnsi="Arial"/>
          <w:sz w:val="20"/>
          <w:szCs w:val="20"/>
          <w:u w:val="single" w:color="auto"/>
          <w:color w:val="auto"/>
        </w:rPr>
        <w:t>Section 4043(c)</w:t>
      </w:r>
      <w:r>
        <w:rPr>
          <w:rFonts w:ascii="Arial" w:cs="Arial" w:eastAsia="Arial" w:hAnsi="Arial"/>
          <w:sz w:val="20"/>
          <w:szCs w:val="20"/>
          <w:color w:val="auto"/>
        </w:rPr>
        <w:t xml:space="preserve"> of ERISA, other than events for which the 30 day notice requirement has been waived under the applicable regulations.</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means, as of any date of determination, but subject to </w:t>
      </w:r>
      <w:r>
        <w:rPr>
          <w:rFonts w:ascii="Arial" w:cs="Arial" w:eastAsia="Arial" w:hAnsi="Arial"/>
          <w:sz w:val="20"/>
          <w:szCs w:val="20"/>
          <w:u w:val="single" w:color="auto"/>
          <w:color w:val="auto"/>
        </w:rPr>
        <w:t>Section 2.16(a)(i)</w:t>
      </w:r>
      <w:r>
        <w:rPr>
          <w:rFonts w:ascii="Arial" w:cs="Arial" w:eastAsia="Arial" w:hAnsi="Arial"/>
          <w:sz w:val="20"/>
          <w:szCs w:val="20"/>
          <w:color w:val="auto"/>
        </w:rPr>
        <w:t xml:space="preserve">, the holders of more than 50% of the Aggregate Commitments then in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portion of the Revolving Credit Commitments, Committed Loans, Swing Line Loans and L/C Obligations, as applicable, held or deemed held by a Defaulting Lender shall be excluded for purposes of making a determination of Required Lenders at any time.</w:t>
      </w:r>
    </w:p>
    <w:p>
      <w:pPr>
        <w:spacing w:after="0" w:line="19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Requisite Qualified Acquisition Threshold</w:t>
      </w:r>
      <w:r>
        <w:rPr>
          <w:rFonts w:ascii="Arial" w:cs="Arial" w:eastAsia="Arial" w:hAnsi="Arial"/>
          <w:sz w:val="20"/>
          <w:szCs w:val="20"/>
          <w:color w:val="auto"/>
        </w:rPr>
        <w:t xml:space="preserve"> ” means, as of any date, an acquisition or series of acquisitions (whether related or not) during the previous 15 month period by the Parent or any of its Subsidiaries of any Persons, properties, businesses or assets outside the ordinary course of business for aggregate consideration of $250,000,000 or more.</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77"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financial officer, treasurer, assistant treasurer, controller or (to the extent such Person is permitted to take any applicable action pursuant to the Organization Documents of such Loan Party) director or other authorized signatory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6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Revaluation Date</w:t>
      </w:r>
      <w:r>
        <w:rPr>
          <w:rFonts w:ascii="Arial" w:cs="Arial" w:eastAsia="Arial" w:hAnsi="Arial"/>
          <w:sz w:val="20"/>
          <w:szCs w:val="20"/>
          <w:color w:val="auto"/>
        </w:rPr>
        <w:t xml:space="preserve">” means, with respect to any Loan, each of the following: (a) each date of a Committed Borrowing of a Term Benchmark Loan denominated in an Alternative Currency, (b) each date of a continuation of a Term Benchmark Loan denominated in an Alternative Currency pursuant to </w:t>
      </w:r>
      <w:r>
        <w:rPr>
          <w:rFonts w:ascii="Arial" w:cs="Arial" w:eastAsia="Arial" w:hAnsi="Arial"/>
          <w:sz w:val="20"/>
          <w:szCs w:val="20"/>
          <w:u w:val="single" w:color="auto"/>
          <w:color w:val="auto"/>
        </w:rPr>
        <w:t>Section 2.02</w:t>
      </w:r>
      <w:r>
        <w:rPr>
          <w:rFonts w:ascii="Arial" w:cs="Arial" w:eastAsia="Arial" w:hAnsi="Arial"/>
          <w:sz w:val="20"/>
          <w:szCs w:val="20"/>
          <w:color w:val="auto"/>
        </w:rPr>
        <w:t>, and (c) such other dates on which an Alternative Currency Equivalent is required to be determined hereunder.</w:t>
      </w:r>
    </w:p>
    <w:p>
      <w:pPr>
        <w:spacing w:after="0" w:line="19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Commitment</w:t>
      </w:r>
      <w:r>
        <w:rPr>
          <w:rFonts w:ascii="Arial" w:cs="Arial" w:eastAsia="Arial" w:hAnsi="Arial"/>
          <w:sz w:val="19"/>
          <w:szCs w:val="19"/>
          <w:color w:val="auto"/>
        </w:rPr>
        <w:t xml:space="preserve">” means, as to each Revolving Credit Lender at any given time, its obligation to (a) make Committed Loans to the Borrowers and (b) issue Several Letters of Credit to the Borrowers or purchase participations in L/C Obligations and Swing Line Loans, in an aggregate principal amount at any one time outstanding not to exceed the Dollar amount set forth opposite such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pursuant to which such Lender becomes a party hereto, as applicable, as such amount may be adjusted from time to time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7" w:name="page98"/>
    <w:bookmarkEnd w:id="97"/>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Lender</w:t>
      </w:r>
      <w:r>
        <w:rPr>
          <w:rFonts w:ascii="Arial" w:cs="Arial" w:eastAsia="Arial" w:hAnsi="Arial"/>
          <w:sz w:val="20"/>
          <w:szCs w:val="20"/>
          <w:color w:val="auto"/>
        </w:rPr>
        <w:t>” means, at any time, any Lender that either (a) has a Revolving Credit Commitment, or (b) holds a Committed Loan or a participation in a Swing Line Loan or an L/C Obligation at such time.</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Note</w:t>
      </w:r>
      <w:r>
        <w:rPr>
          <w:rFonts w:ascii="Arial" w:cs="Arial" w:eastAsia="Arial" w:hAnsi="Arial"/>
          <w:sz w:val="20"/>
          <w:szCs w:val="20"/>
          <w:color w:val="auto"/>
        </w:rPr>
        <w:t xml:space="preserve">” means a promissory note made by a Borrower in favor of a Revolving Credit Lender evidencing Committed Loans made by such Revolving Credit Lender to such Borrower,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7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RFR</w:t>
      </w:r>
      <w:r>
        <w:rPr>
          <w:rFonts w:ascii="Arial" w:cs="Arial" w:eastAsia="Arial" w:hAnsi="Arial"/>
          <w:sz w:val="19"/>
          <w:szCs w:val="19"/>
          <w:color w:val="auto"/>
        </w:rPr>
        <w:t>” means, for any Obligations, interest, fees, commissions or other amounts denominated in, or calculated with respect to (i) Sterling, Daily Simple SONIA and (ii) solely to the extent applicable pursuant to Section 3.03(b), Dollars, Daily Simple SOFR.</w:t>
      </w:r>
    </w:p>
    <w:p>
      <w:pPr>
        <w:spacing w:after="0" w:line="15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RFR Administrator</w:t>
      </w:r>
      <w:r>
        <w:rPr>
          <w:rFonts w:ascii="Arial" w:cs="Arial" w:eastAsia="Arial" w:hAnsi="Arial"/>
          <w:sz w:val="20"/>
          <w:szCs w:val="20"/>
          <w:color w:val="auto"/>
        </w:rPr>
        <w:t>” means the SONIA Administrator or solely to the extent applicable pursuant to Section 3.03(b), the SOFR Administrator, as applicable.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RFR Borrowing</w:t>
      </w:r>
      <w:r>
        <w:rPr>
          <w:rFonts w:ascii="Arial" w:cs="Arial" w:eastAsia="Arial" w:hAnsi="Arial"/>
          <w:sz w:val="20"/>
          <w:szCs w:val="20"/>
          <w:color w:val="auto"/>
        </w:rPr>
        <w:t>” means any Borrowing comprised of RFR Loans.</w:t>
      </w:r>
    </w:p>
    <w:p>
      <w:pPr>
        <w:spacing w:after="0" w:line="21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RFR Business Day</w:t>
      </w:r>
      <w:r>
        <w:rPr>
          <w:rFonts w:ascii="Arial" w:cs="Arial" w:eastAsia="Arial" w:hAnsi="Arial"/>
          <w:sz w:val="18"/>
          <w:szCs w:val="18"/>
          <w:color w:val="auto"/>
        </w:rPr>
        <w:t xml:space="preserve">” means, for any Obligations, interest, fees, commissions or other amounts denominated in, or calculated with respect to, (a) Sterling, any day except for (i) a Saturday, (ii) a Sunday or (iii) a day on which banks are closed for general business in London and (b) solely to the extent applicable pursuant to Section 3.03(b), Dollars, a U.S. Government Securities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that for purposes of notice requirements in Sections 2.02 and 2.05, in each case, such day is also a Business Day.</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RFR Loan</w:t>
      </w:r>
      <w:r>
        <w:rPr>
          <w:rFonts w:ascii="Arial" w:cs="Arial" w:eastAsia="Arial" w:hAnsi="Arial"/>
          <w:sz w:val="20"/>
          <w:szCs w:val="20"/>
          <w:color w:val="auto"/>
        </w:rPr>
        <w:t>” means a Loan that is bearing interest at a rate determined by reference to an RFR.</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RFR Rate Day</w:t>
      </w:r>
      <w:r>
        <w:rPr>
          <w:rFonts w:ascii="Arial" w:cs="Arial" w:eastAsia="Arial" w:hAnsi="Arial"/>
          <w:sz w:val="20"/>
          <w:szCs w:val="20"/>
          <w:color w:val="auto"/>
        </w:rPr>
        <w:t>” has the meaning assigned to such term in the definition of “Daily Simple RFR”.</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Financial Services LLC and any successor thereto.</w:t>
      </w:r>
    </w:p>
    <w:p>
      <w:pPr>
        <w:spacing w:after="0" w:line="216"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(“OFAC”) or the U.S. Department of State, or (b) the European Union, the Netherlands or HM’s Treasury of the United Kingdom.</w:t>
      </w:r>
    </w:p>
    <w:p>
      <w:pPr>
        <w:spacing w:after="0" w:line="15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at any time, a country or territory which is itself the subject or target of any Sanctions (presently Crimea, Kherson, so-called Donetsk People’s Republic, so-called Luhansk People’s Republic, and Zaporizhzhia regions of Ukraine, Cuba, Iran, North Korea and Syria).</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w:t>
      </w:r>
      <w:r>
        <w:rPr>
          <w:rFonts w:ascii="Arial" w:cs="Arial" w:eastAsia="Arial" w:hAnsi="Arial"/>
          <w:sz w:val="20"/>
          <w:szCs w:val="20"/>
          <w:color w:val="auto"/>
        </w:rPr>
        <w:t>” means, at any time, (a) any Person listed in any Sanctions-related list of designated Persons maintained by OFAC, the U.S. Department of State, or by the European Union or any EU member state, (b) any Person located, organized or resident in a Sanctioned Country or (c) any Person owned or controlled by any such Person or Persons.</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Same Day Funds</w:t>
      </w:r>
      <w:r>
        <w:rPr>
          <w:rFonts w:ascii="Arial" w:cs="Arial" w:eastAsia="Arial" w:hAnsi="Arial"/>
          <w:sz w:val="20"/>
          <w:szCs w:val="20"/>
          <w:color w:val="auto"/>
        </w:rPr>
        <w:t>” means (a) with respect to disbursements and payments in Dollars, immediately available funds and (b) with respect to disbursements and payments in an Alternative Currency, same day or other funds as may be determined by the Administrative Agent to be customary in the place of disbursement or payment for the settlement of international banking transactions in the relevant Alternative Currency.</w:t>
      </w:r>
    </w:p>
    <w:p>
      <w:pPr>
        <w:spacing w:after="0" w:line="19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Securities and Exchange Commission, or any Governmental Authority succeeding to any of its principal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8" w:name="page99"/>
    <w:bookmarkEnd w:id="98"/>
    <w:p>
      <w:pPr>
        <w:jc w:val="both"/>
        <w:ind w:firstLine="74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Several Letter of Credit</w:t>
      </w:r>
      <w:r>
        <w:rPr>
          <w:rFonts w:ascii="Arial" w:cs="Arial" w:eastAsia="Arial" w:hAnsi="Arial"/>
          <w:sz w:val="20"/>
          <w:szCs w:val="20"/>
          <w:color w:val="auto"/>
        </w:rPr>
        <w:t xml:space="preserve">” means a Letter of Credit issued severally by or on behalf of the Revolving Credit Lenders pursuant to which the Revolving Credit Lenders are severally liable to the beneficiary which shall be substantially in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or such other form agreed by the Company and the L/C Administrator (with the consent of all Revolving Credit Lenders, such consent not to be unreasonably withheld or delayed; it being understood that such other form shall be deemed acceptable to all Revolving Credit Lenders unless the L/C Administrator has received notice to the contrary within two Business Days after the L/C Administrator has notified of such other agreed form to the Revolving Credit Lenders).</w:t>
      </w:r>
    </w:p>
    <w:p>
      <w:pPr>
        <w:spacing w:after="0" w:line="19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Significant Subsidiary</w:t>
      </w:r>
      <w:r>
        <w:rPr>
          <w:rFonts w:ascii="Arial" w:cs="Arial" w:eastAsia="Arial" w:hAnsi="Arial"/>
          <w:sz w:val="20"/>
          <w:szCs w:val="20"/>
          <w:color w:val="auto"/>
        </w:rPr>
        <w:t>” means any Subsidiary of the Parent that would be a “significant subsidiary” of the Parent within the meaning of Rule 1-02 under Regulation S-X promulgated by the Securities and Exchange Commission.</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means, with respect to any U.S. Government Securities Business Day, a rate per annum equal to the secured overnight financing rate for such U.S. Government Securities Business Day published by the SOFR Administrator on the SOFR Administrator’s Website on the immediately succeeding U.S. Government Securities Business Day.</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means the Federal Reserve Bank of New York (or a successor administrator of the secured overnight financing rate).</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Administrator’s Website</w:t>
      </w:r>
      <w:r>
        <w:rPr>
          <w:rFonts w:ascii="Arial" w:cs="Arial" w:eastAsia="Arial" w:hAnsi="Arial"/>
          <w:sz w:val="20"/>
          <w:szCs w:val="20"/>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Borrowing</w:t>
      </w:r>
      <w:r>
        <w:rPr>
          <w:rFonts w:ascii="Arial" w:cs="Arial" w:eastAsia="Arial" w:hAnsi="Arial"/>
          <w:sz w:val="20"/>
          <w:szCs w:val="20"/>
          <w:color w:val="auto"/>
        </w:rPr>
        <w:t>” means, as to any Borrowing, the SOFR Loans comprising such Borrowing.</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Loan</w:t>
      </w:r>
      <w:r>
        <w:rPr>
          <w:rFonts w:ascii="Arial" w:cs="Arial" w:eastAsia="Arial" w:hAnsi="Arial"/>
          <w:sz w:val="20"/>
          <w:szCs w:val="20"/>
          <w:color w:val="auto"/>
        </w:rPr>
        <w:t>” means a Loan that bears interest at a rate based on Term SOFR or Daily Simple SOFR, other than, in each case, pursuant to clause (c) of the definition of “Base Rate”.</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Rate Day</w:t>
      </w:r>
      <w:r>
        <w:rPr>
          <w:rFonts w:ascii="Arial" w:cs="Arial" w:eastAsia="Arial" w:hAnsi="Arial"/>
          <w:sz w:val="20"/>
          <w:szCs w:val="20"/>
          <w:color w:val="auto"/>
        </w:rPr>
        <w:t>” has the meaning assigned to such term in the definition of “Daily Simple SOFR”.</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Sold Entity or Business</w:t>
      </w:r>
      <w:r>
        <w:rPr>
          <w:rFonts w:ascii="Arial" w:cs="Arial" w:eastAsia="Arial" w:hAnsi="Arial"/>
          <w:sz w:val="20"/>
          <w:szCs w:val="20"/>
          <w:color w:val="auto"/>
        </w:rPr>
        <w:t>” has the meaning assigned to such term in the definition of “Consolidated EBITDA”.</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w:t>
      </w:r>
      <w:r>
        <w:rPr>
          <w:rFonts w:ascii="Arial" w:cs="Arial" w:eastAsia="Arial" w:hAnsi="Arial"/>
          <w:sz w:val="20"/>
          <w:szCs w:val="20"/>
          <w:color w:val="auto"/>
        </w:rPr>
        <w:t>” means, with respect to any RFR Business Day, a rate per annum equal to the Sterling Overnight Index Average for such Business Day published by the SONIA Administrator on the website of the SONIA Administrator, currently at http://www.bankofengland.co.uk (or any successor source for the Sterling Overnight Index Average identified as such by the SONIA Administrator from time to time) on the immediately succeeding RFR Business Day.</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SONIA Administrator</w:t>
      </w:r>
      <w:r>
        <w:rPr>
          <w:rFonts w:ascii="Arial" w:cs="Arial" w:eastAsia="Arial" w:hAnsi="Arial"/>
          <w:sz w:val="19"/>
          <w:szCs w:val="19"/>
          <w:color w:val="auto"/>
        </w:rPr>
        <w:t>” means the Bank of England (or any successor administrator of the Sterling Overnight Index Average).</w:t>
      </w:r>
    </w:p>
    <w:p>
      <w:pPr>
        <w:spacing w:after="0" w:line="22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SONIA Administrator’s Website</w:t>
      </w:r>
      <w:r>
        <w:rPr>
          <w:rFonts w:ascii="Arial" w:cs="Arial" w:eastAsia="Arial" w:hAnsi="Arial"/>
          <w:sz w:val="19"/>
          <w:szCs w:val="19"/>
          <w:color w:val="auto"/>
        </w:rPr>
        <w:t xml:space="preserve"> ” means the Bank of England’s website, currently at http://www.bankofengland.co.uk, or any successor source for the Sterling Overnight Index Average identified as such by the SONIA Administrator from time to time.</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 Loan</w:t>
      </w:r>
      <w:r>
        <w:rPr>
          <w:rFonts w:ascii="Arial" w:cs="Arial" w:eastAsia="Arial" w:hAnsi="Arial"/>
          <w:sz w:val="20"/>
          <w:szCs w:val="20"/>
          <w:color w:val="auto"/>
        </w:rPr>
        <w:t>” means a Loan that is bearing interest at a rate determined by reference to SONIA.</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 Rate Day</w:t>
      </w:r>
      <w:r>
        <w:rPr>
          <w:rFonts w:ascii="Arial" w:cs="Arial" w:eastAsia="Arial" w:hAnsi="Arial"/>
          <w:sz w:val="20"/>
          <w:szCs w:val="20"/>
          <w:color w:val="auto"/>
        </w:rPr>
        <w:t>” has the meaning assigned to such term in the definition of “Daily Simple SONIA”.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9" w:name="page100"/>
    <w:bookmarkEnd w:id="99"/>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SPC</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10.06(h)</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Notice Currency</w:t>
      </w:r>
      <w:r>
        <w:rPr>
          <w:rFonts w:ascii="Arial" w:cs="Arial" w:eastAsia="Arial" w:hAnsi="Arial"/>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77"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Sterling</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the lawful currency of the United Kingdom.</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Subject Party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3.01(k)</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Equity Interests having ordinary voting power for the election of directors or other governing body (other than Equity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Parent.</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Supplier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3.01(k)(ii)</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Supply Recipient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3.01(k)(ii)</w:t>
      </w:r>
      <w:r>
        <w:rPr>
          <w:rFonts w:ascii="Arial" w:cs="Arial" w:eastAsia="Arial" w:hAnsi="Arial"/>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Coordinators</w:t>
      </w:r>
      <w:r>
        <w:rPr>
          <w:rFonts w:ascii="Arial" w:cs="Arial" w:eastAsia="Arial" w:hAnsi="Arial"/>
          <w:sz w:val="20"/>
          <w:szCs w:val="20"/>
          <w:color w:val="auto"/>
        </w:rPr>
        <w:t>” means Barclays and HSBC, each in its capacity as a co-sustainability coordinator.</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Sustainability Linked Loan Principles</w:t>
      </w:r>
      <w:r>
        <w:rPr>
          <w:rFonts w:ascii="Arial" w:cs="Arial" w:eastAsia="Arial" w:hAnsi="Arial"/>
          <w:sz w:val="20"/>
          <w:szCs w:val="20"/>
          <w:color w:val="auto"/>
        </w:rPr>
        <w:t>” means the Sustainability Linked Loan Principles as most recently published by the Loan Market Association and Loan Syndications &amp; Trading Association.</w:t>
      </w:r>
    </w:p>
    <w:p>
      <w:pPr>
        <w:spacing w:after="0" w:line="17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Contract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xml:space="preserve">”), including any such obligations or liabilities under any Master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phantom stock or similar plan providing for payments only on account of services provided by current or former directors, officers, employees or consultants of the Parent of the Subsidiaries shall be a Swap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0" w:name="page101"/>
    <w:bookmarkEnd w:id="100"/>
    <w:p>
      <w:pPr>
        <w:jc w:val="both"/>
        <w:ind w:firstLine="74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Termination Value</w:t>
      </w:r>
      <w:r>
        <w:rPr>
          <w:rFonts w:ascii="Arial" w:cs="Arial" w:eastAsia="Arial" w:hAnsi="Arial"/>
          <w:sz w:val="18"/>
          <w:szCs w:val="18"/>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termination value(s) for such Swap Contract, as determined in accordance therewith as if such Swap Contract had been closed out on such date and each counterparty thereto were an “Affected Party” (or similar term) thereunder.</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Borrowing</w:t>
      </w:r>
      <w:r>
        <w:rPr>
          <w:rFonts w:ascii="Arial" w:cs="Arial" w:eastAsia="Arial" w:hAnsi="Arial"/>
          <w:sz w:val="20"/>
          <w:szCs w:val="20"/>
          <w:color w:val="auto"/>
        </w:rPr>
        <w:t xml:space="preserve">” means a Borrowing of a Swing Line Loan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Commitment</w:t>
      </w:r>
      <w:r>
        <w:rPr>
          <w:rFonts w:ascii="Arial" w:cs="Arial" w:eastAsia="Arial" w:hAnsi="Arial"/>
          <w:sz w:val="19"/>
          <w:szCs w:val="19"/>
          <w:color w:val="auto"/>
        </w:rPr>
        <w:t xml:space="preserve">” means, as to each Swing Line Lender, its commitment to make any Swing Line Loans requested pursuant to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in an aggregate principal amount at any time outstanding not to exceed (a) in the case of the Swing Line Lender party hereto as of the Closing Date, the amount set forth opposite such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under the heading “Swing Line Commitment” and (b) in the case of any Revolving Credit Lender that becomes the Swing Line Lender hereunder thereafter, that amount which shall be set forth in the written agreement by which such Revolving Credit Lender shall become the Swing Line Lender, in each case as the maximum outstanding principal amount of Swing Line Loans to be made by such Revolving Credit Lender, as such commitment may be changed from time to time pursuant to the terms hereof or with the agreement in writing of such Revolving Credit Lender, the Company and the Administrative Agent. The aggregate Swing Line Commitment of the Swing Line Lenders shall be less than or equal to the Swing Line Sublimit at all times.</w:t>
      </w:r>
    </w:p>
    <w:p>
      <w:pPr>
        <w:spacing w:after="0" w:line="184"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Lenders</w:t>
      </w:r>
      <w:r>
        <w:rPr>
          <w:rFonts w:ascii="Arial" w:cs="Arial" w:eastAsia="Arial" w:hAnsi="Arial"/>
          <w:sz w:val="18"/>
          <w:szCs w:val="18"/>
          <w:color w:val="auto"/>
        </w:rPr>
        <w:t>” means (a) Barclays, JPMorgan and HSBC, each in its capacity as a provider of Swing Line Loans, (b) one or more other Lenders selected by the Company with the consent of such Lender or (c) any successor swing line lender hereunder.</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2.04(a)(i)</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 Borrowing Request</w:t>
      </w:r>
      <w:r>
        <w:rPr>
          <w:rFonts w:ascii="Arial" w:cs="Arial" w:eastAsia="Arial" w:hAnsi="Arial"/>
          <w:sz w:val="20"/>
          <w:szCs w:val="20"/>
          <w:color w:val="auto"/>
        </w:rPr>
        <w:t xml:space="preserve">” means a request for a Swing Line Borrowing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if in writing, shall be substantially in the form of </w:t>
      </w:r>
      <w:r>
        <w:rPr>
          <w:rFonts w:ascii="Arial" w:cs="Arial" w:eastAsia="Arial" w:hAnsi="Arial"/>
          <w:sz w:val="20"/>
          <w:szCs w:val="20"/>
          <w:u w:val="single" w:color="auto"/>
          <w:color w:val="auto"/>
        </w:rPr>
        <w:t>Exhibit A-2</w:t>
      </w:r>
      <w:r>
        <w:rPr>
          <w:rFonts w:ascii="Arial" w:cs="Arial" w:eastAsia="Arial" w:hAnsi="Arial"/>
          <w:sz w:val="20"/>
          <w:szCs w:val="20"/>
          <w:color w:val="auto"/>
        </w:rPr>
        <w:t>.</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Sublimit</w:t>
      </w:r>
      <w:r>
        <w:rPr>
          <w:rFonts w:ascii="Arial" w:cs="Arial" w:eastAsia="Arial" w:hAnsi="Arial"/>
          <w:sz w:val="19"/>
          <w:szCs w:val="19"/>
          <w:color w:val="auto"/>
        </w:rPr>
        <w:t xml:space="preserve">” means an amount equal to the least of (a) the aggregate amount of the Swing Line Commitments of the Swing Line Lenders, (b) the Aggregate Revolving Credit Commitment and (c) $300,000,000;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Swing Line Sublimit is subject to adjustment in accordance with </w:t>
      </w:r>
      <w:r>
        <w:rPr>
          <w:rFonts w:ascii="Arial" w:cs="Arial" w:eastAsia="Arial" w:hAnsi="Arial"/>
          <w:sz w:val="19"/>
          <w:szCs w:val="19"/>
          <w:u w:val="single" w:color="auto"/>
          <w:color w:val="auto"/>
        </w:rPr>
        <w:t>Section 2.06 and (ii)</w:t>
      </w:r>
      <w:r>
        <w:rPr>
          <w:rFonts w:ascii="Arial" w:cs="Arial" w:eastAsia="Arial" w:hAnsi="Arial"/>
          <w:sz w:val="19"/>
          <w:szCs w:val="19"/>
          <w:color w:val="auto"/>
        </w:rPr>
        <w:t xml:space="preserve"> the aggregate amount of Swing Line Loans provided by each of Barclays, JPMorgan and HSBC shall not exceed $100,000,000, $100,000,000 and $100,000,000, respectively. The Swing Line Sublimit is part of, and not in addition to, the Aggregate Revolving Credit Commitment.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Syndication Agents</w:t>
      </w:r>
      <w:r>
        <w:rPr>
          <w:rFonts w:ascii="Arial" w:cs="Arial" w:eastAsia="Arial" w:hAnsi="Arial"/>
          <w:sz w:val="20"/>
          <w:szCs w:val="20"/>
          <w:color w:val="auto"/>
        </w:rPr>
        <w:t>” means JPMorgan and HSBC, in their capacity as syndication agents.</w:t>
      </w:r>
    </w:p>
    <w:p>
      <w:pPr>
        <w:spacing w:after="0" w:line="216" w:lineRule="exact"/>
        <w:rPr>
          <w:sz w:val="20"/>
          <w:szCs w:val="20"/>
          <w:color w:val="auto"/>
        </w:rPr>
      </w:pPr>
    </w:p>
    <w:p>
      <w:pPr>
        <w:ind w:right="80"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Day</w:t>
      </w:r>
      <w:r>
        <w:rPr>
          <w:rFonts w:ascii="Arial" w:cs="Arial" w:eastAsia="Arial" w:hAnsi="Arial"/>
          <w:sz w:val="20"/>
          <w:szCs w:val="20"/>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Deduction</w:t>
      </w:r>
      <w:r>
        <w:rPr>
          <w:rFonts w:ascii="Arial" w:cs="Arial" w:eastAsia="Arial" w:hAnsi="Arial"/>
          <w:sz w:val="20"/>
          <w:szCs w:val="20"/>
          <w:color w:val="auto"/>
        </w:rPr>
        <w:t>” means a deduction or withholding for or on account of Taxes from a payment hereunder or under any other Loan Document.</w:t>
      </w:r>
    </w:p>
    <w:p>
      <w:pPr>
        <w:spacing w:after="0" w:line="17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1" w:name="page102"/>
    <w:bookmarkEnd w:id="101"/>
    <w:p>
      <w:pPr>
        <w:ind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Benchmark</w:t>
      </w:r>
      <w:r>
        <w:rPr>
          <w:rFonts w:ascii="Arial" w:cs="Arial" w:eastAsia="Arial" w:hAnsi="Arial"/>
          <w:sz w:val="19"/>
          <w:szCs w:val="19"/>
          <w:color w:val="auto"/>
        </w:rPr>
        <w:t>” when used in reference to any Loan or Borrowing, refers to whether such Loan, or the Loans comprising such Borrowing, are bearing interest at a rate determined by reference to Term SOFR or the Adjusted EURIBOR Rate.</w:t>
      </w:r>
    </w:p>
    <w:p>
      <w:pPr>
        <w:spacing w:after="0" w:line="152"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Benchmark Borrowing</w:t>
      </w:r>
      <w:r>
        <w:rPr>
          <w:rFonts w:ascii="Arial" w:cs="Arial" w:eastAsia="Arial" w:hAnsi="Arial"/>
          <w:sz w:val="20"/>
          <w:szCs w:val="20"/>
          <w:color w:val="auto"/>
        </w:rPr>
        <w:t>” means a Borrowing consisting of simultaneous Loans of the same Type and, in the case of Term Benchmark Loans, having the same Interest Period made by the Lenders.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w:t>
      </w:r>
    </w:p>
    <w:p>
      <w:pPr>
        <w:spacing w:after="0" w:line="216" w:lineRule="exact"/>
        <w:rPr>
          <w:sz w:val="20"/>
          <w:szCs w:val="20"/>
          <w:color w:val="auto"/>
        </w:rPr>
      </w:pPr>
    </w:p>
    <w:p>
      <w:pPr>
        <w:jc w:val="both"/>
        <w:ind w:firstLine="1505"/>
        <w:spacing w:after="0" w:line="255" w:lineRule="auto"/>
        <w:tabs>
          <w:tab w:leader="none" w:pos="1979" w:val="left"/>
        </w:tabs>
        <w:numPr>
          <w:ilvl w:val="0"/>
          <w:numId w:val="51"/>
        </w:numPr>
        <w:rPr>
          <w:rFonts w:ascii="Arial" w:cs="Arial" w:eastAsia="Arial" w:hAnsi="Arial"/>
          <w:sz w:val="19"/>
          <w:szCs w:val="19"/>
          <w:color w:val="auto"/>
        </w:rPr>
      </w:pPr>
      <w:r>
        <w:rPr>
          <w:rFonts w:ascii="Arial" w:cs="Arial" w:eastAsia="Arial" w:hAnsi="Arial"/>
          <w:sz w:val="19"/>
          <w:szCs w:val="19"/>
          <w:color w:val="auto"/>
        </w:rPr>
        <w:t>for any calculation with respect to a Term SOFR Loan, the Term SOFR Reference Rate for a tenor comparable to the applicable Interest Period on the day (such day, the “</w:t>
      </w:r>
      <w:r>
        <w:rPr>
          <w:rFonts w:ascii="Arial" w:cs="Arial" w:eastAsia="Arial" w:hAnsi="Arial"/>
          <w:sz w:val="19"/>
          <w:szCs w:val="19"/>
          <w:u w:val="single" w:color="auto"/>
          <w:color w:val="auto"/>
        </w:rPr>
        <w:t>Periodic Term SOFR Determination Day</w:t>
      </w:r>
      <w:r>
        <w:rPr>
          <w:rFonts w:ascii="Arial" w:cs="Arial" w:eastAsia="Arial" w:hAnsi="Arial"/>
          <w:sz w:val="19"/>
          <w:szCs w:val="19"/>
          <w:color w:val="auto"/>
        </w:rPr>
        <w:t xml:space="preserve">”) that is two (2) U.S. Government Securities Business Days prior to the first day of such Interest Period, as such rate is published by the Term SOFR Administrator,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SOFR Adjustment;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9" w:lineRule="exact"/>
        <w:rPr>
          <w:rFonts w:ascii="Arial" w:cs="Arial" w:eastAsia="Arial" w:hAnsi="Arial"/>
          <w:sz w:val="19"/>
          <w:szCs w:val="19"/>
          <w:color w:val="auto"/>
        </w:rPr>
      </w:pPr>
    </w:p>
    <w:p>
      <w:pPr>
        <w:jc w:val="both"/>
        <w:ind w:firstLine="1505"/>
        <w:spacing w:after="0" w:line="272" w:lineRule="auto"/>
        <w:tabs>
          <w:tab w:leader="none" w:pos="198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any calculation with respect to an Base Rate Loan on any day, the Term SOFR Reference Rate for a tenor of one month on the day (such day, the “</w:t>
      </w:r>
      <w:r>
        <w:rPr>
          <w:rFonts w:ascii="Arial" w:cs="Arial" w:eastAsia="Arial" w:hAnsi="Arial"/>
          <w:sz w:val="18"/>
          <w:szCs w:val="18"/>
          <w:u w:val="single" w:color="auto"/>
          <w:color w:val="auto"/>
        </w:rPr>
        <w:t>Base Rate Term SOFR Determination Day</w:t>
      </w:r>
      <w:r>
        <w:rPr>
          <w:rFonts w:ascii="Arial" w:cs="Arial" w:eastAsia="Arial" w:hAnsi="Arial"/>
          <w:sz w:val="18"/>
          <w:szCs w:val="18"/>
          <w:color w:val="auto"/>
        </w:rPr>
        <w:t xml:space="preserve">”) that is two (2) U.S. Government Securities Business Days prior to such day, as such rate is published by the Term SOFR Administrator,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SOFR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70" w:lineRule="exact"/>
        <w:rPr>
          <w:sz w:val="20"/>
          <w:szCs w:val="20"/>
          <w:color w:val="auto"/>
        </w:rPr>
      </w:pPr>
    </w:p>
    <w:p>
      <w:pPr>
        <w:ind w:firstLine="1497"/>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 </w:t>
      </w:r>
      <w:r>
        <w:rPr>
          <w:rFonts w:ascii="Arial" w:cs="Arial" w:eastAsia="Arial" w:hAnsi="Arial"/>
          <w:sz w:val="20"/>
          <w:szCs w:val="20"/>
          <w:u w:val="single" w:color="auto"/>
          <w:color w:val="auto"/>
        </w:rPr>
        <w:t>further</w:t>
      </w:r>
      <w:r>
        <w:rPr>
          <w:rFonts w:ascii="Arial" w:cs="Arial" w:eastAsia="Arial" w:hAnsi="Arial"/>
          <w:sz w:val="20"/>
          <w:szCs w:val="20"/>
          <w:color w:val="auto"/>
        </w:rPr>
        <w:t>, that if Term SOFR determined as provided above (including pursuant to the proviso under clause (a) or clause (b) above) shall ever be less than the Floor, then Term SOFR shall be deemed to be the Floor.</w:t>
      </w:r>
    </w:p>
    <w:p>
      <w:pPr>
        <w:spacing w:after="0" w:line="177"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Administrator</w:t>
      </w:r>
      <w:r>
        <w:rPr>
          <w:rFonts w:ascii="Arial" w:cs="Arial" w:eastAsia="Arial" w:hAnsi="Arial"/>
          <w:sz w:val="20"/>
          <w:szCs w:val="20"/>
          <w:color w:val="auto"/>
        </w:rPr>
        <w:t xml:space="preserve"> ” means the CME Group Benchmark Administration Limited (CBA) (or a successor administrator of the Term SOFR Reference Rate selected by the Administrative Agent in its reasonable discretion).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Loan</w:t>
      </w:r>
      <w:r>
        <w:rPr>
          <w:rFonts w:ascii="Arial" w:cs="Arial" w:eastAsia="Arial" w:hAnsi="Arial"/>
          <w:sz w:val="20"/>
          <w:szCs w:val="20"/>
          <w:color w:val="auto"/>
        </w:rPr>
        <w:t>” means a Loan that bears interest at a rate based on Term SOFR.</w:t>
      </w:r>
    </w:p>
    <w:p>
      <w:pPr>
        <w:spacing w:after="0" w:line="216"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Reference Rate</w:t>
      </w:r>
      <w:r>
        <w:rPr>
          <w:rFonts w:ascii="Arial" w:cs="Arial" w:eastAsia="Arial" w:hAnsi="Arial"/>
          <w:sz w:val="20"/>
          <w:szCs w:val="20"/>
          <w:color w:val="auto"/>
        </w:rPr>
        <w:t>” means the rate per annum determined by the Administrative Agent as the forward-looking term rate based on SOFR.</w:t>
      </w:r>
    </w:p>
    <w:p>
      <w:pPr>
        <w:spacing w:after="0" w:line="177"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Credit Outstandings</w:t>
      </w:r>
      <w:r>
        <w:rPr>
          <w:rFonts w:ascii="Arial" w:cs="Arial" w:eastAsia="Arial" w:hAnsi="Arial"/>
          <w:sz w:val="20"/>
          <w:szCs w:val="20"/>
          <w:color w:val="auto"/>
        </w:rPr>
        <w:t>” means the aggregate Outstanding Amount of all Committed Loans, Swing Line Loans and L/C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2" w:name="page103"/>
    <w:bookmarkEnd w:id="102"/>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a Term Benchmark Loan or an RFR Loan.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Bribery Act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5.14(c).</w:t>
      </w:r>
    </w:p>
    <w:p>
      <w:pPr>
        <w:spacing w:after="0" w:line="216" w:lineRule="exact"/>
        <w:rPr>
          <w:sz w:val="20"/>
          <w:szCs w:val="20"/>
          <w:color w:val="auto"/>
        </w:rPr>
      </w:pPr>
    </w:p>
    <w:p>
      <w:pPr>
        <w:ind w:right="200" w:firstLine="74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Institutions</w:t>
      </w:r>
      <w:r>
        <w:rPr>
          <w:rFonts w:ascii="Arial" w:cs="Arial" w:eastAsia="Arial" w:hAnsi="Arial"/>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Non-Bank Lender</w:t>
      </w:r>
      <w:r>
        <w:rPr>
          <w:rFonts w:ascii="Arial" w:cs="Arial" w:eastAsia="Arial" w:hAnsi="Arial"/>
          <w:sz w:val="20"/>
          <w:szCs w:val="20"/>
          <w:color w:val="auto"/>
        </w:rPr>
        <w:t xml:space="preserve">” means (a) where a Lender becomes a party hereto on the day on which this Agreement is entered into, a Lender listed in </w:t>
      </w:r>
      <w:r>
        <w:rPr>
          <w:rFonts w:ascii="Arial" w:cs="Arial" w:eastAsia="Arial" w:hAnsi="Arial"/>
          <w:sz w:val="20"/>
          <w:szCs w:val="20"/>
          <w:u w:val="single" w:color="auto"/>
          <w:color w:val="auto"/>
        </w:rPr>
        <w:t>Schedule 3.01(j)</w:t>
      </w:r>
      <w:r>
        <w:rPr>
          <w:rFonts w:ascii="Arial" w:cs="Arial" w:eastAsia="Arial" w:hAnsi="Arial"/>
          <w:sz w:val="20"/>
          <w:szCs w:val="20"/>
          <w:color w:val="auto"/>
        </w:rPr>
        <w:t>, and (b) where a Lender becomes a party hereto after the day on which this Agreement is entered into, a Lender which gives a UK Tax Confirmation in the Assignment and Assumption and/or Joinder Agreement which it executes on becoming a party hereto.</w:t>
      </w:r>
    </w:p>
    <w:p>
      <w:pPr>
        <w:spacing w:after="0" w:line="19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Pension Plan</w:t>
      </w:r>
      <w:r>
        <w:rPr>
          <w:rFonts w:ascii="Arial" w:cs="Arial" w:eastAsia="Arial" w:hAnsi="Arial"/>
          <w:sz w:val="20"/>
          <w:szCs w:val="20"/>
          <w:color w:val="auto"/>
        </w:rPr>
        <w:t>” means the Willis Pension Scheme, the Towers Perrin (UK) Retirement Plan, the Towers Watson Pension Scheme and the Miller Retirement Benefits Scheme.</w:t>
      </w:r>
    </w:p>
    <w:p>
      <w:pPr>
        <w:spacing w:after="0" w:line="17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Qualifying Lender</w:t>
      </w:r>
      <w:r>
        <w:rPr>
          <w:rFonts w:ascii="Arial" w:cs="Arial" w:eastAsia="Arial" w:hAnsi="Arial"/>
          <w:sz w:val="19"/>
          <w:szCs w:val="19"/>
          <w:color w:val="auto"/>
        </w:rPr>
        <w:t>” means (a) a Lender (other than a Lender within subclause (b) below) which is beneficially entitled to interest payable to that Lender in respect of an advance hereunder or under any other Loan Document, and is (i) a Lender (A) which is a bank (as defined for the purpose of section 879 of the ITA) making an advance hereunder or under any other Loan Document or (B) in respect of an advance made hereunder or under any other Loan Document by a Person that was a bank (as defined for the purpose of section 879 of the ITA) at the time that that advance was made, and in each case which is within the charge to United Kingdom corporation tax as respects any payments of interest made in respect of that advance (or, in the case of subparagraph (A) would be within such charge as respects such payments apart from section 18A of the CTA), (ii) a Lender which is (A) a company resident in the United Kingdom for United Kingdom tax purposes, (B) a partnership each member of which is (1) a company so resident in the United Kingdom, or (2)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 (iii) a UK Treaty Lender, or (b) a Lender which is a building society (as defined for the purposes of section 880 of the ITA) making an advance hereunder or under any other Loan Document.</w:t>
      </w:r>
    </w:p>
    <w:p>
      <w:pPr>
        <w:spacing w:after="0" w:line="190" w:lineRule="exact"/>
        <w:rPr>
          <w:sz w:val="20"/>
          <w:szCs w:val="20"/>
          <w:color w:val="auto"/>
        </w:rPr>
      </w:pPr>
    </w:p>
    <w:p>
      <w:pPr>
        <w:ind w:right="280" w:firstLine="749"/>
        <w:spacing w:after="0" w:line="26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7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UK Tax Confirmation</w:t>
      </w:r>
      <w:r>
        <w:rPr>
          <w:rFonts w:ascii="Arial" w:cs="Arial" w:eastAsia="Arial" w:hAnsi="Arial"/>
          <w:sz w:val="20"/>
          <w:szCs w:val="20"/>
          <w:color w:val="auto"/>
        </w:rPr>
        <w:t>” means a confirmation by a Lender that the Person beneficially entitled to interest payable to that Lender in respect of an advance hereunder or under any other Loan Document is either (a) a company resident in the United Kingdom for United Kingdom tax purposes, (b)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(c) a company not so resident in the United Kingdom which carries on a trade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3" w:name="page104"/>
    <w:bookmarkEnd w:id="103"/>
    <w:p>
      <w:pPr>
        <w:jc w:val="both"/>
        <w:spacing w:after="0" w:line="260" w:lineRule="auto"/>
        <w:rPr>
          <w:sz w:val="20"/>
          <w:szCs w:val="20"/>
          <w:color w:val="auto"/>
        </w:rPr>
      </w:pPr>
      <w:r>
        <w:rPr>
          <w:rFonts w:ascii="Arial" w:cs="Arial" w:eastAsia="Arial" w:hAnsi="Arial"/>
          <w:sz w:val="20"/>
          <w:szCs w:val="20"/>
          <w:color w:val="auto"/>
        </w:rPr>
        <w:t>United Kingdom through a permanent establishment and which brings into account interest payable in respect of that advance in computing the chargeable profits (within the meaning of section 19 of the CTA) of that company.</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Treaty</w:t>
      </w:r>
      <w:r>
        <w:rPr>
          <w:rFonts w:ascii="Arial" w:cs="Arial" w:eastAsia="Arial" w:hAnsi="Arial"/>
          <w:sz w:val="20"/>
          <w:szCs w:val="20"/>
          <w:color w:val="auto"/>
        </w:rPr>
        <w:t>” has the meaning given to it in the definition of “UK Treaty State” below.</w:t>
      </w:r>
    </w:p>
    <w:p>
      <w:pPr>
        <w:spacing w:after="0" w:line="216"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Treaty Lender</w:t>
      </w:r>
      <w:r>
        <w:rPr>
          <w:rFonts w:ascii="Arial" w:cs="Arial" w:eastAsia="Arial" w:hAnsi="Arial"/>
          <w:sz w:val="18"/>
          <w:szCs w:val="18"/>
          <w:color w:val="auto"/>
        </w:rPr>
        <w:t>” means a Lender which (a) is treated as a resident of a UK Treaty State for the purposes of the UK Treaty, (b) does not carry on a business in the United Kingdom through a permanent establishment with which that Lender’s participation in the relevant Loan is effectively connected and (c) fulfills all other conditions that must be fulfilled under the relevant UK Treaty by residents of the relevant UK Treaty State for such residents to be entitled to obtain full exemption from tax imposed by the United Kingdom on interest (including the completion of procedural formalities and/or the granting of exemption by any relevant taxing authority).</w:t>
      </w:r>
    </w:p>
    <w:p>
      <w:pPr>
        <w:spacing w:after="0" w:line="16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Treaty State</w:t>
      </w:r>
      <w:r>
        <w:rPr>
          <w:rFonts w:ascii="Arial" w:cs="Arial" w:eastAsia="Arial" w:hAnsi="Arial"/>
          <w:sz w:val="20"/>
          <w:szCs w:val="20"/>
          <w:color w:val="auto"/>
        </w:rPr>
        <w:t>” means a jurisdiction having a double taxation agreement (a “</w:t>
      </w:r>
      <w:r>
        <w:rPr>
          <w:rFonts w:ascii="Arial" w:cs="Arial" w:eastAsia="Arial" w:hAnsi="Arial"/>
          <w:sz w:val="20"/>
          <w:szCs w:val="20"/>
          <w:u w:val="single" w:color="auto"/>
          <w:color w:val="auto"/>
        </w:rPr>
        <w:t>UK Treaty</w:t>
      </w:r>
      <w:r>
        <w:rPr>
          <w:rFonts w:ascii="Arial" w:cs="Arial" w:eastAsia="Arial" w:hAnsi="Arial"/>
          <w:sz w:val="20"/>
          <w:szCs w:val="20"/>
          <w:color w:val="auto"/>
        </w:rPr>
        <w:t>”) with the United Kingdom which makes provision for full exemption from tax imposed by the United Kingdom on interest.</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Underwritten Securities</w:t>
      </w:r>
      <w:r>
        <w:rPr>
          <w:rFonts w:ascii="Arial" w:cs="Arial" w:eastAsia="Arial" w:hAnsi="Arial"/>
          <w:sz w:val="20"/>
          <w:szCs w:val="20"/>
          <w:color w:val="auto"/>
        </w:rPr>
        <w:t>” means debt, equity and/or equity-linked securities that are underwritten and/or initially purchased for the purpose of placement with or distribution to third parties.</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Government Securities Business Day</w:t>
      </w:r>
      <w:r>
        <w:rPr>
          <w:rFonts w:ascii="Arial" w:cs="Arial" w:eastAsia="Arial" w:hAnsi="Arial"/>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VAT</w:t>
      </w:r>
      <w:r>
        <w:rPr>
          <w:rFonts w:ascii="Arial" w:cs="Arial" w:eastAsia="Arial" w:hAnsi="Arial"/>
          <w:sz w:val="19"/>
          <w:szCs w:val="19"/>
          <w:color w:val="auto"/>
        </w:rPr>
        <w:t>” means: (a) value added tax imposed pursuant to the United Kingdom Value Added Tax Act 1994 (b) any Tax imposed in compliance with the Council Directive of 28 November 2006 on the common system of value added tax (EC Directive 2006/112), and (c) any Tax of a similar nature, whether imposed in the United Kingdom or a member state of the European Union in substitution for, or levied in addition to, such tax referred to in paragraphs (a) or (b) above, or imposed elsewhere.</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WGL</w:t>
      </w:r>
      <w:r>
        <w:rPr>
          <w:rFonts w:ascii="Arial" w:cs="Arial" w:eastAsia="Arial" w:hAnsi="Arial"/>
          <w:sz w:val="18"/>
          <w:szCs w:val="18"/>
          <w:color w:val="auto"/>
        </w:rPr>
        <w:t>” means Willis Group Limited, a company formed under the laws of England and Wales having company number 00621757.</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the Borrowers, Guarantors and the Administrative Agent.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WNA</w:t>
      </w:r>
      <w:r>
        <w:rPr>
          <w:rFonts w:ascii="Arial" w:cs="Arial" w:eastAsia="Arial" w:hAnsi="Arial"/>
          <w:sz w:val="20"/>
          <w:szCs w:val="20"/>
          <w:color w:val="auto"/>
        </w:rPr>
        <w:t>” means Willis North America, Inc., a Delaware corporation and an indirect Subsidiary of the Parent.</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4" w:name="page105"/>
    <w:bookmarkEnd w:id="104"/>
    <w:p>
      <w:pPr>
        <w:jc w:val="both"/>
        <w:spacing w:after="0" w:line="244" w:lineRule="auto"/>
        <w:rPr>
          <w:sz w:val="20"/>
          <w:szCs w:val="20"/>
          <w:color w:val="auto"/>
        </w:rPr>
      </w:pPr>
      <w:r>
        <w:rPr>
          <w:rFonts w:ascii="Arial" w:cs="Arial" w:eastAsia="Arial" w:hAnsi="Arial"/>
          <w:sz w:val="20"/>
          <w:szCs w:val="20"/>
          <w:color w:val="auto"/>
        </w:rPr>
        <w:t>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WSI</w:t>
      </w:r>
      <w:r>
        <w:rPr>
          <w:rFonts w:ascii="Arial" w:cs="Arial" w:eastAsia="Arial" w:hAnsi="Arial"/>
          <w:sz w:val="19"/>
          <w:szCs w:val="19"/>
          <w:color w:val="auto"/>
        </w:rPr>
        <w:t>” means Willis Securities, Inc., a Delaware corporation and an indirect Subsidiary of the Parent that is a licensed broker-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dealer.</w:t>
      </w:r>
    </w:p>
    <w:p>
      <w:pPr>
        <w:spacing w:after="0" w:line="20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010000"/>
        </w:rPr>
        <w:t xml:space="preserve">1.02 </w:t>
      </w:r>
      <w:r>
        <w:rPr>
          <w:rFonts w:ascii="Arial" w:cs="Arial" w:eastAsia="Arial" w:hAnsi="Arial"/>
          <w:sz w:val="20"/>
          <w:szCs w:val="20"/>
          <w:color w:val="000000"/>
        </w:rPr>
        <w:t>Other Interpretive Provisions. With reference to this Agreement and each other Loan Document, unless otherwise specified</w:t>
      </w:r>
      <w:r>
        <w:rPr>
          <w:rFonts w:ascii="Arial" w:cs="Arial" w:eastAsia="Arial" w:hAnsi="Arial"/>
          <w:sz w:val="20"/>
          <w:szCs w:val="20"/>
          <w:color w:val="010000"/>
        </w:rPr>
        <w:t xml:space="preserve"> </w:t>
      </w:r>
      <w:r>
        <w:rPr>
          <w:rFonts w:ascii="Arial" w:cs="Arial" w:eastAsia="Arial" w:hAnsi="Arial"/>
          <w:sz w:val="20"/>
          <w:szCs w:val="20"/>
          <w:color w:val="000000"/>
        </w:rPr>
        <w:t>herein or in such other Loan Document:</w:t>
      </w:r>
    </w:p>
    <w:p>
      <w:pPr>
        <w:spacing w:after="0" w:line="177" w:lineRule="exact"/>
        <w:rPr>
          <w:sz w:val="20"/>
          <w:szCs w:val="20"/>
          <w:color w:val="auto"/>
        </w:rPr>
      </w:pPr>
    </w:p>
    <w:p>
      <w:pPr>
        <w:jc w:val="both"/>
        <w:ind w:firstLine="1505"/>
        <w:spacing w:after="0" w:line="269" w:lineRule="auto"/>
        <w:tabs>
          <w:tab w:leader="none" w:pos="19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shall be deemed to be followed by the phrase “without limitation.” The word “will” shall be construed to have the same meaning and effect as the word “</w:t>
      </w:r>
      <w:r>
        <w:rPr>
          <w:rFonts w:ascii="Arial" w:cs="Arial" w:eastAsia="Arial" w:hAnsi="Arial"/>
          <w:sz w:val="18"/>
          <w:szCs w:val="18"/>
          <w:u w:val="single" w:color="auto"/>
          <w:color w:val="auto"/>
        </w:rPr>
        <w:t>shall</w:t>
      </w:r>
      <w:r>
        <w:rPr>
          <w:rFonts w:ascii="Arial" w:cs="Arial" w:eastAsia="Arial" w:hAnsi="Arial"/>
          <w:sz w:val="18"/>
          <w:szCs w:val="18"/>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restated, amended and restated, modified or supplemented from time to time and (vi) 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tangible and intangible assets and properties, including cash, securities, accounts and contract rights.</w:t>
      </w:r>
    </w:p>
    <w:p>
      <w:pPr>
        <w:spacing w:after="0" w:line="178" w:lineRule="exact"/>
        <w:rPr>
          <w:rFonts w:ascii="Arial" w:cs="Arial" w:eastAsia="Arial" w:hAnsi="Arial"/>
          <w:sz w:val="18"/>
          <w:szCs w:val="18"/>
          <w:color w:val="auto"/>
        </w:rPr>
      </w:pPr>
    </w:p>
    <w:p>
      <w:pPr>
        <w:ind w:firstLine="1505"/>
        <w:spacing w:after="0" w:line="287" w:lineRule="auto"/>
        <w:tabs>
          <w:tab w:leader="none" w:pos="1989" w:val="left"/>
        </w:tabs>
        <w:numPr>
          <w:ilvl w:val="0"/>
          <w:numId w:val="52"/>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u w:val="single" w:color="auto"/>
          <w:color w:val="auto"/>
        </w:rPr>
        <w:t>from</w:t>
      </w:r>
      <w:r>
        <w:rPr>
          <w:rFonts w:ascii="Arial" w:cs="Arial" w:eastAsia="Arial" w:hAnsi="Arial"/>
          <w:sz w:val="19"/>
          <w:szCs w:val="19"/>
          <w:color w:val="auto"/>
        </w:rPr>
        <w:t>” means “</w:t>
      </w:r>
      <w:r>
        <w:rPr>
          <w:rFonts w:ascii="Arial" w:cs="Arial" w:eastAsia="Arial" w:hAnsi="Arial"/>
          <w:sz w:val="19"/>
          <w:szCs w:val="19"/>
          <w:u w:val="single" w:color="auto"/>
          <w:color w:val="auto"/>
        </w:rPr>
        <w:t>from</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 including</w:t>
      </w:r>
      <w:r>
        <w:rPr>
          <w:rFonts w:ascii="Arial" w:cs="Arial" w:eastAsia="Arial" w:hAnsi="Arial"/>
          <w:sz w:val="19"/>
          <w:szCs w:val="19"/>
          <w:color w:val="auto"/>
        </w:rPr>
        <w:t>;” the words “</w:t>
      </w:r>
      <w:r>
        <w:rPr>
          <w:rFonts w:ascii="Arial" w:cs="Arial" w:eastAsia="Arial" w:hAnsi="Arial"/>
          <w:sz w:val="19"/>
          <w:szCs w:val="19"/>
          <w:u w:val="single" w:color="auto"/>
          <w:color w:val="auto"/>
        </w:rPr>
        <w:t>to</w:t>
      </w:r>
      <w:r>
        <w:rPr>
          <w:rFonts w:ascii="Arial" w:cs="Arial" w:eastAsia="Arial" w:hAnsi="Arial"/>
          <w:sz w:val="19"/>
          <w:szCs w:val="19"/>
          <w:color w:val="auto"/>
        </w:rPr>
        <w:t>” and “</w:t>
      </w:r>
      <w:r>
        <w:rPr>
          <w:rFonts w:ascii="Arial" w:cs="Arial" w:eastAsia="Arial" w:hAnsi="Arial"/>
          <w:sz w:val="19"/>
          <w:szCs w:val="19"/>
          <w:u w:val="single" w:color="auto"/>
          <w:color w:val="auto"/>
        </w:rPr>
        <w:t>until</w:t>
      </w:r>
      <w:r>
        <w:rPr>
          <w:rFonts w:ascii="Arial" w:cs="Arial" w:eastAsia="Arial" w:hAnsi="Arial"/>
          <w:sz w:val="19"/>
          <w:szCs w:val="19"/>
          <w:color w:val="auto"/>
        </w:rPr>
        <w:t>” each mean “</w:t>
      </w:r>
      <w:r>
        <w:rPr>
          <w:rFonts w:ascii="Arial" w:cs="Arial" w:eastAsia="Arial" w:hAnsi="Arial"/>
          <w:sz w:val="19"/>
          <w:szCs w:val="19"/>
          <w:u w:val="single" w:color="auto"/>
          <w:color w:val="auto"/>
        </w:rPr>
        <w:t>to but excluding</w:t>
      </w:r>
      <w:r>
        <w:rPr>
          <w:rFonts w:ascii="Arial" w:cs="Arial" w:eastAsia="Arial" w:hAnsi="Arial"/>
          <w:sz w:val="19"/>
          <w:szCs w:val="19"/>
          <w:color w:val="auto"/>
        </w:rPr>
        <w:t>;” and the word “</w:t>
      </w:r>
      <w:r>
        <w:rPr>
          <w:rFonts w:ascii="Arial" w:cs="Arial" w:eastAsia="Arial" w:hAnsi="Arial"/>
          <w:sz w:val="19"/>
          <w:szCs w:val="19"/>
          <w:u w:val="single" w:color="auto"/>
          <w:color w:val="auto"/>
        </w:rPr>
        <w:t>through</w:t>
      </w:r>
      <w:r>
        <w:rPr>
          <w:rFonts w:ascii="Arial" w:cs="Arial" w:eastAsia="Arial" w:hAnsi="Arial"/>
          <w:sz w:val="19"/>
          <w:szCs w:val="19"/>
          <w:color w:val="auto"/>
        </w:rPr>
        <w:t>” means “</w:t>
      </w:r>
      <w:r>
        <w:rPr>
          <w:rFonts w:ascii="Arial" w:cs="Arial" w:eastAsia="Arial" w:hAnsi="Arial"/>
          <w:sz w:val="19"/>
          <w:szCs w:val="19"/>
          <w:u w:val="single" w:color="auto"/>
          <w:color w:val="auto"/>
        </w:rPr>
        <w:t>to and including</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firstLine="1505"/>
        <w:spacing w:after="0" w:line="250" w:lineRule="auto"/>
        <w:tabs>
          <w:tab w:leader="none" w:pos="1991" w:val="left"/>
        </w:tabs>
        <w:numPr>
          <w:ilvl w:val="0"/>
          <w:numId w:val="52"/>
        </w:numPr>
        <w:rPr>
          <w:rFonts w:ascii="Arial" w:cs="Arial" w:eastAsia="Arial" w:hAnsi="Arial"/>
          <w:sz w:val="20"/>
          <w:szCs w:val="20"/>
          <w:color w:val="auto"/>
        </w:rPr>
      </w:pPr>
      <w:r>
        <w:rPr>
          <w:rFonts w:ascii="Arial" w:cs="Arial" w:eastAsia="Arial" w:hAnsi="Arial"/>
          <w:sz w:val="20"/>
          <w:szCs w:val="20"/>
          <w:color w:val="auto"/>
        </w:rPr>
        <w:t>Article and Section headings and the Table of Contents used herein and in the other Loan Documents are included for convenience of reference only, are not part of this Agreement or any other Loan Document and shall not affect the construction or interpretation of this Agreement or any other Loan Document.</w:t>
      </w:r>
    </w:p>
    <w:p>
      <w:pPr>
        <w:spacing w:after="0" w:line="185" w:lineRule="exact"/>
        <w:rPr>
          <w:rFonts w:ascii="Arial" w:cs="Arial" w:eastAsia="Arial" w:hAnsi="Arial"/>
          <w:sz w:val="20"/>
          <w:szCs w:val="20"/>
          <w:color w:val="auto"/>
        </w:rPr>
      </w:pPr>
    </w:p>
    <w:p>
      <w:pPr>
        <w:jc w:val="both"/>
        <w:ind w:firstLine="1505"/>
        <w:spacing w:after="0" w:line="244" w:lineRule="auto"/>
        <w:tabs>
          <w:tab w:leader="none" w:pos="1981" w:val="left"/>
        </w:tabs>
        <w:numPr>
          <w:ilvl w:val="0"/>
          <w:numId w:val="52"/>
        </w:numPr>
        <w:rPr>
          <w:rFonts w:ascii="Arial" w:cs="Arial" w:eastAsia="Arial" w:hAnsi="Arial"/>
          <w:sz w:val="20"/>
          <w:szCs w:val="20"/>
          <w:color w:val="auto"/>
        </w:rPr>
      </w:pPr>
      <w:r>
        <w:rPr>
          <w:rFonts w:ascii="Arial" w:cs="Arial" w:eastAsia="Arial" w:hAnsi="Arial"/>
          <w:sz w:val="20"/>
          <w:szCs w:val="20"/>
          <w:color w:val="auto"/>
        </w:rPr>
        <w:t>For all purposes under the Loan Documents, in connection with any division or plan of division under Delaware law (or any comparable event under a different jurisdiction’s laws):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Equity Interests at such time.</w:t>
      </w:r>
    </w:p>
    <w:p>
      <w:pPr>
        <w:spacing w:after="0" w:line="194" w:lineRule="exact"/>
        <w:rPr>
          <w:rFonts w:ascii="Arial" w:cs="Arial" w:eastAsia="Arial" w:hAnsi="Arial"/>
          <w:sz w:val="20"/>
          <w:szCs w:val="20"/>
          <w:color w:val="auto"/>
        </w:rPr>
      </w:pPr>
    </w:p>
    <w:p>
      <w:pPr>
        <w:ind w:left="1980" w:hanging="475"/>
        <w:spacing w:after="0"/>
        <w:tabs>
          <w:tab w:leader="none" w:pos="1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In this Agreement, a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5" w:name="page106"/>
    <w:bookmarkEnd w:id="105"/>
    <w:p>
      <w:pPr>
        <w:ind w:left="2732" w:hanging="486"/>
        <w:spacing w:after="0"/>
        <w:tabs>
          <w:tab w:leader="none" w:pos="2732" w:val="left"/>
        </w:tabs>
        <w:numPr>
          <w:ilvl w:val="0"/>
          <w:numId w:val="53"/>
        </w:numPr>
        <w:rPr>
          <w:rFonts w:ascii="Arial" w:cs="Arial" w:eastAsia="Arial" w:hAnsi="Arial"/>
          <w:sz w:val="18"/>
          <w:szCs w:val="18"/>
          <w:color w:val="010000"/>
        </w:rPr>
      </w:pPr>
      <w:r>
        <w:rPr>
          <w:rFonts w:ascii="Arial" w:cs="Arial" w:eastAsia="Arial" w:hAnsi="Arial"/>
          <w:sz w:val="18"/>
          <w:szCs w:val="18"/>
          <w:b w:val="1"/>
          <w:bCs w:val="1"/>
          <w:color w:val="auto"/>
        </w:rPr>
        <w:t xml:space="preserve">the Netherlands </w:t>
      </w:r>
      <w:r>
        <w:rPr>
          <w:rFonts w:ascii="Arial" w:cs="Arial" w:eastAsia="Arial" w:hAnsi="Arial"/>
          <w:sz w:val="18"/>
          <w:szCs w:val="18"/>
          <w:color w:val="auto"/>
        </w:rPr>
        <w:t>means the European part of the Kingdom of the Netherlands and</w:t>
      </w:r>
      <w:r>
        <w:rPr>
          <w:rFonts w:ascii="Arial" w:cs="Arial" w:eastAsia="Arial" w:hAnsi="Arial"/>
          <w:sz w:val="18"/>
          <w:szCs w:val="18"/>
          <w:b w:val="1"/>
          <w:bCs w:val="1"/>
          <w:color w:val="auto"/>
        </w:rPr>
        <w:t xml:space="preserve"> Dutch </w:t>
      </w:r>
      <w:r>
        <w:rPr>
          <w:rFonts w:ascii="Arial" w:cs="Arial" w:eastAsia="Arial" w:hAnsi="Arial"/>
          <w:sz w:val="18"/>
          <w:szCs w:val="18"/>
          <w:color w:val="auto"/>
        </w:rPr>
        <w:t>means in or of</w:t>
      </w:r>
    </w:p>
    <w:p>
      <w:pPr>
        <w:spacing w:after="0" w:line="45" w:lineRule="exact"/>
        <w:rPr>
          <w:sz w:val="20"/>
          <w:szCs w:val="20"/>
          <w:color w:val="auto"/>
        </w:rPr>
      </w:pPr>
    </w:p>
    <w:p>
      <w:pPr>
        <w:ind w:left="752"/>
        <w:spacing w:after="0"/>
        <w:rPr>
          <w:sz w:val="20"/>
          <w:szCs w:val="20"/>
          <w:color w:val="auto"/>
        </w:rPr>
      </w:pPr>
      <w:r>
        <w:rPr>
          <w:rFonts w:ascii="Arial" w:cs="Arial" w:eastAsia="Arial" w:hAnsi="Arial"/>
          <w:sz w:val="20"/>
          <w:szCs w:val="20"/>
          <w:color w:val="auto"/>
        </w:rPr>
        <w:t>the Netherlands;</w:t>
      </w:r>
    </w:p>
    <w:p>
      <w:pPr>
        <w:spacing w:after="0" w:line="194" w:lineRule="exact"/>
        <w:rPr>
          <w:sz w:val="20"/>
          <w:szCs w:val="20"/>
          <w:color w:val="auto"/>
        </w:rPr>
      </w:pPr>
    </w:p>
    <w:p>
      <w:pPr>
        <w:jc w:val="both"/>
        <w:ind w:left="752" w:firstLine="1494"/>
        <w:spacing w:after="0" w:line="294" w:lineRule="auto"/>
        <w:tabs>
          <w:tab w:leader="none" w:pos="274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 xml:space="preserve">a </w:t>
      </w:r>
      <w:r>
        <w:rPr>
          <w:rFonts w:ascii="Arial" w:cs="Arial" w:eastAsia="Arial" w:hAnsi="Arial"/>
          <w:sz w:val="18"/>
          <w:szCs w:val="18"/>
          <w:b w:val="1"/>
          <w:bCs w:val="1"/>
          <w:color w:val="auto"/>
        </w:rPr>
        <w:t>Lien, security interest or security</w:t>
      </w:r>
      <w:r>
        <w:rPr>
          <w:rFonts w:ascii="Arial" w:cs="Arial" w:eastAsia="Arial" w:hAnsi="Arial"/>
          <w:sz w:val="18"/>
          <w:szCs w:val="18"/>
          <w:color w:val="auto"/>
        </w:rPr>
        <w:t xml:space="preserve"> includes any mortgage (</w:t>
      </w:r>
      <w:r>
        <w:rPr>
          <w:rFonts w:ascii="Arial" w:cs="Arial" w:eastAsia="Arial" w:hAnsi="Arial"/>
          <w:sz w:val="18"/>
          <w:szCs w:val="18"/>
          <w:i w:val="1"/>
          <w:iCs w:val="1"/>
          <w:color w:val="auto"/>
        </w:rPr>
        <w:t>hypotheek</w:t>
      </w:r>
      <w:r>
        <w:rPr>
          <w:rFonts w:ascii="Arial" w:cs="Arial" w:eastAsia="Arial" w:hAnsi="Arial"/>
          <w:sz w:val="18"/>
          <w:szCs w:val="18"/>
          <w:color w:val="auto"/>
        </w:rPr>
        <w:t>), pledge (</w:t>
      </w:r>
      <w:r>
        <w:rPr>
          <w:rFonts w:ascii="Arial" w:cs="Arial" w:eastAsia="Arial" w:hAnsi="Arial"/>
          <w:sz w:val="18"/>
          <w:szCs w:val="18"/>
          <w:i w:val="1"/>
          <w:iCs w:val="1"/>
          <w:color w:val="auto"/>
        </w:rPr>
        <w:t>pandrecht</w:t>
      </w:r>
      <w:r>
        <w:rPr>
          <w:rFonts w:ascii="Arial" w:cs="Arial" w:eastAsia="Arial" w:hAnsi="Arial"/>
          <w:sz w:val="18"/>
          <w:szCs w:val="18"/>
          <w:color w:val="auto"/>
        </w:rPr>
        <w:t>), retention of title arrangement (</w:t>
      </w:r>
      <w:r>
        <w:rPr>
          <w:rFonts w:ascii="Arial" w:cs="Arial" w:eastAsia="Arial" w:hAnsi="Arial"/>
          <w:sz w:val="18"/>
          <w:szCs w:val="18"/>
          <w:i w:val="1"/>
          <w:iCs w:val="1"/>
          <w:color w:val="auto"/>
        </w:rPr>
        <w:t>eigendomsvoorbehoud</w:t>
      </w:r>
      <w:r>
        <w:rPr>
          <w:rFonts w:ascii="Arial" w:cs="Arial" w:eastAsia="Arial" w:hAnsi="Arial"/>
          <w:sz w:val="18"/>
          <w:szCs w:val="18"/>
          <w:color w:val="auto"/>
        </w:rPr>
        <w:t>), right of retention (</w:t>
      </w:r>
      <w:r>
        <w:rPr>
          <w:rFonts w:ascii="Arial" w:cs="Arial" w:eastAsia="Arial" w:hAnsi="Arial"/>
          <w:sz w:val="18"/>
          <w:szCs w:val="18"/>
          <w:i w:val="1"/>
          <w:iCs w:val="1"/>
          <w:color w:val="auto"/>
        </w:rPr>
        <w:t>recht van retentie</w:t>
      </w:r>
      <w:r>
        <w:rPr>
          <w:rFonts w:ascii="Arial" w:cs="Arial" w:eastAsia="Arial" w:hAnsi="Arial"/>
          <w:sz w:val="18"/>
          <w:szCs w:val="18"/>
          <w:color w:val="auto"/>
        </w:rPr>
        <w:t>), right to reclaim goods (</w:t>
      </w:r>
      <w:r>
        <w:rPr>
          <w:rFonts w:ascii="Arial" w:cs="Arial" w:eastAsia="Arial" w:hAnsi="Arial"/>
          <w:sz w:val="18"/>
          <w:szCs w:val="18"/>
          <w:i w:val="1"/>
          <w:iCs w:val="1"/>
          <w:color w:val="auto"/>
        </w:rPr>
        <w:t>recht van reclame</w:t>
      </w:r>
      <w:r>
        <w:rPr>
          <w:rFonts w:ascii="Arial" w:cs="Arial" w:eastAsia="Arial" w:hAnsi="Arial"/>
          <w:sz w:val="18"/>
          <w:szCs w:val="18"/>
          <w:color w:val="auto"/>
        </w:rPr>
        <w:t xml:space="preserve">) and any right </w:t>
      </w:r>
      <w:r>
        <w:rPr>
          <w:rFonts w:ascii="Arial" w:cs="Arial" w:eastAsia="Arial" w:hAnsi="Arial"/>
          <w:sz w:val="18"/>
          <w:szCs w:val="18"/>
          <w:i w:val="1"/>
          <w:iCs w:val="1"/>
          <w:color w:val="auto"/>
        </w:rPr>
        <w:t>in rem</w:t>
      </w:r>
      <w:r>
        <w:rPr>
          <w:rFonts w:ascii="Arial" w:cs="Arial" w:eastAsia="Arial" w:hAnsi="Arial"/>
          <w:sz w:val="18"/>
          <w:szCs w:val="18"/>
          <w:color w:val="auto"/>
        </w:rPr>
        <w:t xml:space="preserve"> (</w:t>
      </w:r>
      <w:r>
        <w:rPr>
          <w:rFonts w:ascii="Arial" w:cs="Arial" w:eastAsia="Arial" w:hAnsi="Arial"/>
          <w:sz w:val="18"/>
          <w:szCs w:val="18"/>
          <w:i w:val="1"/>
          <w:iCs w:val="1"/>
          <w:color w:val="auto"/>
        </w:rPr>
        <w:t>beperkt recht</w:t>
      </w:r>
      <w:r>
        <w:rPr>
          <w:rFonts w:ascii="Arial" w:cs="Arial" w:eastAsia="Arial" w:hAnsi="Arial"/>
          <w:sz w:val="18"/>
          <w:szCs w:val="18"/>
          <w:color w:val="auto"/>
        </w:rPr>
        <w:t>) created for the purpose of granting security (</w:t>
      </w:r>
      <w:r>
        <w:rPr>
          <w:rFonts w:ascii="Arial" w:cs="Arial" w:eastAsia="Arial" w:hAnsi="Arial"/>
          <w:sz w:val="18"/>
          <w:szCs w:val="18"/>
          <w:i w:val="1"/>
          <w:iCs w:val="1"/>
          <w:color w:val="auto"/>
        </w:rPr>
        <w:t>goederenrechtelijke zekerheid</w:t>
      </w:r>
      <w:r>
        <w:rPr>
          <w:rFonts w:ascii="Arial" w:cs="Arial" w:eastAsia="Arial" w:hAnsi="Arial"/>
          <w:sz w:val="18"/>
          <w:szCs w:val="18"/>
          <w:color w:val="auto"/>
        </w:rPr>
        <w:t>);</w:t>
      </w:r>
    </w:p>
    <w:p>
      <w:pPr>
        <w:spacing w:after="0" w:line="143" w:lineRule="exact"/>
        <w:rPr>
          <w:rFonts w:ascii="Arial" w:cs="Arial" w:eastAsia="Arial" w:hAnsi="Arial"/>
          <w:sz w:val="18"/>
          <w:szCs w:val="18"/>
          <w:color w:val="010000"/>
        </w:rPr>
      </w:pPr>
    </w:p>
    <w:p>
      <w:pPr>
        <w:ind w:left="752" w:firstLine="1494"/>
        <w:spacing w:after="0" w:line="267" w:lineRule="auto"/>
        <w:tabs>
          <w:tab w:leader="none" w:pos="2736" w:val="left"/>
        </w:tabs>
        <w:numPr>
          <w:ilvl w:val="0"/>
          <w:numId w:val="54"/>
        </w:numPr>
        <w:rPr>
          <w:rFonts w:ascii="Arial" w:cs="Arial" w:eastAsia="Arial" w:hAnsi="Arial"/>
          <w:sz w:val="20"/>
          <w:szCs w:val="20"/>
          <w:color w:val="010000"/>
        </w:rPr>
      </w:pPr>
      <w:r>
        <w:rPr>
          <w:rFonts w:ascii="Arial" w:cs="Arial" w:eastAsia="Arial" w:hAnsi="Arial"/>
          <w:sz w:val="20"/>
          <w:szCs w:val="20"/>
          <w:b w:val="1"/>
          <w:bCs w:val="1"/>
          <w:color w:val="auto"/>
        </w:rPr>
        <w:t xml:space="preserve">works council </w:t>
      </w:r>
      <w:r>
        <w:rPr>
          <w:rFonts w:ascii="Arial" w:cs="Arial" w:eastAsia="Arial" w:hAnsi="Arial"/>
          <w:sz w:val="20"/>
          <w:szCs w:val="20"/>
          <w:color w:val="auto"/>
        </w:rPr>
        <w:t>means each works council (</w:t>
      </w:r>
      <w:r>
        <w:rPr>
          <w:rFonts w:ascii="Arial" w:cs="Arial" w:eastAsia="Arial" w:hAnsi="Arial"/>
          <w:sz w:val="20"/>
          <w:szCs w:val="20"/>
          <w:i w:val="1"/>
          <w:iCs w:val="1"/>
          <w:color w:val="auto"/>
        </w:rPr>
        <w:t>ondernemingsraad</w:t>
      </w:r>
      <w:r>
        <w:rPr>
          <w:rFonts w:ascii="Arial" w:cs="Arial" w:eastAsia="Arial" w:hAnsi="Arial"/>
          <w:sz w:val="20"/>
          <w:szCs w:val="20"/>
          <w:color w:val="auto"/>
        </w:rPr>
        <w:t>) or central or group works council (</w:t>
      </w:r>
      <w:r>
        <w:rPr>
          <w:rFonts w:ascii="Arial" w:cs="Arial" w:eastAsia="Arial" w:hAnsi="Arial"/>
          <w:sz w:val="20"/>
          <w:szCs w:val="20"/>
          <w:i w:val="1"/>
          <w:iCs w:val="1"/>
          <w:color w:val="auto"/>
        </w:rPr>
        <w:t>centrale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of groeps ondernemingsraad</w:t>
      </w:r>
      <w:r>
        <w:rPr>
          <w:rFonts w:ascii="Arial" w:cs="Arial" w:eastAsia="Arial" w:hAnsi="Arial"/>
          <w:sz w:val="20"/>
          <w:szCs w:val="20"/>
          <w:color w:val="auto"/>
        </w:rPr>
        <w:t>) having jurisdiction over that person;</w:t>
      </w:r>
    </w:p>
    <w:p>
      <w:pPr>
        <w:spacing w:after="0" w:line="163" w:lineRule="exact"/>
        <w:rPr>
          <w:rFonts w:ascii="Arial" w:cs="Arial" w:eastAsia="Arial" w:hAnsi="Arial"/>
          <w:sz w:val="20"/>
          <w:szCs w:val="20"/>
          <w:color w:val="010000"/>
        </w:rPr>
      </w:pPr>
    </w:p>
    <w:p>
      <w:pPr>
        <w:ind w:left="752" w:firstLine="1494"/>
        <w:spacing w:after="0" w:line="267" w:lineRule="auto"/>
        <w:tabs>
          <w:tab w:leader="none" w:pos="2740" w:val="left"/>
        </w:tabs>
        <w:numPr>
          <w:ilvl w:val="0"/>
          <w:numId w:val="54"/>
        </w:numPr>
        <w:rPr>
          <w:rFonts w:ascii="Arial" w:cs="Arial" w:eastAsia="Arial" w:hAnsi="Arial"/>
          <w:sz w:val="20"/>
          <w:szCs w:val="20"/>
          <w:color w:val="010000"/>
        </w:rPr>
      </w:pPr>
      <w:r>
        <w:rPr>
          <w:rFonts w:ascii="Arial" w:cs="Arial" w:eastAsia="Arial" w:hAnsi="Arial"/>
          <w:sz w:val="20"/>
          <w:szCs w:val="20"/>
          <w:color w:val="auto"/>
        </w:rPr>
        <w:t xml:space="preserve">a </w:t>
      </w:r>
      <w:r>
        <w:rPr>
          <w:rFonts w:ascii="Arial" w:cs="Arial" w:eastAsia="Arial" w:hAnsi="Arial"/>
          <w:sz w:val="20"/>
          <w:szCs w:val="20"/>
          <w:b w:val="1"/>
          <w:bCs w:val="1"/>
          <w:color w:val="auto"/>
        </w:rPr>
        <w:t>winding-up, administration</w:t>
      </w:r>
      <w:r>
        <w:rPr>
          <w:rFonts w:ascii="Arial" w:cs="Arial" w:eastAsia="Arial" w:hAnsi="Arial"/>
          <w:sz w:val="20"/>
          <w:szCs w:val="20"/>
          <w:color w:val="auto"/>
        </w:rPr>
        <w:t xml:space="preserve"> or </w:t>
      </w:r>
      <w:r>
        <w:rPr>
          <w:rFonts w:ascii="Arial" w:cs="Arial" w:eastAsia="Arial" w:hAnsi="Arial"/>
          <w:sz w:val="20"/>
          <w:szCs w:val="20"/>
          <w:b w:val="1"/>
          <w:bCs w:val="1"/>
          <w:color w:val="auto"/>
        </w:rPr>
        <w:t>dissolution</w:t>
      </w:r>
      <w:r>
        <w:rPr>
          <w:rFonts w:ascii="Arial" w:cs="Arial" w:eastAsia="Arial" w:hAnsi="Arial"/>
          <w:sz w:val="20"/>
          <w:szCs w:val="20"/>
          <w:color w:val="auto"/>
        </w:rPr>
        <w:t xml:space="preserve"> includes a Dutch entity being (a) declared bankrupt (</w:t>
      </w:r>
      <w:r>
        <w:rPr>
          <w:rFonts w:ascii="Arial" w:cs="Arial" w:eastAsia="Arial" w:hAnsi="Arial"/>
          <w:sz w:val="20"/>
          <w:szCs w:val="20"/>
          <w:i w:val="1"/>
          <w:iCs w:val="1"/>
          <w:color w:val="auto"/>
        </w:rPr>
        <w:t>failliet</w:t>
      </w:r>
      <w:r>
        <w:rPr>
          <w:rFonts w:ascii="Arial" w:cs="Arial" w:eastAsia="Arial" w:hAnsi="Arial"/>
          <w:sz w:val="20"/>
          <w:szCs w:val="20"/>
          <w:color w:val="auto"/>
        </w:rPr>
        <w:t xml:space="preserve"> </w:t>
      </w:r>
      <w:r>
        <w:rPr>
          <w:rFonts w:ascii="Arial" w:cs="Arial" w:eastAsia="Arial" w:hAnsi="Arial"/>
          <w:sz w:val="20"/>
          <w:szCs w:val="20"/>
          <w:i w:val="1"/>
          <w:iCs w:val="1"/>
          <w:color w:val="auto"/>
        </w:rPr>
        <w:t>verklaard</w:t>
      </w:r>
      <w:r>
        <w:rPr>
          <w:rFonts w:ascii="Arial" w:cs="Arial" w:eastAsia="Arial" w:hAnsi="Arial"/>
          <w:sz w:val="20"/>
          <w:szCs w:val="20"/>
          <w:color w:val="auto"/>
        </w:rPr>
        <w:t>); or (b) dissolved (</w:t>
      </w:r>
      <w:r>
        <w:rPr>
          <w:rFonts w:ascii="Arial" w:cs="Arial" w:eastAsia="Arial" w:hAnsi="Arial"/>
          <w:sz w:val="20"/>
          <w:szCs w:val="20"/>
          <w:i w:val="1"/>
          <w:iCs w:val="1"/>
          <w:color w:val="auto"/>
        </w:rPr>
        <w:t>ontbonden</w:t>
      </w:r>
      <w:r>
        <w:rPr>
          <w:rFonts w:ascii="Arial" w:cs="Arial" w:eastAsia="Arial" w:hAnsi="Arial"/>
          <w:sz w:val="20"/>
          <w:szCs w:val="20"/>
          <w:color w:val="auto"/>
        </w:rPr>
        <w:t>);</w:t>
      </w:r>
    </w:p>
    <w:p>
      <w:pPr>
        <w:spacing w:after="0" w:line="163" w:lineRule="exact"/>
        <w:rPr>
          <w:rFonts w:ascii="Arial" w:cs="Arial" w:eastAsia="Arial" w:hAnsi="Arial"/>
          <w:sz w:val="20"/>
          <w:szCs w:val="20"/>
          <w:color w:val="010000"/>
        </w:rPr>
      </w:pPr>
    </w:p>
    <w:p>
      <w:pPr>
        <w:ind w:left="2792" w:hanging="546"/>
        <w:spacing w:after="0"/>
        <w:tabs>
          <w:tab w:leader="none" w:pos="2792"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 xml:space="preserve">a </w:t>
      </w:r>
      <w:r>
        <w:rPr>
          <w:rFonts w:ascii="Arial" w:cs="Arial" w:eastAsia="Arial" w:hAnsi="Arial"/>
          <w:sz w:val="19"/>
          <w:szCs w:val="19"/>
          <w:b w:val="1"/>
          <w:bCs w:val="1"/>
          <w:color w:val="auto"/>
        </w:rPr>
        <w:t>moratorium</w:t>
      </w:r>
      <w:r>
        <w:rPr>
          <w:rFonts w:ascii="Arial" w:cs="Arial" w:eastAsia="Arial" w:hAnsi="Arial"/>
          <w:sz w:val="19"/>
          <w:szCs w:val="19"/>
          <w:color w:val="auto"/>
        </w:rPr>
        <w:t xml:space="preserve"> includes </w:t>
      </w:r>
      <w:r>
        <w:rPr>
          <w:rFonts w:ascii="Arial" w:cs="Arial" w:eastAsia="Arial" w:hAnsi="Arial"/>
          <w:sz w:val="19"/>
          <w:szCs w:val="19"/>
          <w:i w:val="1"/>
          <w:iCs w:val="1"/>
          <w:color w:val="auto"/>
        </w:rPr>
        <w:t>sursance van betaling</w:t>
      </w:r>
      <w:r>
        <w:rPr>
          <w:rFonts w:ascii="Arial" w:cs="Arial" w:eastAsia="Arial" w:hAnsi="Arial"/>
          <w:sz w:val="19"/>
          <w:szCs w:val="19"/>
          <w:color w:val="auto"/>
        </w:rPr>
        <w:t xml:space="preserve"> and </w:t>
      </w:r>
      <w:r>
        <w:rPr>
          <w:rFonts w:ascii="Arial" w:cs="Arial" w:eastAsia="Arial" w:hAnsi="Arial"/>
          <w:sz w:val="19"/>
          <w:szCs w:val="19"/>
          <w:b w:val="1"/>
          <w:bCs w:val="1"/>
          <w:color w:val="auto"/>
        </w:rPr>
        <w:t>a moratorium is declared</w:t>
      </w:r>
      <w:r>
        <w:rPr>
          <w:rFonts w:ascii="Arial" w:cs="Arial" w:eastAsia="Arial" w:hAnsi="Arial"/>
          <w:sz w:val="19"/>
          <w:szCs w:val="19"/>
          <w:color w:val="auto"/>
        </w:rPr>
        <w:t xml:space="preserve"> includes </w:t>
      </w:r>
      <w:r>
        <w:rPr>
          <w:rFonts w:ascii="Arial" w:cs="Arial" w:eastAsia="Arial" w:hAnsi="Arial"/>
          <w:sz w:val="19"/>
          <w:szCs w:val="19"/>
          <w:i w:val="1"/>
          <w:iCs w:val="1"/>
          <w:color w:val="auto"/>
        </w:rPr>
        <w:t>surseance</w:t>
      </w:r>
    </w:p>
    <w:p>
      <w:pPr>
        <w:spacing w:after="0" w:line="33" w:lineRule="exact"/>
        <w:rPr>
          <w:rFonts w:ascii="Arial" w:cs="Arial" w:eastAsia="Arial" w:hAnsi="Arial"/>
          <w:sz w:val="19"/>
          <w:szCs w:val="19"/>
          <w:color w:val="010000"/>
        </w:rPr>
      </w:pPr>
    </w:p>
    <w:p>
      <w:pPr>
        <w:ind w:left="752"/>
        <w:spacing w:after="0"/>
        <w:rPr>
          <w:rFonts w:ascii="Arial" w:cs="Arial" w:eastAsia="Arial" w:hAnsi="Arial"/>
          <w:sz w:val="19"/>
          <w:szCs w:val="19"/>
          <w:color w:val="010000"/>
        </w:rPr>
      </w:pPr>
      <w:r>
        <w:rPr>
          <w:rFonts w:ascii="Arial" w:cs="Arial" w:eastAsia="Arial" w:hAnsi="Arial"/>
          <w:sz w:val="20"/>
          <w:szCs w:val="20"/>
          <w:i w:val="1"/>
          <w:iCs w:val="1"/>
          <w:color w:val="auto"/>
        </w:rPr>
        <w:t>verleend</w:t>
      </w:r>
      <w:r>
        <w:rPr>
          <w:rFonts w:ascii="Arial" w:cs="Arial" w:eastAsia="Arial" w:hAnsi="Arial"/>
          <w:sz w:val="20"/>
          <w:szCs w:val="20"/>
          <w:color w:val="auto"/>
        </w:rPr>
        <w:t>;</w:t>
      </w:r>
    </w:p>
    <w:p>
      <w:pPr>
        <w:spacing w:after="0" w:line="193" w:lineRule="exact"/>
        <w:rPr>
          <w:rFonts w:ascii="Arial" w:cs="Arial" w:eastAsia="Arial" w:hAnsi="Arial"/>
          <w:sz w:val="19"/>
          <w:szCs w:val="19"/>
          <w:color w:val="010000"/>
        </w:rPr>
      </w:pPr>
    </w:p>
    <w:p>
      <w:pPr>
        <w:jc w:val="both"/>
        <w:ind w:left="752" w:firstLine="1494"/>
        <w:spacing w:after="0" w:line="262" w:lineRule="auto"/>
        <w:tabs>
          <w:tab w:leader="none" w:pos="2734"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 xml:space="preserve">any </w:t>
      </w:r>
      <w:r>
        <w:rPr>
          <w:rFonts w:ascii="Arial" w:cs="Arial" w:eastAsia="Arial" w:hAnsi="Arial"/>
          <w:sz w:val="19"/>
          <w:szCs w:val="19"/>
          <w:b w:val="1"/>
          <w:bCs w:val="1"/>
          <w:color w:val="auto"/>
        </w:rPr>
        <w:t>petition, proceeding</w:t>
      </w:r>
      <w:r>
        <w:rPr>
          <w:rFonts w:ascii="Arial" w:cs="Arial" w:eastAsia="Arial" w:hAnsi="Arial"/>
          <w:sz w:val="19"/>
          <w:szCs w:val="19"/>
          <w:color w:val="auto"/>
        </w:rPr>
        <w:t xml:space="preserve"> or </w:t>
      </w:r>
      <w:r>
        <w:rPr>
          <w:rFonts w:ascii="Arial" w:cs="Arial" w:eastAsia="Arial" w:hAnsi="Arial"/>
          <w:sz w:val="19"/>
          <w:szCs w:val="19"/>
          <w:b w:val="1"/>
          <w:bCs w:val="1"/>
          <w:color w:val="auto"/>
        </w:rPr>
        <w:t>step taken</w:t>
      </w:r>
      <w:r>
        <w:rPr>
          <w:rFonts w:ascii="Arial" w:cs="Arial" w:eastAsia="Arial" w:hAnsi="Arial"/>
          <w:sz w:val="19"/>
          <w:szCs w:val="19"/>
          <w:color w:val="auto"/>
        </w:rPr>
        <w:t xml:space="preserve"> in connection with insolvency proceedings includes a Dutch entity having filed a notice under Section 36 of the Tax Collection Act of The Netherlands (</w:t>
      </w:r>
      <w:r>
        <w:rPr>
          <w:rFonts w:ascii="Arial" w:cs="Arial" w:eastAsia="Arial" w:hAnsi="Arial"/>
          <w:sz w:val="19"/>
          <w:szCs w:val="19"/>
          <w:i w:val="1"/>
          <w:iCs w:val="1"/>
          <w:color w:val="auto"/>
        </w:rPr>
        <w:t>Invorderingswet 1990</w:t>
      </w:r>
      <w:r>
        <w:rPr>
          <w:rFonts w:ascii="Arial" w:cs="Arial" w:eastAsia="Arial" w:hAnsi="Arial"/>
          <w:sz w:val="19"/>
          <w:szCs w:val="19"/>
          <w:color w:val="auto"/>
        </w:rPr>
        <w:t>), but not where such notice is (deemed) given by reason of a request by that person for the postponement of its tax liability payments made – and the authorities’ consent to and actual postponement of such payments – in accordance with the Decree of the Dutch State Secretary for Finance dated 3 March 2021, decree nr. 2021 - 38397 (as amended from time to time);</w:t>
      </w:r>
    </w:p>
    <w:p>
      <w:pPr>
        <w:spacing w:after="0" w:line="170" w:lineRule="exact"/>
        <w:rPr>
          <w:rFonts w:ascii="Arial" w:cs="Arial" w:eastAsia="Arial" w:hAnsi="Arial"/>
          <w:sz w:val="19"/>
          <w:szCs w:val="19"/>
          <w:color w:val="010000"/>
        </w:rPr>
      </w:pPr>
    </w:p>
    <w:p>
      <w:pPr>
        <w:ind w:left="2732" w:hanging="486"/>
        <w:spacing w:after="0"/>
        <w:tabs>
          <w:tab w:leader="none" w:pos="2732" w:val="left"/>
        </w:tabs>
        <w:numPr>
          <w:ilvl w:val="0"/>
          <w:numId w:val="54"/>
        </w:numPr>
        <w:rPr>
          <w:rFonts w:ascii="Arial" w:cs="Arial" w:eastAsia="Arial" w:hAnsi="Arial"/>
          <w:sz w:val="20"/>
          <w:szCs w:val="20"/>
          <w:color w:val="010000"/>
        </w:rPr>
      </w:pPr>
      <w:r>
        <w:rPr>
          <w:rFonts w:ascii="Arial" w:cs="Arial" w:eastAsia="Arial" w:hAnsi="Arial"/>
          <w:sz w:val="20"/>
          <w:szCs w:val="20"/>
          <w:color w:val="auto"/>
        </w:rPr>
        <w:t xml:space="preserve">a </w:t>
      </w:r>
      <w:r>
        <w:rPr>
          <w:rFonts w:ascii="Arial" w:cs="Arial" w:eastAsia="Arial" w:hAnsi="Arial"/>
          <w:sz w:val="20"/>
          <w:szCs w:val="20"/>
          <w:b w:val="1"/>
          <w:bCs w:val="1"/>
          <w:color w:val="auto"/>
        </w:rPr>
        <w:t>trustee in bankruptcy</w:t>
      </w:r>
      <w:r>
        <w:rPr>
          <w:rFonts w:ascii="Arial" w:cs="Arial" w:eastAsia="Arial" w:hAnsi="Arial"/>
          <w:sz w:val="20"/>
          <w:szCs w:val="20"/>
          <w:color w:val="auto"/>
        </w:rPr>
        <w:t xml:space="preserve"> or a </w:t>
      </w:r>
      <w:r>
        <w:rPr>
          <w:rFonts w:ascii="Arial" w:cs="Arial" w:eastAsia="Arial" w:hAnsi="Arial"/>
          <w:sz w:val="20"/>
          <w:szCs w:val="20"/>
          <w:b w:val="1"/>
          <w:bCs w:val="1"/>
          <w:color w:val="auto"/>
        </w:rPr>
        <w:t>liquidator</w:t>
      </w:r>
      <w:r>
        <w:rPr>
          <w:rFonts w:ascii="Arial" w:cs="Arial" w:eastAsia="Arial" w:hAnsi="Arial"/>
          <w:sz w:val="20"/>
          <w:szCs w:val="20"/>
          <w:color w:val="auto"/>
        </w:rPr>
        <w:t xml:space="preserve"> includes a </w:t>
      </w:r>
      <w:r>
        <w:rPr>
          <w:rFonts w:ascii="Arial" w:cs="Arial" w:eastAsia="Arial" w:hAnsi="Arial"/>
          <w:sz w:val="20"/>
          <w:szCs w:val="20"/>
          <w:i w:val="1"/>
          <w:iCs w:val="1"/>
          <w:color w:val="auto"/>
        </w:rPr>
        <w:t>curator</w:t>
      </w:r>
      <w:r>
        <w:rPr>
          <w:rFonts w:ascii="Arial" w:cs="Arial" w:eastAsia="Arial" w:hAnsi="Arial"/>
          <w:sz w:val="20"/>
          <w:szCs w:val="20"/>
          <w:color w:val="auto"/>
        </w:rPr>
        <w:t xml:space="preserve"> or a </w:t>
      </w:r>
      <w:r>
        <w:rPr>
          <w:rFonts w:ascii="Arial" w:cs="Arial" w:eastAsia="Arial" w:hAnsi="Arial"/>
          <w:sz w:val="20"/>
          <w:szCs w:val="20"/>
          <w:i w:val="1"/>
          <w:iCs w:val="1"/>
          <w:color w:val="auto"/>
        </w:rPr>
        <w:t>beoogd curator;</w:t>
      </w:r>
    </w:p>
    <w:p>
      <w:pPr>
        <w:spacing w:after="0" w:line="215" w:lineRule="exact"/>
        <w:rPr>
          <w:rFonts w:ascii="Arial" w:cs="Arial" w:eastAsia="Arial" w:hAnsi="Arial"/>
          <w:sz w:val="20"/>
          <w:szCs w:val="20"/>
          <w:color w:val="010000"/>
        </w:rPr>
      </w:pPr>
    </w:p>
    <w:p>
      <w:pPr>
        <w:ind w:left="2732" w:hanging="486"/>
        <w:spacing w:after="0"/>
        <w:tabs>
          <w:tab w:leader="none" w:pos="2732" w:val="left"/>
        </w:tabs>
        <w:numPr>
          <w:ilvl w:val="0"/>
          <w:numId w:val="54"/>
        </w:numPr>
        <w:rPr>
          <w:rFonts w:ascii="Arial" w:cs="Arial" w:eastAsia="Arial" w:hAnsi="Arial"/>
          <w:sz w:val="20"/>
          <w:szCs w:val="20"/>
          <w:color w:val="010000"/>
        </w:rPr>
      </w:pPr>
      <w:r>
        <w:rPr>
          <w:rFonts w:ascii="Arial" w:cs="Arial" w:eastAsia="Arial" w:hAnsi="Arial"/>
          <w:sz w:val="20"/>
          <w:szCs w:val="20"/>
          <w:color w:val="auto"/>
        </w:rPr>
        <w:t xml:space="preserve">an </w:t>
      </w:r>
      <w:r>
        <w:rPr>
          <w:rFonts w:ascii="Arial" w:cs="Arial" w:eastAsia="Arial" w:hAnsi="Arial"/>
          <w:sz w:val="20"/>
          <w:szCs w:val="20"/>
          <w:b w:val="1"/>
          <w:bCs w:val="1"/>
          <w:color w:val="auto"/>
        </w:rPr>
        <w:t>administrator</w:t>
      </w:r>
      <w:r>
        <w:rPr>
          <w:rFonts w:ascii="Arial" w:cs="Arial" w:eastAsia="Arial" w:hAnsi="Arial"/>
          <w:sz w:val="20"/>
          <w:szCs w:val="20"/>
          <w:color w:val="auto"/>
        </w:rPr>
        <w:t xml:space="preserve"> includes a </w:t>
      </w:r>
      <w:r>
        <w:rPr>
          <w:rFonts w:ascii="Arial" w:cs="Arial" w:eastAsia="Arial" w:hAnsi="Arial"/>
          <w:sz w:val="20"/>
          <w:szCs w:val="20"/>
          <w:i w:val="1"/>
          <w:iCs w:val="1"/>
          <w:color w:val="auto"/>
        </w:rPr>
        <w:t>bewindvoerder</w:t>
      </w:r>
      <w:r>
        <w:rPr>
          <w:rFonts w:ascii="Arial" w:cs="Arial" w:eastAsia="Arial" w:hAnsi="Arial"/>
          <w:sz w:val="20"/>
          <w:szCs w:val="20"/>
          <w:color w:val="auto"/>
        </w:rPr>
        <w:t xml:space="preserve"> or a </w:t>
      </w:r>
      <w:r>
        <w:rPr>
          <w:rFonts w:ascii="Arial" w:cs="Arial" w:eastAsia="Arial" w:hAnsi="Arial"/>
          <w:sz w:val="20"/>
          <w:szCs w:val="20"/>
          <w:i w:val="1"/>
          <w:iCs w:val="1"/>
          <w:color w:val="auto"/>
        </w:rPr>
        <w:t>beoogd bewindvoerder;</w:t>
      </w:r>
    </w:p>
    <w:p>
      <w:pPr>
        <w:spacing w:after="0" w:line="215" w:lineRule="exact"/>
        <w:rPr>
          <w:rFonts w:ascii="Arial" w:cs="Arial" w:eastAsia="Arial" w:hAnsi="Arial"/>
          <w:sz w:val="20"/>
          <w:szCs w:val="20"/>
          <w:color w:val="010000"/>
        </w:rPr>
      </w:pPr>
    </w:p>
    <w:p>
      <w:pPr>
        <w:ind w:left="2732" w:hanging="486"/>
        <w:spacing w:after="0"/>
        <w:tabs>
          <w:tab w:leader="none" w:pos="2732" w:val="left"/>
        </w:tabs>
        <w:numPr>
          <w:ilvl w:val="0"/>
          <w:numId w:val="54"/>
        </w:numPr>
        <w:rPr>
          <w:rFonts w:ascii="Arial" w:cs="Arial" w:eastAsia="Arial" w:hAnsi="Arial"/>
          <w:sz w:val="20"/>
          <w:szCs w:val="20"/>
          <w:color w:val="010000"/>
        </w:rPr>
      </w:pPr>
      <w:r>
        <w:rPr>
          <w:rFonts w:ascii="Arial" w:cs="Arial" w:eastAsia="Arial" w:hAnsi="Arial"/>
          <w:sz w:val="20"/>
          <w:szCs w:val="20"/>
          <w:color w:val="auto"/>
        </w:rPr>
        <w:t xml:space="preserve">a </w:t>
      </w:r>
      <w:r>
        <w:rPr>
          <w:rFonts w:ascii="Arial" w:cs="Arial" w:eastAsia="Arial" w:hAnsi="Arial"/>
          <w:sz w:val="20"/>
          <w:szCs w:val="20"/>
          <w:b w:val="1"/>
          <w:bCs w:val="1"/>
          <w:color w:val="auto"/>
        </w:rPr>
        <w:t>receiver</w:t>
      </w:r>
      <w:r>
        <w:rPr>
          <w:rFonts w:ascii="Arial" w:cs="Arial" w:eastAsia="Arial" w:hAnsi="Arial"/>
          <w:sz w:val="20"/>
          <w:szCs w:val="20"/>
          <w:color w:val="auto"/>
        </w:rPr>
        <w:t xml:space="preserve"> does not include a </w:t>
      </w:r>
      <w:r>
        <w:rPr>
          <w:rFonts w:ascii="Arial" w:cs="Arial" w:eastAsia="Arial" w:hAnsi="Arial"/>
          <w:sz w:val="20"/>
          <w:szCs w:val="20"/>
          <w:i w:val="1"/>
          <w:iCs w:val="1"/>
          <w:color w:val="auto"/>
        </w:rPr>
        <w:t>curator</w:t>
      </w:r>
      <w:r>
        <w:rPr>
          <w:rFonts w:ascii="Arial" w:cs="Arial" w:eastAsia="Arial" w:hAnsi="Arial"/>
          <w:sz w:val="20"/>
          <w:szCs w:val="20"/>
          <w:color w:val="auto"/>
        </w:rPr>
        <w:t xml:space="preserve"> or </w:t>
      </w:r>
      <w:r>
        <w:rPr>
          <w:rFonts w:ascii="Arial" w:cs="Arial" w:eastAsia="Arial" w:hAnsi="Arial"/>
          <w:sz w:val="20"/>
          <w:szCs w:val="20"/>
          <w:i w:val="1"/>
          <w:iCs w:val="1"/>
          <w:color w:val="auto"/>
        </w:rPr>
        <w:t>bewindvoerder</w:t>
      </w:r>
      <w:r>
        <w:rPr>
          <w:rFonts w:ascii="Arial" w:cs="Arial" w:eastAsia="Arial" w:hAnsi="Arial"/>
          <w:sz w:val="20"/>
          <w:szCs w:val="20"/>
          <w:color w:val="auto"/>
        </w:rPr>
        <w:t>; and</w:t>
      </w:r>
    </w:p>
    <w:p>
      <w:pPr>
        <w:spacing w:after="0" w:line="215" w:lineRule="exact"/>
        <w:rPr>
          <w:rFonts w:ascii="Arial" w:cs="Arial" w:eastAsia="Arial" w:hAnsi="Arial"/>
          <w:sz w:val="20"/>
          <w:szCs w:val="20"/>
          <w:color w:val="010000"/>
        </w:rPr>
      </w:pPr>
    </w:p>
    <w:p>
      <w:pPr>
        <w:ind w:left="2732" w:hanging="486"/>
        <w:spacing w:after="0"/>
        <w:tabs>
          <w:tab w:leader="none" w:pos="2732" w:val="left"/>
        </w:tabs>
        <w:numPr>
          <w:ilvl w:val="0"/>
          <w:numId w:val="54"/>
        </w:numPr>
        <w:rPr>
          <w:rFonts w:ascii="Arial" w:cs="Arial" w:eastAsia="Arial" w:hAnsi="Arial"/>
          <w:sz w:val="20"/>
          <w:szCs w:val="20"/>
          <w:color w:val="010000"/>
        </w:rPr>
      </w:pPr>
      <w:r>
        <w:rPr>
          <w:rFonts w:ascii="Arial" w:cs="Arial" w:eastAsia="Arial" w:hAnsi="Arial"/>
          <w:sz w:val="20"/>
          <w:szCs w:val="20"/>
          <w:color w:val="auto"/>
        </w:rPr>
        <w:t xml:space="preserve">an </w:t>
      </w:r>
      <w:r>
        <w:rPr>
          <w:rFonts w:ascii="Arial" w:cs="Arial" w:eastAsia="Arial" w:hAnsi="Arial"/>
          <w:sz w:val="20"/>
          <w:szCs w:val="20"/>
          <w:b w:val="1"/>
          <w:bCs w:val="1"/>
          <w:color w:val="auto"/>
        </w:rPr>
        <w:t>attachment</w:t>
      </w:r>
      <w:r>
        <w:rPr>
          <w:rFonts w:ascii="Arial" w:cs="Arial" w:eastAsia="Arial" w:hAnsi="Arial"/>
          <w:sz w:val="20"/>
          <w:szCs w:val="20"/>
          <w:color w:val="auto"/>
        </w:rPr>
        <w:t xml:space="preserve"> includes a </w:t>
      </w:r>
      <w:r>
        <w:rPr>
          <w:rFonts w:ascii="Arial" w:cs="Arial" w:eastAsia="Arial" w:hAnsi="Arial"/>
          <w:sz w:val="20"/>
          <w:szCs w:val="20"/>
          <w:i w:val="1"/>
          <w:iCs w:val="1"/>
          <w:color w:val="auto"/>
        </w:rPr>
        <w:t>beslag</w:t>
      </w:r>
      <w:r>
        <w:rPr>
          <w:rFonts w:ascii="Arial" w:cs="Arial" w:eastAsia="Arial" w:hAnsi="Arial"/>
          <w:sz w:val="20"/>
          <w:szCs w:val="20"/>
          <w:color w:val="auto"/>
        </w:rPr>
        <w:t>.</w:t>
      </w:r>
    </w:p>
    <w:p>
      <w:pPr>
        <w:spacing w:after="0" w:line="222" w:lineRule="exact"/>
        <w:rPr>
          <w:sz w:val="20"/>
          <w:szCs w:val="20"/>
          <w:color w:val="auto"/>
        </w:rPr>
      </w:pPr>
    </w:p>
    <w:p>
      <w:pPr>
        <w:ind w:left="752"/>
        <w:spacing w:after="0"/>
        <w:rPr>
          <w:sz w:val="20"/>
          <w:szCs w:val="20"/>
          <w:color w:val="auto"/>
        </w:rPr>
      </w:pPr>
      <w:r>
        <w:rPr>
          <w:rFonts w:ascii="Arial" w:cs="Arial" w:eastAsia="Arial" w:hAnsi="Arial"/>
          <w:sz w:val="20"/>
          <w:szCs w:val="20"/>
          <w:color w:val="010000"/>
        </w:rPr>
        <w:t xml:space="preserve">1.03 </w:t>
      </w:r>
      <w:r>
        <w:rPr>
          <w:rFonts w:ascii="Arial" w:cs="Arial" w:eastAsia="Arial" w:hAnsi="Arial"/>
          <w:sz w:val="20"/>
          <w:szCs w:val="20"/>
          <w:color w:val="000000"/>
        </w:rPr>
        <w:t>Accounting Terms.</w:t>
      </w:r>
    </w:p>
    <w:p>
      <w:pPr>
        <w:spacing w:after="0" w:line="216" w:lineRule="exact"/>
        <w:rPr>
          <w:sz w:val="20"/>
          <w:szCs w:val="20"/>
          <w:color w:val="auto"/>
        </w:rPr>
      </w:pPr>
    </w:p>
    <w:p>
      <w:pPr>
        <w:jc w:val="both"/>
        <w:ind w:left="-8" w:firstLine="1505"/>
        <w:spacing w:after="0" w:line="269" w:lineRule="auto"/>
        <w:tabs>
          <w:tab w:leader="none" w:pos="1973"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as in effect from time to time, applied in a manner consistent with that used in preparing the Audited Financial Statements, except as otherwise specifically prescribed herein. Notwithstanding any other provision contained herein, all terms of an accounting or financial nature used herein shall be construed, and all computations of amounts and ratios referred to herein shall be made</w:t>
      </w:r>
    </w:p>
    <w:p>
      <w:pPr>
        <w:spacing w:after="0" w:line="3" w:lineRule="exact"/>
        <w:rPr>
          <w:rFonts w:ascii="Arial" w:cs="Arial" w:eastAsia="Arial" w:hAnsi="Arial"/>
          <w:sz w:val="18"/>
          <w:szCs w:val="18"/>
          <w:color w:val="auto"/>
        </w:rPr>
      </w:pPr>
    </w:p>
    <w:p>
      <w:pPr>
        <w:jc w:val="both"/>
        <w:ind w:left="-8" w:firstLine="8"/>
        <w:spacing w:after="0" w:line="256" w:lineRule="auto"/>
        <w:tabs>
          <w:tab w:leader="none" w:pos="229" w:val="left"/>
        </w:tabs>
        <w:numPr>
          <w:ilvl w:val="0"/>
          <w:numId w:val="56"/>
        </w:numPr>
        <w:rPr>
          <w:rFonts w:ascii="Arial" w:cs="Arial" w:eastAsia="Arial" w:hAnsi="Arial"/>
          <w:sz w:val="19"/>
          <w:szCs w:val="19"/>
          <w:color w:val="auto"/>
        </w:rPr>
      </w:pPr>
      <w:r>
        <w:rPr>
          <w:rFonts w:ascii="Arial" w:cs="Arial" w:eastAsia="Arial" w:hAnsi="Arial"/>
          <w:sz w:val="19"/>
          <w:szCs w:val="19"/>
          <w:color w:val="auto"/>
        </w:rPr>
        <w:t>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328295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6" w:right="33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color w:val="auto"/>
        </w:rPr>
        <w:t>as described therein, and such Indebtedness shall at all times be valued at the full stated principal amount thereof.</w:t>
      </w:r>
    </w:p>
    <w:p>
      <w:pPr>
        <w:spacing w:after="0" w:line="216" w:lineRule="exact"/>
        <w:rPr>
          <w:sz w:val="20"/>
          <w:szCs w:val="20"/>
          <w:color w:val="auto"/>
        </w:rPr>
      </w:pPr>
    </w:p>
    <w:p>
      <w:pPr>
        <w:jc w:val="both"/>
        <w:ind w:firstLine="1505"/>
        <w:spacing w:after="0" w:line="255" w:lineRule="auto"/>
        <w:tabs>
          <w:tab w:leader="none" w:pos="200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Changes in GAAP</w:t>
      </w:r>
      <w:r>
        <w:rPr>
          <w:rFonts w:ascii="Arial" w:cs="Arial" w:eastAsia="Arial" w:hAnsi="Arial"/>
          <w:sz w:val="19"/>
          <w:szCs w:val="19"/>
          <w:color w:val="auto"/>
        </w:rPr>
        <w:t xml:space="preserve">. If at any time any change in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until so amended, (i) such ratio or requirement shall continue to be computed in accordance with GAAP prior to such change therein and (ii) the Company and the Parent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For the purposes of the definition of Capital Lease Obligations, in the event of an accounting change requiring all leases to be capitalized, only those leases that would constitute Capital Lease Obligations in conformity with GAAP as in effect prior to giving effect to the adoption of ASU No. 2016-02 “Leases (Topic 842)” and ASU No. 2018-11 “Leases (Topic 842)” shall be considered Capital Lease Obligations, and all calculations and deliverables under this Agreement or any other Loan Document shall be made or delivered, as applicable, in accordance therewith.</w:t>
      </w:r>
    </w:p>
    <w:p>
      <w:pPr>
        <w:spacing w:after="0" w:line="184" w:lineRule="exact"/>
        <w:rPr>
          <w:rFonts w:ascii="Arial" w:cs="Arial" w:eastAsia="Arial" w:hAnsi="Arial"/>
          <w:sz w:val="19"/>
          <w:szCs w:val="19"/>
          <w:color w:val="auto"/>
        </w:rPr>
      </w:pPr>
    </w:p>
    <w:p>
      <w:pPr>
        <w:jc w:val="both"/>
        <w:ind w:firstLine="1505"/>
        <w:spacing w:after="0" w:line="244" w:lineRule="auto"/>
        <w:tabs>
          <w:tab w:leader="none" w:pos="1991"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Consolidation of Variable Interest Entities</w:t>
      </w:r>
      <w:r>
        <w:rPr>
          <w:rFonts w:ascii="Arial" w:cs="Arial" w:eastAsia="Arial" w:hAnsi="Arial"/>
          <w:sz w:val="20"/>
          <w:szCs w:val="20"/>
          <w:color w:val="auto"/>
        </w:rPr>
        <w:t>. All references herein to consolidated financial statements of the Parent and its Subsidiaries or to the determination of any amount for the Parent and its Subsidiaries on a consolidated basis or any similar reference shall, in each case, be deemed to include each variable interest entity that the Parent is required to consolidate pursuant to FASB Interpretation No. 46 (revised December 2003) - Consolidation of Variable Interest Entities: an interpretation of ARB No. 51 (January 2003) as if such variable interest entity were a Subsidiary as defined herein.</w:t>
      </w:r>
    </w:p>
    <w:p>
      <w:pPr>
        <w:spacing w:after="0" w:line="194"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010000"/>
        </w:rPr>
        <w:t xml:space="preserve">1.04 </w:t>
      </w:r>
      <w:r>
        <w:rPr>
          <w:rFonts w:ascii="Arial" w:cs="Arial" w:eastAsia="Arial" w:hAnsi="Arial"/>
          <w:sz w:val="18"/>
          <w:szCs w:val="18"/>
          <w:color w:val="000000"/>
        </w:rPr>
        <w:t>Rounding. Any financial ratios required to be maintained by the Parent pursuant to this Agreement shall be calculated by</w:t>
      </w:r>
      <w:r>
        <w:rPr>
          <w:rFonts w:ascii="Arial" w:cs="Arial" w:eastAsia="Arial" w:hAnsi="Arial"/>
          <w:sz w:val="18"/>
          <w:szCs w:val="18"/>
          <w:color w:val="010000"/>
        </w:rPr>
        <w:t xml:space="preserve"> </w:t>
      </w:r>
      <w:r>
        <w:rPr>
          <w:rFonts w:ascii="Arial" w:cs="Arial" w:eastAsia="Arial" w:hAnsi="Arial"/>
          <w:sz w:val="18"/>
          <w:szCs w:val="18"/>
          <w:color w:val="000000"/>
        </w:rPr>
        <w:t>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1.05 </w:t>
      </w:r>
      <w:r>
        <w:rPr>
          <w:rFonts w:ascii="Arial" w:cs="Arial" w:eastAsia="Arial" w:hAnsi="Arial"/>
          <w:sz w:val="20"/>
          <w:szCs w:val="20"/>
          <w:color w:val="000000"/>
        </w:rPr>
        <w:t>Exchange Rates; Currency Equivalents.</w:t>
      </w:r>
    </w:p>
    <w:p>
      <w:pPr>
        <w:spacing w:after="0" w:line="216" w:lineRule="exact"/>
        <w:rPr>
          <w:sz w:val="20"/>
          <w:szCs w:val="20"/>
          <w:color w:val="auto"/>
        </w:rPr>
      </w:pPr>
    </w:p>
    <w:p>
      <w:pPr>
        <w:jc w:val="both"/>
        <w:ind w:firstLine="1505"/>
        <w:spacing w:after="0" w:line="276" w:lineRule="auto"/>
        <w:tabs>
          <w:tab w:leader="none" w:pos="200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Administrative Agent shall determine the Spot Rates as of each Revaluation Date to be used for calculating Dollar Equivalent amounts of Committed Borrowings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the Loan Parties hereunder and calculating financial covenants hereunder, and, except as otherwise provided herein, the applicable amount of any currency (other than Dollars) for purposes of the Loan Documents shall be such Dollar Equivalent amount as so determined by the Administrative Agent.</w:t>
      </w:r>
    </w:p>
    <w:p>
      <w:pPr>
        <w:spacing w:after="0" w:line="164" w:lineRule="exact"/>
        <w:rPr>
          <w:rFonts w:ascii="Arial" w:cs="Arial" w:eastAsia="Arial" w:hAnsi="Arial"/>
          <w:sz w:val="18"/>
          <w:szCs w:val="18"/>
          <w:color w:val="auto"/>
        </w:rPr>
      </w:pPr>
    </w:p>
    <w:p>
      <w:pPr>
        <w:jc w:val="both"/>
        <w:ind w:firstLine="1505"/>
        <w:spacing w:after="0" w:line="278" w:lineRule="auto"/>
        <w:tabs>
          <w:tab w:leader="none" w:pos="1982"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Wherever in this Agreement in connection with a Committed Borrowing, conversion, continuation or prepayment of a Term Benchmark Loan or RFR Loan, or issuance or reimbursement of a Letter of Credit, an amount, such as a required minimum or multiple amount, is expressed in Dollars, but such Borrowing or Term Benchmark Loan or RFR Loan is denominated in an Alternative Currency, such amount shall be the relevant Alternative Currency Equivalent of such Dollar amount (rounded to the nearest unit of such Alternative Currency, with 0.5 of a unit being rounded upward), as determined by the Administrative Agent.</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1.06 </w:t>
      </w:r>
      <w:r>
        <w:rPr>
          <w:rFonts w:ascii="Arial" w:cs="Arial" w:eastAsia="Arial" w:hAnsi="Arial"/>
          <w:sz w:val="20"/>
          <w:szCs w:val="20"/>
          <w:color w:val="000000"/>
        </w:rPr>
        <w:t>Additional Alternative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7" w:name="page108"/>
    <w:bookmarkEnd w:id="107"/>
    <w:p>
      <w:pPr>
        <w:jc w:val="both"/>
        <w:ind w:firstLine="1505"/>
        <w:spacing w:after="0" w:line="246" w:lineRule="auto"/>
        <w:tabs>
          <w:tab w:leader="none" w:pos="1999"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Any Borrower may from time to time request that Committed Borrowings of Loans be made in a currency other than those specifically listed in the definition of “Alternative Currency”;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requested currency is a lawful currency (other than Dollars) that is readily available and freely transferable and convertible into Dollars. Any such request shall be subject to the approval of the Administrative Agent and each Revolving Credit Lender.</w:t>
      </w:r>
    </w:p>
    <w:p>
      <w:pPr>
        <w:spacing w:after="0" w:line="191" w:lineRule="exact"/>
        <w:rPr>
          <w:rFonts w:ascii="Arial" w:cs="Arial" w:eastAsia="Arial" w:hAnsi="Arial"/>
          <w:sz w:val="20"/>
          <w:szCs w:val="20"/>
          <w:color w:val="auto"/>
        </w:rPr>
      </w:pPr>
    </w:p>
    <w:p>
      <w:pPr>
        <w:jc w:val="both"/>
        <w:ind w:firstLine="1505"/>
        <w:spacing w:after="0" w:line="244" w:lineRule="auto"/>
        <w:tabs>
          <w:tab w:leader="none" w:pos="1983" w:val="left"/>
        </w:tabs>
        <w:numPr>
          <w:ilvl w:val="0"/>
          <w:numId w:val="59"/>
        </w:numPr>
        <w:rPr>
          <w:rFonts w:ascii="Arial" w:cs="Arial" w:eastAsia="Arial" w:hAnsi="Arial"/>
          <w:sz w:val="20"/>
          <w:szCs w:val="20"/>
          <w:color w:val="auto"/>
        </w:rPr>
      </w:pPr>
      <w:r>
        <w:rPr>
          <w:rFonts w:ascii="Arial" w:cs="Arial" w:eastAsia="Arial" w:hAnsi="Arial"/>
          <w:sz w:val="20"/>
          <w:szCs w:val="20"/>
          <w:color w:val="auto"/>
        </w:rPr>
        <w:t>Any such request shall be made to the Administrative Agent not later than 11:00 a.m., 10 Business Days prior to the date of the desired Committed Borrowing (or such other time or date as may be agreed by the Administrative Agent in its sole discretion). In the case of any such request, the Administrative Agent shall promptly notify each Revolving Credit Lender thereof. Each Revolving Credit Lender shall notify the Administrative Agent, not later than 11:00 a.m., 5 Business Days after receipt of such request whether it consents, in its sole discretion, to the making of Loans in such requested currency.</w:t>
      </w:r>
    </w:p>
    <w:p>
      <w:pPr>
        <w:spacing w:after="0" w:line="194" w:lineRule="exact"/>
        <w:rPr>
          <w:rFonts w:ascii="Arial" w:cs="Arial" w:eastAsia="Arial" w:hAnsi="Arial"/>
          <w:sz w:val="20"/>
          <w:szCs w:val="20"/>
          <w:color w:val="auto"/>
        </w:rPr>
      </w:pPr>
    </w:p>
    <w:p>
      <w:pPr>
        <w:jc w:val="both"/>
        <w:ind w:firstLine="1505"/>
        <w:spacing w:after="0" w:line="276" w:lineRule="auto"/>
        <w:tabs>
          <w:tab w:leader="none" w:pos="2019"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Any failure by a Revolving Credit Lender to respond to such request within the time period specified in the preceding sentence shall be deemed to be a refusal by such Revolving Credit Lender to permit Loans to be made in such requested currency. If the Administrative Agent and all the Revolving Credit Lenders consent to making Loans in such requested currency, the Administrative Agent shall so notify the relevant Borrower and such currency shall thereupon be deemed for all purposes to be an Alternative Currency hereunder for purposes of any Committed Borrowings of Loans. If the Administrative Agent shall fail to obtain consent to any request for an additional currency under this </w:t>
      </w:r>
      <w:r>
        <w:rPr>
          <w:rFonts w:ascii="Arial" w:cs="Arial" w:eastAsia="Arial" w:hAnsi="Arial"/>
          <w:sz w:val="18"/>
          <w:szCs w:val="18"/>
          <w:u w:val="single" w:color="auto"/>
          <w:color w:val="auto"/>
        </w:rPr>
        <w:t>Section 1.06</w:t>
      </w:r>
      <w:r>
        <w:rPr>
          <w:rFonts w:ascii="Arial" w:cs="Arial" w:eastAsia="Arial" w:hAnsi="Arial"/>
          <w:sz w:val="18"/>
          <w:szCs w:val="18"/>
          <w:color w:val="auto"/>
        </w:rPr>
        <w:t>, the Administrative Agent shall promptly so notify the relevant Borrower.</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1.07 </w:t>
      </w:r>
      <w:r>
        <w:rPr>
          <w:rFonts w:ascii="Arial" w:cs="Arial" w:eastAsia="Arial" w:hAnsi="Arial"/>
          <w:sz w:val="20"/>
          <w:szCs w:val="20"/>
          <w:color w:val="000000"/>
        </w:rPr>
        <w:t>Change of Currency.</w:t>
      </w:r>
    </w:p>
    <w:p>
      <w:pPr>
        <w:spacing w:after="0" w:line="216" w:lineRule="exact"/>
        <w:rPr>
          <w:sz w:val="20"/>
          <w:szCs w:val="20"/>
          <w:color w:val="auto"/>
        </w:rPr>
      </w:pPr>
    </w:p>
    <w:p>
      <w:pPr>
        <w:jc w:val="both"/>
        <w:ind w:firstLine="1505"/>
        <w:spacing w:after="0" w:line="257" w:lineRule="auto"/>
        <w:tabs>
          <w:tab w:leader="none" w:pos="1982"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Each obligation of the Borrowers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Committed Borrowing in the currency of such member state is outstanding immediately prior to such date, such replacement shall take effect, with respect to such Committed Borrowing, at the end of the then current Interest Period.</w:t>
      </w:r>
    </w:p>
    <w:p>
      <w:pPr>
        <w:spacing w:after="0" w:line="180" w:lineRule="exact"/>
        <w:rPr>
          <w:rFonts w:ascii="Arial" w:cs="Arial" w:eastAsia="Arial" w:hAnsi="Arial"/>
          <w:sz w:val="19"/>
          <w:szCs w:val="19"/>
          <w:color w:val="auto"/>
        </w:rPr>
      </w:pPr>
    </w:p>
    <w:p>
      <w:pPr>
        <w:jc w:val="both"/>
        <w:ind w:firstLine="1505"/>
        <w:spacing w:after="0" w:line="250" w:lineRule="auto"/>
        <w:tabs>
          <w:tab w:leader="none" w:pos="1988" w:val="left"/>
        </w:tabs>
        <w:numPr>
          <w:ilvl w:val="0"/>
          <w:numId w:val="60"/>
        </w:numPr>
        <w:rPr>
          <w:rFonts w:ascii="Arial" w:cs="Arial" w:eastAsia="Arial" w:hAnsi="Arial"/>
          <w:sz w:val="20"/>
          <w:szCs w:val="20"/>
          <w:color w:val="auto"/>
        </w:rPr>
      </w:pPr>
      <w:r>
        <w:rPr>
          <w:rFonts w:ascii="Arial" w:cs="Arial" w:eastAsia="Arial" w:hAnsi="Arial"/>
          <w:sz w:val="20"/>
          <w:szCs w:val="20"/>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85" w:lineRule="exact"/>
        <w:rPr>
          <w:rFonts w:ascii="Arial" w:cs="Arial" w:eastAsia="Arial" w:hAnsi="Arial"/>
          <w:sz w:val="20"/>
          <w:szCs w:val="20"/>
          <w:color w:val="auto"/>
        </w:rPr>
      </w:pPr>
    </w:p>
    <w:p>
      <w:pPr>
        <w:jc w:val="both"/>
        <w:ind w:firstLine="1505"/>
        <w:spacing w:after="0" w:line="250" w:lineRule="auto"/>
        <w:tabs>
          <w:tab w:leader="none" w:pos="2038" w:val="left"/>
        </w:tabs>
        <w:numPr>
          <w:ilvl w:val="0"/>
          <w:numId w:val="60"/>
        </w:numPr>
        <w:rPr>
          <w:rFonts w:ascii="Arial" w:cs="Arial" w:eastAsia="Arial" w:hAnsi="Arial"/>
          <w:sz w:val="20"/>
          <w:szCs w:val="20"/>
          <w:color w:val="auto"/>
        </w:rPr>
      </w:pPr>
      <w:r>
        <w:rPr>
          <w:rFonts w:ascii="Arial" w:cs="Arial" w:eastAsia="Arial" w:hAnsi="Arial"/>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010000"/>
        </w:rPr>
        <w:t xml:space="preserve">1.08 </w:t>
      </w:r>
      <w:r>
        <w:rPr>
          <w:rFonts w:ascii="Arial" w:cs="Arial" w:eastAsia="Arial" w:hAnsi="Arial"/>
          <w:sz w:val="20"/>
          <w:szCs w:val="20"/>
          <w:color w:val="000000"/>
        </w:rPr>
        <w:t>Times of Day. Unless otherwise specified, all references herein to times of day shall be references to Eastern time (daylight or</w:t>
      </w:r>
      <w:r>
        <w:rPr>
          <w:rFonts w:ascii="Arial" w:cs="Arial" w:eastAsia="Arial" w:hAnsi="Arial"/>
          <w:sz w:val="20"/>
          <w:szCs w:val="20"/>
          <w:color w:val="010000"/>
        </w:rPr>
        <w:t xml:space="preserve"> </w:t>
      </w:r>
      <w:r>
        <w:rPr>
          <w:rFonts w:ascii="Arial" w:cs="Arial" w:eastAsia="Arial" w:hAnsi="Arial"/>
          <w:sz w:val="20"/>
          <w:szCs w:val="20"/>
          <w:color w:val="000000"/>
        </w:rPr>
        <w:t xml:space="preserve">standard, as applicable). If any payment or performance to be made by any Borrower or any other Loan party shall come due on a day other than a Business Day, such payment or performance shall be made on the next following Business Day, subject, in the case of any payment, to the calculation of interest as provided in </w:t>
      </w:r>
      <w:r>
        <w:rPr>
          <w:rFonts w:ascii="Arial" w:cs="Arial" w:eastAsia="Arial" w:hAnsi="Arial"/>
          <w:sz w:val="20"/>
          <w:szCs w:val="20"/>
          <w:u w:val="single" w:color="auto"/>
          <w:color w:val="000000"/>
        </w:rPr>
        <w:t>Section 2.12(a)</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8" w:name="page109"/>
    <w:bookmarkEnd w:id="108"/>
    <w:p>
      <w:pPr>
        <w:jc w:val="both"/>
        <w:ind w:firstLine="749"/>
        <w:spacing w:after="0" w:line="278" w:lineRule="auto"/>
        <w:rPr>
          <w:sz w:val="20"/>
          <w:szCs w:val="20"/>
          <w:color w:val="auto"/>
        </w:rPr>
      </w:pPr>
      <w:r>
        <w:rPr>
          <w:rFonts w:ascii="Arial" w:cs="Arial" w:eastAsia="Arial" w:hAnsi="Arial"/>
          <w:sz w:val="18"/>
          <w:szCs w:val="18"/>
          <w:color w:val="010000"/>
        </w:rPr>
        <w:t xml:space="preserve">1.09 </w:t>
      </w:r>
      <w:r>
        <w:rPr>
          <w:rFonts w:ascii="Arial" w:cs="Arial" w:eastAsia="Arial" w:hAnsi="Arial"/>
          <w:sz w:val="18"/>
          <w:szCs w:val="18"/>
          <w:color w:val="000000"/>
        </w:rPr>
        <w:t>Letter of Credit Amounts. Unless otherwise specified herein, the amount of any Letter of Credit at any time shall be deemed</w:t>
      </w:r>
      <w:r>
        <w:rPr>
          <w:rFonts w:ascii="Arial" w:cs="Arial" w:eastAsia="Arial" w:hAnsi="Arial"/>
          <w:sz w:val="18"/>
          <w:szCs w:val="18"/>
          <w:color w:val="010000"/>
        </w:rPr>
        <w:t xml:space="preserve"> </w:t>
      </w:r>
      <w:r>
        <w:rPr>
          <w:rFonts w:ascii="Arial" w:cs="Arial" w:eastAsia="Arial" w:hAnsi="Arial"/>
          <w:sz w:val="18"/>
          <w:szCs w:val="18"/>
          <w:color w:val="000000"/>
        </w:rPr>
        <w:t xml:space="preserve">to be the Dollar amount or the Dollar Equivalent of the stated amount of such Letter of Credit in effect at such time;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6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010000"/>
        </w:rPr>
        <w:t xml:space="preserve">1.10 </w:t>
      </w:r>
      <w:r>
        <w:rPr>
          <w:rFonts w:ascii="Arial" w:cs="Arial" w:eastAsia="Arial" w:hAnsi="Arial"/>
          <w:sz w:val="19"/>
          <w:szCs w:val="19"/>
          <w:color w:val="000000"/>
        </w:rPr>
        <w:t>Amendment and Restatement of Existing Credit Agreement. The parties to this Agreement agree that, upon (a) the execution</w:t>
      </w:r>
      <w:r>
        <w:rPr>
          <w:rFonts w:ascii="Arial" w:cs="Arial" w:eastAsia="Arial" w:hAnsi="Arial"/>
          <w:sz w:val="19"/>
          <w:szCs w:val="19"/>
          <w:color w:val="010000"/>
        </w:rPr>
        <w:t xml:space="preserve"> </w:t>
      </w:r>
      <w:r>
        <w:rPr>
          <w:rFonts w:ascii="Arial" w:cs="Arial" w:eastAsia="Arial" w:hAnsi="Arial"/>
          <w:sz w:val="19"/>
          <w:szCs w:val="19"/>
          <w:color w:val="000000"/>
        </w:rPr>
        <w:t>and delivery by each of the parties hereto of this Agreement and (b) satisfaction (or waiver) of the conditions set forth in Section 4.01, the terms and provisions of the Existing Credit Agreement shall be and hereby are amended, superseded and restated in their entirety by the terms and provisions of this Agreement. This Agreement is not intended to and shall not constitute a novation. Without limiting the foregoing, upon the effectiveness hereof: (a) all references in the “Loan Documents” (as defined in the Existing Credit Agreement) to the “Administrative Agent”, the “Credit Agreement” and the “Loan Documents” shall be deemed to refer to the Administrative Agent, this Agreement and the Loan Documents and (b) the Existing Letters of Credit which remain outstanding on the Closing Date shall continue as Fronted Letters of Credit under (and shall be governed by the terms of) this Agreement.</w:t>
      </w:r>
    </w:p>
    <w:p>
      <w:pPr>
        <w:spacing w:after="0" w:line="18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010000"/>
        </w:rPr>
        <w:t xml:space="preserve">1.11 </w:t>
      </w:r>
      <w:r>
        <w:rPr>
          <w:rFonts w:ascii="Arial" w:cs="Arial" w:eastAsia="Arial" w:hAnsi="Arial"/>
          <w:sz w:val="20"/>
          <w:szCs w:val="20"/>
          <w:color w:val="000000"/>
        </w:rPr>
        <w:t>Divisions</w:t>
      </w:r>
      <w:r>
        <w:rPr>
          <w:rFonts w:ascii="Arial" w:cs="Arial" w:eastAsia="Arial" w:hAnsi="Arial"/>
          <w:sz w:val="20"/>
          <w:szCs w:val="20"/>
          <w:u w:val="single" w:color="auto"/>
          <w:color w:val="000000"/>
        </w:rPr>
        <w:t>. For all purposes under the Loan Documents, in connection with any division or plan of division under the</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Delaware Limited Liability Company Act: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THE COMMITMENTS AND BORROWINGS</w:t>
      </w:r>
    </w:p>
    <w:p>
      <w:pPr>
        <w:spacing w:after="0" w:line="200"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010000"/>
        </w:rPr>
        <w:t xml:space="preserve">2.01 </w:t>
      </w:r>
      <w:r>
        <w:rPr>
          <w:rFonts w:ascii="Arial" w:cs="Arial" w:eastAsia="Arial" w:hAnsi="Arial"/>
          <w:sz w:val="20"/>
          <w:szCs w:val="20"/>
          <w:color w:val="000000"/>
        </w:rPr>
        <w:t>The Loans. Subject to the terms and conditions set forth herein, each Revolving Credit Lender severally agrees to make loans</w:t>
      </w:r>
      <w:r>
        <w:rPr>
          <w:rFonts w:ascii="Arial" w:cs="Arial" w:eastAsia="Arial" w:hAnsi="Arial"/>
          <w:sz w:val="20"/>
          <w:szCs w:val="20"/>
          <w:color w:val="010000"/>
        </w:rPr>
        <w:t xml:space="preserve"> </w:t>
      </w:r>
      <w:r>
        <w:rPr>
          <w:rFonts w:ascii="Arial" w:cs="Arial" w:eastAsia="Arial" w:hAnsi="Arial"/>
          <w:sz w:val="20"/>
          <w:szCs w:val="20"/>
          <w:color w:val="000000"/>
        </w:rPr>
        <w:t>(each such loan, a “</w:t>
      </w:r>
      <w:r>
        <w:rPr>
          <w:rFonts w:ascii="Arial" w:cs="Arial" w:eastAsia="Arial" w:hAnsi="Arial"/>
          <w:sz w:val="20"/>
          <w:szCs w:val="20"/>
          <w:u w:val="single" w:color="auto"/>
          <w:color w:val="000000"/>
        </w:rPr>
        <w:t>Committed Loan</w:t>
      </w:r>
      <w:r>
        <w:rPr>
          <w:rFonts w:ascii="Arial" w:cs="Arial" w:eastAsia="Arial" w:hAnsi="Arial"/>
          <w:sz w:val="20"/>
          <w:szCs w:val="20"/>
          <w:color w:val="000000"/>
        </w:rPr>
        <w:t xml:space="preserve">”) to the Borrowers in Dollars or in one or more Alternative Currencies from time to time, on any Business Day during the applicable Availability Period, in an aggregate amount not to exceed at any time outstanding the amount of such Revolving Credit Lender’s Revolving Credit Commitment;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that after giving effect to any Committed Borrowing, (i) the Total Revolving Credit Outstandings shall not exceed the Aggregate Revolving Credit Commitment and (ii) the aggregate Outstanding Amount of the Committed Loans of any Revolving Credit Lender plus such Revolving Credit Lender’s Applicable Percentage of the Outstanding Amount of all L/C Obligations </w:t>
      </w:r>
      <w:r>
        <w:rPr>
          <w:rFonts w:ascii="Arial" w:cs="Arial" w:eastAsia="Arial" w:hAnsi="Arial"/>
          <w:sz w:val="20"/>
          <w:szCs w:val="20"/>
          <w:i w:val="1"/>
          <w:iCs w:val="1"/>
          <w:u w:val="single" w:color="auto"/>
          <w:color w:val="000000"/>
        </w:rPr>
        <w:t>plus</w:t>
      </w:r>
      <w:r>
        <w:rPr>
          <w:rFonts w:ascii="Arial" w:cs="Arial" w:eastAsia="Arial" w:hAnsi="Arial"/>
          <w:sz w:val="20"/>
          <w:szCs w:val="20"/>
          <w:color w:val="000000"/>
        </w:rPr>
        <w:t xml:space="preserve"> such Revolving Credit Lender’s Applicable Percentage of the Outstanding Amount of all Swing Line Loans shall not exceed such Revolving Credit Lender’s Revolving Credit Commitment. Within the limits of each Revolving Credit Lender’s Revolving Credit Commitment, and subject to the other terms and conditions hereof, the Borrower may borrow under this Section 2.01, prepay under </w:t>
      </w:r>
      <w:r>
        <w:rPr>
          <w:rFonts w:ascii="Arial" w:cs="Arial" w:eastAsia="Arial" w:hAnsi="Arial"/>
          <w:sz w:val="20"/>
          <w:szCs w:val="20"/>
          <w:u w:val="single" w:color="auto"/>
          <w:color w:val="000000"/>
        </w:rPr>
        <w:t>Section 2.05</w:t>
      </w:r>
      <w:r>
        <w:rPr>
          <w:rFonts w:ascii="Arial" w:cs="Arial" w:eastAsia="Arial" w:hAnsi="Arial"/>
          <w:sz w:val="20"/>
          <w:szCs w:val="20"/>
          <w:color w:val="000000"/>
        </w:rPr>
        <w:t>, and reborrow under this Section 2.01. Committed Loans may be Base Rate Loans, Term Benchmark Loans or RFR Loans.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2.02 </w:t>
      </w:r>
      <w:r>
        <w:rPr>
          <w:rFonts w:ascii="Arial" w:cs="Arial" w:eastAsia="Arial" w:hAnsi="Arial"/>
          <w:sz w:val="20"/>
          <w:szCs w:val="20"/>
          <w:color w:val="000000"/>
        </w:rPr>
        <w:t>Borrowings, Conversions and Continuations of Loans.</w:t>
      </w:r>
    </w:p>
    <w:p>
      <w:pPr>
        <w:spacing w:after="0" w:line="216" w:lineRule="exact"/>
        <w:rPr>
          <w:sz w:val="20"/>
          <w:szCs w:val="20"/>
          <w:color w:val="auto"/>
        </w:rPr>
      </w:pPr>
    </w:p>
    <w:p>
      <w:pPr>
        <w:jc w:val="both"/>
        <w:ind w:firstLine="1505"/>
        <w:spacing w:after="0" w:line="250" w:lineRule="auto"/>
        <w:tabs>
          <w:tab w:leader="none" w:pos="1991" w:val="left"/>
        </w:tabs>
        <w:numPr>
          <w:ilvl w:val="0"/>
          <w:numId w:val="61"/>
        </w:numPr>
        <w:rPr>
          <w:rFonts w:ascii="Arial" w:cs="Arial" w:eastAsia="Arial" w:hAnsi="Arial"/>
          <w:sz w:val="20"/>
          <w:szCs w:val="20"/>
          <w:color w:val="auto"/>
        </w:rPr>
      </w:pPr>
      <w:r>
        <w:rPr>
          <w:rFonts w:ascii="Arial" w:cs="Arial" w:eastAsia="Arial" w:hAnsi="Arial"/>
          <w:sz w:val="20"/>
          <w:szCs w:val="20"/>
          <w:color w:val="auto"/>
        </w:rPr>
        <w:t>Each Committed Borrowing, each conversion of Loans from one Type to the other, and each continuation of Term Benchmark Loans shall be made upon the relevant Borrower’s irrevocable notice to the Administrative Agent, which, other than the Initial Credit Extension, may be given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09" w:name="page110"/>
    <w:bookmarkEnd w:id="109"/>
    <w:p>
      <w:pPr>
        <w:jc w:val="both"/>
        <w:spacing w:after="0" w:line="269" w:lineRule="auto"/>
        <w:rPr>
          <w:sz w:val="20"/>
          <w:szCs w:val="20"/>
          <w:color w:val="auto"/>
        </w:rPr>
      </w:pPr>
      <w:r>
        <w:rPr>
          <w:rFonts w:ascii="Arial" w:cs="Arial" w:eastAsia="Arial" w:hAnsi="Arial"/>
          <w:sz w:val="18"/>
          <w:szCs w:val="18"/>
          <w:color w:val="auto"/>
        </w:rPr>
        <w:t>telephone. Each such notice must be received by the Administrative Agent not later than 11:00 a.m. (i) three Business Days prior to the requested date of (A) any Borrowing of, conversion to or continuation of Term Benchmark Loans denominated in Dollars or (B) any conversion of Term Benchmark Loans denominated in Dollars to Term Benchmark Loans with an Interest Period of one month, (ii) three Business Days (or four Business Days in the case of a Special Notice Currency) prior to the requested date of any Committed Borrowing or continuation of Term Benchmark Loans denominated in Alternative Currencies, (iii) five Business Days prior to the requested date of any Committed Borrowing of RFR Loans denominated in Sterling (and, solely to the extent applicable pursuant to Section 3.03(b), Dollars) and</w:t>
      </w:r>
    </w:p>
    <w:p>
      <w:pPr>
        <w:spacing w:after="0" w:line="1" w:lineRule="exact"/>
        <w:rPr>
          <w:sz w:val="20"/>
          <w:szCs w:val="20"/>
          <w:color w:val="auto"/>
        </w:rPr>
      </w:pPr>
    </w:p>
    <w:p>
      <w:pPr>
        <w:jc w:val="both"/>
        <w:ind w:firstLine="8"/>
        <w:spacing w:after="0" w:line="267" w:lineRule="auto"/>
        <w:tabs>
          <w:tab w:leader="none" w:pos="343"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on the requested date of any Committed Borrowing of or conversion to Base Rate Committed Loans in Dollars. Each telephonic notice by such Borrower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must be confirmed promptly by delivery to the Administrative Agent of a written Borrowing Request, appropriately completed and signed by a Responsible Officer of the Borrower. Each Borrowing of, conversion to or continuation of Term Benchmark Loans, Base Rate Loans or RFR Loans shall be in a principal amount of $5,000,000 or a whole multiple of $1,000,000 in excess thereof (or if such Borrowing is denominated in an Alternative Currency, the equivalent units of such Alternative Currency). Each Borrowing Request (whether telephonic or written) shall specify (i) whether the Borrower is requesting a Borrowing, a conversion of Loans from one Type to the other, or a continuation of Term Benchmark Loans, (ii) the requested date of the Borrowing, conversion or continuation, as the case may be (which shall be a Business Day), (iii) the principal amount of Loans to be borrowed, converted or continued, (iv) the Type of Loans to be borrowed or to which existing Loans are to be converted, (v) if applicable, the duration of the Interest Period with respect thereto and (vi) the currency of the Loans to be borrowed. If the Borrower fails to specify a currency in a Borrowing Request requesting a Borrowing, then the Loans so requested shall be made in Dollars. If the Borrower fails to specify a Type of Loan in a Borrowing Request or if the Borrower fails to give a timely notice requesting a conversion or continuation, then (A) the applicable Loans denominated in Euros shall be made or continued, as applicable, as Term Benchmark Loans with an Interest Period of one month and Loans denominated in Sterling shall be made as SONIA Loans, and (B) the applicable Committed Loans denominated in Dollars shall be made as, or converted to, Term Benchmark Loans with an Interest Period of one month, in each case, subject to the notice timing requirements set forth above in this Section 2.02(a). Any automatic conversion to Term Benchmark Loans or continuation as Term Benchmark Loans shall be effective as of the last day of the Interest Period then in effect with respect to the applicable Term Benchmark Loans. If any Borrower requests a Borrowing of, conversion to, or continuation of Term Benchmark Loans in any such Borrowing Request, but fails to specify an Interest Period, it will be deemed to have specified an Interest Period of one month. No Loan may be converted into or continued as a Loan denominated in a different currency, but instead must be prepaid in the original currency of such Loan and reborrowed in the other currency. A Swing Line Loan may not be borrowed as or converted to a Term Benchmark Loan or an RFR Loan.</w:t>
      </w:r>
    </w:p>
    <w:p>
      <w:pPr>
        <w:spacing w:after="0" w:line="183" w:lineRule="exact"/>
        <w:rPr>
          <w:rFonts w:ascii="Arial" w:cs="Arial" w:eastAsia="Arial" w:hAnsi="Arial"/>
          <w:sz w:val="18"/>
          <w:szCs w:val="18"/>
          <w:color w:val="auto"/>
        </w:rPr>
      </w:pPr>
    </w:p>
    <w:p>
      <w:pPr>
        <w:jc w:val="both"/>
        <w:ind w:firstLine="1505"/>
        <w:spacing w:after="0" w:line="255" w:lineRule="auto"/>
        <w:tabs>
          <w:tab w:leader="none" w:pos="2014" w:val="left"/>
        </w:tabs>
        <w:numPr>
          <w:ilvl w:val="1"/>
          <w:numId w:val="62"/>
        </w:numPr>
        <w:rPr>
          <w:rFonts w:ascii="Arial" w:cs="Arial" w:eastAsia="Arial" w:hAnsi="Arial"/>
          <w:sz w:val="19"/>
          <w:szCs w:val="19"/>
          <w:color w:val="auto"/>
        </w:rPr>
      </w:pPr>
      <w:r>
        <w:rPr>
          <w:rFonts w:ascii="Arial" w:cs="Arial" w:eastAsia="Arial" w:hAnsi="Arial"/>
          <w:sz w:val="19"/>
          <w:szCs w:val="19"/>
          <w:color w:val="auto"/>
        </w:rPr>
        <w:t xml:space="preserve">Following receipt of a Borrowing Request, the Administrative Agent shall promptly notify each Lender of the amount (and currency) of its Applicable Percentage of the applicable Loans, and if no timely notice of a conversion or continuation is provided by the Borrower, the Administrative Agent shall notify each Lender of the details of any automatic conversion or continuation as Term Benchmark Loans with an Interest Period of one month (in the case of Loans denominated in a currency other than Dollars), in each case as described in the preceding subsection. Each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in an Alternative Currency, in each case on the Business Day specified in the applicable Borrowing Request. Upon satisfaction of the applicable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if such Borrowing is the Initial Credit Extension, </w:t>
      </w:r>
      <w:r>
        <w:rPr>
          <w:rFonts w:ascii="Arial" w:cs="Arial" w:eastAsia="Arial" w:hAnsi="Arial"/>
          <w:sz w:val="19"/>
          <w:szCs w:val="19"/>
          <w:u w:val="single" w:color="auto"/>
          <w:color w:val="auto"/>
        </w:rPr>
        <w:t>Section 4.01</w:t>
      </w:r>
      <w:r>
        <w:rPr>
          <w:rFonts w:ascii="Arial" w:cs="Arial" w:eastAsia="Arial" w:hAnsi="Arial"/>
          <w:sz w:val="19"/>
          <w:szCs w:val="19"/>
          <w:color w:val="auto"/>
        </w:rPr>
        <w:t>), the Administrative Agent shall make all funds so received available to such Borrower in like funds as received by the Administrative Agent either by (i) crediting the account of such Borrower on the books of Barclays with the amount of such funds or (ii) wire transfer of such funds,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0" w:name="page111"/>
    <w:bookmarkEnd w:id="110"/>
    <w:p>
      <w:pPr>
        <w:jc w:val="both"/>
        <w:spacing w:after="0" w:line="282" w:lineRule="auto"/>
        <w:rPr>
          <w:sz w:val="20"/>
          <w:szCs w:val="20"/>
          <w:color w:val="auto"/>
        </w:rPr>
      </w:pPr>
      <w:r>
        <w:rPr>
          <w:rFonts w:ascii="Arial" w:cs="Arial" w:eastAsia="Arial" w:hAnsi="Arial"/>
          <w:sz w:val="18"/>
          <w:szCs w:val="18"/>
          <w:color w:val="auto"/>
        </w:rPr>
        <w:t xml:space="preserve">each case in accordance with instructions provided to (and reasonably acceptable to) the Administrative Agent by such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on the date the Borrowing Request with respect to such Borrowing denominated in Dollars or an Alternative Currency is given by the Borrower, there are L/C Borrowings outstanding in that same currency, then the proceeds of such Borrowing, first, shall be applied to the payment in full of any such L/C Borrowings, and, second, shall be made available to such Borrower as provided above.</w:t>
      </w:r>
    </w:p>
    <w:p>
      <w:pPr>
        <w:spacing w:after="0" w:line="161" w:lineRule="exact"/>
        <w:rPr>
          <w:sz w:val="20"/>
          <w:szCs w:val="20"/>
          <w:color w:val="auto"/>
        </w:rPr>
      </w:pPr>
    </w:p>
    <w:p>
      <w:pPr>
        <w:jc w:val="both"/>
        <w:ind w:firstLine="1505"/>
        <w:spacing w:after="0" w:line="255" w:lineRule="auto"/>
        <w:tabs>
          <w:tab w:leader="none" w:pos="1990" w:val="left"/>
        </w:tabs>
        <w:numPr>
          <w:ilvl w:val="0"/>
          <w:numId w:val="63"/>
        </w:numPr>
        <w:rPr>
          <w:rFonts w:ascii="Arial" w:cs="Arial" w:eastAsia="Arial" w:hAnsi="Arial"/>
          <w:sz w:val="19"/>
          <w:szCs w:val="19"/>
          <w:color w:val="auto"/>
        </w:rPr>
      </w:pPr>
      <w:r>
        <w:rPr>
          <w:rFonts w:ascii="Arial" w:cs="Arial" w:eastAsia="Arial" w:hAnsi="Arial"/>
          <w:sz w:val="19"/>
          <w:szCs w:val="19"/>
          <w:color w:val="auto"/>
        </w:rPr>
        <w:t>Except as otherwise provided herein, a Term Benchmark Loan may be continued or converted only on the last day of an Interest Period for such Term Benchmark Loan. During the existence of an Event of Default, (i) no Loans may be requested as, converted to or continued as Term Benchmark Loans (whether in Dollars or any Alternative Currency) or requested as or converted into RFR Loans without the consent of the Required Lenders, (ii) Term Benchmark Loans denominated in Dollars shall be automatically converted to Base Rate Loans at the conclusion of the then-applicable Interest Period and (iii) the Required Lenders may require that each Term Benchmark Loan or RFR Loan denominated in an Alternative Currency shall bear interest at the Central Bank Rate for such Alternative Currency plus the Applicable Rate for such Term Benchmark Loans or RFR Loans (as applicable); provided, that if the Administrative Agent determines (which determination shall be conclusive and binding absent manifest error) that the Central Bank Rate for the applicable Alternative Currency cannot be determined, the Required Lenders may require that each outstanding affected Term Benchmark Loan or RFR Loan denominated in such Alternative Currency either be prepaid or be redenominated into Dollars in the amount of the Dollar Equivalent thereof and converted to Base Rate Loans, on the last day of the then current Interest Period (or, if Interest Periods do not apply to such Loan, on the date selected by the Administrative Agent).</w:t>
      </w:r>
    </w:p>
    <w:p>
      <w:pPr>
        <w:spacing w:after="0" w:line="184" w:lineRule="exact"/>
        <w:rPr>
          <w:rFonts w:ascii="Arial" w:cs="Arial" w:eastAsia="Arial" w:hAnsi="Arial"/>
          <w:sz w:val="19"/>
          <w:szCs w:val="19"/>
          <w:color w:val="auto"/>
        </w:rPr>
      </w:pPr>
    </w:p>
    <w:p>
      <w:pPr>
        <w:jc w:val="both"/>
        <w:ind w:firstLine="1505"/>
        <w:spacing w:after="0" w:line="246" w:lineRule="auto"/>
        <w:tabs>
          <w:tab w:leader="none" w:pos="1984"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Administrative Agent shall promptly notify the Borrowers and the Lenders of the interest rate applicable to any Interest Period for Term Benchmark Loans upon determination of such interest rate. At any time that Base Rate Loans are outstanding, the Administrative Agent shall notify the Borrowers and the Lenders of any change in Barclays’ prime rate used in determining the Base Rate promptly following the public announcement of such change.</w:t>
      </w:r>
    </w:p>
    <w:p>
      <w:pPr>
        <w:spacing w:after="0" w:line="191" w:lineRule="exact"/>
        <w:rPr>
          <w:rFonts w:ascii="Arial" w:cs="Arial" w:eastAsia="Arial" w:hAnsi="Arial"/>
          <w:sz w:val="20"/>
          <w:szCs w:val="20"/>
          <w:color w:val="auto"/>
        </w:rPr>
      </w:pPr>
    </w:p>
    <w:p>
      <w:pPr>
        <w:ind w:firstLine="1505"/>
        <w:spacing w:after="0" w:line="260" w:lineRule="auto"/>
        <w:tabs>
          <w:tab w:leader="none" w:pos="1989" w:val="left"/>
        </w:tabs>
        <w:numPr>
          <w:ilvl w:val="0"/>
          <w:numId w:val="63"/>
        </w:numPr>
        <w:rPr>
          <w:rFonts w:ascii="Arial" w:cs="Arial" w:eastAsia="Arial" w:hAnsi="Arial"/>
          <w:sz w:val="20"/>
          <w:szCs w:val="20"/>
          <w:color w:val="auto"/>
        </w:rPr>
      </w:pPr>
      <w:r>
        <w:rPr>
          <w:rFonts w:ascii="Arial" w:cs="Arial" w:eastAsia="Arial" w:hAnsi="Arial"/>
          <w:sz w:val="20"/>
          <w:szCs w:val="20"/>
          <w:color w:val="auto"/>
        </w:rPr>
        <w:t>After giving effect to all Borrowings, all conversions of Loans from one Type to the other, and all continuations of Loans as the same Type, there shall not be more than 10 Interest Periods in effect at any time.</w:t>
      </w:r>
    </w:p>
    <w:p>
      <w:pPr>
        <w:spacing w:after="0" w:line="176" w:lineRule="exact"/>
        <w:rPr>
          <w:rFonts w:ascii="Arial" w:cs="Arial" w:eastAsia="Arial" w:hAnsi="Arial"/>
          <w:sz w:val="20"/>
          <w:szCs w:val="20"/>
          <w:color w:val="auto"/>
        </w:rPr>
      </w:pPr>
    </w:p>
    <w:p>
      <w:pPr>
        <w:jc w:val="both"/>
        <w:ind w:firstLine="1505"/>
        <w:spacing w:after="0" w:line="246" w:lineRule="auto"/>
        <w:tabs>
          <w:tab w:leader="none" w:pos="1991"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Each Lender at its option may make any Term Benchmark Loan or RFR Loan by causing any domestic or foreign branch or Affiliate of such Lender to make such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exercise of such option shall not (i) affect the obligation of the Borrowers to repay such Loan in accordance with the terms of this Agreement and (ii) shall not result in increased costs or expenses to the Borrowers.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2.03 </w:t>
      </w:r>
      <w:r>
        <w:rPr>
          <w:rFonts w:ascii="Arial" w:cs="Arial" w:eastAsia="Arial" w:hAnsi="Arial"/>
          <w:sz w:val="20"/>
          <w:szCs w:val="20"/>
          <w:color w:val="000000"/>
        </w:rPr>
        <w:t>Letters of Credit.</w:t>
      </w:r>
    </w:p>
    <w:p>
      <w:pPr>
        <w:spacing w:after="0" w:line="216" w:lineRule="exact"/>
        <w:rPr>
          <w:sz w:val="20"/>
          <w:szCs w:val="20"/>
          <w:color w:val="auto"/>
        </w:rPr>
      </w:pPr>
    </w:p>
    <w:p>
      <w:pPr>
        <w:ind w:left="1980" w:hanging="475"/>
        <w:spacing w:after="0"/>
        <w:tabs>
          <w:tab w:leader="none" w:pos="198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The Letter of Credit Commitment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760" w:firstLine="1494"/>
        <w:spacing w:after="0" w:line="243" w:lineRule="auto"/>
        <w:tabs>
          <w:tab w:leader="none" w:pos="2745" w:val="left"/>
        </w:tabs>
        <w:numPr>
          <w:ilvl w:val="1"/>
          <w:numId w:val="64"/>
        </w:numPr>
        <w:rPr>
          <w:rFonts w:ascii="Arial" w:cs="Arial" w:eastAsia="Arial" w:hAnsi="Arial"/>
          <w:sz w:val="20"/>
          <w:szCs w:val="20"/>
          <w:color w:val="010000"/>
        </w:rPr>
      </w:pPr>
      <w:r>
        <w:rPr>
          <w:rFonts w:ascii="Arial" w:cs="Arial" w:eastAsia="Arial" w:hAnsi="Arial"/>
          <w:sz w:val="20"/>
          <w:szCs w:val="20"/>
          <w:color w:val="auto"/>
        </w:rPr>
        <w:t xml:space="preserve">Subject to the terms and conditions hereof, (A) the Applicable Issuing Party, in reliance on the agreements of the other Lenders set forth in this Section 2.03, agrees to issue Letters of Credit for the account of the Borrowers or their Subsidiaries on any Business Day during the period from the Closing Date until the date that is five Business Days prior to the Applicable Maturity Date, and to amend or extend Letters of Credit previously issued by it in accordance with subsection (b) below, in the case of Fronted Letters of Credit in such form as may be approved from time to time by the applicable Issuing Lender and the Company and, in the case of Several Letters of Credit, substantially in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or such other form agreed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1" w:name="page112"/>
    <w:bookmarkEnd w:id="111"/>
    <w:p>
      <w:pPr>
        <w:jc w:val="both"/>
        <w:spacing w:after="0" w:line="269" w:lineRule="auto"/>
        <w:rPr>
          <w:sz w:val="20"/>
          <w:szCs w:val="20"/>
          <w:color w:val="auto"/>
        </w:rPr>
      </w:pPr>
      <w:r>
        <w:rPr>
          <w:rFonts w:ascii="Arial" w:cs="Arial" w:eastAsia="Arial" w:hAnsi="Arial"/>
          <w:sz w:val="18"/>
          <w:szCs w:val="18"/>
          <w:color w:val="auto"/>
        </w:rPr>
        <w:t xml:space="preserve">and the L/C Administrator (with the consent of all Revolving Credit Lenders, such consent not to be unreasonably withheld or delayed; it being understood that such other form shall be deemed acceptable to all Revolving Credit Lenders unless the L/C Administrator has received notice to the contrary within two Business Days after the L/C Administrator has notified of such other agreed form to the Revolving Credit Lenders); and (B) the Revolving Credit Lenders severally agree to participate in Fronted Letters of Credit and any drawings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L/C Credit Extension with respect to any Letter of Credit, (w) the Total Revolving Credit Outstandings shall not exceed the Aggregate Revolving Credit Commitment, (x) the aggregate Outstanding Amount of the Committed Loans of any Revolving Credit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Revolving Credit Lender’s Applicable Percentage of the Outstanding Amount of all L/C Obligations plus such Revolving Credit Lender’s Applicable Percentage of the Outstanding Amount of all Swing Line Loans shall not exceed such Lender’s Revolving Credit Commitment, (y) the Outstanding Amount of the L/C Obligations with respect to Fronted Letters of Credit issued by any Issuing Lender shall not exceed the L/C Commitment of such Issuing Lender and (z) the Outstanding Amount of the L/C Obligations shall not exceed the Letter of Credit Sublimit. Each request by any Borrower for the issuance or amendment of a Letter of Credit shall be deemed to be a representation by such Borrower that the L/C Credit Extension so requested complies with the conditions set forth in the proviso to the preceding sentence. Within the foregoing limits, and subject to the terms and conditions hereof, each Borrower’s ability to obtain Letters of Credit shall be fully revolving, and accordingly the Borrowers may, during the foregoing period, obtain Letters of Credit to replace Letters of Credit that have expired or that have been drawn upon and reimbursed. The issuance of a Letter of Credit shall constitute utilization of the Revolving Credit Commitments.</w:t>
      </w:r>
    </w:p>
    <w:p>
      <w:pPr>
        <w:spacing w:after="0" w:line="174" w:lineRule="exact"/>
        <w:rPr>
          <w:sz w:val="20"/>
          <w:szCs w:val="20"/>
          <w:color w:val="auto"/>
        </w:rPr>
      </w:pPr>
    </w:p>
    <w:p>
      <w:pPr>
        <w:ind w:left="1980" w:hanging="486"/>
        <w:spacing w:after="0"/>
        <w:tabs>
          <w:tab w:leader="none" w:pos="1980" w:val="left"/>
        </w:tabs>
        <w:numPr>
          <w:ilvl w:val="0"/>
          <w:numId w:val="65"/>
        </w:numPr>
        <w:rPr>
          <w:rFonts w:ascii="Arial" w:cs="Arial" w:eastAsia="Arial" w:hAnsi="Arial"/>
          <w:sz w:val="20"/>
          <w:szCs w:val="20"/>
          <w:color w:val="010000"/>
        </w:rPr>
      </w:pPr>
      <w:r>
        <w:rPr>
          <w:rFonts w:ascii="Arial" w:cs="Arial" w:eastAsia="Arial" w:hAnsi="Arial"/>
          <w:sz w:val="20"/>
          <w:szCs w:val="20"/>
          <w:color w:val="auto"/>
        </w:rPr>
        <w:t>No Applicable Issuing Party shall issue any Letter of Credit, if:</w:t>
      </w:r>
    </w:p>
    <w:p>
      <w:pPr>
        <w:spacing w:after="0" w:line="215" w:lineRule="exact"/>
        <w:rPr>
          <w:rFonts w:ascii="Arial" w:cs="Arial" w:eastAsia="Arial" w:hAnsi="Arial"/>
          <w:sz w:val="20"/>
          <w:szCs w:val="20"/>
          <w:color w:val="010000"/>
        </w:rPr>
      </w:pPr>
    </w:p>
    <w:p>
      <w:pPr>
        <w:jc w:val="both"/>
        <w:ind w:left="740" w:firstLine="1503"/>
        <w:spacing w:after="0" w:line="250" w:lineRule="auto"/>
        <w:tabs>
          <w:tab w:leader="none" w:pos="2723" w:val="left"/>
        </w:tabs>
        <w:numPr>
          <w:ilvl w:val="1"/>
          <w:numId w:val="65"/>
        </w:numPr>
        <w:rPr>
          <w:rFonts w:ascii="Arial" w:cs="Arial" w:eastAsia="Arial" w:hAnsi="Arial"/>
          <w:sz w:val="20"/>
          <w:szCs w:val="20"/>
          <w:color w:val="010000"/>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2.03(b)(iii)</w:t>
      </w:r>
      <w:r>
        <w:rPr>
          <w:rFonts w:ascii="Arial" w:cs="Arial" w:eastAsia="Arial" w:hAnsi="Arial"/>
          <w:sz w:val="20"/>
          <w:szCs w:val="20"/>
          <w:color w:val="auto"/>
        </w:rPr>
        <w:t>, the expiry date of the requested Letter of Credit would occur more than 12 months after the date of issuance or last extension, unless all the Revolving Credit Lenders have approved such expiry date; or</w:t>
      </w:r>
    </w:p>
    <w:p>
      <w:pPr>
        <w:spacing w:after="0" w:line="185" w:lineRule="exact"/>
        <w:rPr>
          <w:rFonts w:ascii="Arial" w:cs="Arial" w:eastAsia="Arial" w:hAnsi="Arial"/>
          <w:sz w:val="20"/>
          <w:szCs w:val="20"/>
          <w:color w:val="010000"/>
        </w:rPr>
      </w:pPr>
    </w:p>
    <w:p>
      <w:pPr>
        <w:jc w:val="both"/>
        <w:ind w:left="740" w:firstLine="1503"/>
        <w:spacing w:after="0" w:line="291" w:lineRule="auto"/>
        <w:tabs>
          <w:tab w:leader="none" w:pos="2724" w:val="left"/>
        </w:tabs>
        <w:numPr>
          <w:ilvl w:val="1"/>
          <w:numId w:val="65"/>
        </w:numPr>
        <w:rPr>
          <w:rFonts w:ascii="Arial" w:cs="Arial" w:eastAsia="Arial" w:hAnsi="Arial"/>
          <w:sz w:val="18"/>
          <w:szCs w:val="18"/>
          <w:color w:val="010000"/>
        </w:rPr>
      </w:pPr>
      <w:r>
        <w:rPr>
          <w:rFonts w:ascii="Arial" w:cs="Arial" w:eastAsia="Arial" w:hAnsi="Arial"/>
          <w:sz w:val="18"/>
          <w:szCs w:val="18"/>
          <w:color w:val="auto"/>
        </w:rPr>
        <w:t xml:space="preserve">the expiry date of the requested Letter of Credit would occur after the Letter of Credit Expiration Date, unless all the Revolving Credit Lenders have approved such expiry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Letter of Credit that is or at any time becomes an Extended Letter of Credit shall be Cash Collateralized in accordance with </w:t>
      </w:r>
      <w:r>
        <w:rPr>
          <w:rFonts w:ascii="Arial" w:cs="Arial" w:eastAsia="Arial" w:hAnsi="Arial"/>
          <w:sz w:val="18"/>
          <w:szCs w:val="18"/>
          <w:u w:val="single" w:color="auto"/>
          <w:color w:val="auto"/>
        </w:rPr>
        <w:t>Section 2.03(q)</w:t>
      </w:r>
      <w:r>
        <w:rPr>
          <w:rFonts w:ascii="Arial" w:cs="Arial" w:eastAsia="Arial" w:hAnsi="Arial"/>
          <w:sz w:val="18"/>
          <w:szCs w:val="18"/>
          <w:color w:val="auto"/>
        </w:rPr>
        <w:t>.</w:t>
      </w:r>
    </w:p>
    <w:p>
      <w:pPr>
        <w:spacing w:after="0" w:line="151" w:lineRule="exact"/>
        <w:rPr>
          <w:rFonts w:ascii="Arial" w:cs="Arial" w:eastAsia="Arial" w:hAnsi="Arial"/>
          <w:sz w:val="18"/>
          <w:szCs w:val="18"/>
          <w:color w:val="010000"/>
        </w:rPr>
      </w:pPr>
    </w:p>
    <w:p>
      <w:pPr>
        <w:ind w:left="1980" w:hanging="486"/>
        <w:spacing w:after="0"/>
        <w:tabs>
          <w:tab w:leader="none" w:pos="1980" w:val="left"/>
        </w:tabs>
        <w:numPr>
          <w:ilvl w:val="0"/>
          <w:numId w:val="65"/>
        </w:numPr>
        <w:rPr>
          <w:rFonts w:ascii="Arial" w:cs="Arial" w:eastAsia="Arial" w:hAnsi="Arial"/>
          <w:sz w:val="20"/>
          <w:szCs w:val="20"/>
          <w:color w:val="010000"/>
        </w:rPr>
      </w:pPr>
      <w:r>
        <w:rPr>
          <w:rFonts w:ascii="Arial" w:cs="Arial" w:eastAsia="Arial" w:hAnsi="Arial"/>
          <w:sz w:val="20"/>
          <w:szCs w:val="20"/>
          <w:color w:val="auto"/>
        </w:rPr>
        <w:t>No Applicable Issuing Party shall be under any obligation to issue any Letter of Credit if:</w:t>
      </w:r>
    </w:p>
    <w:p>
      <w:pPr>
        <w:spacing w:after="0" w:line="215" w:lineRule="exact"/>
        <w:rPr>
          <w:rFonts w:ascii="Arial" w:cs="Arial" w:eastAsia="Arial" w:hAnsi="Arial"/>
          <w:sz w:val="20"/>
          <w:szCs w:val="20"/>
          <w:color w:val="010000"/>
        </w:rPr>
      </w:pPr>
    </w:p>
    <w:p>
      <w:pPr>
        <w:jc w:val="both"/>
        <w:ind w:left="740" w:firstLine="1503"/>
        <w:spacing w:after="0" w:line="271" w:lineRule="auto"/>
        <w:tabs>
          <w:tab w:leader="none" w:pos="2749" w:val="left"/>
        </w:tabs>
        <w:numPr>
          <w:ilvl w:val="1"/>
          <w:numId w:val="65"/>
        </w:numPr>
        <w:rPr>
          <w:rFonts w:ascii="Arial" w:cs="Arial" w:eastAsia="Arial" w:hAnsi="Arial"/>
          <w:sz w:val="18"/>
          <w:szCs w:val="18"/>
          <w:color w:val="010000"/>
        </w:rPr>
      </w:pPr>
      <w:r>
        <w:rPr>
          <w:rFonts w:ascii="Arial" w:cs="Arial" w:eastAsia="Arial" w:hAnsi="Arial"/>
          <w:sz w:val="18"/>
          <w:szCs w:val="18"/>
          <w:color w:val="auto"/>
        </w:rPr>
        <w:t>any order, judgment or decree of any Governmental Authority or arbitrator shall by its terms purport to enjoin or restrain such Applicable Issuing Party from issuing such Letter of Credit, or any Law applicable to the Applicable Issuing Party or (with respect to Several Letters of Credit) any Revolving Credit Lender or any request or directive (whether or not having the force of law) from any Governmental Authority with jurisdiction over the Applicable Issuing Party or (with respect to Several Letters of Credit) any Revolving Credit Lender shall prohibit, or request that such Applicable Issuing Party or (with respect to Several Letters of Credit) any Revolving Credit Lender refrain from, the issuance of letters of credit generally or such Letter of Credit in particular or shall impose upon such Applicable Issuing Party or (with respect to Several Letters of Credit) any Revolving Credit Lender with respect to such Letter of Credit any restriction, reserve or capital requirement (for which such Applicable Issuing Party or (with respect to Several Letters of Credit) any Revolving Credit Lender is not otherwise compensated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322580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2" w:right="339" w:bottom="1440" w:gutter="0" w:footer="0" w:header="0"/>
        </w:sectPr>
      </w:pPr>
    </w:p>
    <w:bookmarkStart w:id="112" w:name="page113"/>
    <w:bookmarkEnd w:id="112"/>
    <w:p>
      <w:pPr>
        <w:jc w:val="both"/>
        <w:ind w:left="743"/>
        <w:spacing w:after="0" w:line="246" w:lineRule="auto"/>
        <w:rPr>
          <w:sz w:val="20"/>
          <w:szCs w:val="20"/>
          <w:color w:val="auto"/>
        </w:rPr>
      </w:pPr>
      <w:r>
        <w:rPr>
          <w:rFonts w:ascii="Arial" w:cs="Arial" w:eastAsia="Arial" w:hAnsi="Arial"/>
          <w:sz w:val="20"/>
          <w:szCs w:val="20"/>
          <w:color w:val="auto"/>
        </w:rPr>
        <w:t>not in effect on the Closing Date, or shall impose upon such Applicable Issuing Party or (with respect to Several Letters of Credit) any Revolving Credit Lender any unreimbursed loss, cost or expense that was not applicable on the Closing Date and that such Applicable Issuing Party or (with respect to Several Letters of Credit) any Revolving Credit Lender in good faith deems material to it;</w:t>
      </w:r>
    </w:p>
    <w:p>
      <w:pPr>
        <w:spacing w:after="0" w:line="191" w:lineRule="exact"/>
        <w:rPr>
          <w:sz w:val="20"/>
          <w:szCs w:val="20"/>
          <w:color w:val="auto"/>
        </w:rPr>
      </w:pPr>
    </w:p>
    <w:p>
      <w:pPr>
        <w:ind w:left="743" w:firstLine="1503"/>
        <w:spacing w:after="0" w:line="316" w:lineRule="auto"/>
        <w:tabs>
          <w:tab w:leader="none" w:pos="2725" w:val="left"/>
        </w:tabs>
        <w:numPr>
          <w:ilvl w:val="2"/>
          <w:numId w:val="66"/>
        </w:numPr>
        <w:rPr>
          <w:rFonts w:ascii="Arial" w:cs="Arial" w:eastAsia="Arial" w:hAnsi="Arial"/>
          <w:sz w:val="18"/>
          <w:szCs w:val="18"/>
          <w:color w:val="010000"/>
        </w:rPr>
      </w:pPr>
      <w:r>
        <w:rPr>
          <w:rFonts w:ascii="Arial" w:cs="Arial" w:eastAsia="Arial" w:hAnsi="Arial"/>
          <w:sz w:val="18"/>
          <w:szCs w:val="18"/>
          <w:color w:val="auto"/>
        </w:rPr>
        <w:t>the issuance of such Letter of Credit would violate one or more policies of the Applicable Issuing Party or (with respect to Several Letters of Credit) any Revolving Credit Lender applicable to letters of credit generally;</w:t>
      </w:r>
    </w:p>
    <w:p>
      <w:pPr>
        <w:spacing w:after="0" w:line="129" w:lineRule="exact"/>
        <w:rPr>
          <w:rFonts w:ascii="Arial" w:cs="Arial" w:eastAsia="Arial" w:hAnsi="Arial"/>
          <w:sz w:val="18"/>
          <w:szCs w:val="18"/>
          <w:color w:val="010000"/>
        </w:rPr>
      </w:pPr>
    </w:p>
    <w:p>
      <w:pPr>
        <w:ind w:left="743" w:firstLine="1503"/>
        <w:spacing w:after="0" w:line="260" w:lineRule="auto"/>
        <w:tabs>
          <w:tab w:leader="none" w:pos="2741" w:val="left"/>
        </w:tabs>
        <w:numPr>
          <w:ilvl w:val="2"/>
          <w:numId w:val="66"/>
        </w:numPr>
        <w:rPr>
          <w:rFonts w:ascii="Arial" w:cs="Arial" w:eastAsia="Arial" w:hAnsi="Arial"/>
          <w:sz w:val="20"/>
          <w:szCs w:val="20"/>
          <w:color w:val="010000"/>
        </w:rPr>
      </w:pPr>
      <w:r>
        <w:rPr>
          <w:rFonts w:ascii="Arial" w:cs="Arial" w:eastAsia="Arial" w:hAnsi="Arial"/>
          <w:sz w:val="20"/>
          <w:szCs w:val="20"/>
          <w:color w:val="auto"/>
        </w:rPr>
        <w:t>except as otherwise agreed by the Administrative Agent and the Applicable Issuing Party, such Letter of Credit is in an initial stated amount less than $100,000;</w:t>
      </w:r>
    </w:p>
    <w:p>
      <w:pPr>
        <w:spacing w:after="0" w:line="176" w:lineRule="exact"/>
        <w:rPr>
          <w:rFonts w:ascii="Arial" w:cs="Arial" w:eastAsia="Arial" w:hAnsi="Arial"/>
          <w:sz w:val="20"/>
          <w:szCs w:val="20"/>
          <w:color w:val="010000"/>
        </w:rPr>
      </w:pPr>
    </w:p>
    <w:p>
      <w:pPr>
        <w:jc w:val="both"/>
        <w:ind w:left="743" w:firstLine="1503"/>
        <w:spacing w:after="0" w:line="246" w:lineRule="auto"/>
        <w:tabs>
          <w:tab w:leader="none" w:pos="2732" w:val="left"/>
        </w:tabs>
        <w:numPr>
          <w:ilvl w:val="2"/>
          <w:numId w:val="66"/>
        </w:numPr>
        <w:rPr>
          <w:rFonts w:ascii="Arial" w:cs="Arial" w:eastAsia="Arial" w:hAnsi="Arial"/>
          <w:sz w:val="20"/>
          <w:szCs w:val="20"/>
          <w:color w:val="010000"/>
        </w:rPr>
      </w:pPr>
      <w:r>
        <w:rPr>
          <w:rFonts w:ascii="Arial" w:cs="Arial" w:eastAsia="Arial" w:hAnsi="Arial"/>
          <w:sz w:val="20"/>
          <w:szCs w:val="20"/>
          <w:color w:val="auto"/>
        </w:rPr>
        <w:t>such Letter of Credit is to be denominated in a currency other than Dollars unless (i) in the case of Fronted Letters of Credit, the Issuing Lender has consented to issue such Fronted Letters of Credit in Sterling and/or Euro or (ii) in the case of Several Letters of Credit, all Revolving Credit Lenders have consented to issue Several Letters of Credit in Sterling and/or Euro;</w:t>
      </w:r>
    </w:p>
    <w:p>
      <w:pPr>
        <w:spacing w:after="0" w:line="191" w:lineRule="exact"/>
        <w:rPr>
          <w:rFonts w:ascii="Arial" w:cs="Arial" w:eastAsia="Arial" w:hAnsi="Arial"/>
          <w:sz w:val="20"/>
          <w:szCs w:val="20"/>
          <w:color w:val="010000"/>
        </w:rPr>
      </w:pPr>
    </w:p>
    <w:p>
      <w:pPr>
        <w:jc w:val="both"/>
        <w:ind w:left="743" w:firstLine="1503"/>
        <w:spacing w:after="0" w:line="257" w:lineRule="auto"/>
        <w:tabs>
          <w:tab w:leader="none" w:pos="2740" w:val="left"/>
        </w:tabs>
        <w:numPr>
          <w:ilvl w:val="2"/>
          <w:numId w:val="66"/>
        </w:numPr>
        <w:rPr>
          <w:rFonts w:ascii="Arial" w:cs="Arial" w:eastAsia="Arial" w:hAnsi="Arial"/>
          <w:sz w:val="19"/>
          <w:szCs w:val="19"/>
          <w:color w:val="010000"/>
        </w:rPr>
      </w:pPr>
      <w:r>
        <w:rPr>
          <w:rFonts w:ascii="Arial" w:cs="Arial" w:eastAsia="Arial" w:hAnsi="Arial"/>
          <w:sz w:val="19"/>
          <w:szCs w:val="19"/>
          <w:color w:val="auto"/>
        </w:rPr>
        <w:t xml:space="preserve">any Revolving Credit Lender is at that time a Defaulting Lender, unless the Applicable Issuing Party has entered into arrangements reasonably satisfactory to such Applicable Issuing Party, including reallocation of such Lender’s Applicable Percentage of the Outstanding Amount of all L/C Obligations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or the delivery of Cash Collateral satisfactory to such Applicable Issuing Party, with the relevant Borrower or such Lender to eliminate any Issuing Lender’s any actual or potential Fronting Exposure (after giving effect to </w:t>
      </w:r>
      <w:r>
        <w:rPr>
          <w:rFonts w:ascii="Arial" w:cs="Arial" w:eastAsia="Arial" w:hAnsi="Arial"/>
          <w:sz w:val="19"/>
          <w:szCs w:val="19"/>
          <w:u w:val="single" w:color="auto"/>
          <w:color w:val="auto"/>
        </w:rPr>
        <w:t>Section 2.16(a)(iv)</w:t>
      </w:r>
      <w:r>
        <w:rPr>
          <w:rFonts w:ascii="Arial" w:cs="Arial" w:eastAsia="Arial" w:hAnsi="Arial"/>
          <w:sz w:val="19"/>
          <w:szCs w:val="19"/>
          <w:color w:val="auto"/>
        </w:rPr>
        <w:t>) with respect to the Defaulting Lender arising from either the Letter of Credit then proposed to be issued or that Letter of Credit and all other L/C Obligations as to which any such Issuing Lender has actual or potential Fronting Exposure, as it may elect in its sole discretion; or</w:t>
      </w:r>
    </w:p>
    <w:p>
      <w:pPr>
        <w:spacing w:after="0" w:line="180" w:lineRule="exact"/>
        <w:rPr>
          <w:rFonts w:ascii="Arial" w:cs="Arial" w:eastAsia="Arial" w:hAnsi="Arial"/>
          <w:sz w:val="19"/>
          <w:szCs w:val="19"/>
          <w:color w:val="010000"/>
        </w:rPr>
      </w:pPr>
    </w:p>
    <w:p>
      <w:pPr>
        <w:ind w:left="2723" w:hanging="477"/>
        <w:spacing w:after="0"/>
        <w:tabs>
          <w:tab w:leader="none" w:pos="2723" w:val="left"/>
        </w:tabs>
        <w:numPr>
          <w:ilvl w:val="2"/>
          <w:numId w:val="66"/>
        </w:numPr>
        <w:rPr>
          <w:rFonts w:ascii="Arial" w:cs="Arial" w:eastAsia="Arial" w:hAnsi="Arial"/>
          <w:sz w:val="18"/>
          <w:szCs w:val="18"/>
          <w:color w:val="010000"/>
        </w:rPr>
      </w:pPr>
      <w:r>
        <w:rPr>
          <w:rFonts w:ascii="Arial" w:cs="Arial" w:eastAsia="Arial" w:hAnsi="Arial"/>
          <w:sz w:val="18"/>
          <w:szCs w:val="18"/>
          <w:color w:val="auto"/>
        </w:rPr>
        <w:t>the Letter of Credit contains any provisions for automatic reinstatement of the stated amount after</w:t>
      </w:r>
    </w:p>
    <w:p>
      <w:pPr>
        <w:spacing w:after="0" w:line="38" w:lineRule="exact"/>
        <w:rPr>
          <w:rFonts w:ascii="Arial" w:cs="Arial" w:eastAsia="Arial" w:hAnsi="Arial"/>
          <w:sz w:val="18"/>
          <w:szCs w:val="18"/>
          <w:color w:val="010000"/>
        </w:rPr>
      </w:pPr>
    </w:p>
    <w:p>
      <w:pPr>
        <w:ind w:left="743"/>
        <w:spacing w:after="0"/>
        <w:rPr>
          <w:rFonts w:ascii="Arial" w:cs="Arial" w:eastAsia="Arial" w:hAnsi="Arial"/>
          <w:sz w:val="18"/>
          <w:szCs w:val="18"/>
          <w:color w:val="010000"/>
        </w:rPr>
      </w:pPr>
      <w:r>
        <w:rPr>
          <w:rFonts w:ascii="Arial" w:cs="Arial" w:eastAsia="Arial" w:hAnsi="Arial"/>
          <w:sz w:val="20"/>
          <w:szCs w:val="20"/>
          <w:color w:val="auto"/>
        </w:rPr>
        <w:t>any drawing thereunder.</w:t>
      </w:r>
    </w:p>
    <w:p>
      <w:pPr>
        <w:spacing w:after="0" w:line="199" w:lineRule="exact"/>
        <w:rPr>
          <w:rFonts w:ascii="Arial" w:cs="Arial" w:eastAsia="Arial" w:hAnsi="Arial"/>
          <w:sz w:val="18"/>
          <w:szCs w:val="18"/>
          <w:color w:val="010000"/>
        </w:rPr>
      </w:pPr>
    </w:p>
    <w:p>
      <w:pPr>
        <w:jc w:val="both"/>
        <w:ind w:left="3" w:firstLine="1494"/>
        <w:spacing w:after="0" w:line="250" w:lineRule="auto"/>
        <w:tabs>
          <w:tab w:leader="none" w:pos="2012" w:val="left"/>
        </w:tabs>
        <w:numPr>
          <w:ilvl w:val="1"/>
          <w:numId w:val="67"/>
        </w:numPr>
        <w:rPr>
          <w:rFonts w:ascii="Arial" w:cs="Arial" w:eastAsia="Arial" w:hAnsi="Arial"/>
          <w:sz w:val="20"/>
          <w:szCs w:val="20"/>
          <w:color w:val="010000"/>
        </w:rPr>
      </w:pPr>
      <w:r>
        <w:rPr>
          <w:rFonts w:ascii="Arial" w:cs="Arial" w:eastAsia="Arial" w:hAnsi="Arial"/>
          <w:sz w:val="20"/>
          <w:szCs w:val="20"/>
          <w:color w:val="auto"/>
        </w:rPr>
        <w:t>No Applicable Issuing Party shall amend any Letter of Credit if the Applicable Issuing Party or (with respect to Several Letters of Credit) Revolving Credit Lender would not be permitted at such time to issue the Letter of Credit in its amended form under the terms hereof.</w:t>
      </w:r>
    </w:p>
    <w:p>
      <w:pPr>
        <w:spacing w:after="0" w:line="185" w:lineRule="exact"/>
        <w:rPr>
          <w:rFonts w:ascii="Arial" w:cs="Arial" w:eastAsia="Arial" w:hAnsi="Arial"/>
          <w:sz w:val="20"/>
          <w:szCs w:val="20"/>
          <w:color w:val="010000"/>
        </w:rPr>
      </w:pPr>
    </w:p>
    <w:p>
      <w:pPr>
        <w:jc w:val="both"/>
        <w:ind w:left="3" w:firstLine="1494"/>
        <w:spacing w:after="0" w:line="269" w:lineRule="auto"/>
        <w:tabs>
          <w:tab w:leader="none" w:pos="2016" w:val="left"/>
        </w:tabs>
        <w:numPr>
          <w:ilvl w:val="1"/>
          <w:numId w:val="67"/>
        </w:numPr>
        <w:rPr>
          <w:rFonts w:ascii="Arial" w:cs="Arial" w:eastAsia="Arial" w:hAnsi="Arial"/>
          <w:sz w:val="19"/>
          <w:szCs w:val="19"/>
          <w:color w:val="010000"/>
        </w:rPr>
      </w:pPr>
      <w:r>
        <w:rPr>
          <w:rFonts w:ascii="Arial" w:cs="Arial" w:eastAsia="Arial" w:hAnsi="Arial"/>
          <w:sz w:val="19"/>
          <w:szCs w:val="19"/>
          <w:color w:val="auto"/>
        </w:rPr>
        <w:t>No Applicable Issuing Party shall be under any obligation to amend any Letter of Credit if (A) such Applicable Issuing Party would have no obligation at such time to issue the Letter of Credit in its amended form under the terms hereof, or (B) the beneficiary of the Letter of Credit does not accept the proposed amendment to the Letter of Credit.</w:t>
      </w:r>
    </w:p>
    <w:p>
      <w:pPr>
        <w:spacing w:after="0" w:line="169" w:lineRule="exact"/>
        <w:rPr>
          <w:rFonts w:ascii="Arial" w:cs="Arial" w:eastAsia="Arial" w:hAnsi="Arial"/>
          <w:sz w:val="19"/>
          <w:szCs w:val="19"/>
          <w:color w:val="010000"/>
        </w:rPr>
      </w:pPr>
    </w:p>
    <w:p>
      <w:pPr>
        <w:jc w:val="both"/>
        <w:ind w:left="3" w:firstLine="1494"/>
        <w:spacing w:after="0" w:line="309" w:lineRule="auto"/>
        <w:tabs>
          <w:tab w:leader="none" w:pos="2011" w:val="left"/>
        </w:tabs>
        <w:numPr>
          <w:ilvl w:val="1"/>
          <w:numId w:val="67"/>
        </w:numPr>
        <w:rPr>
          <w:rFonts w:ascii="Arial" w:cs="Arial" w:eastAsia="Arial" w:hAnsi="Arial"/>
          <w:sz w:val="16"/>
          <w:szCs w:val="16"/>
          <w:color w:val="010000"/>
        </w:rPr>
      </w:pPr>
      <w:r>
        <w:rPr>
          <w:rFonts w:ascii="Arial" w:cs="Arial" w:eastAsia="Arial" w:hAnsi="Arial"/>
          <w:sz w:val="16"/>
          <w:szCs w:val="16"/>
          <w:color w:val="auto"/>
        </w:rPr>
        <w:t>Each Applicable Issuing Party shall act on behalf of the Lenders with respect to any Letters of Credit issued by it and the documents associated therewith, and such Applicable Issuing Party shall have all of the benefits and immunities</w:t>
      </w:r>
    </w:p>
    <w:p>
      <w:pPr>
        <w:spacing w:after="0" w:line="1" w:lineRule="exact"/>
        <w:rPr>
          <w:rFonts w:ascii="Arial" w:cs="Arial" w:eastAsia="Arial" w:hAnsi="Arial"/>
          <w:sz w:val="16"/>
          <w:szCs w:val="16"/>
          <w:color w:val="010000"/>
        </w:rPr>
      </w:pPr>
    </w:p>
    <w:p>
      <w:pPr>
        <w:jc w:val="both"/>
        <w:ind w:left="3" w:hanging="3"/>
        <w:spacing w:after="0" w:line="241" w:lineRule="auto"/>
        <w:tabs>
          <w:tab w:leader="none" w:pos="351"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provided to the Administrative Agent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with respect to any acts taken or omissions suffered by such Applicable Issuing Party in connection with Letters of Credit issued by it or proposed to be issued by it and Issuer Documents pertaining to such Letters of Credit as fully as if the term “Administrative Agent” as used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included such Applicable Issuing Party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335915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2" w:right="339" w:bottom="1440" w:gutter="0" w:footer="0" w:header="0"/>
        </w:sectPr>
      </w:pPr>
    </w:p>
    <w:bookmarkStart w:id="113" w:name="page114"/>
    <w:bookmarkEnd w:id="113"/>
    <w:p>
      <w:pPr>
        <w:spacing w:after="0"/>
        <w:rPr>
          <w:sz w:val="20"/>
          <w:szCs w:val="20"/>
          <w:color w:val="auto"/>
        </w:rPr>
      </w:pPr>
      <w:r>
        <w:rPr>
          <w:rFonts w:ascii="Arial" w:cs="Arial" w:eastAsia="Arial" w:hAnsi="Arial"/>
          <w:sz w:val="20"/>
          <w:szCs w:val="20"/>
          <w:color w:val="auto"/>
        </w:rPr>
        <w:t>to such acts or omissions, and (B) as additionally provided herein with respect to such Applicable Issuing Party.</w:t>
      </w:r>
    </w:p>
    <w:p>
      <w:pPr>
        <w:spacing w:after="0" w:line="216" w:lineRule="exact"/>
        <w:rPr>
          <w:sz w:val="20"/>
          <w:szCs w:val="20"/>
          <w:color w:val="auto"/>
        </w:rPr>
      </w:pPr>
    </w:p>
    <w:p>
      <w:pPr>
        <w:ind w:left="1220" w:hanging="475"/>
        <w:spacing w:after="0"/>
        <w:tabs>
          <w:tab w:leader="none" w:pos="122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Procedures for Issuance and Amendment of Letters of Credit; Auto-Extension Letters of Credit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494"/>
        <w:spacing w:after="0" w:line="268" w:lineRule="auto"/>
        <w:tabs>
          <w:tab w:leader="none" w:pos="2003" w:val="left"/>
        </w:tabs>
        <w:numPr>
          <w:ilvl w:val="1"/>
          <w:numId w:val="69"/>
        </w:numPr>
        <w:rPr>
          <w:rFonts w:ascii="Arial" w:cs="Arial" w:eastAsia="Arial" w:hAnsi="Arial"/>
          <w:sz w:val="18"/>
          <w:szCs w:val="18"/>
          <w:color w:val="010000"/>
        </w:rPr>
      </w:pPr>
      <w:r>
        <w:rPr>
          <w:rFonts w:ascii="Arial" w:cs="Arial" w:eastAsia="Arial" w:hAnsi="Arial"/>
          <w:sz w:val="18"/>
          <w:szCs w:val="18"/>
          <w:color w:val="auto"/>
        </w:rPr>
        <w:t>Each Letter of Credit shall be issued or amended, as the case may be, upon the request of the relevant Borrower delivered to the Applicable Issuing Party (with a copy to the Administrative Agent) in the form of a Letter of Credit Application, appropriately completed and signed by a Responsible Officer of such Borrower. Such Letter of Credit Application must be received by the Applicable Issuing Party and the Administrative Agent not later than 1:00 p.m. at least three Business Days (or such later date and time as the Administrative Agent and such Applicable Issuing Party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Applicable Issuing Party: (A) the proposed issuance date of the requested Letter of Credit (which shall be a Business Day); (B) the amount and currency thereof, and whether such Letters of Credit is a Fronted Letter of Credit or a Several Letter of Credit;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(H) the Person (any Borrower or Subsidiary) for whom such Letter of Credit is to be issued; and (I) such other matters as the Applicable Issuing Party may reasonably require. In the case of a request for an amendment of any outstanding Letter of Credit, such Letter of Credit Application shall specify in form and detail satisfactory to the Applicable Issuing Party (A) the Letter of Credit to be amended; (B) the proposed date of amendment thereof (which shall be a Business Day); (C) the nature of the proposed amendment; and (D) such other matters as the Applicable Issuing Party may reasonably require. Additionally, such Borrower shall furnish to such Applicable Issuing Party and the Administrative Agent such other documents and information pertaining to such requested Letter of Credit issuance or amendment, including any Issuer Documents, as such Applicable Issuing Party or the Administrative Agent may reasonably require.</w:t>
      </w:r>
    </w:p>
    <w:p>
      <w:pPr>
        <w:spacing w:after="0" w:line="184" w:lineRule="exact"/>
        <w:rPr>
          <w:rFonts w:ascii="Arial" w:cs="Arial" w:eastAsia="Arial" w:hAnsi="Arial"/>
          <w:sz w:val="18"/>
          <w:szCs w:val="18"/>
          <w:color w:val="010000"/>
        </w:rPr>
      </w:pPr>
    </w:p>
    <w:p>
      <w:pPr>
        <w:jc w:val="both"/>
        <w:ind w:firstLine="1494"/>
        <w:spacing w:after="0" w:line="270" w:lineRule="auto"/>
        <w:tabs>
          <w:tab w:leader="none" w:pos="1991" w:val="left"/>
        </w:tabs>
        <w:numPr>
          <w:ilvl w:val="1"/>
          <w:numId w:val="69"/>
        </w:numPr>
        <w:rPr>
          <w:rFonts w:ascii="Arial" w:cs="Arial" w:eastAsia="Arial" w:hAnsi="Arial"/>
          <w:sz w:val="18"/>
          <w:szCs w:val="18"/>
          <w:color w:val="010000"/>
        </w:rPr>
      </w:pPr>
      <w:r>
        <w:rPr>
          <w:rFonts w:ascii="Arial" w:cs="Arial" w:eastAsia="Arial" w:hAnsi="Arial"/>
          <w:sz w:val="18"/>
          <w:szCs w:val="18"/>
          <w:color w:val="auto"/>
        </w:rPr>
        <w:t xml:space="preserve">Promptly after receipt of any Letter of Credit Application, the Applicable Issuing Party will confirm with the Administrative Agent (by telephone or in writing) that the Administrative Agent has received a copy of such Letter of Credit Application from the relevant Borrower and, if not, such Applicable Issuing Party will provide the Administrative Agent with a copy thereof. Unless such Applicable Issuing Party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not be satisfied on such date, then, subject to the terms and conditions hereof, such Applicable Issuing Party shall, on the requested date, issue a Letter of Credit for the account of a Borrower (or the applicable Subsidiary) or enter into the applicable amendment, as the case may be, in each case in accordance with such Applicable Issuing Party’s usual and customary business practices. Immediately upon the issuance of each Fronted Letter of Credit, each Revolving Credit Lender shall be deemed to, and hereby irrevocably and unconditionally agrees to, purchase from the applicable Issuing Lender a risk participation in such Letter of Credit in an amount equal to the product of such Lender’s Applicable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Letter of Credit.</w:t>
      </w:r>
    </w:p>
    <w:p>
      <w:pPr>
        <w:spacing w:after="0" w:line="175" w:lineRule="exact"/>
        <w:rPr>
          <w:rFonts w:ascii="Arial" w:cs="Arial" w:eastAsia="Arial" w:hAnsi="Arial"/>
          <w:sz w:val="18"/>
          <w:szCs w:val="18"/>
          <w:color w:val="010000"/>
        </w:rPr>
      </w:pPr>
    </w:p>
    <w:p>
      <w:pPr>
        <w:ind w:firstLine="1494"/>
        <w:spacing w:after="0" w:line="260" w:lineRule="auto"/>
        <w:tabs>
          <w:tab w:leader="none" w:pos="1988" w:val="left"/>
        </w:tabs>
        <w:numPr>
          <w:ilvl w:val="1"/>
          <w:numId w:val="69"/>
        </w:numPr>
        <w:rPr>
          <w:rFonts w:ascii="Arial" w:cs="Arial" w:eastAsia="Arial" w:hAnsi="Arial"/>
          <w:sz w:val="20"/>
          <w:szCs w:val="20"/>
          <w:color w:val="010000"/>
        </w:rPr>
      </w:pPr>
      <w:r>
        <w:rPr>
          <w:rFonts w:ascii="Arial" w:cs="Arial" w:eastAsia="Arial" w:hAnsi="Arial"/>
          <w:sz w:val="20"/>
          <w:szCs w:val="20"/>
          <w:color w:val="auto"/>
        </w:rPr>
        <w:t>If the relevant Borrower so requests in any applicable Letter of Credit Application, the Applicable Issuing Party may, in its sole discretion, agree to issue a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324485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2" w:right="339" w:bottom="1440" w:gutter="0" w:footer="0" w:header="0"/>
        </w:sectPr>
      </w:pPr>
    </w:p>
    <w:bookmarkStart w:id="114" w:name="page115"/>
    <w:bookmarkEnd w:id="114"/>
    <w:p>
      <w:pPr>
        <w:jc w:val="both"/>
        <w:spacing w:after="0" w:line="269" w:lineRule="auto"/>
        <w:rPr>
          <w:sz w:val="20"/>
          <w:szCs w:val="20"/>
          <w:color w:val="auto"/>
        </w:rPr>
      </w:pPr>
      <w:r>
        <w:rPr>
          <w:rFonts w:ascii="Arial" w:cs="Arial" w:eastAsia="Arial" w:hAnsi="Arial"/>
          <w:sz w:val="18"/>
          <w:szCs w:val="18"/>
          <w:color w:val="auto"/>
        </w:rPr>
        <w:t>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any such Auto-Extension Letter of Credit must permit the relevant L/C Issuer to prevent any such extension at least once in each 12-month period (commencing with the date of issuance of such Letter of Credit) by giving prior written notice to the beneficiary thereof not later than a specific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in each such 12-month period to be agreed upon at the time such Letter of Credit is issued and (B) no Auto-Extension Letter of Credit shall permit the extension thereof to occur on any date that is after the Applicable Maturity Date. Unless otherwise directed by the Applicable Issuing Party, the relevant Borrower shall not be required to make a specific request to such Applicable Issuing Party for any such extension. Once an Auto-Extension Letter of Credit has been issued, the Revolving Credit Lenders shall be deemed to have authorized (but may not require) the Applicable Issuing Party to permit the extension of such Letter of Credit at any time to an expiry date not later than the Letter of Credit Expiration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extension results in any such Letter of Credit being or becoming an Extended Letter of Credit, such Borrower shall provide Cash Collateral therefor in accordance with </w:t>
      </w:r>
      <w:r>
        <w:rPr>
          <w:rFonts w:ascii="Arial" w:cs="Arial" w:eastAsia="Arial" w:hAnsi="Arial"/>
          <w:sz w:val="18"/>
          <w:szCs w:val="18"/>
          <w:u w:val="single" w:color="auto"/>
          <w:color w:val="auto"/>
        </w:rPr>
        <w:t>Section 2.03(q)</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Applicable Issuing Party shall not permit any such extension if (A) such Applicable Issuing Party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or otherwise) or (B) it has received notice (which may be by telephone or in writing) on or before the day that is seven Business Days before the Non-Extension Notice Date (1) with respect to a Fronted Letter of Credit, from the Administrative Agent that the Required Lenders have elected not to permit such extension or (2) with respect to a Several Letter of Credit, from the Administrative Agent that a relevant L/C Issuer has elected not to permit such extension and in each such case directing such Applicable Issuing Party not to permit such extension.</w:t>
      </w:r>
    </w:p>
    <w:p>
      <w:pPr>
        <w:spacing w:after="0" w:line="171" w:lineRule="exact"/>
        <w:rPr>
          <w:sz w:val="20"/>
          <w:szCs w:val="20"/>
          <w:color w:val="auto"/>
        </w:rPr>
      </w:pPr>
    </w:p>
    <w:p>
      <w:pPr>
        <w:jc w:val="both"/>
        <w:ind w:firstLine="1494"/>
        <w:spacing w:after="0" w:line="244" w:lineRule="auto"/>
        <w:tabs>
          <w:tab w:leader="none" w:pos="1979" w:val="left"/>
        </w:tabs>
        <w:numPr>
          <w:ilvl w:val="1"/>
          <w:numId w:val="70"/>
        </w:numPr>
        <w:rPr>
          <w:rFonts w:ascii="Arial" w:cs="Arial" w:eastAsia="Arial" w:hAnsi="Arial"/>
          <w:sz w:val="20"/>
          <w:szCs w:val="20"/>
          <w:color w:val="010000"/>
        </w:rPr>
      </w:pPr>
      <w:r>
        <w:rPr>
          <w:rFonts w:ascii="Arial" w:cs="Arial" w:eastAsia="Arial" w:hAnsi="Arial"/>
          <w:sz w:val="20"/>
          <w:szCs w:val="20"/>
          <w:color w:val="auto"/>
        </w:rPr>
        <w:t>Promptly after its delivery of any Letter of Credit or any amendment to a Letter of Credit to the beneficiary thereof or an advising bank with respect thereto, the Applicable Issuing Party will also deliver (i) in the case of a Fronted Letter of Credit, to the relevant Borrower and the Administrative Agent and (ii) in the case of a Several Letter of Credit, to the relevant Borrower, the Administrative Agent and each Revolving Credit Lender, a true and complete copy of such Letter of Credit or amendment.</w:t>
      </w:r>
    </w:p>
    <w:p>
      <w:pPr>
        <w:spacing w:after="0" w:line="194" w:lineRule="exact"/>
        <w:rPr>
          <w:rFonts w:ascii="Arial" w:cs="Arial" w:eastAsia="Arial" w:hAnsi="Arial"/>
          <w:sz w:val="20"/>
          <w:szCs w:val="20"/>
          <w:color w:val="010000"/>
        </w:rPr>
      </w:pPr>
    </w:p>
    <w:p>
      <w:pPr>
        <w:ind w:left="1220" w:hanging="475"/>
        <w:spacing w:after="0"/>
        <w:tabs>
          <w:tab w:leader="none" w:pos="122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494"/>
        <w:spacing w:after="0" w:line="270" w:lineRule="auto"/>
        <w:tabs>
          <w:tab w:leader="none" w:pos="1989" w:val="left"/>
        </w:tabs>
        <w:numPr>
          <w:ilvl w:val="1"/>
          <w:numId w:val="71"/>
        </w:numPr>
        <w:rPr>
          <w:rFonts w:ascii="Arial" w:cs="Arial" w:eastAsia="Arial" w:hAnsi="Arial"/>
          <w:sz w:val="18"/>
          <w:szCs w:val="18"/>
          <w:color w:val="010000"/>
        </w:rPr>
      </w:pPr>
      <w:r>
        <w:rPr>
          <w:rFonts w:ascii="Arial" w:cs="Arial" w:eastAsia="Arial" w:hAnsi="Arial"/>
          <w:sz w:val="18"/>
          <w:szCs w:val="18"/>
          <w:color w:val="auto"/>
        </w:rPr>
        <w:t xml:space="preserve">Upon receipt from the beneficiary of any Letter of Credit of any notice of a drawing under such Letter of Credit, the Applicable Issuing Party shall notify the relevant Borrower and the Administrative Agent thereof. If such Applicable Issuing Party notifies such Borrower of any payment under a Letter of Credit prior to 11:00 a.m. on the date of such payment, the relevant Borrower shall reimburse such Applicable Issuing Party through the Administrative Agent in an amount equal to the amount of such drawing on such day in Dollars (or with respect to Letters of Credit denominated in Sterling or Euro, such amount in Sterling or Euro);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is not provided to the Borrower prior to 11:00 a.m. on such payment date, then such Borrower shall reimburse such Applicable Issuing Party through the Administrative Agent in an amount equal to the amount of such drawing not later than 3:00 p.m. on the next succeeding Business Day, and such extension of time shall be reflected in computing fees in respect of such Letter of Credit (each such date, a “</w:t>
      </w:r>
      <w:r>
        <w:rPr>
          <w:rFonts w:ascii="Arial" w:cs="Arial" w:eastAsia="Arial" w:hAnsi="Arial"/>
          <w:sz w:val="18"/>
          <w:szCs w:val="18"/>
          <w:u w:val="single" w:color="auto"/>
          <w:color w:val="auto"/>
        </w:rPr>
        <w:t>Reimbursement Date</w:t>
      </w:r>
      <w:r>
        <w:rPr>
          <w:rFonts w:ascii="Arial" w:cs="Arial" w:eastAsia="Arial" w:hAnsi="Arial"/>
          <w:sz w:val="18"/>
          <w:szCs w:val="18"/>
          <w:color w:val="auto"/>
        </w:rPr>
        <w:t>”). In the case of payments made in respect of Several Letters of Credit, the L/C Administrator shall distribute such payments to the applicable Revolving Credit Lenders promptly upon receipt in like funds as received. If the relevant Borrower fails to so reimburse the relevant Issuing Lender with respect to a Fronted Letter of Credit by such time, the Administrative Agent shall promptly notify each Revolving Credit Lender who has a participation in such Fronted Letter of Credit of the Reimbursement Date, the Dollar or Dollar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321945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2" w:right="339" w:bottom="1440" w:gutter="0" w:footer="0" w:header="0"/>
        </w:sectPr>
      </w:pPr>
    </w:p>
    <w:bookmarkStart w:id="115" w:name="page116"/>
    <w:bookmarkEnd w:id="115"/>
    <w:p>
      <w:pPr>
        <w:jc w:val="both"/>
        <w:spacing w:after="0" w:line="257" w:lineRule="auto"/>
        <w:rPr>
          <w:sz w:val="20"/>
          <w:szCs w:val="20"/>
          <w:color w:val="auto"/>
        </w:rPr>
      </w:pPr>
      <w:r>
        <w:rPr>
          <w:rFonts w:ascii="Arial" w:cs="Arial" w:eastAsia="Arial" w:hAnsi="Arial"/>
          <w:sz w:val="19"/>
          <w:szCs w:val="19"/>
          <w:color w:val="auto"/>
        </w:rPr>
        <w:t xml:space="preserve">amount of the unreimbursed drawing (the “ </w:t>
      </w:r>
      <w:r>
        <w:rPr>
          <w:rFonts w:ascii="Arial" w:cs="Arial" w:eastAsia="Arial" w:hAnsi="Arial"/>
          <w:sz w:val="19"/>
          <w:szCs w:val="19"/>
          <w:u w:val="single" w:color="auto"/>
          <w:color w:val="auto"/>
        </w:rPr>
        <w:t>Unreimbursed Amount</w:t>
      </w:r>
      <w:r>
        <w:rPr>
          <w:rFonts w:ascii="Arial" w:cs="Arial" w:eastAsia="Arial" w:hAnsi="Arial"/>
          <w:sz w:val="19"/>
          <w:szCs w:val="19"/>
          <w:color w:val="auto"/>
        </w:rPr>
        <w:t xml:space="preserve">”) and the amount of such Lender’s Applicable Percentage thereof. In such event, the relevant Borrower shall be deemed to have requested a Committed Borrowing of Base Rate Loans to be disbursed on the applicable Reimbursement Date in an amount equal to the Unreimbursed Amount, without regard to the minimum and multiples specified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for the principal amount of Base Rate Loans, but subject to the amount of the unutilized portion of the Aggregate Revolving Credit Commitment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the delivery of a Committed Loan Borrowing Request). Any notice given by an Issuing Lender or the Administrative Agent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2.03(c)(i</w:t>
      </w:r>
      <w:r>
        <w:rPr>
          <w:rFonts w:ascii="Arial" w:cs="Arial" w:eastAsia="Arial" w:hAnsi="Arial"/>
          <w:sz w:val="19"/>
          <w:szCs w:val="19"/>
          <w:color w:val="auto"/>
        </w:rPr>
        <w:t xml:space="preserve"> ) may be given by telephone if immediately confirmed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lack of such an immediate confirmation shall not affect the conclusiveness or binding effect of such notice.</w:t>
      </w:r>
    </w:p>
    <w:p>
      <w:pPr>
        <w:spacing w:after="0" w:line="180" w:lineRule="exact"/>
        <w:rPr>
          <w:sz w:val="20"/>
          <w:szCs w:val="20"/>
          <w:color w:val="auto"/>
        </w:rPr>
      </w:pPr>
    </w:p>
    <w:p>
      <w:pPr>
        <w:jc w:val="both"/>
        <w:ind w:firstLine="1494"/>
        <w:spacing w:after="0" w:line="242" w:lineRule="auto"/>
        <w:tabs>
          <w:tab w:leader="none" w:pos="1986" w:val="left"/>
        </w:tabs>
        <w:numPr>
          <w:ilvl w:val="0"/>
          <w:numId w:val="72"/>
        </w:numPr>
        <w:rPr>
          <w:rFonts w:ascii="Arial" w:cs="Arial" w:eastAsia="Arial" w:hAnsi="Arial"/>
          <w:sz w:val="20"/>
          <w:szCs w:val="20"/>
          <w:color w:val="010000"/>
        </w:rPr>
      </w:pPr>
      <w:r>
        <w:rPr>
          <w:rFonts w:ascii="Arial" w:cs="Arial" w:eastAsia="Arial" w:hAnsi="Arial"/>
          <w:sz w:val="20"/>
          <w:szCs w:val="20"/>
          <w:color w:val="auto"/>
        </w:rPr>
        <w:t xml:space="preserve">Each Revolving Credit Lender (including each Revolving Credit Lender acting as an Issuing Lender) who has a participation in such Fronted Letter of Credit shall, upon receipt of any notice pursuant to </w:t>
      </w:r>
      <w:r>
        <w:rPr>
          <w:rFonts w:ascii="Arial" w:cs="Arial" w:eastAsia="Arial" w:hAnsi="Arial"/>
          <w:sz w:val="20"/>
          <w:szCs w:val="20"/>
          <w:u w:val="single" w:color="auto"/>
          <w:color w:val="auto"/>
        </w:rPr>
        <w:t>Section 2.03(c)(i)</w:t>
      </w:r>
      <w:r>
        <w:rPr>
          <w:rFonts w:ascii="Arial" w:cs="Arial" w:eastAsia="Arial" w:hAnsi="Arial"/>
          <w:sz w:val="20"/>
          <w:szCs w:val="20"/>
          <w:color w:val="auto"/>
        </w:rPr>
        <w:t xml:space="preserve">, make funds available (and the Administrative Agent may apply Cash Collateral provided for this purpose) for the account of the applicable Issuing Lender at the Administrative Agent’s Office in an amount equal to its Applicable Percentage of the Unreimbursed Amount not later than 3:00 p.m. on the Business Day specified in such notice by the Administrative Agent, whereupon, subject to the provisions of </w:t>
      </w:r>
      <w:r>
        <w:rPr>
          <w:rFonts w:ascii="Arial" w:cs="Arial" w:eastAsia="Arial" w:hAnsi="Arial"/>
          <w:sz w:val="20"/>
          <w:szCs w:val="20"/>
          <w:u w:val="single" w:color="auto"/>
          <w:color w:val="auto"/>
        </w:rPr>
        <w:t>Section 2.03(c)(iii)</w:t>
      </w:r>
      <w:r>
        <w:rPr>
          <w:rFonts w:ascii="Arial" w:cs="Arial" w:eastAsia="Arial" w:hAnsi="Arial"/>
          <w:sz w:val="20"/>
          <w:szCs w:val="20"/>
          <w:color w:val="auto"/>
        </w:rPr>
        <w:t>, each Revolving Credit Lender that so makes funds available shall be deemed to have made a Base Rate Committed Loan to such Borrower in such amount. The Administrative Agent shall remit the funds so received to the applicable Issuing Lender.</w:t>
      </w:r>
    </w:p>
    <w:p>
      <w:pPr>
        <w:spacing w:after="0" w:line="196" w:lineRule="exact"/>
        <w:rPr>
          <w:rFonts w:ascii="Arial" w:cs="Arial" w:eastAsia="Arial" w:hAnsi="Arial"/>
          <w:sz w:val="20"/>
          <w:szCs w:val="20"/>
          <w:color w:val="010000"/>
        </w:rPr>
      </w:pPr>
    </w:p>
    <w:p>
      <w:pPr>
        <w:jc w:val="both"/>
        <w:ind w:firstLine="1494"/>
        <w:spacing w:after="0" w:line="272" w:lineRule="auto"/>
        <w:tabs>
          <w:tab w:leader="none" w:pos="1984" w:val="left"/>
        </w:tabs>
        <w:numPr>
          <w:ilvl w:val="0"/>
          <w:numId w:val="72"/>
        </w:numPr>
        <w:rPr>
          <w:rFonts w:ascii="Arial" w:cs="Arial" w:eastAsia="Arial" w:hAnsi="Arial"/>
          <w:sz w:val="18"/>
          <w:szCs w:val="18"/>
          <w:color w:val="010000"/>
        </w:rPr>
      </w:pPr>
      <w:r>
        <w:rPr>
          <w:rFonts w:ascii="Arial" w:cs="Arial" w:eastAsia="Arial" w:hAnsi="Arial"/>
          <w:sz w:val="18"/>
          <w:szCs w:val="18"/>
          <w:color w:val="auto"/>
        </w:rPr>
        <w:t xml:space="preserve">With respect to any Unreimbursed Amount that is not fully refinanced by a Committed Borrowing of Base Rate Loans because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have not been satisfied or for any other reason (including the prior occurrence of the Applicable Maturity Date or any other prior termination of all or any portion of the Commitments of the Lenders to make Committed Loans), the relevant Borrower shall be deemed to have incurred from the applicable Issuing Lender an L/C Borrowing in the amount of the Unreimbursed Amount that is not so refinanced, which L/C Borrowing shall be due and payable on demand (together with interest thereon) and shall bear interest at the interest rate applicable to Loans that are Base Rate Loans. In such event, each Revolving Credit Lender’s payment to the Administrative Agent for the account of the applicable Issuing Lender pursuant to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70" w:lineRule="exact"/>
        <w:rPr>
          <w:rFonts w:ascii="Arial" w:cs="Arial" w:eastAsia="Arial" w:hAnsi="Arial"/>
          <w:sz w:val="18"/>
          <w:szCs w:val="18"/>
          <w:color w:val="010000"/>
        </w:rPr>
      </w:pPr>
    </w:p>
    <w:p>
      <w:pPr>
        <w:jc w:val="both"/>
        <w:ind w:firstLine="1494"/>
        <w:spacing w:after="0" w:line="269" w:lineRule="auto"/>
        <w:tabs>
          <w:tab w:leader="none" w:pos="1998" w:val="left"/>
        </w:tabs>
        <w:numPr>
          <w:ilvl w:val="0"/>
          <w:numId w:val="72"/>
        </w:numPr>
        <w:rPr>
          <w:rFonts w:ascii="Arial" w:cs="Arial" w:eastAsia="Arial" w:hAnsi="Arial"/>
          <w:sz w:val="19"/>
          <w:szCs w:val="19"/>
          <w:color w:val="010000"/>
        </w:rPr>
      </w:pPr>
      <w:r>
        <w:rPr>
          <w:rFonts w:ascii="Arial" w:cs="Arial" w:eastAsia="Arial" w:hAnsi="Arial"/>
          <w:sz w:val="19"/>
          <w:szCs w:val="19"/>
          <w:color w:val="auto"/>
        </w:rPr>
        <w:t xml:space="preserve">Until each Revolving Credit Lender funds its Committed Loan or L/C Advance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2.03(c)</w:t>
      </w:r>
      <w:r>
        <w:rPr>
          <w:rFonts w:ascii="Arial" w:cs="Arial" w:eastAsia="Arial" w:hAnsi="Arial"/>
          <w:sz w:val="19"/>
          <w:szCs w:val="19"/>
          <w:color w:val="auto"/>
        </w:rPr>
        <w:t xml:space="preserve"> to reimburse the applicable Issuing Lender for any amount drawn under any Fronted Letter of Credit, interest in respect of such Lender’s Applicable Percentage of such amount shall be solely for the account of such Issuing Lender.</w:t>
      </w:r>
    </w:p>
    <w:p>
      <w:pPr>
        <w:spacing w:after="0" w:line="169" w:lineRule="exact"/>
        <w:rPr>
          <w:rFonts w:ascii="Arial" w:cs="Arial" w:eastAsia="Arial" w:hAnsi="Arial"/>
          <w:sz w:val="19"/>
          <w:szCs w:val="19"/>
          <w:color w:val="010000"/>
        </w:rPr>
      </w:pPr>
    </w:p>
    <w:p>
      <w:pPr>
        <w:jc w:val="both"/>
        <w:ind w:firstLine="1494"/>
        <w:spacing w:after="0" w:line="257" w:lineRule="auto"/>
        <w:tabs>
          <w:tab w:leader="none" w:pos="1993" w:val="left"/>
        </w:tabs>
        <w:numPr>
          <w:ilvl w:val="0"/>
          <w:numId w:val="72"/>
        </w:numPr>
        <w:rPr>
          <w:rFonts w:ascii="Arial" w:cs="Arial" w:eastAsia="Arial" w:hAnsi="Arial"/>
          <w:sz w:val="19"/>
          <w:szCs w:val="19"/>
          <w:color w:val="010000"/>
        </w:rPr>
      </w:pPr>
      <w:r>
        <w:rPr>
          <w:rFonts w:ascii="Arial" w:cs="Arial" w:eastAsia="Arial" w:hAnsi="Arial"/>
          <w:sz w:val="19"/>
          <w:szCs w:val="19"/>
          <w:color w:val="auto"/>
        </w:rPr>
        <w:t xml:space="preserve">Each Revolving Credit Lender’s obligation to make Committed Loans or L/C Advances to reimburse the applicable Issuing Lender for amounts drawn under Fronted Letters of Credit, as contemplated by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which such Lender may have against such Issuing Lender, the relevant Borrower, any Subsidiary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Revolving Credit Lender’s obligation to make Committed Loans pursuant to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delivery by such Borrower of a Committed Loan Borrowing Request). No such making of an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327025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2" w:right="339" w:bottom="1440" w:gutter="0" w:footer="0" w:header="0"/>
        </w:sectPr>
      </w:pPr>
    </w:p>
    <w:bookmarkStart w:id="116" w:name="page117"/>
    <w:bookmarkEnd w:id="116"/>
    <w:p>
      <w:pPr>
        <w:jc w:val="both"/>
        <w:spacing w:after="0" w:line="316" w:lineRule="auto"/>
        <w:rPr>
          <w:sz w:val="20"/>
          <w:szCs w:val="20"/>
          <w:color w:val="auto"/>
        </w:rPr>
      </w:pPr>
      <w:r>
        <w:rPr>
          <w:rFonts w:ascii="Arial" w:cs="Arial" w:eastAsia="Arial" w:hAnsi="Arial"/>
          <w:sz w:val="18"/>
          <w:szCs w:val="18"/>
          <w:color w:val="auto"/>
        </w:rPr>
        <w:t>Advance shall relieve or otherwise impair the obligation of such Borrower to reimburse the applicable Issuing Lender for the amount of any payment made by such Issuing Lender under such Fronted Letter of Credit, together with interest as provided herein.</w:t>
      </w:r>
    </w:p>
    <w:p>
      <w:pPr>
        <w:spacing w:after="0" w:line="130" w:lineRule="exact"/>
        <w:rPr>
          <w:sz w:val="20"/>
          <w:szCs w:val="20"/>
          <w:color w:val="auto"/>
        </w:rPr>
      </w:pPr>
    </w:p>
    <w:p>
      <w:pPr>
        <w:jc w:val="both"/>
        <w:ind w:firstLine="1494"/>
        <w:spacing w:after="0" w:line="255" w:lineRule="auto"/>
        <w:tabs>
          <w:tab w:leader="none" w:pos="1989" w:val="left"/>
        </w:tabs>
        <w:numPr>
          <w:ilvl w:val="1"/>
          <w:numId w:val="73"/>
        </w:numPr>
        <w:rPr>
          <w:rFonts w:ascii="Arial" w:cs="Arial" w:eastAsia="Arial" w:hAnsi="Arial"/>
          <w:sz w:val="19"/>
          <w:szCs w:val="19"/>
          <w:color w:val="010000"/>
        </w:rPr>
      </w:pPr>
      <w:r>
        <w:rPr>
          <w:rFonts w:ascii="Arial" w:cs="Arial" w:eastAsia="Arial" w:hAnsi="Arial"/>
          <w:sz w:val="19"/>
          <w:szCs w:val="19"/>
          <w:color w:val="auto"/>
        </w:rPr>
        <w:t xml:space="preserve">If any Revolving Credit Lender fails to make available to the Administrative Agent for the account of the applicable Issuing Lender any amount required to be paid by such Lender pursuant to the foregoing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then, without limiting the other provisions of this Agreement, such Issuing Lender shall be entitled to recover from such Lender (acting through the Administrative Agent), on demand, such amount with interest thereon for the period from the date such payment is required to the date on which such payment is immediately available to such Issuing Lender at a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the applicable Overnight Rate from time to time in effect, plus any administrative, processing or similar fees customarily charged by such Issuing Lender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the applicable Issuing Lender submitted to any Lender (through the Administrative Agent) with respect to any amounts owing under this clause (vi) shall be conclusive absent manifest error.</w:t>
      </w:r>
    </w:p>
    <w:p>
      <w:pPr>
        <w:spacing w:after="0" w:line="186" w:lineRule="exact"/>
        <w:rPr>
          <w:rFonts w:ascii="Arial" w:cs="Arial" w:eastAsia="Arial" w:hAnsi="Arial"/>
          <w:sz w:val="19"/>
          <w:szCs w:val="19"/>
          <w:color w:val="010000"/>
        </w:rPr>
      </w:pPr>
    </w:p>
    <w:p>
      <w:pPr>
        <w:ind w:left="1220" w:hanging="475"/>
        <w:spacing w:after="0"/>
        <w:tabs>
          <w:tab w:leader="none" w:pos="122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494"/>
        <w:spacing w:after="0" w:line="259" w:lineRule="auto"/>
        <w:tabs>
          <w:tab w:leader="none" w:pos="1998" w:val="left"/>
        </w:tabs>
        <w:numPr>
          <w:ilvl w:val="1"/>
          <w:numId w:val="74"/>
        </w:numPr>
        <w:rPr>
          <w:rFonts w:ascii="Arial" w:cs="Arial" w:eastAsia="Arial" w:hAnsi="Arial"/>
          <w:sz w:val="19"/>
          <w:szCs w:val="19"/>
          <w:color w:val="010000"/>
        </w:rPr>
      </w:pPr>
      <w:r>
        <w:rPr>
          <w:rFonts w:ascii="Arial" w:cs="Arial" w:eastAsia="Arial" w:hAnsi="Arial"/>
          <w:sz w:val="19"/>
          <w:szCs w:val="19"/>
          <w:color w:val="auto"/>
        </w:rPr>
        <w:t xml:space="preserve">At any time after any Issuing Lender has made a payment in respect of any drawing under any Fronted Letter of Credit issued by it and has received from any Lender such Lender’s L/C Advance in respect of such payment in accordance with </w:t>
      </w:r>
      <w:r>
        <w:rPr>
          <w:rFonts w:ascii="Arial" w:cs="Arial" w:eastAsia="Arial" w:hAnsi="Arial"/>
          <w:sz w:val="19"/>
          <w:szCs w:val="19"/>
          <w:u w:val="single" w:color="auto"/>
          <w:color w:val="auto"/>
        </w:rPr>
        <w:t>Section 2.03(c)</w:t>
      </w:r>
      <w:r>
        <w:rPr>
          <w:rFonts w:ascii="Arial" w:cs="Arial" w:eastAsia="Arial" w:hAnsi="Arial"/>
          <w:sz w:val="19"/>
          <w:szCs w:val="19"/>
          <w:color w:val="auto"/>
        </w:rPr>
        <w:t>, if the Administrative Agent receives for the account of such Issuing Lender any payment in respect of the related Unreimbursed Amount or interest thereon (whether directly from the relevant Borrower or otherwise, including proceeds of Cash Collateral applied thereto by the Administrative Agent), the Administrative Agent will distribute to such Lender its Applicable Percentage thereof in the same funds as those received by the Administrative Agent.</w:t>
      </w:r>
    </w:p>
    <w:p>
      <w:pPr>
        <w:spacing w:after="0" w:line="178" w:lineRule="exact"/>
        <w:rPr>
          <w:rFonts w:ascii="Arial" w:cs="Arial" w:eastAsia="Arial" w:hAnsi="Arial"/>
          <w:sz w:val="19"/>
          <w:szCs w:val="19"/>
          <w:color w:val="010000"/>
        </w:rPr>
      </w:pPr>
    </w:p>
    <w:p>
      <w:pPr>
        <w:jc w:val="both"/>
        <w:ind w:firstLine="1494"/>
        <w:spacing w:after="0" w:line="274" w:lineRule="auto"/>
        <w:tabs>
          <w:tab w:leader="none" w:pos="2005" w:val="left"/>
        </w:tabs>
        <w:numPr>
          <w:ilvl w:val="1"/>
          <w:numId w:val="74"/>
        </w:numPr>
        <w:rPr>
          <w:rFonts w:ascii="Arial" w:cs="Arial" w:eastAsia="Arial" w:hAnsi="Arial"/>
          <w:sz w:val="18"/>
          <w:szCs w:val="18"/>
          <w:color w:val="010000"/>
        </w:rPr>
      </w:pPr>
      <w:r>
        <w:rPr>
          <w:rFonts w:ascii="Arial" w:cs="Arial" w:eastAsia="Arial" w:hAnsi="Arial"/>
          <w:sz w:val="18"/>
          <w:szCs w:val="18"/>
          <w:color w:val="auto"/>
        </w:rPr>
        <w:t xml:space="preserve">If any payment received by the Administrative Agent for the account of an Issuing Lender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(including pursuant to any settlement entered into by such Issuing Lender in its discretion), each Revolving Credit Lender shall pay to the Administrative Agent for the account of such Issuing Lender its Applicable Percentage thereof on demand of the Administrative Agent, plus interest thereon from the date of such demand to the date such amount is returned by such Lender,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applicable Overnight Rate from time to time in effect. The obligations of the Revolving Credit Lenders under this clause shall survive the payment in full of the Obligations and the termination of this Agreement.</w:t>
      </w:r>
    </w:p>
    <w:p>
      <w:pPr>
        <w:spacing w:after="0" w:line="168" w:lineRule="exact"/>
        <w:rPr>
          <w:rFonts w:ascii="Arial" w:cs="Arial" w:eastAsia="Arial" w:hAnsi="Arial"/>
          <w:sz w:val="18"/>
          <w:szCs w:val="18"/>
          <w:color w:val="010000"/>
        </w:rPr>
      </w:pPr>
    </w:p>
    <w:p>
      <w:pPr>
        <w:jc w:val="both"/>
        <w:ind w:left="-760" w:firstLine="1505"/>
        <w:spacing w:after="0" w:line="250" w:lineRule="auto"/>
        <w:tabs>
          <w:tab w:leader="none" w:pos="1228"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The obligation of the Borrowers to reimburse the Applicable Issuing Party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5" w:lineRule="exact"/>
        <w:rPr>
          <w:rFonts w:ascii="Arial" w:cs="Arial" w:eastAsia="Arial" w:hAnsi="Arial"/>
          <w:sz w:val="20"/>
          <w:szCs w:val="20"/>
          <w:color w:val="auto"/>
        </w:rPr>
      </w:pPr>
    </w:p>
    <w:p>
      <w:pPr>
        <w:ind w:left="2020" w:hanging="526"/>
        <w:spacing w:after="0"/>
        <w:tabs>
          <w:tab w:leader="none" w:pos="2020" w:val="left"/>
        </w:tabs>
        <w:numPr>
          <w:ilvl w:val="1"/>
          <w:numId w:val="74"/>
        </w:numPr>
        <w:rPr>
          <w:rFonts w:ascii="Arial" w:cs="Arial" w:eastAsia="Arial" w:hAnsi="Arial"/>
          <w:sz w:val="20"/>
          <w:szCs w:val="20"/>
          <w:color w:val="010000"/>
        </w:rPr>
      </w:pPr>
      <w:r>
        <w:rPr>
          <w:rFonts w:ascii="Arial" w:cs="Arial" w:eastAsia="Arial" w:hAnsi="Arial"/>
          <w:sz w:val="20"/>
          <w:szCs w:val="20"/>
          <w:color w:val="auto"/>
        </w:rPr>
        <w:t>any lack of validity or enforceability of such Letter of Credit, this Agreement, or any other Loan</w:t>
      </w:r>
    </w:p>
    <w:p>
      <w:pPr>
        <w:spacing w:after="0" w:line="15" w:lineRule="exact"/>
        <w:rPr>
          <w:rFonts w:ascii="Arial" w:cs="Arial" w:eastAsia="Arial" w:hAnsi="Arial"/>
          <w:sz w:val="20"/>
          <w:szCs w:val="20"/>
          <w:color w:val="010000"/>
        </w:rPr>
      </w:pPr>
    </w:p>
    <w:p>
      <w:pPr>
        <w:spacing w:after="0"/>
        <w:rPr>
          <w:rFonts w:ascii="Arial" w:cs="Arial" w:eastAsia="Arial" w:hAnsi="Arial"/>
          <w:sz w:val="20"/>
          <w:szCs w:val="20"/>
          <w:color w:val="010000"/>
        </w:rPr>
      </w:pPr>
      <w:r>
        <w:rPr>
          <w:rFonts w:ascii="Arial" w:cs="Arial" w:eastAsia="Arial" w:hAnsi="Arial"/>
          <w:sz w:val="20"/>
          <w:szCs w:val="20"/>
          <w:color w:val="auto"/>
        </w:rPr>
        <w:t>Document;</w:t>
      </w:r>
    </w:p>
    <w:p>
      <w:pPr>
        <w:spacing w:after="0" w:line="199" w:lineRule="exact"/>
        <w:rPr>
          <w:rFonts w:ascii="Arial" w:cs="Arial" w:eastAsia="Arial" w:hAnsi="Arial"/>
          <w:sz w:val="20"/>
          <w:szCs w:val="20"/>
          <w:color w:val="010000"/>
        </w:rPr>
      </w:pPr>
    </w:p>
    <w:p>
      <w:pPr>
        <w:ind w:firstLine="1494"/>
        <w:spacing w:after="0" w:line="260" w:lineRule="auto"/>
        <w:tabs>
          <w:tab w:leader="none" w:pos="2006" w:val="left"/>
        </w:tabs>
        <w:numPr>
          <w:ilvl w:val="1"/>
          <w:numId w:val="74"/>
        </w:numPr>
        <w:rPr>
          <w:rFonts w:ascii="Arial" w:cs="Arial" w:eastAsia="Arial" w:hAnsi="Arial"/>
          <w:sz w:val="20"/>
          <w:szCs w:val="20"/>
          <w:color w:val="010000"/>
        </w:rPr>
      </w:pPr>
      <w:r>
        <w:rPr>
          <w:rFonts w:ascii="Arial" w:cs="Arial" w:eastAsia="Arial" w:hAnsi="Arial"/>
          <w:sz w:val="20"/>
          <w:szCs w:val="20"/>
          <w:color w:val="auto"/>
        </w:rPr>
        <w:t>the existence of any claim, counterclaim, setoff, defense or other right that any Borrower or any other Person may have at any time against any beneficiary or any transferee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324485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2" w:right="339" w:bottom="1440" w:gutter="0" w:footer="0" w:header="0"/>
        </w:sectPr>
      </w:pPr>
    </w:p>
    <w:bookmarkStart w:id="117" w:name="page118"/>
    <w:bookmarkEnd w:id="117"/>
    <w:p>
      <w:pPr>
        <w:jc w:val="both"/>
        <w:ind w:left="760"/>
        <w:spacing w:after="0" w:line="269" w:lineRule="auto"/>
        <w:rPr>
          <w:sz w:val="20"/>
          <w:szCs w:val="20"/>
          <w:color w:val="auto"/>
        </w:rPr>
      </w:pPr>
      <w:r>
        <w:rPr>
          <w:rFonts w:ascii="Arial" w:cs="Arial" w:eastAsia="Arial" w:hAnsi="Arial"/>
          <w:sz w:val="19"/>
          <w:szCs w:val="19"/>
          <w:color w:val="auto"/>
        </w:rPr>
        <w:t>such Letter of Credit (or any Person for whom any such beneficiary or any such transferee may be acting), the Applicable Issuing Party or any other Person, whether in connection with this Agreement, the transactions contemplated hereby or by such Letter of Credit or any agreement or instrument relating thereto, or any unrelated transaction;</w:t>
      </w:r>
    </w:p>
    <w:p>
      <w:pPr>
        <w:spacing w:after="0" w:line="170" w:lineRule="exact"/>
        <w:rPr>
          <w:sz w:val="20"/>
          <w:szCs w:val="20"/>
          <w:color w:val="auto"/>
        </w:rPr>
      </w:pPr>
    </w:p>
    <w:p>
      <w:pPr>
        <w:jc w:val="both"/>
        <w:ind w:left="760" w:firstLine="1494"/>
        <w:spacing w:after="0" w:line="291" w:lineRule="auto"/>
        <w:tabs>
          <w:tab w:leader="none" w:pos="2775"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51" w:lineRule="exact"/>
        <w:rPr>
          <w:rFonts w:ascii="Arial" w:cs="Arial" w:eastAsia="Arial" w:hAnsi="Arial"/>
          <w:sz w:val="18"/>
          <w:szCs w:val="18"/>
          <w:color w:val="010000"/>
        </w:rPr>
      </w:pPr>
    </w:p>
    <w:p>
      <w:pPr>
        <w:jc w:val="both"/>
        <w:ind w:left="760" w:firstLine="1494"/>
        <w:spacing w:after="0" w:line="278" w:lineRule="auto"/>
        <w:tabs>
          <w:tab w:leader="none" w:pos="2747"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any payment by the Applicable Issuing Party under such Letter of Credit against presentation of a draft or certificate that does not strictly comply with the terms of such Letter of Credit; or any payment made by the Applicable Issuing Party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64" w:lineRule="exact"/>
        <w:rPr>
          <w:rFonts w:ascii="Arial" w:cs="Arial" w:eastAsia="Arial" w:hAnsi="Arial"/>
          <w:sz w:val="18"/>
          <w:szCs w:val="18"/>
          <w:color w:val="010000"/>
        </w:rPr>
      </w:pPr>
    </w:p>
    <w:p>
      <w:pPr>
        <w:ind w:left="760" w:firstLine="1494"/>
        <w:spacing w:after="0" w:line="260" w:lineRule="auto"/>
        <w:tabs>
          <w:tab w:leader="none" w:pos="2755" w:val="left"/>
        </w:tabs>
        <w:numPr>
          <w:ilvl w:val="0"/>
          <w:numId w:val="75"/>
        </w:numPr>
        <w:rPr>
          <w:rFonts w:ascii="Arial" w:cs="Arial" w:eastAsia="Arial" w:hAnsi="Arial"/>
          <w:sz w:val="20"/>
          <w:szCs w:val="20"/>
          <w:color w:val="010000"/>
        </w:rPr>
      </w:pPr>
      <w:r>
        <w:rPr>
          <w:rFonts w:ascii="Arial" w:cs="Arial" w:eastAsia="Arial" w:hAnsi="Arial"/>
          <w:sz w:val="20"/>
          <w:szCs w:val="20"/>
          <w:color w:val="auto"/>
        </w:rPr>
        <w:t>any release or amendment or waiver of or consent to departure from any Guarantee for all or any of the Obligations of the Borrowers in respect of such Letter of Credit; or</w:t>
      </w:r>
    </w:p>
    <w:p>
      <w:pPr>
        <w:spacing w:after="0" w:line="176" w:lineRule="exact"/>
        <w:rPr>
          <w:rFonts w:ascii="Arial" w:cs="Arial" w:eastAsia="Arial" w:hAnsi="Arial"/>
          <w:sz w:val="20"/>
          <w:szCs w:val="20"/>
          <w:color w:val="010000"/>
        </w:rPr>
      </w:pPr>
    </w:p>
    <w:p>
      <w:pPr>
        <w:jc w:val="both"/>
        <w:ind w:left="760" w:firstLine="1494"/>
        <w:spacing w:after="0" w:line="250" w:lineRule="auto"/>
        <w:tabs>
          <w:tab w:leader="none" w:pos="2744" w:val="left"/>
        </w:tabs>
        <w:numPr>
          <w:ilvl w:val="0"/>
          <w:numId w:val="75"/>
        </w:numPr>
        <w:rPr>
          <w:rFonts w:ascii="Arial" w:cs="Arial" w:eastAsia="Arial" w:hAnsi="Arial"/>
          <w:sz w:val="20"/>
          <w:szCs w:val="20"/>
          <w:color w:val="010000"/>
        </w:rPr>
      </w:pPr>
      <w:r>
        <w:rPr>
          <w:rFonts w:ascii="Arial" w:cs="Arial" w:eastAsia="Arial" w:hAnsi="Arial"/>
          <w:sz w:val="20"/>
          <w:szCs w:val="20"/>
          <w:color w:val="auto"/>
        </w:rPr>
        <w:t>any other circumstance or happening whatsoever, whether or not similar to any of the foregoing, including any other circumstance that might otherwise constitute a defense available to, or a discharge of, the relevant Borrower or any other Person.</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Each Borrower shall promptly examine a copy of each Letter of Credit and each amendment thereto that is delivered to it and, in the event of any claim of noncompliance with the Borrower’s instructions or other irregularity, such Borrower will promptly, but no later than two Business Days following receipt of such copy, notify the Applicable Issuing Party.</w:t>
      </w:r>
    </w:p>
    <w:p>
      <w:pPr>
        <w:spacing w:after="0" w:line="186" w:lineRule="exact"/>
        <w:rPr>
          <w:sz w:val="20"/>
          <w:szCs w:val="20"/>
          <w:color w:val="auto"/>
        </w:rPr>
      </w:pPr>
    </w:p>
    <w:p>
      <w:pPr>
        <w:ind w:left="1980" w:hanging="475"/>
        <w:spacing w:after="0"/>
        <w:tabs>
          <w:tab w:leader="none" w:pos="198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Several Letters of Credit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760" w:firstLine="1494"/>
        <w:spacing w:after="0" w:line="254" w:lineRule="auto"/>
        <w:tabs>
          <w:tab w:leader="none" w:pos="2748" w:val="left"/>
        </w:tabs>
        <w:numPr>
          <w:ilvl w:val="1"/>
          <w:numId w:val="76"/>
        </w:numPr>
        <w:rPr>
          <w:rFonts w:ascii="Arial" w:cs="Arial" w:eastAsia="Arial" w:hAnsi="Arial"/>
          <w:sz w:val="19"/>
          <w:szCs w:val="19"/>
          <w:color w:val="010000"/>
        </w:rPr>
      </w:pPr>
      <w:r>
        <w:rPr>
          <w:rFonts w:ascii="Arial" w:cs="Arial" w:eastAsia="Arial" w:hAnsi="Arial"/>
          <w:sz w:val="19"/>
          <w:szCs w:val="19"/>
          <w:color w:val="auto"/>
        </w:rPr>
        <w:t xml:space="preserve">The L/C Administrator is hereby authorized to execute and deliver each Several Letter of Credit and each amendment to a Several Letter of Credit on behalf of each Revolving Credit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request of the relevant Borrower, such Several Letter of Credit or amendment will be executed by each Revolving Credit Lender. The L/C Administrator shall use the Applicable Percentage of each Revolving Credit Lender as its “</w:t>
      </w:r>
      <w:r>
        <w:rPr>
          <w:rFonts w:ascii="Arial" w:cs="Arial" w:eastAsia="Arial" w:hAnsi="Arial"/>
          <w:sz w:val="19"/>
          <w:szCs w:val="19"/>
          <w:u w:val="single" w:color="auto"/>
          <w:color w:val="auto"/>
        </w:rPr>
        <w:t>Commitment Share</w:t>
      </w:r>
      <w:r>
        <w:rPr>
          <w:rFonts w:ascii="Arial" w:cs="Arial" w:eastAsia="Arial" w:hAnsi="Arial"/>
          <w:sz w:val="19"/>
          <w:szCs w:val="19"/>
          <w:color w:val="auto"/>
        </w:rPr>
        <w:t xml:space="preserve">” under each Several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Limited Fronting Lender (if any), in its capacity as such, shall, in addition to its own “Commitment Share” as a Revolving Credit Lender, be deemed to have a “Commitment Share” (or equivalent term) equal to the Applicable Percentage (or portion thereof, if applicable) of each Non-SLC Bank for which such Limited Fronting Lender acts in such capacity under such Several Letter of Credit. The L/C Administrator shall not amend any Several Letter of Credit to change the “Commitment Shares” of any Revolving Credit Lender or add or delete a Revolving Credit Lender liable thereunder unless such amendment is done in connection with a Limited Fronting Lender Agreement in accordance with </w:t>
      </w:r>
      <w:r>
        <w:rPr>
          <w:rFonts w:ascii="Arial" w:cs="Arial" w:eastAsia="Arial" w:hAnsi="Arial"/>
          <w:sz w:val="19"/>
          <w:szCs w:val="19"/>
          <w:u w:val="single" w:color="auto"/>
          <w:color w:val="auto"/>
        </w:rPr>
        <w:t>Section 2.03(f)(iv)</w:t>
      </w:r>
      <w:r>
        <w:rPr>
          <w:rFonts w:ascii="Arial" w:cs="Arial" w:eastAsia="Arial" w:hAnsi="Arial"/>
          <w:sz w:val="19"/>
          <w:szCs w:val="19"/>
          <w:color w:val="auto"/>
        </w:rPr>
        <w:t xml:space="preserve">, an assignment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a change in the Revolving Credit Lenders and/or the Applicable Percentages as a result of any increase in the Commitments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an extension of the Revolving Credit Commitments pursuant to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or any other addition or replacement of a Revolving Credit Lender in accordance with the terms of this Agreement. Each Revolving Credit Lender (including, for the avoidance of doubt, each Limited Fronting Lender) hereby irrevocably constitutes and appoints the L/C Administrator its true and 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18" w:name="page119"/>
    <w:bookmarkEnd w:id="118"/>
    <w:p>
      <w:pPr>
        <w:jc w:val="both"/>
        <w:spacing w:after="0" w:line="273" w:lineRule="auto"/>
        <w:rPr>
          <w:sz w:val="20"/>
          <w:szCs w:val="20"/>
          <w:color w:val="auto"/>
        </w:rPr>
      </w:pPr>
      <w:r>
        <w:rPr>
          <w:rFonts w:ascii="Arial" w:cs="Arial" w:eastAsia="Arial" w:hAnsi="Arial"/>
          <w:sz w:val="18"/>
          <w:szCs w:val="18"/>
          <w:color w:val="auto"/>
        </w:rPr>
        <w:t>attorney-in-fact for and on behalf of such Revolving Credit Lender with full power of substitution and revocation in its own name or in the name of the L/C Administrator to issue, execute and deliver, as the case may be, each Several Letter of Credit and each amendment to a Several Letter of Credit and to carry out the purposes of this Agreement with respect to Several Letters of Credit. Upon request, each Revolving Credit Lender shall execute such powers of attorney or other documents as any beneficiary of any Several Letter of Credit may reasonably request to evidence the authority of the L/C Administrator to execute and deliver such Several Letter of Credit and any amendment or other modification thereto on behalf of the Revolving Credit Lenders. To the extent that the L/C Administrator has not received funds from a Revolving Credit Lender with respect to a Several Letter of Credit, the L/C Administrator shall only forward the funds actually received to the beneficiary.</w:t>
      </w:r>
    </w:p>
    <w:p>
      <w:pPr>
        <w:spacing w:after="0" w:line="168" w:lineRule="exact"/>
        <w:rPr>
          <w:sz w:val="20"/>
          <w:szCs w:val="20"/>
          <w:color w:val="auto"/>
        </w:rPr>
      </w:pPr>
    </w:p>
    <w:p>
      <w:pPr>
        <w:jc w:val="both"/>
        <w:ind w:firstLine="1494"/>
        <w:spacing w:after="0" w:line="269" w:lineRule="auto"/>
        <w:tabs>
          <w:tab w:leader="none" w:pos="2014"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Each Revolving Credit Lender (including, for the avoidance of doubt, each Limited Fronting Lender) agrees with the L/C Administrator that, if a draft is paid under any Several Letter of Credit for which such L/C Administrator is not reimbursed in full by the applicable Borrower in accordance with the terms of this Agreement, each Revolving Credit Lender shall pay to the L/C Administrator upon demand at the L/C Administrator’s address for notices specified herein an amount in Dollars (in the case of a Several Letter of Credit denominated in Dollars), Sterling or Euro (in the case of a Several Letter of Credit denominated in Sterling or Euro) equal to such Revolving Credit Lender’s Commitment Share (and, in the case of each Limited Fronting Lender, the Commitment Share (or the portion thereof for which it has agreed to be a Limited Fronting Lender) of each applicable Non-SLC Bank). In the event that a Limited Fronting Lender pays the Commitment Share of a Non-SLC Bank, such Non-SLC Bank shall pay such Commitment Share (or the relevant portion thereof, if applicable) to such Limited Fronting Lender in purchase of its participation in such payment. Each Lender’s (including, for the avoidance of doubt, each Limited Fronting Lender’s and each Non-SLC Bank’s) obligation to pay such amount shall be absolute and unconditional and shall not be affected by any circumstance, including (A) any setoff, counterclaim, recoupment, defense or other right which such Lender may have against L/C Administrator, any Borrower or any other Person; (B) the occurrence or continuance of a Default; or (C) any other occurrence, event or condition, whether or not similar to any of the foregoing.</w:t>
      </w:r>
    </w:p>
    <w:p>
      <w:pPr>
        <w:spacing w:after="0" w:line="181" w:lineRule="exact"/>
        <w:rPr>
          <w:rFonts w:ascii="Arial" w:cs="Arial" w:eastAsia="Arial" w:hAnsi="Arial"/>
          <w:sz w:val="18"/>
          <w:szCs w:val="18"/>
          <w:color w:val="010000"/>
        </w:rPr>
      </w:pPr>
    </w:p>
    <w:p>
      <w:pPr>
        <w:jc w:val="both"/>
        <w:ind w:firstLine="1494"/>
        <w:spacing w:after="0" w:line="260" w:lineRule="auto"/>
        <w:tabs>
          <w:tab w:leader="none" w:pos="1986" w:val="left"/>
        </w:tabs>
        <w:numPr>
          <w:ilvl w:val="0"/>
          <w:numId w:val="77"/>
        </w:numPr>
        <w:rPr>
          <w:rFonts w:ascii="Arial" w:cs="Arial" w:eastAsia="Arial" w:hAnsi="Arial"/>
          <w:sz w:val="19"/>
          <w:szCs w:val="19"/>
          <w:color w:val="010000"/>
        </w:rPr>
      </w:pPr>
      <w:r>
        <w:rPr>
          <w:rFonts w:ascii="Arial" w:cs="Arial" w:eastAsia="Arial" w:hAnsi="Arial"/>
          <w:sz w:val="19"/>
          <w:szCs w:val="19"/>
          <w:color w:val="auto"/>
        </w:rPr>
        <w:t>The obligations of each Revolving Credit Lender under and in respect of each Several Letter of Credit are several, and the failure by any Revolving Credit Lender to perform its obligations hereunder or under any Several Letter of Credit shall not affect the obligations of the Borrowers toward any other party hereto nor shall any other such party (other than Limited Fronting Lenders with respect to Several Letters of Credit they have issued on behalf of Non-SLC Banks) be liable for the failure by such Lender to perform its obligations hereunder or under any Several Letter of Credit.</w:t>
      </w:r>
    </w:p>
    <w:p>
      <w:pPr>
        <w:spacing w:after="0" w:line="180" w:lineRule="exact"/>
        <w:rPr>
          <w:rFonts w:ascii="Arial" w:cs="Arial" w:eastAsia="Arial" w:hAnsi="Arial"/>
          <w:sz w:val="19"/>
          <w:szCs w:val="19"/>
          <w:color w:val="010000"/>
        </w:rPr>
      </w:pPr>
    </w:p>
    <w:p>
      <w:pPr>
        <w:jc w:val="both"/>
        <w:ind w:firstLine="1494"/>
        <w:spacing w:after="0" w:line="263" w:lineRule="auto"/>
        <w:tabs>
          <w:tab w:leader="none" w:pos="1994" w:val="left"/>
        </w:tabs>
        <w:numPr>
          <w:ilvl w:val="0"/>
          <w:numId w:val="77"/>
        </w:numPr>
        <w:rPr>
          <w:rFonts w:ascii="Arial" w:cs="Arial" w:eastAsia="Arial" w:hAnsi="Arial"/>
          <w:sz w:val="19"/>
          <w:szCs w:val="19"/>
          <w:color w:val="010000"/>
        </w:rPr>
      </w:pPr>
      <w:r>
        <w:rPr>
          <w:rFonts w:ascii="Arial" w:cs="Arial" w:eastAsia="Arial" w:hAnsi="Arial"/>
          <w:sz w:val="19"/>
          <w:szCs w:val="19"/>
          <w:color w:val="auto"/>
        </w:rPr>
        <w:t>In the event that any Revolving Credit Lender agrees (in its sole discretion) to act as a Limited Fronting Lender for any Non-SLC Bank upon such terms and conditions as such parties may agree (including fees payable by such Non-SLC Bank to such Limited Fronting Lender) (such agreement, a “</w:t>
      </w:r>
      <w:r>
        <w:rPr>
          <w:rFonts w:ascii="Arial" w:cs="Arial" w:eastAsia="Arial" w:hAnsi="Arial"/>
          <w:sz w:val="19"/>
          <w:szCs w:val="19"/>
          <w:u w:val="single" w:color="auto"/>
          <w:color w:val="auto"/>
        </w:rPr>
        <w:t>Limited Fronting Lender Agreement</w:t>
      </w:r>
      <w:r>
        <w:rPr>
          <w:rFonts w:ascii="Arial" w:cs="Arial" w:eastAsia="Arial" w:hAnsi="Arial"/>
          <w:sz w:val="19"/>
          <w:szCs w:val="19"/>
          <w:color w:val="auto"/>
        </w:rPr>
        <w:t>”), the following provisions shall apply (in addition to any other provisions hereof relating to Limited Fronting Lenders):</w:t>
      </w:r>
    </w:p>
    <w:p>
      <w:pPr>
        <w:spacing w:after="0" w:line="189" w:lineRule="exact"/>
        <w:rPr>
          <w:rFonts w:ascii="Arial" w:cs="Arial" w:eastAsia="Arial" w:hAnsi="Arial"/>
          <w:sz w:val="19"/>
          <w:szCs w:val="19"/>
          <w:color w:val="010000"/>
        </w:rPr>
      </w:pPr>
    </w:p>
    <w:p>
      <w:pPr>
        <w:jc w:val="both"/>
        <w:ind w:left="740" w:firstLine="1503"/>
        <w:spacing w:after="0" w:line="254" w:lineRule="auto"/>
        <w:tabs>
          <w:tab w:leader="none" w:pos="2900" w:val="left"/>
        </w:tabs>
        <w:numPr>
          <w:ilvl w:val="1"/>
          <w:numId w:val="77"/>
        </w:numPr>
        <w:rPr>
          <w:rFonts w:ascii="Arial" w:cs="Arial" w:eastAsia="Arial" w:hAnsi="Arial"/>
          <w:sz w:val="21"/>
          <w:szCs w:val="21"/>
          <w:color w:val="auto"/>
        </w:rPr>
      </w:pPr>
      <w:r>
        <w:rPr>
          <w:rFonts w:ascii="Arial" w:cs="Arial" w:eastAsia="Arial" w:hAnsi="Arial"/>
          <w:sz w:val="19"/>
          <w:szCs w:val="19"/>
          <w:color w:val="auto"/>
        </w:rPr>
        <w:t>upon the issuance of any Several Letter of Credit pursuant hereto, with respect to any Non-SLC Bank, each applicable Limited Fronting Lender, in reliance upon the agreements of such Non-SLC Bank, agrees (A) to issue through the L/C Administrator, in addition to its own obligations as a Revolving Credit Lender under such Several Letter of Credit, severally, such Several Letter of Credit in an amount equal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329565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2" w:right="339" w:bottom="1440" w:gutter="0" w:footer="0" w:header="0"/>
        </w:sectPr>
      </w:pPr>
    </w:p>
    <w:bookmarkStart w:id="119" w:name="page120"/>
    <w:bookmarkEnd w:id="119"/>
    <w:p>
      <w:pPr>
        <w:jc w:val="both"/>
        <w:ind w:left="380"/>
        <w:spacing w:after="0" w:line="269" w:lineRule="auto"/>
        <w:rPr>
          <w:sz w:val="20"/>
          <w:szCs w:val="20"/>
          <w:color w:val="auto"/>
        </w:rPr>
      </w:pPr>
      <w:r>
        <w:rPr>
          <w:rFonts w:ascii="Arial" w:cs="Arial" w:eastAsia="Arial" w:hAnsi="Arial"/>
          <w:sz w:val="19"/>
          <w:szCs w:val="19"/>
          <w:color w:val="auto"/>
        </w:rPr>
        <w:t>Non-SLC Bank’s Commitment Share of the stated amount of such Several Letter of Credit (or the portion thereof for which such Limited Fronting Lender has agreed to be a Limited Fronting Lender), and (B) to amend or extend each Several Letter of Credit previously issued by it as a Limited Fronting Lender for such Non-SLC Approved Bank; and</w:t>
      </w:r>
    </w:p>
    <w:p>
      <w:pPr>
        <w:spacing w:after="0" w:line="183" w:lineRule="exact"/>
        <w:rPr>
          <w:sz w:val="20"/>
          <w:szCs w:val="20"/>
          <w:color w:val="auto"/>
        </w:rPr>
      </w:pPr>
    </w:p>
    <w:p>
      <w:pPr>
        <w:jc w:val="both"/>
        <w:ind w:left="380" w:firstLine="1503"/>
        <w:spacing w:after="0" w:line="267" w:lineRule="auto"/>
        <w:tabs>
          <w:tab w:leader="none" w:pos="2557" w:val="left"/>
        </w:tabs>
        <w:numPr>
          <w:ilvl w:val="0"/>
          <w:numId w:val="78"/>
        </w:numPr>
        <w:rPr>
          <w:rFonts w:ascii="Arial" w:cs="Arial" w:eastAsia="Arial" w:hAnsi="Arial"/>
          <w:sz w:val="19"/>
          <w:szCs w:val="19"/>
          <w:color w:val="auto"/>
        </w:rPr>
      </w:pPr>
      <w:r>
        <w:rPr>
          <w:rFonts w:ascii="Arial" w:cs="Arial" w:eastAsia="Arial" w:hAnsi="Arial"/>
          <w:sz w:val="18"/>
          <w:szCs w:val="18"/>
          <w:color w:val="auto"/>
        </w:rPr>
        <w:t>with respect to any Several Letter of Credit issued by a Limited Fronting Lender pursuant to clause (i) above for a Non-SLC Bank, such Non-SLC Bank agrees to purchase participations in the obligations of such Limited Fronting Lender under such Several Letter of Credit in the amount attributable to such Non-SLC Bank. Without any further action on the part of any party, each Limited Fronting Lender hereby grants to each applicable Non-SLC Bank for which it is acting as a Limited Fronting Lender hereunder, and each such Non-SLC Bank hereby acquires from such Limited Fronting Lender, a participation in such Limited Fronting Lender’s Commitment Share of each Several Letter of Credit for which such Limited Fronting Lender is acting as a Limited Fronting Lender on behalf of such Non-SLC Bank hereunder in the amount attributable to such Non-SLC Bank. Each such Non-SLC Bank purchasing a participation hereunder acknowledges and agrees that its obligation to acquire such participations in respect of Several Letters of Credit is absolute and unconditional and shall not be affected by any circumstance whatsoever, including any amendment or extension of any Letter of Credit or the occurrence and continuance of a Default or Event of Default or reduction or termination of the Commitments. In consideration and in furtherance of the foregoing, each such Non-SLC Bank hereby absolutely and unconditionally agrees to pay to the L/C Administrator, for account of the applicable Limited Fronting Lender, an amount equal to the amount of each payment made by such Limited Fronting Lender in respect of the portion of each such Several Letter of Credit in which such Non-SLC Bank holds a participation, promptly upon the request of such Limited Fronting Lender, at any time from the time such payment is made until such payment is reimbursed by the applicable Borrower or at any time after any reimbursement payment is required to be refunded to the applicable Borrower for any reason. Such payment by such Non-SLC Bank shall be made for the account of the applicable Limited Fronting Lender without any offset, abatement, withholding or reduction whatsoever. To the extent that any Non-SLC Bank has made payments pursuant to this paragraph to reimburse a Limited Fronting Lender in respect of any participation interests purchased hereunder in respect of any Several Letter of Credit, promptly following receipt by the L/C Administrator of any payment from the applicable Borrower pursuant to Section 2.03(c) in respect of such Several Letter of Credit, the L/C Administrator shall distribute such payment to such Limited Fronting Lender and such Non-SLC Bank as their interests may appear. Any payment made by a Non-SLC Bank in respect of its participation pursuant to this paragraph to reimburse the applicable Limited Fronting Lender for any payment made in respect of any drawing under a Several Letter of Credit shall not relieve the Borrowers of their obligation to reimburse the amount of such drawing.</w:t>
      </w:r>
    </w:p>
    <w:p>
      <w:pPr>
        <w:spacing w:after="0" w:line="196" w:lineRule="exact"/>
        <w:rPr>
          <w:rFonts w:ascii="Arial" w:cs="Arial" w:eastAsia="Arial" w:hAnsi="Arial"/>
          <w:sz w:val="19"/>
          <w:szCs w:val="19"/>
          <w:color w:val="auto"/>
        </w:rPr>
      </w:pPr>
    </w:p>
    <w:p>
      <w:pPr>
        <w:jc w:val="both"/>
        <w:ind w:left="380" w:firstLine="1503"/>
        <w:spacing w:after="0" w:line="238" w:lineRule="auto"/>
        <w:tabs>
          <w:tab w:leader="none" w:pos="2561" w:val="left"/>
        </w:tabs>
        <w:numPr>
          <w:ilvl w:val="0"/>
          <w:numId w:val="78"/>
        </w:numPr>
        <w:rPr>
          <w:rFonts w:ascii="Arial" w:cs="Arial" w:eastAsia="Arial" w:hAnsi="Arial"/>
          <w:sz w:val="22"/>
          <w:szCs w:val="22"/>
          <w:color w:val="auto"/>
        </w:rPr>
      </w:pPr>
      <w:r>
        <w:rPr>
          <w:rFonts w:ascii="Arial" w:cs="Arial" w:eastAsia="Arial" w:hAnsi="Arial"/>
          <w:sz w:val="20"/>
          <w:szCs w:val="20"/>
          <w:color w:val="auto"/>
        </w:rPr>
        <w:t>Each Revolving Credit Lender that agrees to act as a Limited Fronting Lender for any Non-SLC Bank shall promptly notify the Administrative Agent (which shall promptly notify the L/C Administrator) of such agreement and of any termination or expiration of such agreement.</w:t>
      </w:r>
    </w:p>
    <w:p>
      <w:pPr>
        <w:spacing w:after="0" w:line="211" w:lineRule="exact"/>
        <w:rPr>
          <w:rFonts w:ascii="Arial" w:cs="Arial" w:eastAsia="Arial" w:hAnsi="Arial"/>
          <w:sz w:val="22"/>
          <w:szCs w:val="22"/>
          <w:color w:val="auto"/>
        </w:rPr>
      </w:pPr>
    </w:p>
    <w:p>
      <w:pPr>
        <w:jc w:val="both"/>
        <w:ind w:left="380" w:firstLine="1503"/>
        <w:spacing w:after="0" w:line="283" w:lineRule="auto"/>
        <w:tabs>
          <w:tab w:leader="none" w:pos="2544" w:val="left"/>
        </w:tabs>
        <w:numPr>
          <w:ilvl w:val="0"/>
          <w:numId w:val="78"/>
        </w:numPr>
        <w:rPr>
          <w:rFonts w:ascii="Arial" w:cs="Arial" w:eastAsia="Arial" w:hAnsi="Arial"/>
          <w:sz w:val="19"/>
          <w:szCs w:val="19"/>
          <w:color w:val="auto"/>
        </w:rPr>
      </w:pPr>
      <w:r>
        <w:rPr>
          <w:rFonts w:ascii="Arial" w:cs="Arial" w:eastAsia="Arial" w:hAnsi="Arial"/>
          <w:sz w:val="18"/>
          <w:szCs w:val="18"/>
          <w:color w:val="auto"/>
        </w:rPr>
        <w:t xml:space="preserve">In the event that, pursuant to this </w:t>
      </w:r>
      <w:r>
        <w:rPr>
          <w:rFonts w:ascii="Arial" w:cs="Arial" w:eastAsia="Arial" w:hAnsi="Arial"/>
          <w:sz w:val="18"/>
          <w:szCs w:val="18"/>
          <w:u w:val="single" w:color="auto"/>
          <w:color w:val="auto"/>
        </w:rPr>
        <w:t>Section 2.03(f)</w:t>
      </w:r>
      <w:r>
        <w:rPr>
          <w:rFonts w:ascii="Arial" w:cs="Arial" w:eastAsia="Arial" w:hAnsi="Arial"/>
          <w:sz w:val="18"/>
          <w:szCs w:val="18"/>
          <w:color w:val="auto"/>
        </w:rPr>
        <w:t>, any Revolving Credit Lender agrees to act as a Limited Fronting Lender for any other Revolving Credit Lender that becomes a Non-SLC Bank, such Revolving Credit Lender shall receive such compensation therefor as such Non-SLC Bank and such Revolving Credit Lender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313055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120" w:name="page121"/>
    <w:bookmarkEnd w:id="120"/>
    <w:p>
      <w:pPr>
        <w:ind w:left="380"/>
        <w:spacing w:after="0" w:line="260" w:lineRule="auto"/>
        <w:rPr>
          <w:sz w:val="20"/>
          <w:szCs w:val="20"/>
          <w:color w:val="auto"/>
        </w:rPr>
      </w:pPr>
      <w:r>
        <w:rPr>
          <w:rFonts w:ascii="Arial" w:cs="Arial" w:eastAsia="Arial" w:hAnsi="Arial"/>
          <w:sz w:val="20"/>
          <w:szCs w:val="20"/>
          <w:color w:val="auto"/>
        </w:rPr>
        <w:t>agree. Notwithstanding anything herein to the contrary, no Revolving Credit Lender shall have any obligation to agree to act hereunder as a Limited Fronting Lender for any other Revolving Credit Lender.</w:t>
      </w:r>
    </w:p>
    <w:p>
      <w:pPr>
        <w:spacing w:after="0" w:line="190" w:lineRule="exact"/>
        <w:rPr>
          <w:sz w:val="20"/>
          <w:szCs w:val="20"/>
          <w:color w:val="auto"/>
        </w:rPr>
      </w:pPr>
    </w:p>
    <w:p>
      <w:pPr>
        <w:jc w:val="both"/>
        <w:ind w:left="380" w:firstLine="1503"/>
        <w:spacing w:after="0" w:line="238" w:lineRule="auto"/>
        <w:tabs>
          <w:tab w:leader="none" w:pos="2567" w:val="left"/>
        </w:tabs>
        <w:numPr>
          <w:ilvl w:val="1"/>
          <w:numId w:val="79"/>
        </w:numPr>
        <w:rPr>
          <w:rFonts w:ascii="Arial" w:cs="Arial" w:eastAsia="Arial" w:hAnsi="Arial"/>
          <w:sz w:val="22"/>
          <w:szCs w:val="22"/>
          <w:color w:val="auto"/>
        </w:rPr>
      </w:pPr>
      <w:r>
        <w:rPr>
          <w:rFonts w:ascii="Arial" w:cs="Arial" w:eastAsia="Arial" w:hAnsi="Arial"/>
          <w:sz w:val="20"/>
          <w:szCs w:val="20"/>
          <w:color w:val="auto"/>
        </w:rPr>
        <w:t>To the extent that the Parent and the Borrowers for any reason fail to indefeasibly pay any indemnifiable amount required to be paid under subsection (b) of Section 10.04 to a Lender acting in its capacity as Limited Fronting Lender with respect to any outstanding Several Letters of Credit, the relevant Non-SLC Bank agrees to pay to the Limited Fronting Lender such indemnity payment.</w:t>
      </w:r>
    </w:p>
    <w:p>
      <w:pPr>
        <w:spacing w:after="0" w:line="198" w:lineRule="exact"/>
        <w:rPr>
          <w:rFonts w:ascii="Arial" w:cs="Arial" w:eastAsia="Arial" w:hAnsi="Arial"/>
          <w:sz w:val="22"/>
          <w:szCs w:val="22"/>
          <w:color w:val="auto"/>
        </w:rPr>
      </w:pPr>
    </w:p>
    <w:p>
      <w:pPr>
        <w:jc w:val="both"/>
        <w:ind w:left="-1120" w:firstLine="1505"/>
        <w:spacing w:after="0" w:line="259" w:lineRule="auto"/>
        <w:tabs>
          <w:tab w:leader="none" w:pos="861"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Non-SLC Bank</w:t>
      </w:r>
      <w:r>
        <w:rPr>
          <w:rFonts w:ascii="Arial" w:cs="Arial" w:eastAsia="Arial" w:hAnsi="Arial"/>
          <w:sz w:val="19"/>
          <w:szCs w:val="19"/>
          <w:color w:val="auto"/>
        </w:rPr>
        <w:t xml:space="preserve">. Each Revolving Credit Lender agrees to use commercially reasonable efforts, at all times from and after the Closing Date, (a) to have internal policies that authorize it to issue Several Letters of Credit or (b) if such Revolving Credit Lender is a Non-SLC Bank, to agree with another Revolving Credit Lender which is not a Non-SLC Bank, as provided in </w:t>
      </w:r>
      <w:r>
        <w:rPr>
          <w:rFonts w:ascii="Arial" w:cs="Arial" w:eastAsia="Arial" w:hAnsi="Arial"/>
          <w:sz w:val="19"/>
          <w:szCs w:val="19"/>
          <w:u w:val="single" w:color="auto"/>
          <w:color w:val="auto"/>
        </w:rPr>
        <w:t>Section 2.03(f)</w:t>
      </w:r>
      <w:r>
        <w:rPr>
          <w:rFonts w:ascii="Arial" w:cs="Arial" w:eastAsia="Arial" w:hAnsi="Arial"/>
          <w:sz w:val="19"/>
          <w:szCs w:val="19"/>
          <w:color w:val="auto"/>
        </w:rPr>
        <w:t>, that such Revolving Credit Lender shall (in its sole discretion) act as the Limited Fronting Lender for such Non-SLC Bank with respect to any Several Letters of Credit which are outstanding at the time such Revolving Credit Lender becomes a Non-SLC Bank and/or are issued during the period that such Revolving Credit Lender is a Non-SLC Bank.</w:t>
      </w:r>
    </w:p>
    <w:p>
      <w:pPr>
        <w:spacing w:after="0" w:line="178" w:lineRule="exact"/>
        <w:rPr>
          <w:rFonts w:ascii="Arial" w:cs="Arial" w:eastAsia="Arial" w:hAnsi="Arial"/>
          <w:sz w:val="19"/>
          <w:szCs w:val="19"/>
          <w:color w:val="auto"/>
        </w:rPr>
      </w:pPr>
    </w:p>
    <w:p>
      <w:pPr>
        <w:jc w:val="both"/>
        <w:ind w:left="-1120" w:firstLine="1505"/>
        <w:spacing w:after="0" w:line="268" w:lineRule="auto"/>
        <w:tabs>
          <w:tab w:leader="none" w:pos="89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Role of Applicable Issuing Party</w:t>
      </w:r>
      <w:r>
        <w:rPr>
          <w:rFonts w:ascii="Arial" w:cs="Arial" w:eastAsia="Arial" w:hAnsi="Arial"/>
          <w:sz w:val="18"/>
          <w:szCs w:val="18"/>
          <w:color w:val="auto"/>
        </w:rPr>
        <w:t xml:space="preserve">. Each Revolving Credit Lender and the Borrowers agree that, in paying any drawing under a Letter of Credit, the Applicable Issuing Party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Applicable Issuing Party, the Administrative Agent, any of their respective Related Parties nor any correspondent, participant or assignee of any Applicable Issuing Party shall be liable to any Revolving Credit Lender for (i) any action taken or omitted in connection herewith at the request or with the approval of the Required Lenders; (ii) any action taken or omitted in the absence of gross negligence or willful misconduct; or (iii) the due execution, effectiveness, validity or enforceability of any document or instrument related to any Letter of Credit or Issuer Document. Each Borrower hereby assumes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assumption is not intended to, and shall not, preclude such Borrower’s pursuing such rights and remedies as it may have against the beneficiary or transferee at law or under any other agreement. None of the applicable L/C Issuer, the Administrative Agent, the L/C Administrator any of their respective Related Parties nor any correspondent, participant or assignee of any Applicable Issuing Party shall be liable or responsible for any of the matters described in clauses (i) through (vi) of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anything in such clauses to the contrary notwithstanding, the Borrowers may have a claim against such L/C Issuer or L/C Administrator, and such L/C Issuer or L/C Administrator may be liable to the Borrowers, to the extent, but only to the extent, of any direct (as opposed to indirect, special, punitive, consequential or exemplary) damages suffered by the Borrowers which a court of competent jurisdiction determines in a final nonappealable judgment were caused by such L/C Issuer’s or such L/C Administrator’s willful misconduct or gross negligence or such L/C Issuer’s or such L/C Administrator’s willful failure to pay under any Letter of Credit after the presentation to it by the beneficiary of a sight draft and certificate(s) strictly complying with the terms and conditions of a Letter of Credit. In furtherance and not in limitation of the foregoing, the applicable L/C Issuer and the L/C Administrator’s may accept documents that appear on their face to be in order, without responsibility for further investigation, regardless of any notice or information to the contrary, and such L/C Issuer and such or L/C Administrator’s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325755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121" w:name="page122"/>
    <w:bookmarkEnd w:id="121"/>
    <w:p>
      <w:pPr>
        <w:ind w:left="-1120" w:firstLine="1505"/>
        <w:spacing w:after="0" w:line="260" w:lineRule="auto"/>
        <w:tabs>
          <w:tab w:leader="none" w:pos="91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Applicability of ISP and UCP</w:t>
      </w:r>
      <w:r>
        <w:rPr>
          <w:rFonts w:ascii="Arial" w:cs="Arial" w:eastAsia="Arial" w:hAnsi="Arial"/>
          <w:sz w:val="20"/>
          <w:szCs w:val="20"/>
          <w:color w:val="auto"/>
        </w:rPr>
        <w:t>. Unless otherwise expressly agreed by the Applicable Issuing Party and the Borrowers when a Letter of Credit is issued, the rules of the ISP shall apply to each Letter of Credit.</w:t>
      </w:r>
    </w:p>
    <w:p>
      <w:pPr>
        <w:spacing w:after="0" w:line="176" w:lineRule="exact"/>
        <w:rPr>
          <w:rFonts w:ascii="Arial" w:cs="Arial" w:eastAsia="Arial" w:hAnsi="Arial"/>
          <w:sz w:val="20"/>
          <w:szCs w:val="20"/>
          <w:color w:val="auto"/>
        </w:rPr>
      </w:pPr>
    </w:p>
    <w:p>
      <w:pPr>
        <w:jc w:val="both"/>
        <w:ind w:left="-1120" w:firstLine="1505"/>
        <w:spacing w:after="0" w:line="269" w:lineRule="auto"/>
        <w:tabs>
          <w:tab w:leader="none" w:pos="86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The Company shall pay to the Administrative Agent for the account of each Revolving Credit Lender in accordance with its Applicable Percentage a Letter of Credit fee (the “</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in Dollars for each outstanding Letter of Credit equal to the Applicable Rate times the average daily amount available to be drawn under such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Letter of Credit Fees otherwise payable for the account of a Defaulting Lender with respect to any Letter of Credit as to which such Defaulting Lender has not provided Cash Collateral satisfactory to the Applicable Issuing Party pursuant to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2.15(a)</w:t>
      </w:r>
      <w:r>
        <w:rPr>
          <w:rFonts w:ascii="Arial" w:cs="Arial" w:eastAsia="Arial" w:hAnsi="Arial"/>
          <w:sz w:val="18"/>
          <w:szCs w:val="18"/>
          <w:color w:val="auto"/>
        </w:rPr>
        <w:t xml:space="preserve"> shall be payable, to the maximum extent permitted by applicable Law, to the other Revolving Credit Lenders in accordance with the upward adjustments in their respective Applicable Percentages allocable to such Letter of Credit pursuant to </w:t>
      </w:r>
      <w:r>
        <w:rPr>
          <w:rFonts w:ascii="Arial" w:cs="Arial" w:eastAsia="Arial" w:hAnsi="Arial"/>
          <w:sz w:val="18"/>
          <w:szCs w:val="18"/>
          <w:u w:val="single" w:color="auto"/>
          <w:color w:val="auto"/>
        </w:rPr>
        <w:t>Section 2.16(a)(iv)</w:t>
      </w:r>
      <w:r>
        <w:rPr>
          <w:rFonts w:ascii="Arial" w:cs="Arial" w:eastAsia="Arial" w:hAnsi="Arial"/>
          <w:sz w:val="18"/>
          <w:szCs w:val="18"/>
          <w:color w:val="auto"/>
        </w:rPr>
        <w:t xml:space="preserve">, with the balance of such fee, if any, payable to the Applicable Issuing Party for its own account. For purposes of computing the average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Letter of Credit Fees shall be (i) due and payable on the fifth Business Day after the end of each March, June, September and December, commencing with the first such date to occur after the issuance of such Letter of Credit, on the Applicable Maturity Date, on the date of expiry of any Extended Letter of Credit occurring after the Applicable Maturity Date, and thereafter on demand, and (ii) computed on a quarterly basis in arrears. For the avoidance of doubt, Letter of Credit Fees shall accrue, and be due and payable, on any Extended Letter of Credit notwithstanding its expiry being after the Applicable Maturity Date (and the Applicable Rate shall continue to be computed for such purpose during such period). If there is any change in the Applicable Rate during any quarter, the average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exists, all Letter of Credit Fees shall accrue at the Default Rate.</w:t>
      </w:r>
    </w:p>
    <w:p>
      <w:pPr>
        <w:spacing w:after="0" w:line="171" w:lineRule="exact"/>
        <w:rPr>
          <w:rFonts w:ascii="Arial" w:cs="Arial" w:eastAsia="Arial" w:hAnsi="Arial"/>
          <w:sz w:val="18"/>
          <w:szCs w:val="18"/>
          <w:color w:val="auto"/>
        </w:rPr>
      </w:pPr>
    </w:p>
    <w:p>
      <w:pPr>
        <w:jc w:val="both"/>
        <w:ind w:left="-1120" w:firstLine="1505"/>
        <w:spacing w:after="0" w:line="270" w:lineRule="auto"/>
        <w:tabs>
          <w:tab w:leader="none" w:pos="8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w:t>
      </w:r>
      <w:r>
        <w:rPr>
          <w:rFonts w:ascii="Arial" w:cs="Arial" w:eastAsia="Arial" w:hAnsi="Arial"/>
          <w:sz w:val="18"/>
          <w:szCs w:val="18"/>
          <w:color w:val="auto"/>
        </w:rPr>
        <w:t xml:space="preserve">. The Company shall pay directly to each Issuing Lender for its own account a fronting fee with respect to each Fronted Letter of Credit, (at the rate as shall be separately agreed by the Company and such Issuing Lender), computed on the average daily amount available to be drawn under such Fronted Letter of Credit on a quarterly basis in arrears. Such fronting fee shall be due and payable on the fifth Business Day after the end of each March, June, September and December in respect of the most recently-ended quarterly period (or portion thereof, in the case of the first payment), commencing with the first such date to occur after the issuance of such Fronted Letter of Credit, on the Applicable Maturity Date, on the date of expiry of any Extended Letter of Credit occurring after the Applicable Maturity Date and thereafter on demand. For the avoidance of doubt, the fronting fee shall accrue, and be due and payable, on any Extended Letter of Credit notwithstanding its expiry being after the Applicable Maturity Date. For purposes of computing the daily amount available to be drawn under any Fronted Letter of Credit, the amount of such Letter of Credit shall be determined in accordance with </w:t>
      </w:r>
      <w:r>
        <w:rPr>
          <w:rFonts w:ascii="Arial" w:cs="Arial" w:eastAsia="Arial" w:hAnsi="Arial"/>
          <w:sz w:val="18"/>
          <w:szCs w:val="18"/>
          <w:u w:val="single" w:color="auto"/>
          <w:color w:val="auto"/>
        </w:rPr>
        <w:t>Section 1.09</w:t>
      </w:r>
      <w:r>
        <w:rPr>
          <w:rFonts w:ascii="Arial" w:cs="Arial" w:eastAsia="Arial" w:hAnsi="Arial"/>
          <w:sz w:val="18"/>
          <w:szCs w:val="18"/>
          <w:color w:val="auto"/>
        </w:rPr>
        <w:t>. In addition, the Borrowers shall pay directly to the Applicable Issuing Party for its own account the customary issuance, presentation, amendment and other processing fees, and other standard costs and charges, of such Applicable Issuing Party relating to letters of credit as from time to time in effect. Such customary fees and standard costs and charges are due and payable on demand and are nonrefundable.</w:t>
      </w:r>
    </w:p>
    <w:p>
      <w:pPr>
        <w:spacing w:after="0" w:line="172" w:lineRule="exact"/>
        <w:rPr>
          <w:rFonts w:ascii="Arial" w:cs="Arial" w:eastAsia="Arial" w:hAnsi="Arial"/>
          <w:sz w:val="18"/>
          <w:szCs w:val="18"/>
          <w:color w:val="auto"/>
        </w:rPr>
      </w:pPr>
    </w:p>
    <w:p>
      <w:pPr>
        <w:ind w:left="-1120" w:firstLine="1505"/>
        <w:spacing w:after="0" w:line="260" w:lineRule="auto"/>
        <w:tabs>
          <w:tab w:leader="none" w:pos="869"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324485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122" w:name="page123"/>
    <w:bookmarkEnd w:id="122"/>
    <w:p>
      <w:pPr>
        <w:jc w:val="both"/>
        <w:ind w:firstLine="1505"/>
        <w:spacing w:after="0" w:line="244" w:lineRule="auto"/>
        <w:tabs>
          <w:tab w:leader="none" w:pos="1985"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Letters of Credit Issued for Subsidiaries</w:t>
      </w:r>
      <w:r>
        <w:rPr>
          <w:rFonts w:ascii="Arial" w:cs="Arial" w:eastAsia="Arial" w:hAnsi="Arial"/>
          <w:sz w:val="20"/>
          <w:szCs w:val="20"/>
          <w:color w:val="auto"/>
        </w:rPr>
        <w:t>. Notwithstanding that a Letter of Credit issued or outstanding hereunder is in support of any obligations of, or is for the account of, a Subsidiary, the Borrowers shall be obligated to reimburse the Applicable Issuing Party hereunder for any and all drawings under such Letter of Credit. The Borrowers hereby acknowledge that the issuance of Letters of Credit for the account of Subsidiaries inures to the benefit of the Borrowers, and that the Borrowers’ business derives substantial benefits from the businesses of such Subsidiaries.</w:t>
      </w:r>
    </w:p>
    <w:p>
      <w:pPr>
        <w:spacing w:after="0" w:line="194" w:lineRule="exact"/>
        <w:rPr>
          <w:rFonts w:ascii="Arial" w:cs="Arial" w:eastAsia="Arial" w:hAnsi="Arial"/>
          <w:sz w:val="20"/>
          <w:szCs w:val="20"/>
          <w:color w:val="auto"/>
        </w:rPr>
      </w:pPr>
    </w:p>
    <w:p>
      <w:pPr>
        <w:jc w:val="both"/>
        <w:ind w:firstLine="1505"/>
        <w:spacing w:after="0" w:line="244" w:lineRule="auto"/>
        <w:tabs>
          <w:tab w:leader="none" w:pos="1992"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Extended Letters of Credit</w:t>
      </w:r>
      <w:r>
        <w:rPr>
          <w:rFonts w:ascii="Arial" w:cs="Arial" w:eastAsia="Arial" w:hAnsi="Arial"/>
          <w:sz w:val="20"/>
          <w:szCs w:val="20"/>
          <w:color w:val="auto"/>
        </w:rPr>
        <w:t>. If on the Applicable Maturity Date with respect to any Letter of Credit such Letter of Credit remains outstanding, then notwithstanding anything to the contrary herein, and notwithstanding the occurrence of the Applicable Maturity Date with respect to such Letter of Credit or the termination of the Commitments of the Lenders to make Committed Loans hereunder for any other reason, the Administrative Agent, the Applicable Issuing Party, the Borrowers and the Revolving Credit Lenders agree that:</w:t>
      </w:r>
    </w:p>
    <w:p>
      <w:pPr>
        <w:spacing w:after="0" w:line="194" w:lineRule="exact"/>
        <w:rPr>
          <w:rFonts w:ascii="Arial" w:cs="Arial" w:eastAsia="Arial" w:hAnsi="Arial"/>
          <w:sz w:val="20"/>
          <w:szCs w:val="20"/>
          <w:color w:val="auto"/>
        </w:rPr>
      </w:pPr>
    </w:p>
    <w:p>
      <w:pPr>
        <w:ind w:left="760" w:firstLine="1494"/>
        <w:spacing w:after="0" w:line="316" w:lineRule="auto"/>
        <w:tabs>
          <w:tab w:leader="none" w:pos="2765" w:val="left"/>
        </w:tabs>
        <w:numPr>
          <w:ilvl w:val="1"/>
          <w:numId w:val="82"/>
        </w:numPr>
        <w:rPr>
          <w:rFonts w:ascii="Arial" w:cs="Arial" w:eastAsia="Arial" w:hAnsi="Arial"/>
          <w:sz w:val="18"/>
          <w:szCs w:val="18"/>
          <w:color w:val="010000"/>
        </w:rPr>
      </w:pPr>
      <w:r>
        <w:rPr>
          <w:rFonts w:ascii="Arial" w:cs="Arial" w:eastAsia="Arial" w:hAnsi="Arial"/>
          <w:sz w:val="18"/>
          <w:szCs w:val="18"/>
          <w:color w:val="auto"/>
        </w:rPr>
        <w:t>the obligation of the L/C Issuers contained herein with respect to honoring draws under such Letter of Credit shall continue with respect to such Letter of Credit (in accordance with its terms) until the expiry of such Letter of Credit;</w:t>
      </w:r>
    </w:p>
    <w:p>
      <w:pPr>
        <w:spacing w:after="0" w:line="129" w:lineRule="exact"/>
        <w:rPr>
          <w:rFonts w:ascii="Arial" w:cs="Arial" w:eastAsia="Arial" w:hAnsi="Arial"/>
          <w:sz w:val="18"/>
          <w:szCs w:val="18"/>
          <w:color w:val="010000"/>
        </w:rPr>
      </w:pPr>
    </w:p>
    <w:p>
      <w:pPr>
        <w:jc w:val="both"/>
        <w:ind w:left="760" w:firstLine="1494"/>
        <w:spacing w:after="0" w:line="246" w:lineRule="auto"/>
        <w:tabs>
          <w:tab w:leader="none" w:pos="2757" w:val="left"/>
        </w:tabs>
        <w:numPr>
          <w:ilvl w:val="1"/>
          <w:numId w:val="82"/>
        </w:numPr>
        <w:rPr>
          <w:rFonts w:ascii="Arial" w:cs="Arial" w:eastAsia="Arial" w:hAnsi="Arial"/>
          <w:sz w:val="20"/>
          <w:szCs w:val="20"/>
          <w:color w:val="010000"/>
        </w:rPr>
      </w:pPr>
      <w:r>
        <w:rPr>
          <w:rFonts w:ascii="Arial" w:cs="Arial" w:eastAsia="Arial" w:hAnsi="Arial"/>
          <w:sz w:val="20"/>
          <w:szCs w:val="20"/>
          <w:color w:val="auto"/>
        </w:rPr>
        <w:t>the obligations of the Borrowers contained herein to reimburse the Administrative Agent, the Applicable Issuing Party or any Revolving Credit Lenders with respect to any drawings or any other L/C Obligations with respect to such Letter of Credit shall continue with respect to such Letter of Credit (in accordance with its terms) until the expiry of all Letters of Credit and the payment of all L/C Obligations;</w:t>
      </w:r>
    </w:p>
    <w:p>
      <w:pPr>
        <w:spacing w:after="0" w:line="191" w:lineRule="exact"/>
        <w:rPr>
          <w:rFonts w:ascii="Arial" w:cs="Arial" w:eastAsia="Arial" w:hAnsi="Arial"/>
          <w:sz w:val="20"/>
          <w:szCs w:val="20"/>
          <w:color w:val="010000"/>
        </w:rPr>
      </w:pPr>
    </w:p>
    <w:p>
      <w:pPr>
        <w:ind w:left="760" w:firstLine="1494"/>
        <w:spacing w:after="0" w:line="260" w:lineRule="auto"/>
        <w:tabs>
          <w:tab w:leader="none" w:pos="2768" w:val="left"/>
        </w:tabs>
        <w:numPr>
          <w:ilvl w:val="1"/>
          <w:numId w:val="82"/>
        </w:numPr>
        <w:rPr>
          <w:rFonts w:ascii="Arial" w:cs="Arial" w:eastAsia="Arial" w:hAnsi="Arial"/>
          <w:sz w:val="20"/>
          <w:szCs w:val="20"/>
          <w:color w:val="010000"/>
        </w:rPr>
      </w:pPr>
      <w:r>
        <w:rPr>
          <w:rFonts w:ascii="Arial" w:cs="Arial" w:eastAsia="Arial" w:hAnsi="Arial"/>
          <w:sz w:val="20"/>
          <w:szCs w:val="20"/>
          <w:color w:val="auto"/>
        </w:rPr>
        <w:t xml:space="preserve">if it has not done so already, the relevant Borrower shall provide Cash Collateral with respect to such Letter of Credit in accordance with </w:t>
      </w:r>
      <w:r>
        <w:rPr>
          <w:rFonts w:ascii="Arial" w:cs="Arial" w:eastAsia="Arial" w:hAnsi="Arial"/>
          <w:sz w:val="20"/>
          <w:szCs w:val="20"/>
          <w:u w:val="single" w:color="auto"/>
          <w:color w:val="auto"/>
        </w:rPr>
        <w:t>Section 2.03(q)</w:t>
      </w:r>
      <w:r>
        <w:rPr>
          <w:rFonts w:ascii="Arial" w:cs="Arial" w:eastAsia="Arial" w:hAnsi="Arial"/>
          <w:sz w:val="20"/>
          <w:szCs w:val="20"/>
          <w:color w:val="auto"/>
        </w:rPr>
        <w:t>;</w:t>
      </w:r>
    </w:p>
    <w:p>
      <w:pPr>
        <w:spacing w:after="0" w:line="176" w:lineRule="exact"/>
        <w:rPr>
          <w:rFonts w:ascii="Arial" w:cs="Arial" w:eastAsia="Arial" w:hAnsi="Arial"/>
          <w:sz w:val="20"/>
          <w:szCs w:val="20"/>
          <w:color w:val="010000"/>
        </w:rPr>
      </w:pPr>
    </w:p>
    <w:p>
      <w:pPr>
        <w:jc w:val="both"/>
        <w:ind w:left="760" w:firstLine="1494"/>
        <w:spacing w:after="0" w:line="257" w:lineRule="auto"/>
        <w:tabs>
          <w:tab w:leader="none" w:pos="2785" w:val="left"/>
        </w:tabs>
        <w:numPr>
          <w:ilvl w:val="1"/>
          <w:numId w:val="82"/>
        </w:numPr>
        <w:rPr>
          <w:rFonts w:ascii="Arial" w:cs="Arial" w:eastAsia="Arial" w:hAnsi="Arial"/>
          <w:sz w:val="19"/>
          <w:szCs w:val="19"/>
          <w:color w:val="010000"/>
        </w:rPr>
      </w:pPr>
      <w:r>
        <w:rPr>
          <w:rFonts w:ascii="Arial" w:cs="Arial" w:eastAsia="Arial" w:hAnsi="Arial"/>
          <w:sz w:val="19"/>
          <w:szCs w:val="19"/>
          <w:color w:val="auto"/>
        </w:rPr>
        <w:t xml:space="preserve">the obligations of the Revolving Credit Lenders contained herein to make available their respective Applicable Percentages of any Unreimbursed Amount with respect to Fronted Letters of Credit, or to otherwise purchase participations in or reimburse the applicable Issuing Lender for any Unreimbursed Amounts, shall terminate with respect to such Letter of Credit upon the Applicable Maturity Date with respect to such Fronted Letter of Credit if and to the extent the relevant Borrower has provided Cash Collateral with respect to such Fronted Letter of Credit in accordance with </w:t>
      </w:r>
      <w:r>
        <w:rPr>
          <w:rFonts w:ascii="Arial" w:cs="Arial" w:eastAsia="Arial" w:hAnsi="Arial"/>
          <w:sz w:val="19"/>
          <w:szCs w:val="19"/>
          <w:u w:val="single" w:color="auto"/>
          <w:color w:val="auto"/>
        </w:rPr>
        <w:t>Section 2.03(q)</w:t>
      </w:r>
      <w:r>
        <w:rPr>
          <w:rFonts w:ascii="Arial" w:cs="Arial" w:eastAsia="Arial" w:hAnsi="Arial"/>
          <w:sz w:val="19"/>
          <w:szCs w:val="19"/>
          <w:color w:val="auto"/>
        </w:rPr>
        <w:t>, has delivered a backstop letter of credit to the applicable Issuing Lender with respect to such Fronted Letter of Credit or has otherwise provided credit support, in each case reasonably acceptable to the applicable Issuing Lender; and</w:t>
      </w:r>
    </w:p>
    <w:p>
      <w:pPr>
        <w:spacing w:after="0" w:line="184" w:lineRule="exact"/>
        <w:rPr>
          <w:rFonts w:ascii="Arial" w:cs="Arial" w:eastAsia="Arial" w:hAnsi="Arial"/>
          <w:sz w:val="19"/>
          <w:szCs w:val="19"/>
          <w:color w:val="010000"/>
        </w:rPr>
      </w:pPr>
    </w:p>
    <w:p>
      <w:pPr>
        <w:jc w:val="both"/>
        <w:ind w:left="760" w:firstLine="1494"/>
        <w:spacing w:after="0" w:line="243" w:lineRule="auto"/>
        <w:tabs>
          <w:tab w:leader="none" w:pos="2756" w:val="left"/>
        </w:tabs>
        <w:numPr>
          <w:ilvl w:val="1"/>
          <w:numId w:val="82"/>
        </w:numPr>
        <w:rPr>
          <w:rFonts w:ascii="Arial" w:cs="Arial" w:eastAsia="Arial" w:hAnsi="Arial"/>
          <w:sz w:val="20"/>
          <w:szCs w:val="20"/>
          <w:color w:val="010000"/>
        </w:rPr>
      </w:pPr>
      <w:r>
        <w:rPr>
          <w:rFonts w:ascii="Arial" w:cs="Arial" w:eastAsia="Arial" w:hAnsi="Arial"/>
          <w:sz w:val="20"/>
          <w:szCs w:val="20"/>
          <w:color w:val="auto"/>
        </w:rPr>
        <w:t xml:space="preserve">except as otherwise provided in </w:t>
      </w:r>
      <w:r>
        <w:rPr>
          <w:rFonts w:ascii="Arial" w:cs="Arial" w:eastAsia="Arial" w:hAnsi="Arial"/>
          <w:sz w:val="20"/>
          <w:szCs w:val="20"/>
          <w:u w:val="single" w:color="auto"/>
          <w:color w:val="auto"/>
        </w:rPr>
        <w:t>Section 2.03(n)(iv)</w:t>
      </w:r>
      <w:r>
        <w:rPr>
          <w:rFonts w:ascii="Arial" w:cs="Arial" w:eastAsia="Arial" w:hAnsi="Arial"/>
          <w:sz w:val="20"/>
          <w:szCs w:val="20"/>
          <w:color w:val="auto"/>
        </w:rPr>
        <w:t>, all provisions contained herein as are related to any Letter of Credit and any L/C Obligations (including provisions related to Cash Collateral and Defaulting Lenders, the occurrence of any Default, and the availability of all remedies and rights of the Administrative Agent, the L/C Issuers, the L/C Administrator and/or the Revolving Credit Lenders with respect thereto) shall continue in full force and effect until the expiry of all Letters of Credit and the repayment in full of all Obligations, without regard to the occurrence of the Applicable Maturity Date with respect to such Letter of Credit.</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Notwithstanding the foregoing provisions of this </w:t>
      </w:r>
      <w:r>
        <w:rPr>
          <w:rFonts w:ascii="Arial" w:cs="Arial" w:eastAsia="Arial" w:hAnsi="Arial"/>
          <w:sz w:val="20"/>
          <w:szCs w:val="20"/>
          <w:u w:val="single" w:color="auto"/>
          <w:color w:val="auto"/>
        </w:rPr>
        <w:t>Section 2.03(n)</w:t>
      </w:r>
      <w:r>
        <w:rPr>
          <w:rFonts w:ascii="Arial" w:cs="Arial" w:eastAsia="Arial" w:hAnsi="Arial"/>
          <w:sz w:val="20"/>
          <w:szCs w:val="20"/>
          <w:color w:val="auto"/>
        </w:rPr>
        <w:t>, no Applicable Issuing Party shall, and no Applicable Issuing Party shall have any obligation to, issue, amend, renew or extend any Letter of Credit after the day that is five Business Days prior to the Applicable Maturity Date with respect to such Letter of Credit, and no Letter of Credit may have an expiry date that is later than the applicable Letter of Credit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3" w:name="page124"/>
    <w:bookmarkEnd w:id="123"/>
    <w:p>
      <w:pPr>
        <w:jc w:val="both"/>
        <w:ind w:left="-760" w:firstLine="1505"/>
        <w:spacing w:after="0" w:line="243" w:lineRule="auto"/>
        <w:tabs>
          <w:tab w:leader="none" w:pos="1225"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Reporting</w:t>
      </w:r>
      <w:r>
        <w:rPr>
          <w:rFonts w:ascii="Arial" w:cs="Arial" w:eastAsia="Arial" w:hAnsi="Arial"/>
          <w:sz w:val="20"/>
          <w:szCs w:val="20"/>
          <w:color w:val="auto"/>
        </w:rPr>
        <w:t>. Not later than the third Business Day following the last day of each month (or at such other intervals as the Administrative Agent and the Applicable Issuing Party shall agree), each Applicable Issuing Party shall provide to the Administrative Agent a schedule of the Letters of Credit issued by it, in form and substance reasonably satisfactory to the Administrative Agent, showing the date of issuance of each Letter of Credit, the account party, the original face amount (if any), the expiration date, and the reference number of any Letter of Credit outstanding at any time during such month, and showing the aggregate amount (if any) payable by the Borrowers to such Applicable Issuing Party during such month.</w:t>
      </w:r>
    </w:p>
    <w:p>
      <w:pPr>
        <w:spacing w:after="0" w:line="195" w:lineRule="exact"/>
        <w:rPr>
          <w:rFonts w:ascii="Arial" w:cs="Arial" w:eastAsia="Arial" w:hAnsi="Arial"/>
          <w:sz w:val="20"/>
          <w:szCs w:val="20"/>
          <w:color w:val="auto"/>
        </w:rPr>
      </w:pPr>
    </w:p>
    <w:p>
      <w:pPr>
        <w:jc w:val="both"/>
        <w:ind w:left="-760" w:firstLine="1505"/>
        <w:spacing w:after="0" w:line="257" w:lineRule="auto"/>
        <w:tabs>
          <w:tab w:leader="none" w:pos="1224"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Existing Letters of Credit</w:t>
      </w:r>
      <w:r>
        <w:rPr>
          <w:rFonts w:ascii="Arial" w:cs="Arial" w:eastAsia="Arial" w:hAnsi="Arial"/>
          <w:sz w:val="19"/>
          <w:szCs w:val="19"/>
          <w:color w:val="auto"/>
        </w:rPr>
        <w:t>. On the Closing Date, (i) the Existing Letters of Credit shall be automatically and without further action by the parties thereto be deemed to be Fronted Letters of Credit issued pursuant to this Section 2.03 for the account of the Company and subject to the provisions hereof, and for this purpose the fees specified in Section 2.03 shall be payable (in substitution for any fees set forth in the applicable letter of credit reimbursement agreements or applications relating to such Existing Letters of Credit) as if such Existing Letters of Credit had been issued on the Closing Date, (ii) the Dollar Equivalent of the face amount of such Existing Letters of Credit shall be included in the calculation of Outstanding Amount of L/C Obligations and (iii) all liabilities of the Company with respect to such Existing Letters of Credit shall constitute Obligations.</w:t>
      </w:r>
    </w:p>
    <w:p>
      <w:pPr>
        <w:spacing w:after="0" w:line="184" w:lineRule="exact"/>
        <w:rPr>
          <w:rFonts w:ascii="Arial" w:cs="Arial" w:eastAsia="Arial" w:hAnsi="Arial"/>
          <w:sz w:val="19"/>
          <w:szCs w:val="19"/>
          <w:color w:val="auto"/>
        </w:rPr>
      </w:pPr>
    </w:p>
    <w:p>
      <w:pPr>
        <w:jc w:val="both"/>
        <w:ind w:left="-760" w:firstLine="1505"/>
        <w:spacing w:after="0" w:line="273" w:lineRule="auto"/>
        <w:tabs>
          <w:tab w:leader="none" w:pos="1238"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Borrowers shall provide Cash Collateral (in an amount equal to 105% of the maximum face amount of each Extended Letter of Credit, calculated in accordance with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to the applicable L/C Issuer with respect to each Extended Letter of Credit issued by such L/C Issuer by a date that is no later than the earlier to occur of the date any Letter of Credit constitutes an Extended Letter of Credit or the date that is five Business Days prior to the Applicable Maturity Date with respect to each Extended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relevant Borrower fails to provide Cash Collateral with respect to any such Extended Letter of Credit by such time, such event shall be treated as a drawing under such Extended Letter of Credit (in an amount equal to 105% of the maximum face amount of each such Letter of Credit, calculated in accordance with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which shall be reimbursed (or participations therein funded)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with the proceeds being utilized to provide Cash Collateral for such Extended Letter of Credit.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010000"/>
        </w:rPr>
        <w:t xml:space="preserve">2.04 </w:t>
      </w:r>
      <w:r>
        <w:rPr>
          <w:rFonts w:ascii="Arial" w:cs="Arial" w:eastAsia="Arial" w:hAnsi="Arial"/>
          <w:sz w:val="20"/>
          <w:szCs w:val="20"/>
          <w:color w:val="000000"/>
        </w:rPr>
        <w:t>Swing Line Loans.</w:t>
      </w:r>
    </w:p>
    <w:p>
      <w:pPr>
        <w:spacing w:after="0" w:line="216" w:lineRule="exact"/>
        <w:rPr>
          <w:sz w:val="20"/>
          <w:szCs w:val="20"/>
          <w:color w:val="auto"/>
        </w:rPr>
      </w:pPr>
    </w:p>
    <w:p>
      <w:pPr>
        <w:ind w:left="1220" w:hanging="475"/>
        <w:spacing w:after="0"/>
        <w:tabs>
          <w:tab w:leader="none" w:pos="1220"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Swing Line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494"/>
        <w:spacing w:after="0" w:line="270" w:lineRule="auto"/>
        <w:tabs>
          <w:tab w:leader="none" w:pos="1991" w:val="left"/>
        </w:tabs>
        <w:numPr>
          <w:ilvl w:val="1"/>
          <w:numId w:val="84"/>
        </w:numPr>
        <w:rPr>
          <w:rFonts w:ascii="Arial" w:cs="Arial" w:eastAsia="Arial" w:hAnsi="Arial"/>
          <w:sz w:val="18"/>
          <w:szCs w:val="18"/>
          <w:color w:val="010000"/>
        </w:rPr>
      </w:pPr>
      <w:r>
        <w:rPr>
          <w:rFonts w:ascii="Arial" w:cs="Arial" w:eastAsia="Arial" w:hAnsi="Arial"/>
          <w:sz w:val="18"/>
          <w:szCs w:val="18"/>
          <w:color w:val="auto"/>
        </w:rPr>
        <w:t xml:space="preserve">Subject to the terms and conditions set forth herein, each Swing Line Lender agrees, in reliance upon the agreements of the other Revolving Credit Lenders set forth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to make loans in Dollars (each such loan, a “</w:t>
      </w:r>
      <w:r>
        <w:rPr>
          <w:rFonts w:ascii="Arial" w:cs="Arial" w:eastAsia="Arial" w:hAnsi="Arial"/>
          <w:sz w:val="18"/>
          <w:szCs w:val="18"/>
          <w:u w:val="single" w:color="auto"/>
          <w:color w:val="auto"/>
        </w:rPr>
        <w:t>Swing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Line Loan</w:t>
      </w:r>
      <w:r>
        <w:rPr>
          <w:rFonts w:ascii="Arial" w:cs="Arial" w:eastAsia="Arial" w:hAnsi="Arial"/>
          <w:sz w:val="18"/>
          <w:szCs w:val="18"/>
          <w:color w:val="auto"/>
        </w:rPr>
        <w:t xml:space="preserve">”) to the Borrowers from time to time on any Business Day during the Availability Period with respect to the Facility in an aggregate amount not to exceed at any time outstanding the amount of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Swing Line Sublimit, notwithstanding the fact that such Swing Line Loans, when aggregated with the Applicable Percentage of the Outstanding Amount of Committed Loans of the Revolving Credit Lenders acting as Swing Line Lenders, may exceed the amount of such Revolving Credit Lender’s Revolving Credit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Swing Line Loan, (i) the Total Revolving Credit Outstandings shall not exceed the Aggregate Revolving Credit Commitment and (ii) the aggregate Outstanding Amount of the Committed Loans of any Revolving Credit Lender,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such Revolving Credit Lender’s Applicable Percentage of the Outstanding Amount of all Swing Line Loans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such Revolving Credit Lender’s Applicable Percentage of the Outstanding Amount of all L/C Obligations shall not exceed such Revolving Credit Lender’s Revolving Credit Commitment;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Borrowers shall not use the proceeds of any Swing Line Loan to refinance any outstanding Swing Line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323850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2" w:right="339" w:bottom="1440" w:gutter="0" w:footer="0" w:header="0"/>
        </w:sectPr>
      </w:pPr>
    </w:p>
    <w:bookmarkStart w:id="124" w:name="page125"/>
    <w:bookmarkEnd w:id="124"/>
    <w:p>
      <w:pPr>
        <w:ind w:left="-360" w:firstLine="1494"/>
        <w:spacing w:after="0" w:line="260" w:lineRule="auto"/>
        <w:tabs>
          <w:tab w:leader="none" w:pos="1652" w:val="left"/>
        </w:tabs>
        <w:numPr>
          <w:ilvl w:val="1"/>
          <w:numId w:val="85"/>
        </w:numPr>
        <w:rPr>
          <w:rFonts w:ascii="Arial" w:cs="Arial" w:eastAsia="Arial" w:hAnsi="Arial"/>
          <w:sz w:val="20"/>
          <w:szCs w:val="20"/>
          <w:color w:val="010000"/>
        </w:rPr>
      </w:pPr>
      <w:r>
        <w:rPr>
          <w:rFonts w:ascii="Arial" w:cs="Arial" w:eastAsia="Arial" w:hAnsi="Arial"/>
          <w:sz w:val="20"/>
          <w:szCs w:val="20"/>
          <w:color w:val="auto"/>
        </w:rPr>
        <w:t xml:space="preserve">Within the foregoing limits, and subject to the other terms and conditions hereof, the Borrowers may borrow under this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prepay under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and reborrow under this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176" w:lineRule="exact"/>
        <w:rPr>
          <w:rFonts w:ascii="Arial" w:cs="Arial" w:eastAsia="Arial" w:hAnsi="Arial"/>
          <w:sz w:val="20"/>
          <w:szCs w:val="20"/>
          <w:color w:val="010000"/>
        </w:rPr>
      </w:pPr>
    </w:p>
    <w:p>
      <w:pPr>
        <w:jc w:val="both"/>
        <w:ind w:left="-360" w:firstLine="1494"/>
        <w:spacing w:after="0" w:line="244" w:lineRule="auto"/>
        <w:tabs>
          <w:tab w:leader="none" w:pos="1625" w:val="left"/>
        </w:tabs>
        <w:numPr>
          <w:ilvl w:val="1"/>
          <w:numId w:val="85"/>
        </w:numPr>
        <w:rPr>
          <w:rFonts w:ascii="Arial" w:cs="Arial" w:eastAsia="Arial" w:hAnsi="Arial"/>
          <w:sz w:val="20"/>
          <w:szCs w:val="20"/>
          <w:color w:val="010000"/>
        </w:rPr>
      </w:pPr>
      <w:r>
        <w:rPr>
          <w:rFonts w:ascii="Arial" w:cs="Arial" w:eastAsia="Arial" w:hAnsi="Arial"/>
          <w:sz w:val="20"/>
          <w:szCs w:val="20"/>
          <w:color w:val="auto"/>
        </w:rPr>
        <w:t>Each Swing Line Loan shall be a Base Rate Loan made and maintained in Dollars. Immediately upon the making of a Swing Line Loan, each Revolving Credit Lender shall be deemed to, and hereby irrevocably and unconditionally agrees to, purchase from the relevant Swing Line Lender a risk participation in such Swing Line Loan in an amount equal to the product of such Revolving Credit Lender’s Applicable Percentage in respect of the Facility times the amount of such Swing Line Loan.</w:t>
      </w:r>
    </w:p>
    <w:p>
      <w:pPr>
        <w:spacing w:after="0" w:line="194" w:lineRule="exact"/>
        <w:rPr>
          <w:rFonts w:ascii="Arial" w:cs="Arial" w:eastAsia="Arial" w:hAnsi="Arial"/>
          <w:sz w:val="20"/>
          <w:szCs w:val="20"/>
          <w:color w:val="010000"/>
        </w:rPr>
      </w:pPr>
    </w:p>
    <w:p>
      <w:pPr>
        <w:jc w:val="both"/>
        <w:ind w:left="-1120" w:firstLine="1505"/>
        <w:spacing w:after="0" w:line="268" w:lineRule="auto"/>
        <w:tabs>
          <w:tab w:leader="none" w:pos="881"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 xml:space="preserve">. Each Swing Line Borrowing shall be made upon any Borrower’s irrevocable notice to a Swing Line Lender (as selected by such Borrower in its sole discretion) and the Administrative Agent, which may be given by telephone. Each such notice must be received by such Swing Line Lender and the Administrative Agent not later than 12:00 p.m. on the requested borrowing date (or such other time as may be agreed by such Borrower and the applicable Swing Line Lender), and shall specify (i) the amount to be borrowed, which shall be a minimum of $1,000,000 or a larger multiple of $100,000 and (ii) the requested borrowing date, which shall be a Business Day. Each such telephonic notice must be confirmed promptly by delivery to the applicable Swing Line Lender and the Administrative Agent of a written Swing Line Loan Borrowing Request, appropriately completed and signed by a Responsible Officer of the relevant Borrower. Promptly after receipt by a Swing Line Lender of any telephonic Swing Line Loan Borrowing Request, such Swing Line Lender will confirm with the Administrative Agent (by telephone or in writing) that the Administrative Agent has also received such Swing Line Loan Borrowing Request and, if not, such Swing Line Lender will notify the Administrative Agent (by telephone or in writing) of the contents thereof. Unless a Swing Line Lender has received notice (by telephone or in writing) from the Administrative Agent (including at the request of any Revolving Credit Lender who would have a participation in such Swing Line Loan) prior to 3:00 p.m. on the date of the proposed Swing Line Borrowing (A) directing such Swing Line Lender not to make such Swing Line Loan as a result of the limitations set forth in the first proviso to the first sentence of </w:t>
      </w:r>
      <w:r>
        <w:rPr>
          <w:rFonts w:ascii="Arial" w:cs="Arial" w:eastAsia="Arial" w:hAnsi="Arial"/>
          <w:sz w:val="18"/>
          <w:szCs w:val="18"/>
          <w:u w:val="single" w:color="auto"/>
          <w:color w:val="auto"/>
        </w:rPr>
        <w:t>Section 2.04(a)(i)</w:t>
      </w:r>
      <w:r>
        <w:rPr>
          <w:rFonts w:ascii="Arial" w:cs="Arial" w:eastAsia="Arial" w:hAnsi="Arial"/>
          <w:sz w:val="18"/>
          <w:szCs w:val="18"/>
          <w:color w:val="auto"/>
        </w:rPr>
        <w:t xml:space="preserve"> or (B) that one or more of the applicable conditions specified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then satisfied, then, subject to the terms and conditions hereof, such Swing Line Lender will, not later than 4:00 p.m. on the borrowing date specified in such Swing Line Loan Borrowing Request, make the amount of its Swing Line Loan available to such Borrower either (x) at its office by crediting the account of such Borrower on the books of such Swing Line Lender in immediately available funds or (y) by wire transfer to such other account as such Borrower, in either case, may request. Promptly thereafter, such Swing Line Lender will provide confirmation to the Administrative Agent that the Swing Line Loan has been made available.</w:t>
      </w:r>
    </w:p>
    <w:p>
      <w:pPr>
        <w:spacing w:after="0" w:line="184" w:lineRule="exact"/>
        <w:rPr>
          <w:rFonts w:ascii="Arial" w:cs="Arial" w:eastAsia="Arial" w:hAnsi="Arial"/>
          <w:sz w:val="18"/>
          <w:szCs w:val="18"/>
          <w:color w:val="auto"/>
        </w:rPr>
      </w:pPr>
    </w:p>
    <w:p>
      <w:pPr>
        <w:ind w:left="860" w:hanging="475"/>
        <w:spacing w:after="0"/>
        <w:tabs>
          <w:tab w:leader="none" w:pos="860"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Refinancing of Swing Line Loans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360" w:firstLine="1494"/>
        <w:spacing w:after="0" w:line="241" w:lineRule="auto"/>
        <w:tabs>
          <w:tab w:leader="none" w:pos="1646" w:val="left"/>
        </w:tabs>
        <w:numPr>
          <w:ilvl w:val="1"/>
          <w:numId w:val="86"/>
        </w:numPr>
        <w:rPr>
          <w:rFonts w:ascii="Arial" w:cs="Arial" w:eastAsia="Arial" w:hAnsi="Arial"/>
          <w:sz w:val="20"/>
          <w:szCs w:val="20"/>
          <w:color w:val="010000"/>
        </w:rPr>
      </w:pPr>
      <w:r>
        <w:rPr>
          <w:rFonts w:ascii="Arial" w:cs="Arial" w:eastAsia="Arial" w:hAnsi="Arial"/>
          <w:sz w:val="20"/>
          <w:szCs w:val="20"/>
          <w:color w:val="auto"/>
        </w:rPr>
        <w:t xml:space="preserve">Each Swing Line Lender at any time in its sole and absolute discretion may request, on behalf of any Borrower (which hereby irrevocably authorizes such Swing Line Lender to so request on its behalf), that each Revolving Credit Lender who has a participation in a Swing Line Loan of such Borrower make a Base Rate Loan in Dollars under the Facility in an amount equal to such Revolving Credit Lender’s Applicable Percentage of the Facility of the amount of Swing Line Loans then outstanding. Such request shall be made in writing (which written request shall be deemed to be a Committed Loan Borrowing Request for purposes hereof) and in accordance with the requirements of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without regard to the minimum and multiples specified therein for the principal amount of Base Rate Loans, but subject to the unutilized portion of the Aggregate Revolving Credit Commitment and the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Each Swing Line Lender shall furnish the relevant Borrower with a copy of the applicable Committed Loan Borrowing Request promptly after delivering such notice to the Administrative Agent.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340360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125" w:name="page126"/>
    <w:bookmarkEnd w:id="125"/>
    <w:p>
      <w:pPr>
        <w:jc w:val="both"/>
        <w:spacing w:after="0" w:line="259" w:lineRule="auto"/>
        <w:rPr>
          <w:sz w:val="20"/>
          <w:szCs w:val="20"/>
          <w:color w:val="auto"/>
        </w:rPr>
      </w:pPr>
      <w:r>
        <w:rPr>
          <w:rFonts w:ascii="Arial" w:cs="Arial" w:eastAsia="Arial" w:hAnsi="Arial"/>
          <w:sz w:val="19"/>
          <w:szCs w:val="19"/>
          <w:color w:val="auto"/>
        </w:rPr>
        <w:t xml:space="preserve">Revolving Credit Lender shall make an amount equal to its Applicable Percentage of the amount specified in such Committed Loan Borrowing Request available to the Administrative Agent in immediately available funds for the account of such Swing Line Lender at the Administrative Agent’s Office not later than 1:00 p.m. on the day specified in such Committed Loan Borrowing Request, whereupon, subject to </w:t>
      </w:r>
      <w:r>
        <w:rPr>
          <w:rFonts w:ascii="Arial" w:cs="Arial" w:eastAsia="Arial" w:hAnsi="Arial"/>
          <w:sz w:val="19"/>
          <w:szCs w:val="19"/>
          <w:u w:val="single" w:color="auto"/>
          <w:color w:val="auto"/>
        </w:rPr>
        <w:t>Section 2.04(c)(ii)</w:t>
      </w:r>
      <w:r>
        <w:rPr>
          <w:rFonts w:ascii="Arial" w:cs="Arial" w:eastAsia="Arial" w:hAnsi="Arial"/>
          <w:sz w:val="19"/>
          <w:szCs w:val="19"/>
          <w:color w:val="auto"/>
        </w:rPr>
        <w:t>, each Revolving Credit Lender that so makes funds available shall be deemed to have made a Base Rate Loan in Dollars to the relevant Borrower under the Facility in such amount. The Administrative Agent shall remit the funds so received to the relevant Swing Line Lender.</w:t>
      </w:r>
    </w:p>
    <w:p>
      <w:pPr>
        <w:spacing w:after="0" w:line="178" w:lineRule="exact"/>
        <w:rPr>
          <w:sz w:val="20"/>
          <w:szCs w:val="20"/>
          <w:color w:val="auto"/>
        </w:rPr>
      </w:pPr>
    </w:p>
    <w:p>
      <w:pPr>
        <w:jc w:val="both"/>
        <w:ind w:firstLine="1494"/>
        <w:spacing w:after="0" w:line="243" w:lineRule="auto"/>
        <w:tabs>
          <w:tab w:leader="none" w:pos="2031" w:val="left"/>
        </w:tabs>
        <w:numPr>
          <w:ilvl w:val="1"/>
          <w:numId w:val="87"/>
        </w:numPr>
        <w:rPr>
          <w:rFonts w:ascii="Arial" w:cs="Arial" w:eastAsia="Arial" w:hAnsi="Arial"/>
          <w:sz w:val="20"/>
          <w:szCs w:val="20"/>
          <w:color w:val="010000"/>
        </w:rPr>
      </w:pPr>
      <w:r>
        <w:rPr>
          <w:rFonts w:ascii="Arial" w:cs="Arial" w:eastAsia="Arial" w:hAnsi="Arial"/>
          <w:sz w:val="20"/>
          <w:szCs w:val="20"/>
          <w:color w:val="auto"/>
        </w:rPr>
        <w:t xml:space="preserve">If for any reason any Swing Line Loan cannot be refinanced by such a Committed Borrowing in accordance with </w:t>
      </w:r>
      <w:r>
        <w:rPr>
          <w:rFonts w:ascii="Arial" w:cs="Arial" w:eastAsia="Arial" w:hAnsi="Arial"/>
          <w:sz w:val="20"/>
          <w:szCs w:val="20"/>
          <w:u w:val="single" w:color="auto"/>
          <w:color w:val="auto"/>
        </w:rPr>
        <w:t>Section 2.04(c)(i)</w:t>
      </w:r>
      <w:r>
        <w:rPr>
          <w:rFonts w:ascii="Arial" w:cs="Arial" w:eastAsia="Arial" w:hAnsi="Arial"/>
          <w:sz w:val="20"/>
          <w:szCs w:val="20"/>
          <w:color w:val="auto"/>
        </w:rPr>
        <w:t xml:space="preserve">, the request for Base Rate Loans under the Facility submitted by a Swing Line Lender as set forth herein shall be deemed to be a request by such Swing Line Lender that each of the Revolving Credit Lenders who have participations in such Swing Line Loan fund its risk participation in the relevant Swing Line Loan and such Revolving Credit Lender’s payment to the Administrative Agent for the account of the relevant Swing Line Lender pursuant to </w:t>
      </w:r>
      <w:r>
        <w:rPr>
          <w:rFonts w:ascii="Arial" w:cs="Arial" w:eastAsia="Arial" w:hAnsi="Arial"/>
          <w:sz w:val="20"/>
          <w:szCs w:val="20"/>
          <w:u w:val="single" w:color="auto"/>
          <w:color w:val="auto"/>
        </w:rPr>
        <w:t>Section 2.04(c)(i)</w:t>
      </w:r>
      <w:r>
        <w:rPr>
          <w:rFonts w:ascii="Arial" w:cs="Arial" w:eastAsia="Arial" w:hAnsi="Arial"/>
          <w:sz w:val="20"/>
          <w:szCs w:val="20"/>
          <w:color w:val="auto"/>
        </w:rPr>
        <w:t xml:space="preserve"> shall be deemed payment in respect of such participation.</w:t>
      </w:r>
    </w:p>
    <w:p>
      <w:pPr>
        <w:spacing w:after="0" w:line="195" w:lineRule="exact"/>
        <w:rPr>
          <w:rFonts w:ascii="Arial" w:cs="Arial" w:eastAsia="Arial" w:hAnsi="Arial"/>
          <w:sz w:val="20"/>
          <w:szCs w:val="20"/>
          <w:color w:val="010000"/>
        </w:rPr>
      </w:pPr>
    </w:p>
    <w:p>
      <w:pPr>
        <w:jc w:val="both"/>
        <w:ind w:firstLine="1494"/>
        <w:spacing w:after="0" w:line="255" w:lineRule="auto"/>
        <w:tabs>
          <w:tab w:leader="none" w:pos="1998" w:val="left"/>
        </w:tabs>
        <w:numPr>
          <w:ilvl w:val="1"/>
          <w:numId w:val="87"/>
        </w:numPr>
        <w:rPr>
          <w:rFonts w:ascii="Arial" w:cs="Arial" w:eastAsia="Arial" w:hAnsi="Arial"/>
          <w:sz w:val="19"/>
          <w:szCs w:val="19"/>
          <w:color w:val="010000"/>
        </w:rPr>
      </w:pPr>
      <w:r>
        <w:rPr>
          <w:rFonts w:ascii="Arial" w:cs="Arial" w:eastAsia="Arial" w:hAnsi="Arial"/>
          <w:sz w:val="19"/>
          <w:szCs w:val="19"/>
          <w:color w:val="auto"/>
        </w:rPr>
        <w:t xml:space="preserve">If any Revolving Credit Lender fails to make available to the Administrative Agent for the account of a Swing Line Lender any amount required to be paid by such Revolving Credit Lender pursuant to the foregoing provisions of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2.04(c)(i)</w:t>
      </w:r>
      <w:r>
        <w:rPr>
          <w:rFonts w:ascii="Arial" w:cs="Arial" w:eastAsia="Arial" w:hAnsi="Arial"/>
          <w:sz w:val="19"/>
          <w:szCs w:val="19"/>
          <w:color w:val="auto"/>
        </w:rPr>
        <w:t xml:space="preserve">, such Swing Line Lender shall be entitled to recover from such Revolving Credit Lender (acting through the Administrative Agent), on demand, such amount with interest thereon for the period from the date such payment is required to the date on which such payment is immediately available to such Swing Line Lender at a rate </w:t>
      </w:r>
      <w:r>
        <w:rPr>
          <w:rFonts w:ascii="Arial" w:cs="Arial" w:eastAsia="Arial" w:hAnsi="Arial"/>
          <w:sz w:val="19"/>
          <w:szCs w:val="19"/>
          <w:i w:val="1"/>
          <w:iCs w:val="1"/>
          <w:color w:val="auto"/>
        </w:rPr>
        <w:t>per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annum </w:t>
      </w:r>
      <w:r>
        <w:rPr>
          <w:rFonts w:ascii="Arial" w:cs="Arial" w:eastAsia="Arial" w:hAnsi="Arial"/>
          <w:sz w:val="19"/>
          <w:szCs w:val="19"/>
          <w:color w:val="auto"/>
        </w:rPr>
        <w:t>equal to the greater of the Federal Funds Effective Rate and a rate determined by such Swing Line Lender in accordance</w:t>
      </w:r>
      <w:r>
        <w:rPr>
          <w:rFonts w:ascii="Arial" w:cs="Arial" w:eastAsia="Arial" w:hAnsi="Arial"/>
          <w:sz w:val="19"/>
          <w:szCs w:val="19"/>
          <w:i w:val="1"/>
          <w:iCs w:val="1"/>
          <w:color w:val="auto"/>
        </w:rPr>
        <w:t xml:space="preserve"> </w:t>
      </w:r>
      <w:r>
        <w:rPr>
          <w:rFonts w:ascii="Arial" w:cs="Arial" w:eastAsia="Arial" w:hAnsi="Arial"/>
          <w:sz w:val="19"/>
          <w:szCs w:val="19"/>
          <w:color w:val="auto"/>
        </w:rPr>
        <w:t>with banking industry rules on interbank compensation, plus any administrative, processing or similar fees customarily charged by such Swing Line Lender in connection with the foregoing. If such Lender pays such amount (with interest and fees as aforesaid), the amount so paid shall constitute such Lender’s Committed Loan included in the relevant Committed Borrowing or funded participation in the relevant Swing Line Loan, as the case may be. A certificate of the relevant Swing Line Lender submitted to any Revolving Credit Lender (through the Administrative Agent) with respect to any amounts owing under this clause (iii) shall be conclusive absent manifest error.</w:t>
      </w:r>
    </w:p>
    <w:p>
      <w:pPr>
        <w:spacing w:after="0" w:line="184" w:lineRule="exact"/>
        <w:rPr>
          <w:rFonts w:ascii="Arial" w:cs="Arial" w:eastAsia="Arial" w:hAnsi="Arial"/>
          <w:sz w:val="19"/>
          <w:szCs w:val="19"/>
          <w:color w:val="010000"/>
        </w:rPr>
      </w:pPr>
    </w:p>
    <w:p>
      <w:pPr>
        <w:jc w:val="both"/>
        <w:ind w:firstLine="1494"/>
        <w:spacing w:after="0" w:line="273" w:lineRule="auto"/>
        <w:tabs>
          <w:tab w:leader="none" w:pos="2024" w:val="left"/>
        </w:tabs>
        <w:numPr>
          <w:ilvl w:val="1"/>
          <w:numId w:val="87"/>
        </w:numPr>
        <w:rPr>
          <w:rFonts w:ascii="Arial" w:cs="Arial" w:eastAsia="Arial" w:hAnsi="Arial"/>
          <w:sz w:val="18"/>
          <w:szCs w:val="18"/>
          <w:color w:val="010000"/>
        </w:rPr>
      </w:pPr>
      <w:r>
        <w:rPr>
          <w:rFonts w:ascii="Arial" w:cs="Arial" w:eastAsia="Arial" w:hAnsi="Arial"/>
          <w:sz w:val="18"/>
          <w:szCs w:val="18"/>
          <w:color w:val="auto"/>
        </w:rPr>
        <w:t xml:space="preserve">Each Revolving Credit Lender’s obligation to make Committed Loans or to purchase and fund risk participations in Swing Line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Revolving Credit Lender may have against the relevant Swing Line Lender, the Borrowers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Revolving Credit Lender’s obligation to make Committed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No such funding of risk participations shall relieve or otherwise impair the obligation of the Borrowers to repay Swing Line Loans, together with interest as provided herein.</w:t>
      </w:r>
    </w:p>
    <w:p>
      <w:pPr>
        <w:spacing w:after="0" w:line="168" w:lineRule="exact"/>
        <w:rPr>
          <w:rFonts w:ascii="Arial" w:cs="Arial" w:eastAsia="Arial" w:hAnsi="Arial"/>
          <w:sz w:val="18"/>
          <w:szCs w:val="18"/>
          <w:color w:val="010000"/>
        </w:rPr>
      </w:pPr>
    </w:p>
    <w:p>
      <w:pPr>
        <w:ind w:left="1220" w:hanging="475"/>
        <w:spacing w:after="0"/>
        <w:tabs>
          <w:tab w:leader="none" w:pos="1220"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494"/>
        <w:spacing w:after="0" w:line="260" w:lineRule="auto"/>
        <w:tabs>
          <w:tab w:leader="none" w:pos="1994" w:val="left"/>
        </w:tabs>
        <w:numPr>
          <w:ilvl w:val="1"/>
          <w:numId w:val="88"/>
        </w:numPr>
        <w:rPr>
          <w:rFonts w:ascii="Arial" w:cs="Arial" w:eastAsia="Arial" w:hAnsi="Arial"/>
          <w:sz w:val="20"/>
          <w:szCs w:val="20"/>
          <w:color w:val="010000"/>
        </w:rPr>
      </w:pPr>
      <w:r>
        <w:rPr>
          <w:rFonts w:ascii="Arial" w:cs="Arial" w:eastAsia="Arial" w:hAnsi="Arial"/>
          <w:sz w:val="20"/>
          <w:szCs w:val="20"/>
          <w:color w:val="auto"/>
        </w:rPr>
        <w:t>At any time after any Revolving Credit Lender has purchased and funded a risk participation in a Swing Line Loan, if the relevant Swing Line Lender receives any payment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324485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2" w:right="339" w:bottom="1440" w:gutter="0" w:footer="0" w:header="0"/>
        </w:sectPr>
      </w:pPr>
    </w:p>
    <w:bookmarkStart w:id="126" w:name="page127"/>
    <w:bookmarkEnd w:id="126"/>
    <w:p>
      <w:pPr>
        <w:spacing w:after="0" w:line="260" w:lineRule="auto"/>
        <w:rPr>
          <w:sz w:val="20"/>
          <w:szCs w:val="20"/>
          <w:color w:val="auto"/>
        </w:rPr>
      </w:pPr>
      <w:r>
        <w:rPr>
          <w:rFonts w:ascii="Arial" w:cs="Arial" w:eastAsia="Arial" w:hAnsi="Arial"/>
          <w:sz w:val="20"/>
          <w:szCs w:val="20"/>
          <w:color w:val="auto"/>
        </w:rPr>
        <w:t>account of such Swing Line Loan, such Swing Line Lender will distribute to such Revolving Credit Lender its Applicable Percentage of the Facility thereof in the same funds as those received by such Swing Line Lender.</w:t>
      </w:r>
    </w:p>
    <w:p>
      <w:pPr>
        <w:spacing w:after="0" w:line="177" w:lineRule="exact"/>
        <w:rPr>
          <w:sz w:val="20"/>
          <w:szCs w:val="20"/>
          <w:color w:val="auto"/>
        </w:rPr>
      </w:pPr>
    </w:p>
    <w:p>
      <w:pPr>
        <w:jc w:val="both"/>
        <w:ind w:firstLine="1494"/>
        <w:spacing w:after="0" w:line="242" w:lineRule="auto"/>
        <w:tabs>
          <w:tab w:leader="none" w:pos="2002" w:val="left"/>
        </w:tabs>
        <w:numPr>
          <w:ilvl w:val="1"/>
          <w:numId w:val="89"/>
        </w:numPr>
        <w:rPr>
          <w:rFonts w:ascii="Arial" w:cs="Arial" w:eastAsia="Arial" w:hAnsi="Arial"/>
          <w:sz w:val="20"/>
          <w:szCs w:val="20"/>
          <w:color w:val="010000"/>
        </w:rPr>
      </w:pPr>
      <w:r>
        <w:rPr>
          <w:rFonts w:ascii="Arial" w:cs="Arial" w:eastAsia="Arial" w:hAnsi="Arial"/>
          <w:sz w:val="20"/>
          <w:szCs w:val="20"/>
          <w:color w:val="auto"/>
        </w:rPr>
        <w:t xml:space="preserve">If any payment received by a Swing Line Lender in respect of principal or interest on any Swing Line Loan is required to be returned by such Swing Line Lender under any of the circumstances described in </w:t>
      </w:r>
      <w:r>
        <w:rPr>
          <w:rFonts w:ascii="Arial" w:cs="Arial" w:eastAsia="Arial" w:hAnsi="Arial"/>
          <w:sz w:val="20"/>
          <w:szCs w:val="20"/>
          <w:u w:val="single" w:color="auto"/>
          <w:color w:val="auto"/>
        </w:rPr>
        <w:t>Section 10.05</w:t>
      </w:r>
      <w:r>
        <w:rPr>
          <w:rFonts w:ascii="Arial" w:cs="Arial" w:eastAsia="Arial" w:hAnsi="Arial"/>
          <w:sz w:val="20"/>
          <w:szCs w:val="20"/>
          <w:color w:val="auto"/>
        </w:rPr>
        <w:t xml:space="preserve"> (including pursuant to any settlement entered into by such Swing Line Lender in its discretion), each Revolving Credit Lender shall pay to such Swing Line Lender its Applicable Percentage of the Facility thereof on demand of the Administrative Agent, plus interest thereon from the date of such demand to the date such amount is returned, at a rate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equal to the Federal Funds Effective Rate. The Administrative Agent will make such demand upon the request of such Swing Line Lender. The obligations of the Revolving Credit Lenders under this clause shall survive the payment in full of the Obligations and the termination of this Agreement.</w:t>
      </w:r>
    </w:p>
    <w:p>
      <w:pPr>
        <w:spacing w:after="0" w:line="196" w:lineRule="exact"/>
        <w:rPr>
          <w:rFonts w:ascii="Arial" w:cs="Arial" w:eastAsia="Arial" w:hAnsi="Arial"/>
          <w:sz w:val="20"/>
          <w:szCs w:val="20"/>
          <w:color w:val="010000"/>
        </w:rPr>
      </w:pPr>
    </w:p>
    <w:p>
      <w:pPr>
        <w:jc w:val="both"/>
        <w:ind w:left="-760" w:firstLine="1505"/>
        <w:spacing w:after="0" w:line="278" w:lineRule="auto"/>
        <w:tabs>
          <w:tab w:leader="none" w:pos="1263"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xml:space="preserve">. Each Swing Line Lender shall be responsible for invoicing the Borrowers for interest on the Swing Line Loans made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 Swing Line Lender to so invoice the Borrowers shall not affect the Borrowers’ obligations with respect to Swing Line Loans to pay such interest. Until each Revolving Credit Lender funds its Base Rate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Revolving Credit Lender’s Applicable Percentage of any Swing Line Loan, interest in respect of such Applicable Percentage shall be solely for the account of the relevant Swing Line Lender.</w:t>
      </w:r>
    </w:p>
    <w:p>
      <w:pPr>
        <w:spacing w:after="0" w:line="164" w:lineRule="exact"/>
        <w:rPr>
          <w:rFonts w:ascii="Arial" w:cs="Arial" w:eastAsia="Arial" w:hAnsi="Arial"/>
          <w:sz w:val="18"/>
          <w:szCs w:val="18"/>
          <w:color w:val="auto"/>
        </w:rPr>
      </w:pPr>
    </w:p>
    <w:p>
      <w:pPr>
        <w:ind w:left="-760" w:firstLine="1505"/>
        <w:spacing w:after="0" w:line="260" w:lineRule="auto"/>
        <w:tabs>
          <w:tab w:leader="none" w:pos="1229"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 Line Lender</w:t>
      </w:r>
      <w:r>
        <w:rPr>
          <w:rFonts w:ascii="Arial" w:cs="Arial" w:eastAsia="Arial" w:hAnsi="Arial"/>
          <w:sz w:val="20"/>
          <w:szCs w:val="20"/>
          <w:color w:val="auto"/>
        </w:rPr>
        <w:t>. The relevant Borrower shall make all payments of principal and interest in respect of the Swing Line Loans directly to the relevant Swing Line Lender.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010000"/>
        </w:rPr>
        <w:t xml:space="preserve">2.05 </w:t>
      </w:r>
      <w:r>
        <w:rPr>
          <w:rFonts w:ascii="Arial" w:cs="Arial" w:eastAsia="Arial" w:hAnsi="Arial"/>
          <w:sz w:val="20"/>
          <w:szCs w:val="20"/>
          <w:color w:val="000000"/>
        </w:rPr>
        <w:t>Prepayments.</w:t>
      </w:r>
    </w:p>
    <w:p>
      <w:pPr>
        <w:spacing w:after="0" w:line="216" w:lineRule="exact"/>
        <w:rPr>
          <w:sz w:val="20"/>
          <w:szCs w:val="20"/>
          <w:color w:val="auto"/>
        </w:rPr>
      </w:pPr>
    </w:p>
    <w:p>
      <w:pPr>
        <w:jc w:val="both"/>
        <w:ind w:left="-760" w:firstLine="1505"/>
        <w:spacing w:after="0" w:line="269" w:lineRule="auto"/>
        <w:tabs>
          <w:tab w:leader="none" w:pos="1237"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xml:space="preserve">. The Borrowers may, upon notice to the Administrative Agent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at any time or from time to time voluntarily prepay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specify the principal amounts thereof and must be received by the Administrative Agent not later than 11:00 a.m. (A) three Business Days prior to any date of prepayment of Term Benchmark Loans denominated in Dollars, (B) three Business Days (or four Business Days, in the case of prepayment of Committed Loans denominated in Special Notice Currencies) prior to any date of prepayment of Term Benchmark Loans denominated in Alternative Currencies, (C) five Business Days prior to any date of prepayment of RFR Loans denominated in Sterling (and, solely to the extent applicable pursuant to Section 3.03(b), Dollars) and (D) on the date of prepayment of Base Rate Loans; and (ii) any prepayment of Loans shall be in a principal amount of $5,000,000 or a whole multiple of $1,000,000 in excess thereof or, in each case, if less, the entire principal amount thereof then outstanding. Each such notice shall specify the date and amount of such prepayment and the Type(s) of Loans to be prepaid and, if Term Benchmark Loans are to be prepaid, the Interest Period(s) of such Loans. The Administrative Agent will promptly notify each applicable Lender of its receipt of each such notice, and of the amount of such Lender’s ratable portion of such prepayment (based on such Lender’s Applicable Percentage). If such notice is given, the relevant Borrower shall make such prepayment and the payment amount specified in such notice shall be due and payable on the date specified therein. Any prepayment of a Term Benchmark Loan or RFR Loan shall be accompanied by all accrued interest on the amount prepaid,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ind w:left="-760" w:firstLine="1505"/>
        <w:spacing w:after="0" w:line="260" w:lineRule="auto"/>
        <w:tabs>
          <w:tab w:leader="none" w:pos="1235"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Mandatory Prepayments</w:t>
      </w:r>
      <w:r>
        <w:rPr>
          <w:rFonts w:ascii="Arial" w:cs="Arial" w:eastAsia="Arial" w:hAnsi="Arial"/>
          <w:sz w:val="20"/>
          <w:szCs w:val="20"/>
          <w:color w:val="auto"/>
        </w:rPr>
        <w:t>. If the Administrative Agent notifies the Borrowers at any time that the Total Revolving Credit Outstandings at such time exceed an amount equal to 105%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324485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2" w:right="339" w:bottom="1440" w:gutter="0" w:footer="0" w:header="0"/>
        </w:sectPr>
      </w:pPr>
    </w:p>
    <w:bookmarkStart w:id="127" w:name="page128"/>
    <w:bookmarkEnd w:id="127"/>
    <w:p>
      <w:pPr>
        <w:jc w:val="both"/>
        <w:spacing w:after="0" w:line="272" w:lineRule="auto"/>
        <w:rPr>
          <w:sz w:val="20"/>
          <w:szCs w:val="20"/>
          <w:color w:val="auto"/>
        </w:rPr>
      </w:pPr>
      <w:r>
        <w:rPr>
          <w:rFonts w:ascii="Arial" w:cs="Arial" w:eastAsia="Arial" w:hAnsi="Arial"/>
          <w:sz w:val="18"/>
          <w:szCs w:val="18"/>
          <w:color w:val="auto"/>
        </w:rPr>
        <w:t xml:space="preserve">Aggregate Revolving Credit Commitment then in effect, then, within two Business Days after receipt of such notice, the Borrowers shall prepay Committed Loans and/or Swing Line Loans and/or Cash Collateralize the L/C Obligations in an aggregate amount sufficient to reduce such Total Revolving Credit Outstandings as of such date of payment to an amount not to exceed 100% of the Aggregate Revolving Credit Commitment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shall not be required to Cash Collateralize the L/C Obligations pursuant to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unless after the prepayment in full of the Committed Loans and Swing Line Loans the Total Revolving Credit Outstandings exceed 100% of the Aggregate Revolving Credit Commitment then in effect. The Administrative Agent may, at any time and from time to time after the initial deposit of such Cash Collateral, (i) request that additional Cash Collateral be provided in order to protect against the results of further exchange rate fluctuations and (ii) release all or a portion of such Cash Collateral so long as after giving effect to such release the Total Revolving Credit Outstandings shall not exceed 100% of the Aggregate Revolving Credit Commitment then in effect.</w:t>
      </w:r>
    </w:p>
    <w:p>
      <w:pPr>
        <w:spacing w:after="0" w:line="170"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8"/>
          <w:szCs w:val="18"/>
          <w:color w:val="010000"/>
        </w:rPr>
        <w:t xml:space="preserve">2.06 </w:t>
      </w:r>
      <w:r>
        <w:rPr>
          <w:rFonts w:ascii="Arial" w:cs="Arial" w:eastAsia="Arial" w:hAnsi="Arial"/>
          <w:sz w:val="18"/>
          <w:szCs w:val="18"/>
          <w:color w:val="000000"/>
        </w:rPr>
        <w:t>Termination or Reduction of Revolving Credit Commitments. The Company may, at its option and upon notice to the</w:t>
      </w:r>
      <w:r>
        <w:rPr>
          <w:rFonts w:ascii="Arial" w:cs="Arial" w:eastAsia="Arial" w:hAnsi="Arial"/>
          <w:sz w:val="18"/>
          <w:szCs w:val="18"/>
          <w:color w:val="010000"/>
        </w:rPr>
        <w:t xml:space="preserve"> </w:t>
      </w:r>
      <w:r>
        <w:rPr>
          <w:rFonts w:ascii="Arial" w:cs="Arial" w:eastAsia="Arial" w:hAnsi="Arial"/>
          <w:sz w:val="18"/>
          <w:szCs w:val="18"/>
          <w:color w:val="000000"/>
        </w:rPr>
        <w:t xml:space="preserve">Administrative Agent, terminate the Facility, or from time to time permanently reduce in part the Aggregate Revolving Credit Commitment;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 any such notice shall be received by the Administrative Agent not later than three Business Days prior to the date of termination or reduction, (ii) any such partial reduction shall be in an aggregate amount of $10,000,000 or any whole multiple of $1,000,000 in excess thereof, (iii) the Company shall not terminate or reduce the Aggregate Revolving Credit Commitment if, after giving effect thereto and to any concurrent prepayments hereunder, the Total Revolving Credit Outstandings would exceed the Aggregate Revolving Credit Commitment, (iv) if, after giving effect to any reduction of the Aggregate Revolving Credit Commitment, the Swing Line Sublimit exceeds the amount of the Aggregate Revolving Credit Commitment, such Swing Line Sublimit shall be automatically reduced by the amount of such excess, (v) if, after giving effect to any reduction of the Aggregate Revolving Credit Commitment, the Letter of Credit Sublimit exceeds the amount of the Aggregate Revolving Credit Commitment, such Letter of Credit Sublimit shall be automatically reduced by the amount of such excess and (vi) if (A) the Aggregate Revolving Credit Commitment is reduced at any time pursuant to this </w:t>
      </w:r>
      <w:r>
        <w:rPr>
          <w:rFonts w:ascii="Arial" w:cs="Arial" w:eastAsia="Arial" w:hAnsi="Arial"/>
          <w:sz w:val="18"/>
          <w:szCs w:val="18"/>
          <w:u w:val="single" w:color="auto"/>
          <w:color w:val="000000"/>
        </w:rPr>
        <w:t>Section 2.06</w:t>
      </w:r>
      <w:r>
        <w:rPr>
          <w:rFonts w:ascii="Arial" w:cs="Arial" w:eastAsia="Arial" w:hAnsi="Arial"/>
          <w:sz w:val="18"/>
          <w:szCs w:val="18"/>
          <w:color w:val="000000"/>
        </w:rPr>
        <w:t xml:space="preserve"> , (B) the amount thereof after giving effect to such reduction is less than $250,000,000 and (C) at such time Extended Commitments are outstanding, the aggregate amount of the Letter of Credit Sublimit and the Swing Line Sublimit shall be concurrently decreased by an amount equal to the difference between $250,000,000 and the Aggregate Revolving Credit Commitment as so reduced;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such reduction shall be allocated to the Letter of Credit Sublimit and the Swing Line Sublimit at the direction of the Company or, in the absence of such direction, </w:t>
      </w:r>
      <w:r>
        <w:rPr>
          <w:rFonts w:ascii="Arial" w:cs="Arial" w:eastAsia="Arial" w:hAnsi="Arial"/>
          <w:sz w:val="18"/>
          <w:szCs w:val="18"/>
          <w:i w:val="1"/>
          <w:iCs w:val="1"/>
          <w:color w:val="000000"/>
        </w:rPr>
        <w:t xml:space="preserve">pro rata </w:t>
      </w:r>
      <w:r>
        <w:rPr>
          <w:rFonts w:ascii="Arial" w:cs="Arial" w:eastAsia="Arial" w:hAnsi="Arial"/>
          <w:sz w:val="18"/>
          <w:szCs w:val="18"/>
          <w:color w:val="000000"/>
        </w:rPr>
        <w:t>between the Letter of Credit Sublimit and the Swing Line Sublimit;</w:t>
      </w:r>
      <w:r>
        <w:rPr>
          <w:rFonts w:ascii="Arial" w:cs="Arial" w:eastAsia="Arial" w:hAnsi="Arial"/>
          <w:sz w:val="18"/>
          <w:szCs w:val="18"/>
          <w:i w:val="1"/>
          <w:iCs w:val="1"/>
          <w:color w:val="00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w:t>
      </w:r>
      <w:r>
        <w:rPr>
          <w:rFonts w:ascii="Arial" w:cs="Arial" w:eastAsia="Arial" w:hAnsi="Arial"/>
          <w:sz w:val="18"/>
          <w:szCs w:val="18"/>
          <w:i w:val="1"/>
          <w:iCs w:val="1"/>
          <w:color w:val="000000"/>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 that, upon any such partial reduction of the</w:t>
      </w:r>
      <w:r>
        <w:rPr>
          <w:rFonts w:ascii="Arial" w:cs="Arial" w:eastAsia="Arial" w:hAnsi="Arial"/>
          <w:sz w:val="18"/>
          <w:szCs w:val="18"/>
          <w:i w:val="1"/>
          <w:iCs w:val="1"/>
          <w:color w:val="000000"/>
        </w:rPr>
        <w:t xml:space="preserve"> </w:t>
      </w:r>
      <w:r>
        <w:rPr>
          <w:rFonts w:ascii="Arial" w:cs="Arial" w:eastAsia="Arial" w:hAnsi="Arial"/>
          <w:sz w:val="18"/>
          <w:szCs w:val="18"/>
          <w:color w:val="000000"/>
        </w:rPr>
        <w:t>Letter of Credit Sublimit or the Swing Line Sublimit, unless the Company, the Administrative Agent and the applicable Issuing Lenders or the Swing Line Lender, as the case may be, otherwise agree, the amount of the L/C Commitments of the Issuing Lenders and the Swing Line Commitment of the Swing Line Lender will be reduced proportionately by the amount of such reduction. The Administrative Agent will promptly notify the applicable Lenders of any such notice of termination or reduction of the Aggregate Revolving Credit Commitment. Any reduction of the Aggregate Revolving Credit Commitment shall be applied to the Commitments of each Revolving Credit Lender according to its Applicable Percentage. All fees accrued until the effective date of any termination of the Aggregate Revolving Credit Commitment shall be paid on the effective date of such termination, notwithstanding any later payment date provided for herein. In addition, all Non-Extended Commitments shall terminate automatically and without any further action on the Original Revolving Credit Maturity Date and all Extended Commitments shall terminate automatically and without any further action on the Extended Revolving Credit Maturity Date.</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010000"/>
        </w:rPr>
        <w:t xml:space="preserve">2.07 </w:t>
      </w:r>
      <w:r>
        <w:rPr>
          <w:rFonts w:ascii="Arial" w:cs="Arial" w:eastAsia="Arial" w:hAnsi="Arial"/>
          <w:sz w:val="20"/>
          <w:szCs w:val="20"/>
          <w:color w:val="000000"/>
        </w:rPr>
        <w:t>Repayment of Loans. Each Borrower shall repay to the Administrative Agent for the ratable account of the applicable</w:t>
      </w:r>
      <w:r>
        <w:rPr>
          <w:rFonts w:ascii="Arial" w:cs="Arial" w:eastAsia="Arial" w:hAnsi="Arial"/>
          <w:sz w:val="20"/>
          <w:szCs w:val="20"/>
          <w:color w:val="010000"/>
        </w:rPr>
        <w:t xml:space="preserve"> </w:t>
      </w:r>
      <w:r>
        <w:rPr>
          <w:rFonts w:ascii="Arial" w:cs="Arial" w:eastAsia="Arial" w:hAnsi="Arial"/>
          <w:sz w:val="20"/>
          <w:szCs w:val="20"/>
          <w:color w:val="000000"/>
        </w:rPr>
        <w:t>Revolving Credit Lenders on the Applicable Maturity Date the aggregate principal amount of any Committed Loans outstanding on such date that mature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8" w:name="page129"/>
    <w:bookmarkEnd w:id="128"/>
    <w:p>
      <w:pPr>
        <w:spacing w:after="0"/>
        <w:rPr>
          <w:sz w:val="20"/>
          <w:szCs w:val="20"/>
          <w:color w:val="auto"/>
        </w:rPr>
      </w:pPr>
      <w:r>
        <w:rPr>
          <w:rFonts w:ascii="Arial" w:cs="Arial" w:eastAsia="Arial" w:hAnsi="Arial"/>
          <w:sz w:val="20"/>
          <w:szCs w:val="20"/>
          <w:color w:val="010000"/>
        </w:rPr>
        <w:t xml:space="preserve">2.08 </w:t>
      </w:r>
      <w:r>
        <w:rPr>
          <w:rFonts w:ascii="Arial" w:cs="Arial" w:eastAsia="Arial" w:hAnsi="Arial"/>
          <w:sz w:val="20"/>
          <w:szCs w:val="20"/>
          <w:color w:val="000000"/>
        </w:rPr>
        <w:t>Interest.</w:t>
      </w:r>
    </w:p>
    <w:p>
      <w:pPr>
        <w:spacing w:after="0" w:line="216" w:lineRule="exact"/>
        <w:rPr>
          <w:sz w:val="20"/>
          <w:szCs w:val="20"/>
          <w:color w:val="auto"/>
        </w:rPr>
      </w:pPr>
    </w:p>
    <w:p>
      <w:pPr>
        <w:jc w:val="both"/>
        <w:ind w:left="-760" w:firstLine="1505"/>
        <w:spacing w:after="0" w:line="272" w:lineRule="auto"/>
        <w:tabs>
          <w:tab w:leader="none" w:pos="126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Subject to the provisions of subsection (b) below, (i) each Term Benchmark Loan shall bear interest on the outstanding principal amount thereof for each Interest Period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applicable Term Benchmark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(ii) each Base Rate Loan shall bear interest on the outstanding principal amount thereof from the applicable borrowing date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(iii) each RFR Loan denominated in Sterling shall bear interest on the outstanding principal amount thereof from the applicable borrowing date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Daily Simple SONIA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SONIA Adjustment, (iv) solely to the extent applicable pursuant to Section 3.03(b), each RFR Loan denominated in Dollars shall bear interest on the outstanding principal amount thereof from the applicable borrowing date at a rate </w:t>
      </w:r>
      <w:r>
        <w:rPr>
          <w:rFonts w:ascii="Arial" w:cs="Arial" w:eastAsia="Arial" w:hAnsi="Arial"/>
          <w:sz w:val="18"/>
          <w:szCs w:val="18"/>
          <w:i w:val="1"/>
          <w:iCs w:val="1"/>
          <w:color w:val="auto"/>
        </w:rPr>
        <w:t>per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annum </w:t>
      </w:r>
      <w:r>
        <w:rPr>
          <w:rFonts w:ascii="Arial" w:cs="Arial" w:eastAsia="Arial" w:hAnsi="Arial"/>
          <w:sz w:val="18"/>
          <w:szCs w:val="18"/>
          <w:color w:val="auto"/>
        </w:rPr>
        <w:t>equal to Daily Simple SOFR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Rate and (v) each Swing Line Loan shall bear interest on the outstanding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amount thereof from the applicable borrowing date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Base Rate plus the Applicable Rate.</w:t>
      </w:r>
    </w:p>
    <w:p>
      <w:pPr>
        <w:spacing w:after="0" w:line="170" w:lineRule="exact"/>
        <w:rPr>
          <w:rFonts w:ascii="Arial" w:cs="Arial" w:eastAsia="Arial" w:hAnsi="Arial"/>
          <w:sz w:val="18"/>
          <w:szCs w:val="18"/>
          <w:color w:val="auto"/>
        </w:rPr>
      </w:pPr>
    </w:p>
    <w:p>
      <w:pPr>
        <w:jc w:val="both"/>
        <w:ind w:left="-760" w:right="20" w:firstLine="1505"/>
        <w:spacing w:after="0" w:line="250" w:lineRule="auto"/>
        <w:tabs>
          <w:tab w:leader="none" w:pos="1229"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(i) Upon the request of the Required Lenders, while any Event of Default under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(g)</w:t>
      </w:r>
      <w:r>
        <w:rPr>
          <w:rFonts w:ascii="Arial" w:cs="Arial" w:eastAsia="Arial" w:hAnsi="Arial"/>
          <w:sz w:val="20"/>
          <w:szCs w:val="20"/>
          <w:color w:val="auto"/>
        </w:rPr>
        <w:t xml:space="preserve"> exists, the Borrowers shall pay interest on the principal amount of all outstanding Obligations hereunder at a fluctuating interest rate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at all times equal to the Default Rate to the fullest extent permitted by applicable Laws.</w:t>
      </w:r>
    </w:p>
    <w:p>
      <w:pPr>
        <w:spacing w:after="0" w:line="185" w:lineRule="exact"/>
        <w:rPr>
          <w:rFonts w:ascii="Arial" w:cs="Arial" w:eastAsia="Arial" w:hAnsi="Arial"/>
          <w:sz w:val="20"/>
          <w:szCs w:val="20"/>
          <w:color w:val="auto"/>
        </w:rPr>
      </w:pPr>
    </w:p>
    <w:p>
      <w:pPr>
        <w:ind w:left="1980" w:hanging="486"/>
        <w:spacing w:after="0"/>
        <w:tabs>
          <w:tab w:leader="none" w:pos="1980" w:val="left"/>
        </w:tabs>
        <w:numPr>
          <w:ilvl w:val="1"/>
          <w:numId w:val="92"/>
        </w:numPr>
        <w:rPr>
          <w:rFonts w:ascii="Arial" w:cs="Arial" w:eastAsia="Arial" w:hAnsi="Arial"/>
          <w:sz w:val="18"/>
          <w:szCs w:val="18"/>
          <w:color w:val="010000"/>
        </w:rPr>
      </w:pPr>
      <w:r>
        <w:rPr>
          <w:rFonts w:ascii="Arial" w:cs="Arial" w:eastAsia="Arial" w:hAnsi="Arial"/>
          <w:sz w:val="18"/>
          <w:szCs w:val="18"/>
          <w:color w:val="auto"/>
        </w:rPr>
        <w:t>Accrued and unpaid interest on past due amounts (including interest on past due interest) shall be due and</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payable upon demand.</w:t>
      </w:r>
    </w:p>
    <w:p>
      <w:pPr>
        <w:spacing w:after="0" w:line="199" w:lineRule="exact"/>
        <w:rPr>
          <w:rFonts w:ascii="Arial" w:cs="Arial" w:eastAsia="Arial" w:hAnsi="Arial"/>
          <w:sz w:val="18"/>
          <w:szCs w:val="18"/>
          <w:color w:val="010000"/>
        </w:rPr>
      </w:pPr>
    </w:p>
    <w:p>
      <w:pPr>
        <w:jc w:val="both"/>
        <w:ind w:left="-760" w:right="20" w:firstLine="1505"/>
        <w:spacing w:after="0" w:line="269" w:lineRule="auto"/>
        <w:tabs>
          <w:tab w:leader="none" w:pos="1234"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010000"/>
        </w:rPr>
        <w:t xml:space="preserve">2.09 </w:t>
      </w:r>
      <w:r>
        <w:rPr>
          <w:rFonts w:ascii="Arial" w:cs="Arial" w:eastAsia="Arial" w:hAnsi="Arial"/>
          <w:sz w:val="20"/>
          <w:szCs w:val="20"/>
          <w:color w:val="000000"/>
        </w:rPr>
        <w:t>Fees.</w:t>
      </w:r>
    </w:p>
    <w:p>
      <w:pPr>
        <w:spacing w:after="0" w:line="216" w:lineRule="exact"/>
        <w:rPr>
          <w:sz w:val="20"/>
          <w:szCs w:val="20"/>
          <w:color w:val="auto"/>
        </w:rPr>
      </w:pPr>
    </w:p>
    <w:p>
      <w:pPr>
        <w:jc w:val="both"/>
        <w:ind w:left="-760" w:right="20" w:firstLine="1505"/>
        <w:spacing w:after="0" w:line="271" w:lineRule="auto"/>
        <w:tabs>
          <w:tab w:leader="none" w:pos="123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Commitment Fees</w:t>
      </w:r>
      <w:r>
        <w:rPr>
          <w:rFonts w:ascii="Arial" w:cs="Arial" w:eastAsia="Arial" w:hAnsi="Arial"/>
          <w:sz w:val="18"/>
          <w:szCs w:val="18"/>
          <w:color w:val="auto"/>
        </w:rPr>
        <w:t xml:space="preserve">. The Company shall pay to the Administrative Agent for the account of each Revolving Credit Lender in accordance with its Applicable Percentage of the Aggregate Revolving Credit Commitment, a commitment fee in Dollars equal to the Applicable Rate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actual daily amount by which the Aggregate Revolving Credit Commitment exceeds the </w:t>
      </w:r>
      <w:r>
        <w:rPr>
          <w:rFonts w:ascii="Arial" w:cs="Arial" w:eastAsia="Arial" w:hAnsi="Arial"/>
          <w:sz w:val="18"/>
          <w:szCs w:val="18"/>
          <w:u w:val="single" w:color="auto"/>
          <w:color w:val="auto"/>
        </w:rPr>
        <w:t>sum</w:t>
      </w:r>
      <w:r>
        <w:rPr>
          <w:rFonts w:ascii="Arial" w:cs="Arial" w:eastAsia="Arial" w:hAnsi="Arial"/>
          <w:sz w:val="18"/>
          <w:szCs w:val="18"/>
          <w:color w:val="auto"/>
        </w:rPr>
        <w:t xml:space="preserve"> of (i) the Outstanding Amount of Committed Loans (which for the purpose of this provision shall not include Swing Line Loans) and (ii) the Outstanding Amount of L/C Obligations, subject to adjustment as provided in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The commitment fees set forth above shall accrue at all times during the Availability Period, including at any time during which one or more of the conditions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fees set forth above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73" w:lineRule="exact"/>
        <w:rPr>
          <w:rFonts w:ascii="Arial" w:cs="Arial" w:eastAsia="Arial" w:hAnsi="Arial"/>
          <w:sz w:val="18"/>
          <w:szCs w:val="18"/>
          <w:color w:val="auto"/>
        </w:rPr>
      </w:pPr>
    </w:p>
    <w:p>
      <w:pPr>
        <w:jc w:val="both"/>
        <w:ind w:left="-760" w:right="20" w:firstLine="1505"/>
        <w:spacing w:after="0" w:line="263" w:lineRule="auto"/>
        <w:tabs>
          <w:tab w:leader="none" w:pos="1234"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Other Fees</w:t>
      </w:r>
      <w:r>
        <w:rPr>
          <w:rFonts w:ascii="Arial" w:cs="Arial" w:eastAsia="Arial" w:hAnsi="Arial"/>
          <w:sz w:val="19"/>
          <w:szCs w:val="19"/>
          <w:color w:val="auto"/>
        </w:rPr>
        <w:t>. The Company shall pay (i) to the Arrangers for their own respective accounts, in Dollars, fees in the amounts and at the times specified in the Arranger Fee Letter and (ii) to the Administrative Agent for its own account, in Dollars, fees in the amounts and at the times specified in the Agency Fee Letter. Such fees shall be fully earned when paid and shall not be refundable for any reason whatsoever, except, with respect to the Agency Fee Letter, as specified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324485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1080" w:top="352" w:right="319" w:bottom="1440" w:gutter="0" w:footer="0" w:header="0"/>
        </w:sectPr>
      </w:pPr>
    </w:p>
    <w:bookmarkStart w:id="129" w:name="page130"/>
    <w:bookmarkEnd w:id="129"/>
    <w:p>
      <w:pPr>
        <w:ind w:firstLine="1505"/>
        <w:spacing w:after="0" w:line="316" w:lineRule="auto"/>
        <w:tabs>
          <w:tab w:leader="none" w:pos="198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3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010000"/>
        </w:rPr>
        <w:t xml:space="preserve">2.10 </w:t>
      </w:r>
      <w:r>
        <w:rPr>
          <w:rFonts w:ascii="Arial" w:cs="Arial" w:eastAsia="Arial" w:hAnsi="Arial"/>
          <w:sz w:val="18"/>
          <w:szCs w:val="18"/>
          <w:color w:val="000000"/>
        </w:rPr>
        <w:t>Computation of Interest and Fees. All computations of interest for Base Rate Loans based on the “prime rate” pursuant to</w:t>
      </w:r>
      <w:r>
        <w:rPr>
          <w:rFonts w:ascii="Arial" w:cs="Arial" w:eastAsia="Arial" w:hAnsi="Arial"/>
          <w:sz w:val="18"/>
          <w:szCs w:val="18"/>
          <w:color w:val="010000"/>
        </w:rPr>
        <w:t xml:space="preserve"> </w:t>
      </w:r>
      <w:r>
        <w:rPr>
          <w:rFonts w:ascii="Arial" w:cs="Arial" w:eastAsia="Arial" w:hAnsi="Arial"/>
          <w:sz w:val="18"/>
          <w:szCs w:val="18"/>
          <w:color w:val="000000"/>
        </w:rPr>
        <w:t xml:space="preserve">clause (a) or (b) of the definition of “Base Rate” and SONIA Loans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Committed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any Loan that is repaid on the same day on which it is made shall, subject to </w:t>
      </w:r>
      <w:r>
        <w:rPr>
          <w:rFonts w:ascii="Arial" w:cs="Arial" w:eastAsia="Arial" w:hAnsi="Arial"/>
          <w:sz w:val="18"/>
          <w:szCs w:val="18"/>
          <w:u w:val="single" w:color="auto"/>
          <w:color w:val="000000"/>
        </w:rPr>
        <w:t>Section 2.12(a)</w:t>
      </w:r>
      <w:r>
        <w:rPr>
          <w:rFonts w:ascii="Arial" w:cs="Arial" w:eastAsia="Arial" w:hAnsi="Arial"/>
          <w:sz w:val="18"/>
          <w:szCs w:val="18"/>
          <w:color w:val="000000"/>
        </w:rPr>
        <w:t>, bear interest for one day. Each determination by the Administrative Agent of an interest rate or fee hereunder shall be conclusive and binding for all purposes, absent manifest error.</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2.11 </w:t>
      </w:r>
      <w:r>
        <w:rPr>
          <w:rFonts w:ascii="Arial" w:cs="Arial" w:eastAsia="Arial" w:hAnsi="Arial"/>
          <w:sz w:val="20"/>
          <w:szCs w:val="20"/>
          <w:color w:val="000000"/>
        </w:rPr>
        <w:t>Evidence of Debt.</w:t>
      </w:r>
    </w:p>
    <w:p>
      <w:pPr>
        <w:spacing w:after="0" w:line="216" w:lineRule="exact"/>
        <w:rPr>
          <w:sz w:val="20"/>
          <w:szCs w:val="20"/>
          <w:color w:val="auto"/>
        </w:rPr>
      </w:pPr>
    </w:p>
    <w:p>
      <w:pPr>
        <w:jc w:val="both"/>
        <w:ind w:firstLine="1505"/>
        <w:spacing w:after="0" w:line="270" w:lineRule="auto"/>
        <w:tabs>
          <w:tab w:leader="none" w:pos="199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so to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In the event of any conflict between the Register and other accounts and records of the Administrative Agent in respect of such matters, the Register shall control in the absence of manifest error. Upon the request of any Lender made through the Administrative Agent, the Borrowers shall execute and deliver to such Lender (through the Administrative Agent) a Revolving Credit Note, which shall evidence such Lender’s Loans in addition to such accounts or records. Each Lender may attach schedules to a Revolving Credit Note and endorse thereon the date, Type (if applicable), amount, currency and maturity of its Loans and payments with respect thereto.</w:t>
      </w:r>
    </w:p>
    <w:p>
      <w:pPr>
        <w:spacing w:after="0" w:line="175" w:lineRule="exact"/>
        <w:rPr>
          <w:rFonts w:ascii="Arial" w:cs="Arial" w:eastAsia="Arial" w:hAnsi="Arial"/>
          <w:sz w:val="18"/>
          <w:szCs w:val="18"/>
          <w:color w:val="auto"/>
        </w:rPr>
      </w:pPr>
    </w:p>
    <w:p>
      <w:pPr>
        <w:jc w:val="both"/>
        <w:ind w:firstLine="1505"/>
        <w:spacing w:after="0" w:line="243" w:lineRule="auto"/>
        <w:tabs>
          <w:tab w:leader="none" w:pos="2025" w:val="left"/>
        </w:tabs>
        <w:numPr>
          <w:ilvl w:val="0"/>
          <w:numId w:val="95"/>
        </w:numPr>
        <w:rPr>
          <w:rFonts w:ascii="Arial" w:cs="Arial" w:eastAsia="Arial" w:hAnsi="Arial"/>
          <w:sz w:val="20"/>
          <w:szCs w:val="20"/>
          <w:color w:val="auto"/>
        </w:rPr>
      </w:pPr>
      <w:r>
        <w:rPr>
          <w:rFonts w:ascii="Arial" w:cs="Arial" w:eastAsia="Arial" w:hAnsi="Arial"/>
          <w:sz w:val="20"/>
          <w:szCs w:val="20"/>
          <w:color w:val="auto"/>
        </w:rPr>
        <w:t>In addition to the accounts and records referred to in subsection (a), each Revolving Credit Lender and the Administrative Agent shall maintain in accordance with its usual practice accounts or records evidencing the purchases and sales by such Revolving Credit Lender of participations in Swing Line Loans and/or Letters of Credit, as applicable.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 In the event of any conflict between the Register and other accounts and records of the Administrative Agent in respect of such matters, the Register shall control in the absence of manifest error.</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2.12 </w:t>
      </w:r>
      <w:r>
        <w:rPr>
          <w:rFonts w:ascii="Arial" w:cs="Arial" w:eastAsia="Arial" w:hAnsi="Arial"/>
          <w:sz w:val="20"/>
          <w:szCs w:val="20"/>
          <w:color w:val="000000"/>
        </w:rPr>
        <w:t>Payments Generally; Administrative Agent’s Clawback.</w:t>
      </w:r>
    </w:p>
    <w:p>
      <w:pPr>
        <w:spacing w:after="0" w:line="216" w:lineRule="exact"/>
        <w:rPr>
          <w:sz w:val="20"/>
          <w:szCs w:val="20"/>
          <w:color w:val="auto"/>
        </w:rPr>
      </w:pPr>
    </w:p>
    <w:p>
      <w:pPr>
        <w:jc w:val="both"/>
        <w:ind w:firstLine="1505"/>
        <w:spacing w:after="0" w:line="250" w:lineRule="auto"/>
        <w:tabs>
          <w:tab w:leader="none" w:pos="2023"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All payments to be made by the Borrowers shall be made without condition or deduction for any counterclaim, defense, recoupment or setoff. Except as otherwise expressly provided herein and except with respect to principal of and interest on Committed Loans denominated in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0" w:name="page131"/>
    <w:bookmarkEnd w:id="130"/>
    <w:p>
      <w:pPr>
        <w:jc w:val="both"/>
        <w:spacing w:after="0" w:line="269" w:lineRule="auto"/>
        <w:rPr>
          <w:sz w:val="20"/>
          <w:szCs w:val="20"/>
          <w:color w:val="auto"/>
        </w:rPr>
      </w:pPr>
      <w:r>
        <w:rPr>
          <w:rFonts w:ascii="Arial" w:cs="Arial" w:eastAsia="Arial" w:hAnsi="Arial"/>
          <w:sz w:val="18"/>
          <w:szCs w:val="18"/>
          <w:color w:val="auto"/>
        </w:rPr>
        <w:t>Alternative Currency, all payments by the Borrowers hereunder shall be made to the Administrative Agent, for the account of the respective Lenders to which such payment is owed, at the applicable Administrative Agent’s Office in Dollars and in Same Day Funds not later than 1:00 p.m. on the date specified herein. Except as otherwise expressly provided herein, all payments by the Borrowers hereunder with respect to principal and interest on Committed Loans denominated in an Alternative Currency shall be made to the Administrative Agent, for the account of the respective Revolving Credit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the relevant Borrower is prohibited by any Law from making any required payment hereunder in an Alternative Currency, the relevant Borrower shall make such payment in Dollars in the Dollar Equivalent of the Alternative Currency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1:00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the Borrowers shall come due on a day other than a Business Day, payment shall be made on the next following Business Day, and such extension of time shall be reflected in computing interest or fees, as the case may be.</w:t>
      </w:r>
    </w:p>
    <w:p>
      <w:pPr>
        <w:spacing w:after="0" w:line="176" w:lineRule="exact"/>
        <w:rPr>
          <w:sz w:val="20"/>
          <w:szCs w:val="20"/>
          <w:color w:val="auto"/>
        </w:rPr>
      </w:pPr>
    </w:p>
    <w:p>
      <w:pPr>
        <w:jc w:val="both"/>
        <w:ind w:firstLine="1505"/>
        <w:spacing w:after="0" w:line="268" w:lineRule="auto"/>
        <w:tabs>
          <w:tab w:leader="none" w:pos="1997"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xml:space="preserve">. Unless the Administrative Agent shall have received notice from a Lender prior to the proposed date of any Borrowing of Term Benchmark Loans or RFR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in the case of a Borrowing of Base Rate Loans, that such Lender has made such share available in accordance with and at the time required by </w:t>
      </w:r>
      <w:r>
        <w:rPr>
          <w:rFonts w:ascii="Arial" w:cs="Arial" w:eastAsia="Arial" w:hAnsi="Arial"/>
          <w:sz w:val="18"/>
          <w:szCs w:val="18"/>
          <w:u w:val="single" w:color="auto"/>
          <w:color w:val="auto"/>
        </w:rPr>
        <w:t>Section 2.02</w:t>
      </w:r>
      <w:r>
        <w:rPr>
          <w:rFonts w:ascii="Arial" w:cs="Arial" w:eastAsia="Arial" w:hAnsi="Arial"/>
          <w:sz w:val="18"/>
          <w:szCs w:val="18"/>
          <w:color w:val="auto"/>
        </w:rPr>
        <w:t>) and may, in reliance upon such assumption, make available to the relevant Borrower a corresponding amount. In such event, if a Lender has not in fact made its share of the applicable Borrowing available to the Administrative Agent, then the applicable Lender and the Borrowers severally agree to pay to the Administrative Agent forthwith on demand such corresponding amount in Same Day Funds with interest thereon, for each day from and including the date such amount is made available to the Borrowers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the Borrowers, the interest rate applicable to Base Rate Loans (in the case of Loans denominated in Dollars) or the Cost of Funds Rate plus the Applicable Rate for Term Benchmark Loans or RFR Loans (in all other cases). If the Borrowers and such Lender shall pay such interest to the Administrative Agent for the same or an overlapping period, the Administrative Agent shall promptly remit to the relevant Borrower the amount of such interest paid by the relevant Borrower for such period. If such Lender pays its share of the applicable Borrowing to the Administrative Agent, then the amount so paid shall constitute such Lender’s Loan included in such Borrowing. Any payment by a Borrower shall be without prejudice to any claim the Borrowers may have against a Lender that shall have failed to make such payment to the Administrative Agent. A notice of the Administrative Agent to any Lender with respect to any amount owing under this subsection (b) shall be conclusive, absent manifest error.</w:t>
      </w:r>
    </w:p>
    <w:p>
      <w:pPr>
        <w:spacing w:after="0" w:line="184" w:lineRule="exact"/>
        <w:rPr>
          <w:rFonts w:ascii="Arial" w:cs="Arial" w:eastAsia="Arial" w:hAnsi="Arial"/>
          <w:sz w:val="18"/>
          <w:szCs w:val="18"/>
          <w:color w:val="auto"/>
        </w:rPr>
      </w:pPr>
    </w:p>
    <w:p>
      <w:pPr>
        <w:jc w:val="both"/>
        <w:ind w:firstLine="1505"/>
        <w:spacing w:after="0" w:line="250" w:lineRule="auto"/>
        <w:tabs>
          <w:tab w:leader="none" w:pos="2022"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Payments by Borrowers; Presumptions by Administrative Agent</w:t>
      </w:r>
      <w:r>
        <w:rPr>
          <w:rFonts w:ascii="Arial" w:cs="Arial" w:eastAsia="Arial" w:hAnsi="Arial"/>
          <w:sz w:val="20"/>
          <w:szCs w:val="20"/>
          <w:color w:val="auto"/>
        </w:rPr>
        <w:t>. Unless the Administrative Agent shall have received notice from the Borrowers prior to the date on which any payment is due to the Administrative Agent for the account of the Lenders or any L/C Issuer hereunder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1" w:name="page132"/>
    <w:bookmarkEnd w:id="131"/>
    <w:p>
      <w:pPr>
        <w:jc w:val="both"/>
        <w:spacing w:after="0" w:line="274" w:lineRule="auto"/>
        <w:rPr>
          <w:sz w:val="20"/>
          <w:szCs w:val="20"/>
          <w:color w:val="auto"/>
        </w:rPr>
      </w:pPr>
      <w:r>
        <w:rPr>
          <w:rFonts w:ascii="Arial" w:cs="Arial" w:eastAsia="Arial" w:hAnsi="Arial"/>
          <w:sz w:val="18"/>
          <w:szCs w:val="18"/>
          <w:color w:val="auto"/>
        </w:rPr>
        <w:t>Borrowers will not make such payment, the Administrative Agent may assume that the relevant Borrower has made such payment on such date in accordance herewith and may, in reliance upon such assumption, distribute to the Lenders or any Issuing Lender, as the case may be, the amount due. In such event, if the relevant Borrower has not in fact made such payment, then each Lender and each Issuing Lender, as the case may be, severally agrees to repay to the Administrative Agent forthwith on demand the amount so distributed to such Lender or any Issuing Lender, in Same Day Funds with interest thereon, for each day from and including the date such amount is distributed to it to but excluding the date of payment to the Administrative Agent, at the Overnight Rate. A notice of the Administrative Agent to the Borrowers with respect to any amount owing under this subsection (c) shall be conclusive, absent manifest error.</w:t>
      </w:r>
    </w:p>
    <w:p>
      <w:pPr>
        <w:spacing w:after="0" w:line="168" w:lineRule="exact"/>
        <w:rPr>
          <w:sz w:val="20"/>
          <w:szCs w:val="20"/>
          <w:color w:val="auto"/>
        </w:rPr>
      </w:pPr>
    </w:p>
    <w:p>
      <w:pPr>
        <w:jc w:val="both"/>
        <w:ind w:firstLine="1505"/>
        <w:spacing w:after="0" w:line="244" w:lineRule="auto"/>
        <w:tabs>
          <w:tab w:leader="none" w:pos="1993"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Borrowers by the Administrative Agent because the conditions to the applicable Credit Extension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the Administrative Agent shall promptly return such funds (in like funds as received from such Lender) to such Lender, without interest.</w:t>
      </w:r>
    </w:p>
    <w:p>
      <w:pPr>
        <w:spacing w:after="0" w:line="194" w:lineRule="exact"/>
        <w:rPr>
          <w:rFonts w:ascii="Arial" w:cs="Arial" w:eastAsia="Arial" w:hAnsi="Arial"/>
          <w:sz w:val="20"/>
          <w:szCs w:val="20"/>
          <w:color w:val="auto"/>
        </w:rPr>
      </w:pPr>
    </w:p>
    <w:p>
      <w:pPr>
        <w:jc w:val="both"/>
        <w:ind w:firstLine="1505"/>
        <w:spacing w:after="0" w:line="243" w:lineRule="auto"/>
        <w:tabs>
          <w:tab w:leader="none" w:pos="2011"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Obligations of Lenders Several</w:t>
      </w:r>
      <w:r>
        <w:rPr>
          <w:rFonts w:ascii="Arial" w:cs="Arial" w:eastAsia="Arial" w:hAnsi="Arial"/>
          <w:sz w:val="20"/>
          <w:szCs w:val="20"/>
          <w:color w:val="auto"/>
        </w:rPr>
        <w:t xml:space="preserve">. The obligations of the Lenders hereunder to make Committed Loans, to fund participations in Swing Line Loans, to issue and fund participations in Letters of Credit, and to make payments pursuant to </w:t>
      </w:r>
      <w:r>
        <w:rPr>
          <w:rFonts w:ascii="Arial" w:cs="Arial" w:eastAsia="Arial" w:hAnsi="Arial"/>
          <w:sz w:val="20"/>
          <w:szCs w:val="20"/>
          <w:u w:val="single" w:color="auto"/>
          <w:color w:val="auto"/>
        </w:rPr>
        <w:t>Section 10.04(c)</w:t>
      </w:r>
      <w:r>
        <w:rPr>
          <w:rFonts w:ascii="Arial" w:cs="Arial" w:eastAsia="Arial" w:hAnsi="Arial"/>
          <w:sz w:val="20"/>
          <w:szCs w:val="20"/>
          <w:color w:val="auto"/>
        </w:rPr>
        <w:t xml:space="preserve">, are several and not joint. The failure of any Lender to make any Loan, to issue any Letter of Credit, to fund any such participation or to make any payment under </w:t>
      </w:r>
      <w:r>
        <w:rPr>
          <w:rFonts w:ascii="Arial" w:cs="Arial" w:eastAsia="Arial" w:hAnsi="Arial"/>
          <w:sz w:val="20"/>
          <w:szCs w:val="20"/>
          <w:u w:val="single" w:color="auto"/>
          <w:color w:val="auto"/>
        </w:rPr>
        <w:t>Section 10.04(c)</w:t>
      </w:r>
      <w:r>
        <w:rPr>
          <w:rFonts w:ascii="Arial" w:cs="Arial" w:eastAsia="Arial" w:hAnsi="Arial"/>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20"/>
          <w:szCs w:val="20"/>
          <w:u w:val="single" w:color="auto"/>
          <w:color w:val="auto"/>
        </w:rPr>
        <w:t>Section 10.04(c)</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jc w:val="both"/>
        <w:ind w:firstLine="1505"/>
        <w:spacing w:after="0" w:line="250" w:lineRule="auto"/>
        <w:tabs>
          <w:tab w:leader="none" w:pos="1996"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2.13 </w:t>
      </w:r>
      <w:r>
        <w:rPr>
          <w:rFonts w:ascii="Arial" w:cs="Arial" w:eastAsia="Arial" w:hAnsi="Arial"/>
          <w:sz w:val="20"/>
          <w:szCs w:val="20"/>
          <w:color w:val="000000"/>
        </w:rPr>
        <w:t>Sharing of Payments by Lenders.</w:t>
      </w:r>
    </w:p>
    <w:p>
      <w:pPr>
        <w:spacing w:after="0" w:line="216" w:lineRule="exact"/>
        <w:rPr>
          <w:sz w:val="20"/>
          <w:szCs w:val="20"/>
          <w:color w:val="auto"/>
        </w:rPr>
      </w:pPr>
    </w:p>
    <w:p>
      <w:pPr>
        <w:jc w:val="both"/>
        <w:ind w:firstLine="1505"/>
        <w:spacing w:after="0" w:line="254" w:lineRule="auto"/>
        <w:tabs>
          <w:tab w:leader="none" w:pos="1989"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If any Lender shall, by exercising any right of setoff or counterclaim or otherwise, obtain payment in respect of (i) Obligations due and payable to such Lender hereunder and under the other Loan Documents at such time in excess of its ratable share (according to the proportion of (x) the amount of such Obligations due and payable to such Lender at such time to (y) the aggregate amount of the Obligations due and payable to all Lenders holding Loans hereunder and under the other Loan Documents at such time) of payments on account of the Obligations due and payable to all Lenders hereunder and under the other Loan Documents at such time obtained by all the Lenders at such time or (ii) Obligations owing (but not due and payable) to such Lender hereunder and under the other Loan Documents at such time in excess of its ratable share (according to the proportion of (x) the amount of such Obligations owing (but not due and payable) to such Lender at such time to (y) the aggregate amount of the Obligations owing (but not due and payable) to all Lenders holding Loans hereunder and under the other Loan Documents at such time) of payments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Loans and sub-participations in Swing Line Loans and L/C Obligations of the other Lenders, as applicable,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2" w:name="page133"/>
    <w:bookmarkEnd w:id="132"/>
    <w:p>
      <w:pPr>
        <w:jc w:val="both"/>
        <w:ind w:firstLine="1494"/>
        <w:spacing w:after="0" w:line="250" w:lineRule="auto"/>
        <w:tabs>
          <w:tab w:leader="none" w:pos="1987" w:val="left"/>
        </w:tabs>
        <w:numPr>
          <w:ilvl w:val="1"/>
          <w:numId w:val="100"/>
        </w:numPr>
        <w:rPr>
          <w:rFonts w:ascii="Arial" w:cs="Arial" w:eastAsia="Arial" w:hAnsi="Arial"/>
          <w:sz w:val="20"/>
          <w:szCs w:val="20"/>
          <w:color w:val="010000"/>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5" w:lineRule="exact"/>
        <w:rPr>
          <w:rFonts w:ascii="Arial" w:cs="Arial" w:eastAsia="Arial" w:hAnsi="Arial"/>
          <w:sz w:val="20"/>
          <w:szCs w:val="20"/>
          <w:color w:val="010000"/>
        </w:rPr>
      </w:pPr>
    </w:p>
    <w:p>
      <w:pPr>
        <w:jc w:val="both"/>
        <w:ind w:firstLine="1494"/>
        <w:spacing w:after="0" w:line="243" w:lineRule="auto"/>
        <w:tabs>
          <w:tab w:leader="none" w:pos="1987" w:val="left"/>
        </w:tabs>
        <w:numPr>
          <w:ilvl w:val="1"/>
          <w:numId w:val="100"/>
        </w:numPr>
        <w:rPr>
          <w:rFonts w:ascii="Arial" w:cs="Arial" w:eastAsia="Arial" w:hAnsi="Arial"/>
          <w:sz w:val="20"/>
          <w:szCs w:val="20"/>
          <w:color w:val="010000"/>
        </w:rPr>
      </w:pPr>
      <w:r>
        <w:rPr>
          <w:rFonts w:ascii="Arial" w:cs="Arial" w:eastAsia="Arial" w:hAnsi="Arial"/>
          <w:sz w:val="20"/>
          <w:szCs w:val="20"/>
          <w:color w:val="auto"/>
        </w:rPr>
        <w:t xml:space="preserve">the provisions of this Section shall not be construed to apply to (A) any payment made by or on behalf of the Borrowers pursuant to and in accordance with the express terms of this Agreement (including the application of funds arising from the existence of a Defaulting Lender and including pursuant to any amendment permitted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2.17</w:t>
      </w:r>
      <w:r>
        <w:rPr>
          <w:rFonts w:ascii="Arial" w:cs="Arial" w:eastAsia="Arial" w:hAnsi="Arial"/>
          <w:sz w:val="20"/>
          <w:szCs w:val="20"/>
          <w:color w:val="auto"/>
        </w:rPr>
        <w:t xml:space="preserve">), (B) the application of Cash Collateral provided for in </w:t>
      </w:r>
      <w:r>
        <w:rPr>
          <w:rFonts w:ascii="Arial" w:cs="Arial" w:eastAsia="Arial" w:hAnsi="Arial"/>
          <w:sz w:val="20"/>
          <w:szCs w:val="20"/>
          <w:u w:val="single" w:color="auto"/>
          <w:color w:val="auto"/>
        </w:rPr>
        <w:t>Section 2.15</w:t>
      </w:r>
      <w:r>
        <w:rPr>
          <w:rFonts w:ascii="Arial" w:cs="Arial" w:eastAsia="Arial" w:hAnsi="Arial"/>
          <w:sz w:val="20"/>
          <w:szCs w:val="20"/>
          <w:color w:val="auto"/>
        </w:rPr>
        <w:t>, or (C) any payment obtained by a Lender as consideration for the assignment of or sale of a participation in any of its Loans or sub-participations in Swing Line Loans or L/C Obligations to any assignee or participant.</w:t>
      </w:r>
    </w:p>
    <w:p>
      <w:pPr>
        <w:spacing w:after="0" w:line="195" w:lineRule="exact"/>
        <w:rPr>
          <w:rFonts w:ascii="Arial" w:cs="Arial" w:eastAsia="Arial" w:hAnsi="Arial"/>
          <w:sz w:val="20"/>
          <w:szCs w:val="20"/>
          <w:color w:val="010000"/>
        </w:rPr>
      </w:pPr>
    </w:p>
    <w:p>
      <w:pPr>
        <w:jc w:val="both"/>
        <w:ind w:left="-760" w:firstLine="1505"/>
        <w:spacing w:after="0" w:line="246" w:lineRule="auto"/>
        <w:tabs>
          <w:tab w:leader="none" w:pos="1236" w:val="left"/>
        </w:tabs>
        <w:numPr>
          <w:ilvl w:val="0"/>
          <w:numId w:val="101"/>
        </w:numPr>
        <w:rPr>
          <w:rFonts w:ascii="Arial" w:cs="Arial" w:eastAsia="Arial" w:hAnsi="Arial"/>
          <w:sz w:val="20"/>
          <w:szCs w:val="20"/>
          <w:color w:val="auto"/>
        </w:rPr>
      </w:pPr>
      <w:r>
        <w:rPr>
          <w:rFonts w:ascii="Arial" w:cs="Arial" w:eastAsia="Arial" w:hAnsi="Arial"/>
          <w:sz w:val="20"/>
          <w:szCs w:val="20"/>
          <w:color w:val="auto"/>
        </w:rPr>
        <w:t>Each Borrower consents to the foregoing and agrees,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010000"/>
        </w:rPr>
        <w:t xml:space="preserve">2.14 </w:t>
      </w:r>
      <w:r>
        <w:rPr>
          <w:rFonts w:ascii="Arial" w:cs="Arial" w:eastAsia="Arial" w:hAnsi="Arial"/>
          <w:sz w:val="20"/>
          <w:szCs w:val="20"/>
          <w:color w:val="000000"/>
        </w:rPr>
        <w:t>Increase in Commitments.</w:t>
      </w:r>
    </w:p>
    <w:p>
      <w:pPr>
        <w:spacing w:after="0" w:line="216" w:lineRule="exact"/>
        <w:rPr>
          <w:sz w:val="20"/>
          <w:szCs w:val="20"/>
          <w:color w:val="auto"/>
        </w:rPr>
      </w:pPr>
    </w:p>
    <w:p>
      <w:pPr>
        <w:jc w:val="both"/>
        <w:ind w:left="-760" w:firstLine="1505"/>
        <w:spacing w:after="0" w:line="268" w:lineRule="auto"/>
        <w:tabs>
          <w:tab w:leader="none" w:pos="12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Upon notice to the Administrative Agent (which shall promptly notify the applicable Lenders), the Company may from time to time request the establishment of one or more new revolving commitments (a “</w:t>
      </w:r>
      <w:r>
        <w:rPr>
          <w:rFonts w:ascii="Arial" w:cs="Arial" w:eastAsia="Arial" w:hAnsi="Arial"/>
          <w:sz w:val="18"/>
          <w:szCs w:val="18"/>
          <w:u w:val="single" w:color="auto"/>
          <w:color w:val="auto"/>
        </w:rPr>
        <w:t>New Loan Commitment</w:t>
      </w:r>
      <w:r>
        <w:rPr>
          <w:rFonts w:ascii="Arial" w:cs="Arial" w:eastAsia="Arial" w:hAnsi="Arial"/>
          <w:sz w:val="18"/>
          <w:szCs w:val="18"/>
          <w:color w:val="auto"/>
        </w:rPr>
        <w:t xml:space="preserve">”) hereunder, in an aggregate amount for all such New Loan Commitments not in excess of $500,000,000;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New Loan Commitment shall be in a minimum principal amount of $50,000,000 or a whole increment of $5,000,000 in excess thereof. The Company (in consultation with the Administrative Agent) shall specify in such notice (i) the principal amount of the requested New Loan Commitment and (ii) the date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on which the Company proposes that such New Loan Commitment shall be effective (which shall in no event be less than 15 Business Days from the date of delivery of such notice to the Lenders). Each Lender shall notify the Administrative Agent within at least ten Business Days of the date of delivery of such notice to the Lenders whether or not it agrees to provide a portion of the requested New Loan Commitment (and, if so, the principal amount it proposes to provide). Notwithstanding anything herein to the contrary, no Lender shall have any obligation to provide any portion of the requested New Loan Commitment and any election to do so shall be in the sole discretion of such Lender. Any Lender not responding by 5:00 p.m. (New York City time) on the date ten Business Days following delivery of such notice shall be deemed to have declined to provide any portion of the requested New Loan Commitment. The Administrative Agent shall notify the Company of the Lenders’ responses to the requested New Loan Commitment. To achieve the full amount of a requested New Loan Commitment and subject to the consent of the Administrative Agent (and in the case of a New Loan Commitment for Committed Loans, each Issuing Lender and the Swing Line Lender) pursuant to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the Company may also invite additional Eligible Assignees to become Lenders. The Administrative Agent and the Company shall determine the final allocation of the requested New Loan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allocate any portion of such New Loan Commitment to existing Lenders. The Administrative Agent shall promptly notify the applicable Lenders of the final allocation of the requested New Loan Commitment.</w:t>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1220" w:hanging="475"/>
        <w:spacing w:after="0"/>
        <w:tabs>
          <w:tab w:leader="none" w:pos="122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Each New Loan Commitment shall become effective as of the related Increase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356235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2" w:right="339" w:bottom="1440" w:gutter="0" w:footer="0" w:header="0"/>
        </w:sectPr>
      </w:pPr>
    </w:p>
    <w:bookmarkStart w:id="133" w:name="page134"/>
    <w:bookmarkEnd w:id="133"/>
    <w:p>
      <w:pPr>
        <w:ind w:firstLine="1494"/>
        <w:spacing w:after="0" w:line="316" w:lineRule="auto"/>
        <w:tabs>
          <w:tab w:leader="none" w:pos="1992" w:val="left"/>
        </w:tabs>
        <w:numPr>
          <w:ilvl w:val="1"/>
          <w:numId w:val="103"/>
        </w:numPr>
        <w:rPr>
          <w:rFonts w:ascii="Arial" w:cs="Arial" w:eastAsia="Arial" w:hAnsi="Arial"/>
          <w:sz w:val="18"/>
          <w:szCs w:val="18"/>
          <w:color w:val="010000"/>
        </w:rPr>
      </w:pPr>
      <w:r>
        <w:rPr>
          <w:rFonts w:ascii="Arial" w:cs="Arial" w:eastAsia="Arial" w:hAnsi="Arial"/>
          <w:sz w:val="18"/>
          <w:szCs w:val="18"/>
          <w:color w:val="auto"/>
        </w:rPr>
        <w:t>no Event of Default shall exist on such Increase Effective Date before or after giving effect to such New Loan Commitment and to the making of any loans (in the case of new loans under the Facility, the “</w:t>
      </w:r>
      <w:r>
        <w:rPr>
          <w:rFonts w:ascii="Arial" w:cs="Arial" w:eastAsia="Arial" w:hAnsi="Arial"/>
          <w:sz w:val="18"/>
          <w:szCs w:val="18"/>
          <w:u w:val="single" w:color="auto"/>
          <w:color w:val="auto"/>
        </w:rPr>
        <w:t>New Loans</w:t>
      </w:r>
      <w:r>
        <w:rPr>
          <w:rFonts w:ascii="Arial" w:cs="Arial" w:eastAsia="Arial" w:hAnsi="Arial"/>
          <w:sz w:val="18"/>
          <w:szCs w:val="18"/>
          <w:color w:val="auto"/>
        </w:rPr>
        <w:t>”) pursuant thereto;</w:t>
      </w:r>
    </w:p>
    <w:p>
      <w:pPr>
        <w:spacing w:after="0" w:line="129" w:lineRule="exact"/>
        <w:rPr>
          <w:rFonts w:ascii="Arial" w:cs="Arial" w:eastAsia="Arial" w:hAnsi="Arial"/>
          <w:sz w:val="18"/>
          <w:szCs w:val="18"/>
          <w:color w:val="010000"/>
        </w:rPr>
      </w:pPr>
    </w:p>
    <w:p>
      <w:pPr>
        <w:ind w:left="1980" w:hanging="486"/>
        <w:spacing w:after="0"/>
        <w:tabs>
          <w:tab w:leader="none" w:pos="1980" w:val="left"/>
        </w:tabs>
        <w:numPr>
          <w:ilvl w:val="1"/>
          <w:numId w:val="103"/>
        </w:numPr>
        <w:rPr>
          <w:rFonts w:ascii="Arial" w:cs="Arial" w:eastAsia="Arial" w:hAnsi="Arial"/>
          <w:sz w:val="20"/>
          <w:szCs w:val="20"/>
          <w:color w:val="010000"/>
        </w:rPr>
      </w:pPr>
      <w:r>
        <w:rPr>
          <w:rFonts w:ascii="Arial" w:cs="Arial" w:eastAsia="Arial" w:hAnsi="Arial"/>
          <w:sz w:val="20"/>
          <w:szCs w:val="20"/>
          <w:color w:val="auto"/>
        </w:rPr>
        <w:t xml:space="preserve">the conditions of </w:t>
      </w:r>
      <w:r>
        <w:rPr>
          <w:rFonts w:ascii="Arial" w:cs="Arial" w:eastAsia="Arial" w:hAnsi="Arial"/>
          <w:sz w:val="20"/>
          <w:szCs w:val="20"/>
          <w:u w:val="single" w:color="auto"/>
          <w:color w:val="auto"/>
        </w:rPr>
        <w:t>Section 4.02(a)</w:t>
      </w:r>
      <w:r>
        <w:rPr>
          <w:rFonts w:ascii="Arial" w:cs="Arial" w:eastAsia="Arial" w:hAnsi="Arial"/>
          <w:sz w:val="20"/>
          <w:szCs w:val="20"/>
          <w:color w:val="auto"/>
        </w:rPr>
        <w:t xml:space="preserve"> shall be met as of such Increase Effective Date;</w:t>
      </w:r>
    </w:p>
    <w:p>
      <w:pPr>
        <w:spacing w:after="0" w:line="215" w:lineRule="exact"/>
        <w:rPr>
          <w:rFonts w:ascii="Arial" w:cs="Arial" w:eastAsia="Arial" w:hAnsi="Arial"/>
          <w:sz w:val="20"/>
          <w:szCs w:val="20"/>
          <w:color w:val="010000"/>
        </w:rPr>
      </w:pPr>
    </w:p>
    <w:p>
      <w:pPr>
        <w:jc w:val="both"/>
        <w:ind w:firstLine="1494"/>
        <w:spacing w:after="0" w:line="250" w:lineRule="auto"/>
        <w:tabs>
          <w:tab w:leader="none" w:pos="1980" w:val="left"/>
        </w:tabs>
        <w:numPr>
          <w:ilvl w:val="1"/>
          <w:numId w:val="103"/>
        </w:numPr>
        <w:rPr>
          <w:rFonts w:ascii="Arial" w:cs="Arial" w:eastAsia="Arial" w:hAnsi="Arial"/>
          <w:sz w:val="20"/>
          <w:szCs w:val="20"/>
          <w:color w:val="010000"/>
        </w:rPr>
      </w:pPr>
      <w:r>
        <w:rPr>
          <w:rFonts w:ascii="Arial" w:cs="Arial" w:eastAsia="Arial" w:hAnsi="Arial"/>
          <w:sz w:val="20"/>
          <w:szCs w:val="20"/>
          <w:color w:val="auto"/>
        </w:rPr>
        <w:t xml:space="preserve">the Company shall be in pro forma compliance with the financial covenants set forth in </w:t>
      </w:r>
      <w:r>
        <w:rPr>
          <w:rFonts w:ascii="Arial" w:cs="Arial" w:eastAsia="Arial" w:hAnsi="Arial"/>
          <w:sz w:val="20"/>
          <w:szCs w:val="20"/>
          <w:u w:val="single" w:color="auto"/>
          <w:color w:val="auto"/>
        </w:rPr>
        <w:t>Section 7.08</w:t>
      </w:r>
      <w:r>
        <w:rPr>
          <w:rFonts w:ascii="Arial" w:cs="Arial" w:eastAsia="Arial" w:hAnsi="Arial"/>
          <w:sz w:val="20"/>
          <w:szCs w:val="20"/>
          <w:color w:val="auto"/>
        </w:rPr>
        <w:t xml:space="preserve"> on the Increase Effective Date after giving effect to all Loans to be made on the Increase Effective Date and as of the most recently ended fiscal quarter;</w:t>
      </w:r>
    </w:p>
    <w:p>
      <w:pPr>
        <w:spacing w:after="0" w:line="185" w:lineRule="exact"/>
        <w:rPr>
          <w:rFonts w:ascii="Arial" w:cs="Arial" w:eastAsia="Arial" w:hAnsi="Arial"/>
          <w:sz w:val="20"/>
          <w:szCs w:val="20"/>
          <w:color w:val="010000"/>
        </w:rPr>
      </w:pPr>
    </w:p>
    <w:p>
      <w:pPr>
        <w:ind w:left="1980" w:hanging="486"/>
        <w:spacing w:after="0"/>
        <w:tabs>
          <w:tab w:leader="none" w:pos="1980" w:val="left"/>
        </w:tabs>
        <w:numPr>
          <w:ilvl w:val="1"/>
          <w:numId w:val="103"/>
        </w:numPr>
        <w:rPr>
          <w:rFonts w:ascii="Arial" w:cs="Arial" w:eastAsia="Arial" w:hAnsi="Arial"/>
          <w:sz w:val="20"/>
          <w:szCs w:val="20"/>
          <w:color w:val="010000"/>
        </w:rPr>
      </w:pPr>
      <w:r>
        <w:rPr>
          <w:rFonts w:ascii="Arial" w:cs="Arial" w:eastAsia="Arial" w:hAnsi="Arial"/>
          <w:sz w:val="20"/>
          <w:szCs w:val="20"/>
          <w:color w:val="auto"/>
        </w:rPr>
        <w:t xml:space="preserve">the proceeds of all New Loans shall be used for purposes permitted under </w:t>
      </w:r>
      <w:r>
        <w:rPr>
          <w:rFonts w:ascii="Arial" w:cs="Arial" w:eastAsia="Arial" w:hAnsi="Arial"/>
          <w:sz w:val="20"/>
          <w:szCs w:val="20"/>
          <w:u w:val="single" w:color="auto"/>
          <w:color w:val="auto"/>
        </w:rPr>
        <w:t>Section 6.08</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ind w:left="2000" w:hanging="506"/>
        <w:spacing w:after="0"/>
        <w:tabs>
          <w:tab w:leader="none" w:pos="2000" w:val="left"/>
        </w:tabs>
        <w:numPr>
          <w:ilvl w:val="1"/>
          <w:numId w:val="103"/>
        </w:numPr>
        <w:rPr>
          <w:rFonts w:ascii="Arial" w:cs="Arial" w:eastAsia="Arial" w:hAnsi="Arial"/>
          <w:sz w:val="19"/>
          <w:szCs w:val="19"/>
          <w:color w:val="010000"/>
        </w:rPr>
      </w:pPr>
      <w:r>
        <w:rPr>
          <w:rFonts w:ascii="Arial" w:cs="Arial" w:eastAsia="Arial" w:hAnsi="Arial"/>
          <w:sz w:val="19"/>
          <w:szCs w:val="19"/>
          <w:color w:val="auto"/>
        </w:rPr>
        <w:t>the maturity date of a New Loan Commitment shall not be earlier than the Extended Revolving Credit</w:t>
      </w:r>
    </w:p>
    <w:p>
      <w:pPr>
        <w:spacing w:after="0" w:line="27"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0"/>
          <w:szCs w:val="20"/>
          <w:color w:val="auto"/>
        </w:rPr>
        <w:t>Maturity Date;</w:t>
      </w:r>
    </w:p>
    <w:p>
      <w:pPr>
        <w:spacing w:after="0" w:line="199" w:lineRule="exact"/>
        <w:rPr>
          <w:rFonts w:ascii="Arial" w:cs="Arial" w:eastAsia="Arial" w:hAnsi="Arial"/>
          <w:sz w:val="19"/>
          <w:szCs w:val="19"/>
          <w:color w:val="010000"/>
        </w:rPr>
      </w:pPr>
    </w:p>
    <w:p>
      <w:pPr>
        <w:jc w:val="both"/>
        <w:ind w:firstLine="1494"/>
        <w:spacing w:after="0" w:line="250" w:lineRule="auto"/>
        <w:tabs>
          <w:tab w:leader="none" w:pos="1979" w:val="left"/>
        </w:tabs>
        <w:numPr>
          <w:ilvl w:val="1"/>
          <w:numId w:val="103"/>
        </w:numPr>
        <w:rPr>
          <w:rFonts w:ascii="Arial" w:cs="Arial" w:eastAsia="Arial" w:hAnsi="Arial"/>
          <w:sz w:val="20"/>
          <w:szCs w:val="20"/>
          <w:color w:val="010000"/>
        </w:rPr>
      </w:pPr>
      <w:r>
        <w:rPr>
          <w:rFonts w:ascii="Arial" w:cs="Arial" w:eastAsia="Arial" w:hAnsi="Arial"/>
          <w:sz w:val="20"/>
          <w:szCs w:val="20"/>
          <w:color w:val="auto"/>
        </w:rPr>
        <w:t xml:space="preserve">such New Loan Commitment shall be effected pursuant to a Joinder Agreement substantially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hereto executed by the Company, the Administrative Agent and the lenders providing the New Loans (the “</w:t>
      </w:r>
      <w:r>
        <w:rPr>
          <w:rFonts w:ascii="Arial" w:cs="Arial" w:eastAsia="Arial" w:hAnsi="Arial"/>
          <w:sz w:val="20"/>
          <w:szCs w:val="20"/>
          <w:u w:val="single" w:color="auto"/>
          <w:color w:val="auto"/>
        </w:rPr>
        <w:t>New</w:t>
      </w:r>
      <w:r>
        <w:rPr>
          <w:rFonts w:ascii="Arial" w:cs="Arial" w:eastAsia="Arial" w:hAnsi="Arial"/>
          <w:sz w:val="20"/>
          <w:szCs w:val="20"/>
          <w:color w:val="auto"/>
        </w:rPr>
        <w:t xml:space="preserve"> </w:t>
      </w:r>
      <w:r>
        <w:rPr>
          <w:rFonts w:ascii="Arial" w:cs="Arial" w:eastAsia="Arial" w:hAnsi="Arial"/>
          <w:sz w:val="20"/>
          <w:szCs w:val="20"/>
          <w:u w:val="single" w:color="auto"/>
          <w:color w:val="auto"/>
        </w:rPr>
        <w:t>Lenders</w:t>
      </w:r>
      <w:r>
        <w:rPr>
          <w:rFonts w:ascii="Arial" w:cs="Arial" w:eastAsia="Arial" w:hAnsi="Arial"/>
          <w:sz w:val="20"/>
          <w:szCs w:val="20"/>
          <w:color w:val="auto"/>
        </w:rPr>
        <w:t>”);</w:t>
      </w:r>
    </w:p>
    <w:p>
      <w:pPr>
        <w:spacing w:after="0" w:line="185" w:lineRule="exact"/>
        <w:rPr>
          <w:rFonts w:ascii="Arial" w:cs="Arial" w:eastAsia="Arial" w:hAnsi="Arial"/>
          <w:sz w:val="20"/>
          <w:szCs w:val="20"/>
          <w:color w:val="010000"/>
        </w:rPr>
      </w:pPr>
    </w:p>
    <w:p>
      <w:pPr>
        <w:ind w:firstLine="1494"/>
        <w:spacing w:after="0" w:line="316" w:lineRule="auto"/>
        <w:tabs>
          <w:tab w:leader="none" w:pos="1988" w:val="left"/>
        </w:tabs>
        <w:numPr>
          <w:ilvl w:val="1"/>
          <w:numId w:val="103"/>
        </w:numPr>
        <w:rPr>
          <w:rFonts w:ascii="Arial" w:cs="Arial" w:eastAsia="Arial" w:hAnsi="Arial"/>
          <w:sz w:val="18"/>
          <w:szCs w:val="18"/>
          <w:color w:val="010000"/>
        </w:rPr>
      </w:pPr>
      <w:r>
        <w:rPr>
          <w:rFonts w:ascii="Arial" w:cs="Arial" w:eastAsia="Arial" w:hAnsi="Arial"/>
          <w:sz w:val="18"/>
          <w:szCs w:val="18"/>
          <w:color w:val="auto"/>
        </w:rPr>
        <w:t xml:space="preserve">the New Loans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Loans and no New Loans shall be secured by or receive the benefit of any collateral, credit support or security that does not secure or support the existing Loans;</w:t>
      </w:r>
    </w:p>
    <w:p>
      <w:pPr>
        <w:spacing w:after="0" w:line="129" w:lineRule="exact"/>
        <w:rPr>
          <w:rFonts w:ascii="Arial" w:cs="Arial" w:eastAsia="Arial" w:hAnsi="Arial"/>
          <w:sz w:val="18"/>
          <w:szCs w:val="18"/>
          <w:color w:val="010000"/>
        </w:rPr>
      </w:pPr>
    </w:p>
    <w:p>
      <w:pPr>
        <w:jc w:val="both"/>
        <w:ind w:firstLine="1494"/>
        <w:spacing w:after="0" w:line="260" w:lineRule="auto"/>
        <w:tabs>
          <w:tab w:leader="none" w:pos="1988" w:val="left"/>
        </w:tabs>
        <w:numPr>
          <w:ilvl w:val="1"/>
          <w:numId w:val="103"/>
        </w:numPr>
        <w:rPr>
          <w:rFonts w:ascii="Arial" w:cs="Arial" w:eastAsia="Arial" w:hAnsi="Arial"/>
          <w:sz w:val="19"/>
          <w:szCs w:val="19"/>
          <w:color w:val="010000"/>
        </w:rPr>
      </w:pPr>
      <w:r>
        <w:rPr>
          <w:rFonts w:ascii="Arial" w:cs="Arial" w:eastAsia="Arial" w:hAnsi="Arial"/>
          <w:sz w:val="19"/>
          <w:szCs w:val="19"/>
          <w:color w:val="auto"/>
        </w:rPr>
        <w:t>each New Loan Commitment shall be a Revolving Credit Commitment and part of the Facility (and not a separate facility or class hereunder), each New Lender thereunder shall be, and shall have all the rights of, a Revolving Credit Lender and the New Loans made by it shall be Committed Loans for all purposes of this Agreement and the terms and provisions of such New Loan Commitment and the related New Loans that are Committed Loans shall be identical to those of the existing Revolving Credit Commitments and existing Committed Loans;</w:t>
      </w:r>
    </w:p>
    <w:p>
      <w:pPr>
        <w:spacing w:after="0" w:line="180" w:lineRule="exact"/>
        <w:rPr>
          <w:rFonts w:ascii="Arial" w:cs="Arial" w:eastAsia="Arial" w:hAnsi="Arial"/>
          <w:sz w:val="19"/>
          <w:szCs w:val="19"/>
          <w:color w:val="010000"/>
        </w:rPr>
      </w:pPr>
    </w:p>
    <w:p>
      <w:pPr>
        <w:ind w:firstLine="1494"/>
        <w:spacing w:after="0" w:line="260" w:lineRule="auto"/>
        <w:tabs>
          <w:tab w:leader="none" w:pos="2003" w:val="left"/>
        </w:tabs>
        <w:numPr>
          <w:ilvl w:val="1"/>
          <w:numId w:val="103"/>
        </w:numPr>
        <w:rPr>
          <w:rFonts w:ascii="Arial" w:cs="Arial" w:eastAsia="Arial" w:hAnsi="Arial"/>
          <w:sz w:val="20"/>
          <w:szCs w:val="20"/>
          <w:color w:val="010000"/>
        </w:rPr>
      </w:pPr>
      <w:r>
        <w:rPr>
          <w:rFonts w:ascii="Arial" w:cs="Arial" w:eastAsia="Arial" w:hAnsi="Arial"/>
          <w:sz w:val="20"/>
          <w:szCs w:val="20"/>
          <w:color w:val="auto"/>
        </w:rPr>
        <w:t>all fees and expenses then due to the Administrative Agent and the Lenders (other than any Defaulting Lender) with respect to the New Loan Commitment and the New Loans shall have been paid;</w:t>
      </w:r>
    </w:p>
    <w:p>
      <w:pPr>
        <w:spacing w:after="0" w:line="176" w:lineRule="exact"/>
        <w:rPr>
          <w:rFonts w:ascii="Arial" w:cs="Arial" w:eastAsia="Arial" w:hAnsi="Arial"/>
          <w:sz w:val="20"/>
          <w:szCs w:val="20"/>
          <w:color w:val="010000"/>
        </w:rPr>
      </w:pPr>
    </w:p>
    <w:p>
      <w:pPr>
        <w:ind w:firstLine="1494"/>
        <w:spacing w:after="0" w:line="260" w:lineRule="auto"/>
        <w:tabs>
          <w:tab w:leader="none" w:pos="1992" w:val="left"/>
        </w:tabs>
        <w:numPr>
          <w:ilvl w:val="1"/>
          <w:numId w:val="103"/>
        </w:numPr>
        <w:rPr>
          <w:rFonts w:ascii="Arial" w:cs="Arial" w:eastAsia="Arial" w:hAnsi="Arial"/>
          <w:sz w:val="20"/>
          <w:szCs w:val="20"/>
          <w:color w:val="010000"/>
        </w:rPr>
      </w:pPr>
      <w:r>
        <w:rPr>
          <w:rFonts w:ascii="Arial" w:cs="Arial" w:eastAsia="Arial" w:hAnsi="Arial"/>
          <w:sz w:val="20"/>
          <w:szCs w:val="20"/>
          <w:color w:val="auto"/>
        </w:rPr>
        <w:t>the Administrative Agent shall have received such opinions, resolutions, certificates and other documents and instruments related to such New Loan Commitments as it shall reasonably request; and</w:t>
      </w:r>
    </w:p>
    <w:p>
      <w:pPr>
        <w:spacing w:after="0" w:line="176" w:lineRule="exact"/>
        <w:rPr>
          <w:rFonts w:ascii="Arial" w:cs="Arial" w:eastAsia="Arial" w:hAnsi="Arial"/>
          <w:sz w:val="20"/>
          <w:szCs w:val="20"/>
          <w:color w:val="010000"/>
        </w:rPr>
      </w:pPr>
    </w:p>
    <w:p>
      <w:pPr>
        <w:jc w:val="both"/>
        <w:ind w:firstLine="1494"/>
        <w:spacing w:after="0" w:line="250" w:lineRule="auto"/>
        <w:tabs>
          <w:tab w:leader="none" w:pos="1991" w:val="left"/>
        </w:tabs>
        <w:numPr>
          <w:ilvl w:val="1"/>
          <w:numId w:val="103"/>
        </w:numPr>
        <w:rPr>
          <w:rFonts w:ascii="Arial" w:cs="Arial" w:eastAsia="Arial" w:hAnsi="Arial"/>
          <w:sz w:val="20"/>
          <w:szCs w:val="20"/>
          <w:color w:val="010000"/>
        </w:rPr>
      </w:pPr>
      <w:r>
        <w:rPr>
          <w:rFonts w:ascii="Arial" w:cs="Arial" w:eastAsia="Arial" w:hAnsi="Arial"/>
          <w:sz w:val="20"/>
          <w:szCs w:val="20"/>
          <w:color w:val="auto"/>
        </w:rPr>
        <w:t>the other terms and documentation in respect of any New Loan Commitment, to the extent not consistent with this Agreement as in effect prior to the Increase Effective Date, shall otherwise be reasonably satisfactory to the Administrative Agent.</w:t>
      </w:r>
    </w:p>
    <w:p>
      <w:pPr>
        <w:spacing w:after="0" w:line="185" w:lineRule="exact"/>
        <w:rPr>
          <w:rFonts w:ascii="Arial" w:cs="Arial" w:eastAsia="Arial" w:hAnsi="Arial"/>
          <w:sz w:val="20"/>
          <w:szCs w:val="20"/>
          <w:color w:val="010000"/>
        </w:rPr>
      </w:pPr>
    </w:p>
    <w:p>
      <w:pPr>
        <w:ind w:left="-760" w:firstLine="1505"/>
        <w:spacing w:after="0" w:line="260" w:lineRule="auto"/>
        <w:tabs>
          <w:tab w:leader="none" w:pos="1235" w:val="left"/>
        </w:tabs>
        <w:numPr>
          <w:ilvl w:val="0"/>
          <w:numId w:val="104"/>
        </w:numPr>
        <w:rPr>
          <w:rFonts w:ascii="Arial" w:cs="Arial" w:eastAsia="Arial" w:hAnsi="Arial"/>
          <w:sz w:val="20"/>
          <w:szCs w:val="20"/>
          <w:color w:val="auto"/>
        </w:rPr>
      </w:pPr>
      <w:r>
        <w:rPr>
          <w:rFonts w:ascii="Arial" w:cs="Arial" w:eastAsia="Arial" w:hAnsi="Arial"/>
          <w:sz w:val="20"/>
          <w:szCs w:val="20"/>
          <w:color w:val="auto"/>
        </w:rPr>
        <w:t>On each Increase Effective Date, subject to the foregoing terms and conditions, each New Lender participating in the related New Loan Commitment shall become a Lender hereunder.</w:t>
      </w:r>
    </w:p>
    <w:p>
      <w:pPr>
        <w:spacing w:after="0" w:line="176" w:lineRule="exact"/>
        <w:rPr>
          <w:rFonts w:ascii="Arial" w:cs="Arial" w:eastAsia="Arial" w:hAnsi="Arial"/>
          <w:sz w:val="20"/>
          <w:szCs w:val="20"/>
          <w:color w:val="auto"/>
        </w:rPr>
      </w:pPr>
    </w:p>
    <w:p>
      <w:pPr>
        <w:jc w:val="both"/>
        <w:ind w:left="-760" w:firstLine="1505"/>
        <w:spacing w:after="0" w:line="291" w:lineRule="auto"/>
        <w:tabs>
          <w:tab w:leader="none" w:pos="122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In the case of New Loans, the Company shall prepay any Committed Loans outstanding on the applicable Increase Effective Date (and pay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and borrow Committed Loans from the New Lenders to the extent necessary to keep the outstanding Committed Loans ratable with any revised Applicable Percentages arising from any nonratable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308610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2" w:right="339" w:bottom="1440" w:gutter="0" w:footer="0" w:header="0"/>
        </w:sectPr>
      </w:pPr>
    </w:p>
    <w:bookmarkStart w:id="134" w:name="page135"/>
    <w:bookmarkEnd w:id="134"/>
    <w:p>
      <w:pPr>
        <w:jc w:val="both"/>
        <w:spacing w:after="0" w:line="291" w:lineRule="auto"/>
        <w:rPr>
          <w:sz w:val="20"/>
          <w:szCs w:val="20"/>
          <w:color w:val="auto"/>
        </w:rPr>
      </w:pPr>
      <w:r>
        <w:rPr>
          <w:rFonts w:ascii="Arial" w:cs="Arial" w:eastAsia="Arial" w:hAnsi="Arial"/>
          <w:sz w:val="18"/>
          <w:szCs w:val="18"/>
          <w:color w:val="auto"/>
        </w:rPr>
        <w:t>increase in the Revolving Credit Commitments under this Section and if there are Swing Line Loans or Letters of Credit then outstanding, the participations of the Revolving Credit Lenders in such Swing Line Loans or Letters of Credit will be automatically adjusted to reflect the Applicable Percentages of all the Revolving Credit Lenders after giving effect to the related New Loan Commitment.</w:t>
      </w:r>
    </w:p>
    <w:p>
      <w:pPr>
        <w:spacing w:after="0" w:line="152" w:lineRule="exact"/>
        <w:rPr>
          <w:sz w:val="20"/>
          <w:szCs w:val="20"/>
          <w:color w:val="auto"/>
        </w:rPr>
      </w:pPr>
    </w:p>
    <w:p>
      <w:pPr>
        <w:jc w:val="both"/>
        <w:ind w:firstLine="1505"/>
        <w:spacing w:after="0" w:line="257" w:lineRule="auto"/>
        <w:tabs>
          <w:tab w:leader="none" w:pos="198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this Agreement and the other Loan Documents may be amended or amended and restated to effect such changes as may be necessary or appropriate, in the opinion of the Administrative Agent, to effect the provisions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which amendment (which may be incorporated in the applicable Joinder Agreement) shall be executed by the Company, the Administrative Agent and the New Lenders (but shall not be required to be executed by any other Lenders and, notwithstanding anything to the contrary set forth in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shall not require the consent of any Lender other than Lenders providing any New Loan Commitments established thereby). Such amendment may provide for the inclusion, as appropriate, of additional Lenders in any required vote or action of the Required Lenders, as appropriate. This Section shall supersede any provisions in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10.01</w:t>
      </w:r>
      <w:r>
        <w:rPr>
          <w:rFonts w:ascii="Arial" w:cs="Arial" w:eastAsia="Arial" w:hAnsi="Arial"/>
          <w:sz w:val="19"/>
          <w:szCs w:val="19"/>
          <w:color w:val="auto"/>
        </w:rPr>
        <w:t xml:space="preserve"> to the contrary.</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2.15 </w:t>
      </w:r>
      <w:r>
        <w:rPr>
          <w:rFonts w:ascii="Arial" w:cs="Arial" w:eastAsia="Arial" w:hAnsi="Arial"/>
          <w:sz w:val="20"/>
          <w:szCs w:val="20"/>
          <w:color w:val="000000"/>
        </w:rPr>
        <w:t>Cash Collateral.</w:t>
      </w:r>
    </w:p>
    <w:p>
      <w:pPr>
        <w:spacing w:after="0" w:line="216" w:lineRule="exact"/>
        <w:rPr>
          <w:sz w:val="20"/>
          <w:szCs w:val="20"/>
          <w:color w:val="auto"/>
        </w:rPr>
      </w:pPr>
    </w:p>
    <w:p>
      <w:pPr>
        <w:jc w:val="both"/>
        <w:ind w:firstLine="1505"/>
        <w:spacing w:after="0" w:line="241" w:lineRule="auto"/>
        <w:tabs>
          <w:tab w:leader="none" w:pos="2006"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Certain Credit Support Events</w:t>
      </w:r>
      <w:r>
        <w:rPr>
          <w:rFonts w:ascii="Arial" w:cs="Arial" w:eastAsia="Arial" w:hAnsi="Arial"/>
          <w:sz w:val="20"/>
          <w:szCs w:val="20"/>
          <w:color w:val="auto"/>
        </w:rPr>
        <w:t xml:space="preserve">. Upon the written request of the Administrative Agent or the Applicable Issuing Party (i) if the applicable Issuing Lender has honored any full or partial drawing request under any Letter of Credit and such drawing has resulted in an L/C Borrowing, or (ii) if, as of the date five Business Days prior to the Applicable Maturity Date with respect to a Letter of Credit, any L/C Obligation with respect to such Letter of Credit for any reason remains outstanding, the relevant Borrower shall, in each case, promptly (and in any event within three Business Days from its receipt of such request) Cash Collateralize the then Outstanding Amount of all L/C Obligations. In addition, (x) Letters of Credit shall be Cash Collateralized to the extent provided in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(y) Extended Letters of Credit shall be Cash Collateralized in accordance with </w:t>
      </w:r>
      <w:r>
        <w:rPr>
          <w:rFonts w:ascii="Arial" w:cs="Arial" w:eastAsia="Arial" w:hAnsi="Arial"/>
          <w:sz w:val="20"/>
          <w:szCs w:val="20"/>
          <w:u w:val="single" w:color="auto"/>
          <w:color w:val="auto"/>
        </w:rPr>
        <w:t>Section 2.03(q)</w:t>
      </w:r>
      <w:r>
        <w:rPr>
          <w:rFonts w:ascii="Arial" w:cs="Arial" w:eastAsia="Arial" w:hAnsi="Arial"/>
          <w:sz w:val="20"/>
          <w:szCs w:val="20"/>
          <w:color w:val="auto"/>
        </w:rPr>
        <w:t xml:space="preserve"> and (z) at any time that there shall exist a Defaulting Lender, promptly following receipt of a written request from the Administrative Agent or any applicable Issuing Lender (and in any event within three Business Days from its receipt of such request), the relevant Borrower shall deliver to the Administrative Agent Cash Collateral in an amount sufficient to cover all Fronting Exposure (after giving effect to </w:t>
      </w:r>
      <w:r>
        <w:rPr>
          <w:rFonts w:ascii="Arial" w:cs="Arial" w:eastAsia="Arial" w:hAnsi="Arial"/>
          <w:sz w:val="20"/>
          <w:szCs w:val="20"/>
          <w:u w:val="single" w:color="auto"/>
          <w:color w:val="auto"/>
        </w:rPr>
        <w:t>Section 2.16(a)(iv)</w:t>
      </w:r>
      <w:r>
        <w:rPr>
          <w:rFonts w:ascii="Arial" w:cs="Arial" w:eastAsia="Arial" w:hAnsi="Arial"/>
          <w:sz w:val="20"/>
          <w:szCs w:val="20"/>
          <w:color w:val="auto"/>
        </w:rPr>
        <w:t xml:space="preserve"> and any Cash Collateral provided by the Defaulting Lender).</w:t>
      </w:r>
    </w:p>
    <w:p>
      <w:pPr>
        <w:spacing w:after="0" w:line="200" w:lineRule="exact"/>
        <w:rPr>
          <w:rFonts w:ascii="Arial" w:cs="Arial" w:eastAsia="Arial" w:hAnsi="Arial"/>
          <w:sz w:val="20"/>
          <w:szCs w:val="20"/>
          <w:color w:val="auto"/>
        </w:rPr>
      </w:pPr>
    </w:p>
    <w:p>
      <w:pPr>
        <w:jc w:val="both"/>
        <w:ind w:firstLine="1505"/>
        <w:spacing w:after="0" w:line="309" w:lineRule="auto"/>
        <w:tabs>
          <w:tab w:leader="none" w:pos="1992"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All Cash Collateral (other than credit support not constituting funds subject to deposit) shall be maintained in blocked, non-interest bearing deposit accounts at Barclays. Each Borrower, and to the extent provided by any Lender, such Lender, hereby grants to (and subjects to the control of) the Administrative Agent, for the benefit of the Administrative Agent, each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Section 2.15(c)</w:t>
      </w:r>
      <w:r>
        <w:rPr>
          <w:rFonts w:ascii="Arial" w:cs="Arial" w:eastAsia="Arial" w:hAnsi="Arial"/>
          <w:sz w:val="16"/>
          <w:szCs w:val="16"/>
          <w:color w:val="auto"/>
        </w:rPr>
        <w:t>.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the relevant Borrower or the relevant Defaulting Lender will, promptly upon demand by the Administrative Agent (and in any event within three Business Days from its receipt of such demand), pay or provide to the Administrative Agent additional Cash Collateral in an amount sufficient to eliminate such deficiency.</w:t>
      </w:r>
    </w:p>
    <w:p>
      <w:pPr>
        <w:spacing w:after="0" w:line="379" w:lineRule="exact"/>
        <w:rPr>
          <w:rFonts w:ascii="Arial" w:cs="Arial" w:eastAsia="Arial" w:hAnsi="Arial"/>
          <w:sz w:val="16"/>
          <w:szCs w:val="16"/>
          <w:color w:val="auto"/>
        </w:rPr>
      </w:pPr>
    </w:p>
    <w:p>
      <w:pPr>
        <w:jc w:val="both"/>
        <w:ind w:firstLine="1505"/>
        <w:spacing w:after="0" w:line="250" w:lineRule="auto"/>
        <w:tabs>
          <w:tab w:leader="none" w:pos="1982"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xml:space="preserve">. Notwithstanding anything to the contrary contained in this Agreement, Cash Collateral provided under any of this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Sections 2.03</w:t>
      </w:r>
      <w:r>
        <w:rPr>
          <w:rFonts w:ascii="Arial" w:cs="Arial" w:eastAsia="Arial" w:hAnsi="Arial"/>
          <w:sz w:val="20"/>
          <w:szCs w:val="20"/>
          <w:color w:val="auto"/>
        </w:rPr>
        <w:t xml:space="preserve">, </w:t>
      </w:r>
      <w:r>
        <w:rPr>
          <w:rFonts w:ascii="Arial" w:cs="Arial" w:eastAsia="Arial" w:hAnsi="Arial"/>
          <w:sz w:val="20"/>
          <w:szCs w:val="20"/>
          <w:u w:val="single" w:color="auto"/>
          <w:color w:val="auto"/>
        </w:rPr>
        <w:t>2.05</w:t>
      </w:r>
      <w:r>
        <w:rPr>
          <w:rFonts w:ascii="Arial" w:cs="Arial" w:eastAsia="Arial" w:hAnsi="Arial"/>
          <w:sz w:val="20"/>
          <w:szCs w:val="20"/>
          <w:color w:val="auto"/>
        </w:rPr>
        <w:t xml:space="preserve">, </w:t>
      </w:r>
      <w:r>
        <w:rPr>
          <w:rFonts w:ascii="Arial" w:cs="Arial" w:eastAsia="Arial" w:hAnsi="Arial"/>
          <w:sz w:val="20"/>
          <w:szCs w:val="20"/>
          <w:u w:val="single" w:color="auto"/>
          <w:color w:val="auto"/>
        </w:rPr>
        <w:t>2.16</w:t>
      </w:r>
      <w:r>
        <w:rPr>
          <w:rFonts w:ascii="Arial" w:cs="Arial" w:eastAsia="Arial" w:hAnsi="Arial"/>
          <w:sz w:val="20"/>
          <w:szCs w:val="20"/>
          <w:color w:val="auto"/>
        </w:rPr>
        <w:t xml:space="preserve">, </w:t>
      </w:r>
      <w:r>
        <w:rPr>
          <w:rFonts w:ascii="Arial" w:cs="Arial" w:eastAsia="Arial" w:hAnsi="Arial"/>
          <w:sz w:val="20"/>
          <w:szCs w:val="20"/>
          <w:u w:val="single" w:color="auto"/>
          <w:color w:val="auto"/>
        </w:rPr>
        <w:t>2.03(q)</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8.02</w:t>
      </w:r>
      <w:r>
        <w:rPr>
          <w:rFonts w:ascii="Arial" w:cs="Arial" w:eastAsia="Arial" w:hAnsi="Arial"/>
          <w:sz w:val="20"/>
          <w:szCs w:val="20"/>
          <w:color w:val="auto"/>
        </w:rPr>
        <w:t xml:space="preserve"> in respect of Letters of Credit shall be held and applied to the satisfaction of the specific L/C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5" w:name="page136"/>
    <w:bookmarkEnd w:id="135"/>
    <w:p>
      <w:pPr>
        <w:jc w:val="both"/>
        <w:spacing w:after="0" w:line="250" w:lineRule="auto"/>
        <w:rPr>
          <w:sz w:val="20"/>
          <w:szCs w:val="20"/>
          <w:color w:val="auto"/>
        </w:rPr>
      </w:pPr>
      <w:r>
        <w:rPr>
          <w:rFonts w:ascii="Arial" w:cs="Arial" w:eastAsia="Arial" w:hAnsi="Arial"/>
          <w:sz w:val="20"/>
          <w:szCs w:val="20"/>
          <w:color w:val="auto"/>
        </w:rPr>
        <w:t>obligations to fund participations with respect thereto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86" w:lineRule="exact"/>
        <w:rPr>
          <w:sz w:val="20"/>
          <w:szCs w:val="20"/>
          <w:color w:val="auto"/>
        </w:rPr>
      </w:pPr>
    </w:p>
    <w:p>
      <w:pPr>
        <w:jc w:val="both"/>
        <w:ind w:firstLine="1505"/>
        <w:spacing w:after="0" w:line="257" w:lineRule="auto"/>
        <w:tabs>
          <w:tab w:leader="none" w:pos="2023"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9"/>
          <w:szCs w:val="19"/>
          <w:u w:val="single" w:color="auto"/>
          <w:color w:val="auto"/>
        </w:rPr>
        <w:t>Section 10.06(b)(vi)</w:t>
      </w:r>
      <w:r>
        <w:rPr>
          <w:rFonts w:ascii="Arial" w:cs="Arial" w:eastAsia="Arial" w:hAnsi="Arial"/>
          <w:sz w:val="19"/>
          <w:szCs w:val="19"/>
          <w:color w:val="auto"/>
        </w:rPr>
        <w:t xml:space="preserve">)) or (ii) the Administrative Agent’s good faith determination that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Cash Collateral furnished by or on behalf of a Loan Party shall not be released during the continuance of a Default or Event of Default (and following application as provided in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may be otherwise applied in accordance with </w:t>
      </w:r>
      <w:r>
        <w:rPr>
          <w:rFonts w:ascii="Arial" w:cs="Arial" w:eastAsia="Arial" w:hAnsi="Arial"/>
          <w:sz w:val="19"/>
          <w:szCs w:val="19"/>
          <w:u w:val="single" w:color="auto"/>
          <w:color w:val="auto"/>
        </w:rPr>
        <w:t>Section 8.03</w:t>
      </w:r>
      <w:r>
        <w:rPr>
          <w:rFonts w:ascii="Arial" w:cs="Arial" w:eastAsia="Arial" w:hAnsi="Arial"/>
          <w:sz w:val="19"/>
          <w:szCs w:val="19"/>
          <w:color w:val="auto"/>
        </w:rPr>
        <w:t>), and (y) the Person providing Cash Collateral and each L/C Issuer may agree that Cash Collateral shall not be released but instead held to support future anticipated Fronting Exposure or other obligations.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2.16 </w:t>
      </w:r>
      <w:r>
        <w:rPr>
          <w:rFonts w:ascii="Arial" w:cs="Arial" w:eastAsia="Arial" w:hAnsi="Arial"/>
          <w:sz w:val="20"/>
          <w:szCs w:val="20"/>
          <w:color w:val="000000"/>
        </w:rPr>
        <w:t>Defaulting Lenders.</w:t>
      </w:r>
    </w:p>
    <w:p>
      <w:pPr>
        <w:spacing w:after="0" w:line="216" w:lineRule="exact"/>
        <w:rPr>
          <w:sz w:val="20"/>
          <w:szCs w:val="20"/>
          <w:color w:val="auto"/>
        </w:rPr>
      </w:pPr>
    </w:p>
    <w:p>
      <w:pPr>
        <w:ind w:firstLine="1505"/>
        <w:spacing w:after="0" w:line="287" w:lineRule="auto"/>
        <w:tabs>
          <w:tab w:leader="none" w:pos="2011"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52" w:lineRule="exact"/>
        <w:rPr>
          <w:rFonts w:ascii="Arial" w:cs="Arial" w:eastAsia="Arial" w:hAnsi="Arial"/>
          <w:sz w:val="19"/>
          <w:szCs w:val="19"/>
          <w:color w:val="auto"/>
        </w:rPr>
      </w:pPr>
    </w:p>
    <w:p>
      <w:pPr>
        <w:ind w:left="760" w:firstLine="1494"/>
        <w:spacing w:after="0" w:line="260" w:lineRule="auto"/>
        <w:tabs>
          <w:tab w:leader="none" w:pos="2770" w:val="left"/>
        </w:tabs>
        <w:numPr>
          <w:ilvl w:val="1"/>
          <w:numId w:val="108"/>
        </w:numPr>
        <w:rPr>
          <w:rFonts w:ascii="Arial" w:cs="Arial" w:eastAsia="Arial" w:hAnsi="Arial"/>
          <w:sz w:val="20"/>
          <w:szCs w:val="20"/>
          <w:color w:val="010000"/>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xml:space="preserve">. Such Defaulting Lender’s right to approve or disapprove any amendment, waiver or consent with respect to this Agreement shall be restricted as set forth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176" w:lineRule="exact"/>
        <w:rPr>
          <w:rFonts w:ascii="Arial" w:cs="Arial" w:eastAsia="Arial" w:hAnsi="Arial"/>
          <w:sz w:val="20"/>
          <w:szCs w:val="20"/>
          <w:color w:val="010000"/>
        </w:rPr>
      </w:pPr>
    </w:p>
    <w:p>
      <w:pPr>
        <w:jc w:val="both"/>
        <w:ind w:left="760" w:firstLine="1494"/>
        <w:spacing w:after="0" w:line="268" w:lineRule="auto"/>
        <w:tabs>
          <w:tab w:leader="none" w:pos="2773" w:val="left"/>
        </w:tabs>
        <w:numPr>
          <w:ilvl w:val="1"/>
          <w:numId w:val="108"/>
        </w:numPr>
        <w:rPr>
          <w:rFonts w:ascii="Arial" w:cs="Arial" w:eastAsia="Arial" w:hAnsi="Arial"/>
          <w:sz w:val="18"/>
          <w:szCs w:val="18"/>
          <w:color w:val="010000"/>
        </w:rPr>
      </w:pPr>
      <w:r>
        <w:rPr>
          <w:rFonts w:ascii="Arial" w:cs="Arial" w:eastAsia="Arial" w:hAnsi="Arial"/>
          <w:sz w:val="18"/>
          <w:szCs w:val="18"/>
          <w:u w:val="single" w:color="auto"/>
          <w:color w:val="auto"/>
        </w:rPr>
        <w:t>Reallocation of Payments</w:t>
      </w:r>
      <w:r>
        <w:rPr>
          <w:rFonts w:ascii="Arial" w:cs="Arial" w:eastAsia="Arial" w:hAnsi="Arial"/>
          <w:sz w:val="18"/>
          <w:szCs w:val="18"/>
          <w:color w:val="auto"/>
        </w:rPr>
        <w:t xml:space="preserve">. Any payment of principal, interest, fees or other amounts received by the Administrative Agent with respect to this Agreement for the account of such Defaulting Lender (whether voluntary or mandatory, at maturity,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and including any amounts made available to or received by the Administrative Agent from such Defaulting Lender pursuant to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of any amounts owing by such Defaulting Lender to the Applicable Issuing Party or the applicable Swing Line Lender hereunder;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Cash Collateralize the Issuing Lenders’ Fronting Exposure with respect to such Defaulting Lender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as the Company may request (so long as no Default exists), to the funding of any Loan or Several Letter of Credit in respect of which such Defaulting Lender has failed to fund its portion thereof as required by this Agreement, as determined by the Administrative Agent;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if so determined by the Administrative Agent and the Company, to be held in a deposit account and released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order to (x) satisfy such Defaulting Lender’s potential future funding obligations with respect to Loans and Several Letters of Credit under this Agreement and (y) Cash Collateralize the Issuing Lenders’ future Fronting Exposure with respect to such Defaulting Lender with respect to future Fronted Letters of Credit issued under this Agreement,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to the Lenders, the Applicable Issuing Party or the applicable Swing Line Lender as a result of any judgment of a court of competent jurisdiction obtained by any Lender, the Applicable Issuing Party or the applicable Swing Line Lender against that Defaulting Lender as a result of that Defaulting Lender’s breach of its obligations under this Agreement;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exists, to the payment of any amounts owing to the Company as a result of any judgment of a court of competent jurisdiction obtained by the Company against such Defaulting Lender as a result of that Defaulting Lender’s breach of its obligations under this Agreement; and, </w:t>
      </w:r>
      <w:r>
        <w:rPr>
          <w:rFonts w:ascii="Arial" w:cs="Arial" w:eastAsia="Arial" w:hAnsi="Arial"/>
          <w:sz w:val="18"/>
          <w:szCs w:val="18"/>
          <w:u w:val="single" w:color="auto"/>
          <w:color w:val="auto"/>
        </w:rPr>
        <w:t>eighth</w:t>
      </w:r>
      <w:r>
        <w:rPr>
          <w:rFonts w:ascii="Arial" w:cs="Arial" w:eastAsia="Arial" w:hAnsi="Arial"/>
          <w:sz w:val="18"/>
          <w:szCs w:val="18"/>
          <w:color w:val="auto"/>
        </w:rPr>
        <w:t>, to that Defaulting Lender or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6" w:name="page137"/>
    <w:bookmarkEnd w:id="136"/>
    <w:p>
      <w:pPr>
        <w:jc w:val="both"/>
        <w:spacing w:after="0" w:line="257" w:lineRule="auto"/>
        <w:rPr>
          <w:sz w:val="20"/>
          <w:szCs w:val="20"/>
          <w:color w:val="auto"/>
        </w:rPr>
      </w:pPr>
      <w:r>
        <w:rPr>
          <w:rFonts w:ascii="Arial" w:cs="Arial" w:eastAsia="Arial" w:hAnsi="Arial"/>
          <w:sz w:val="19"/>
          <w:szCs w:val="19"/>
          <w:color w:val="auto"/>
        </w:rPr>
        <w:t xml:space="preserve">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or waived, such payment shall be applied solely to pay the Loans of, and the L/C Borrowings owed to, all the non-Defaulting Lenders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clause (ii) shall be deemed paid to and redirected by that Defaulting Lender, and each Lender irrevocably consents hereto.</w:t>
      </w:r>
    </w:p>
    <w:p>
      <w:pPr>
        <w:spacing w:after="0" w:line="180" w:lineRule="exact"/>
        <w:rPr>
          <w:sz w:val="20"/>
          <w:szCs w:val="20"/>
          <w:color w:val="auto"/>
        </w:rPr>
      </w:pPr>
    </w:p>
    <w:p>
      <w:pPr>
        <w:jc w:val="both"/>
        <w:ind w:firstLine="1494"/>
        <w:spacing w:after="0" w:line="263" w:lineRule="auto"/>
        <w:tabs>
          <w:tab w:leader="none" w:pos="2000" w:val="left"/>
        </w:tabs>
        <w:numPr>
          <w:ilvl w:val="1"/>
          <w:numId w:val="109"/>
        </w:numPr>
        <w:rPr>
          <w:rFonts w:ascii="Arial" w:cs="Arial" w:eastAsia="Arial" w:hAnsi="Arial"/>
          <w:sz w:val="19"/>
          <w:szCs w:val="19"/>
          <w:color w:val="010000"/>
        </w:rPr>
      </w:pPr>
      <w:r>
        <w:rPr>
          <w:rFonts w:ascii="Arial" w:cs="Arial" w:eastAsia="Arial" w:hAnsi="Arial"/>
          <w:sz w:val="19"/>
          <w:szCs w:val="19"/>
          <w:u w:val="single" w:color="auto"/>
          <w:color w:val="auto"/>
        </w:rPr>
        <w:t>Certain Fees</w:t>
      </w:r>
      <w:r>
        <w:rPr>
          <w:rFonts w:ascii="Arial" w:cs="Arial" w:eastAsia="Arial" w:hAnsi="Arial"/>
          <w:sz w:val="19"/>
          <w:szCs w:val="19"/>
          <w:color w:val="auto"/>
        </w:rPr>
        <w:t xml:space="preserve">. (x) No Defaulting Lender shall be entitled to receive any commitment fees payable under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for any period during which such Lender is a Defaulting Lender (and the Company shall not be required to pay any such fee that otherwise would have been required to have been paid to such Defaulting Lender) and (y) each Defaulting Lender shall be limited in its right to receive Letter of Credit Fees as provided in </w:t>
      </w:r>
      <w:r>
        <w:rPr>
          <w:rFonts w:ascii="Arial" w:cs="Arial" w:eastAsia="Arial" w:hAnsi="Arial"/>
          <w:sz w:val="19"/>
          <w:szCs w:val="19"/>
          <w:u w:val="single" w:color="auto"/>
          <w:color w:val="auto"/>
        </w:rPr>
        <w:t>Section 2.03(i)</w:t>
      </w:r>
      <w:r>
        <w:rPr>
          <w:rFonts w:ascii="Arial" w:cs="Arial" w:eastAsia="Arial" w:hAnsi="Arial"/>
          <w:sz w:val="19"/>
          <w:szCs w:val="19"/>
          <w:color w:val="auto"/>
        </w:rPr>
        <w:t>.</w:t>
      </w:r>
    </w:p>
    <w:p>
      <w:pPr>
        <w:spacing w:after="0" w:line="176" w:lineRule="exact"/>
        <w:rPr>
          <w:rFonts w:ascii="Arial" w:cs="Arial" w:eastAsia="Arial" w:hAnsi="Arial"/>
          <w:sz w:val="19"/>
          <w:szCs w:val="19"/>
          <w:color w:val="010000"/>
        </w:rPr>
      </w:pPr>
    </w:p>
    <w:p>
      <w:pPr>
        <w:jc w:val="both"/>
        <w:ind w:firstLine="1494"/>
        <w:spacing w:after="0" w:line="270" w:lineRule="auto"/>
        <w:tabs>
          <w:tab w:leader="none" w:pos="1991" w:val="left"/>
        </w:tabs>
        <w:numPr>
          <w:ilvl w:val="1"/>
          <w:numId w:val="109"/>
        </w:numPr>
        <w:rPr>
          <w:rFonts w:ascii="Arial" w:cs="Arial" w:eastAsia="Arial" w:hAnsi="Arial"/>
          <w:sz w:val="18"/>
          <w:szCs w:val="18"/>
          <w:color w:val="010000"/>
        </w:rPr>
      </w:pPr>
      <w:r>
        <w:rPr>
          <w:rFonts w:ascii="Arial" w:cs="Arial" w:eastAsia="Arial" w:hAnsi="Arial"/>
          <w:sz w:val="18"/>
          <w:szCs w:val="18"/>
          <w:u w:val="single" w:color="auto"/>
          <w:color w:val="auto"/>
        </w:rPr>
        <w:t>Reallocation of Applicable Percentages to Reduce Fronting Exposure</w:t>
      </w:r>
      <w:r>
        <w:rPr>
          <w:rFonts w:ascii="Arial" w:cs="Arial" w:eastAsia="Arial" w:hAnsi="Arial"/>
          <w:sz w:val="18"/>
          <w:szCs w:val="18"/>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Revolving Credit Commitments) but only to the extent that (x)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are satisfied at the time of such reallocation (and, unless the Company shall have otherwise notified the Administrative Agent at such time, the Company shall be deemed to have represented and warranted that such conditions are satisfied at such time), and (y) such reallocation does not cause the sum of the Applicable Percentage of the Outstanding Amount of Committed Loans of any non-Defaulting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Percentage of the Outstanding Amount of all L/C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Percentage of the Outstanding Amount of all Swing Line Loans to exceed such Lender’s Revolving Credit Commitment. Subject to </w:t>
      </w:r>
      <w:r>
        <w:rPr>
          <w:rFonts w:ascii="Arial" w:cs="Arial" w:eastAsia="Arial" w:hAnsi="Arial"/>
          <w:sz w:val="18"/>
          <w:szCs w:val="18"/>
          <w:u w:val="single" w:color="auto"/>
          <w:color w:val="auto"/>
        </w:rPr>
        <w:t>Section 10.20</w:t>
      </w:r>
      <w:r>
        <w:rPr>
          <w:rFonts w:ascii="Arial" w:cs="Arial" w:eastAsia="Arial" w:hAnsi="Arial"/>
          <w:sz w:val="18"/>
          <w:szCs w:val="18"/>
          <w:color w:val="auto"/>
        </w:rPr>
        <w:t>, no reallocation hereunder shall constitute a waiver or release of any claim of any party hereunder against a Defaulting Lender arising from such Lender having become a Defaulting Lender, including any claim of a non-Defaulting Lender as a result of such non-Defaulting Lender’s increased exposure following such reallocation.</w:t>
      </w:r>
    </w:p>
    <w:p>
      <w:pPr>
        <w:spacing w:after="0" w:line="175" w:lineRule="exact"/>
        <w:rPr>
          <w:rFonts w:ascii="Arial" w:cs="Arial" w:eastAsia="Arial" w:hAnsi="Arial"/>
          <w:sz w:val="18"/>
          <w:szCs w:val="18"/>
          <w:color w:val="010000"/>
        </w:rPr>
      </w:pPr>
    </w:p>
    <w:p>
      <w:pPr>
        <w:jc w:val="both"/>
        <w:ind w:left="-760" w:firstLine="1505"/>
        <w:spacing w:after="0" w:line="255" w:lineRule="auto"/>
        <w:tabs>
          <w:tab w:leader="none" w:pos="1238"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Company, the Administrative Agent, each Swing Line Lender and the Applicable Issuing Party, each in its sole discretion,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by the Lenders in accordance with their Commitments (without giving effect to </w:t>
      </w:r>
      <w:r>
        <w:rPr>
          <w:rFonts w:ascii="Arial" w:cs="Arial" w:eastAsia="Arial" w:hAnsi="Arial"/>
          <w:sz w:val="19"/>
          <w:szCs w:val="19"/>
          <w:u w:val="single" w:color="auto"/>
          <w:color w:val="auto"/>
        </w:rPr>
        <w:t>Section 2.16(a)(iv)</w:t>
      </w:r>
      <w:r>
        <w:rPr>
          <w:rFonts w:ascii="Arial" w:cs="Arial" w:eastAsia="Arial" w:hAnsi="Arial"/>
          <w:sz w:val="19"/>
          <w:szCs w:val="19"/>
          <w:color w:val="auto"/>
        </w:rPr>
        <w:t xml:space="preserve">),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Company while such Lender was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186" w:lineRule="exact"/>
        <w:rPr>
          <w:rFonts w:ascii="Arial" w:cs="Arial" w:eastAsia="Arial" w:hAnsi="Arial"/>
          <w:sz w:val="19"/>
          <w:szCs w:val="19"/>
          <w:color w:val="auto"/>
        </w:rPr>
      </w:pPr>
    </w:p>
    <w:p>
      <w:pPr>
        <w:ind w:left="-760" w:firstLine="1505"/>
        <w:spacing w:after="0" w:line="260" w:lineRule="auto"/>
        <w:tabs>
          <w:tab w:leader="none" w:pos="1219"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New Swing Line Loans and Letters of Credit</w:t>
      </w:r>
      <w:r>
        <w:rPr>
          <w:rFonts w:ascii="Arial" w:cs="Arial" w:eastAsia="Arial" w:hAnsi="Arial"/>
          <w:sz w:val="20"/>
          <w:szCs w:val="20"/>
          <w:color w:val="auto"/>
        </w:rPr>
        <w:t>. So long as any Revolving Credit Lender is a Defaulting Lender, (i) no Swing Line Lender shall be required to fund any Swing Line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324485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2" w:right="339" w:bottom="1440" w:gutter="0" w:footer="0" w:header="0"/>
        </w:sectPr>
      </w:pPr>
    </w:p>
    <w:bookmarkStart w:id="137" w:name="page138"/>
    <w:bookmarkEnd w:id="137"/>
    <w:p>
      <w:pPr>
        <w:jc w:val="both"/>
        <w:spacing w:after="0" w:line="250" w:lineRule="auto"/>
        <w:rPr>
          <w:sz w:val="20"/>
          <w:szCs w:val="20"/>
          <w:color w:val="auto"/>
        </w:rPr>
      </w:pPr>
      <w:r>
        <w:rPr>
          <w:rFonts w:ascii="Arial" w:cs="Arial" w:eastAsia="Arial" w:hAnsi="Arial"/>
          <w:sz w:val="20"/>
          <w:szCs w:val="20"/>
          <w:color w:val="auto"/>
        </w:rPr>
        <w:t>unless it is satisfied that it will have no Fronting Exposure after giving effect to such Swing Line Loan and (ii) no Issuing Lender shall be required to issue, extend or amend any Fronted Letter of Credit unless it is satisfied that it will have no Fronting Exposure after giving effect thereto.</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2.17 </w:t>
      </w:r>
      <w:r>
        <w:rPr>
          <w:rFonts w:ascii="Arial" w:cs="Arial" w:eastAsia="Arial" w:hAnsi="Arial"/>
          <w:sz w:val="20"/>
          <w:szCs w:val="20"/>
          <w:color w:val="000000"/>
        </w:rPr>
        <w:t>Extensions of Revolving Credit Commitments.</w:t>
      </w:r>
    </w:p>
    <w:p>
      <w:pPr>
        <w:spacing w:after="0" w:line="216" w:lineRule="exact"/>
        <w:rPr>
          <w:sz w:val="20"/>
          <w:szCs w:val="20"/>
          <w:color w:val="auto"/>
        </w:rPr>
      </w:pPr>
    </w:p>
    <w:p>
      <w:pPr>
        <w:jc w:val="both"/>
        <w:ind w:firstLine="1505"/>
        <w:spacing w:after="0" w:line="278" w:lineRule="auto"/>
        <w:tabs>
          <w:tab w:leader="none" w:pos="199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the Company may, on up to two occasions during the term of this Agreement, request that the Revolving Credit Lenders extend the maturity of their Revolving Credit Commitments and Committed Loans (and the related participations in Swing Line Loans and Fronted Letters of Credit) and that the Issuing Lenders extend the maturity of their respective L/C Commitments, by one year. In order to exercise such right, the Company shall provide a notice to the Administrative Agent (who shall provide a copy of such notice to each of the Revolving Credit Lenders) (the “</w:t>
      </w:r>
      <w:r>
        <w:rPr>
          <w:rFonts w:ascii="Arial" w:cs="Arial" w:eastAsia="Arial" w:hAnsi="Arial"/>
          <w:sz w:val="18"/>
          <w:szCs w:val="18"/>
          <w:u w:val="single" w:color="auto"/>
          <w:color w:val="auto"/>
        </w:rPr>
        <w:t>Extension Request</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jc w:val="both"/>
        <w:ind w:firstLine="1505"/>
        <w:spacing w:after="0" w:line="268"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 may provide an Extension Request to the Administrative Agent no fewer than thirty (30) days prior to any anniversary of the Closing Date. The Extension Request shall set forth the proposed terms of any Extended Lender Obligations to be established, which terms shall be identical to those applicable to the Facility from which they are to be extended (such non-extended Revolving Credit Commitments, the “</w:t>
      </w:r>
      <w:r>
        <w:rPr>
          <w:rFonts w:ascii="Arial" w:cs="Arial" w:eastAsia="Arial" w:hAnsi="Arial"/>
          <w:sz w:val="18"/>
          <w:szCs w:val="18"/>
          <w:u w:val="single" w:color="auto"/>
          <w:color w:val="auto"/>
        </w:rPr>
        <w:t>Non-Extended Commitments</w:t>
      </w:r>
      <w:r>
        <w:rPr>
          <w:rFonts w:ascii="Arial" w:cs="Arial" w:eastAsia="Arial" w:hAnsi="Arial"/>
          <w:sz w:val="18"/>
          <w:szCs w:val="18"/>
          <w:color w:val="auto"/>
        </w:rPr>
        <w:t>”, such non-extended Committed Loans, the “</w:t>
      </w:r>
      <w:r>
        <w:rPr>
          <w:rFonts w:ascii="Arial" w:cs="Arial" w:eastAsia="Arial" w:hAnsi="Arial"/>
          <w:sz w:val="18"/>
          <w:szCs w:val="18"/>
          <w:u w:val="single" w:color="auto"/>
          <w:color w:val="auto"/>
        </w:rPr>
        <w:t>Non-Extended Committed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Loans</w:t>
      </w:r>
      <w:r>
        <w:rPr>
          <w:rFonts w:ascii="Arial" w:cs="Arial" w:eastAsia="Arial" w:hAnsi="Arial"/>
          <w:sz w:val="18"/>
          <w:szCs w:val="18"/>
          <w:color w:val="auto"/>
        </w:rPr>
        <w:t>” and such non-extended L/C Commitments, the “</w:t>
      </w:r>
      <w:r>
        <w:rPr>
          <w:rFonts w:ascii="Arial" w:cs="Arial" w:eastAsia="Arial" w:hAnsi="Arial"/>
          <w:sz w:val="18"/>
          <w:szCs w:val="18"/>
          <w:u w:val="single" w:color="auto"/>
          <w:color w:val="auto"/>
        </w:rPr>
        <w:t>Non-Extended L/C Commitments</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Non-Extended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except (x) the Applicable Maturity Date of any Extended Lender Obligation shall be one year (or two years, in the event the Company exercises its rights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on two occasions) later than the Applicable Maturity Date of the applicable Non-Extended Lender Obligations, (y) (A) the interest margins with respect to the Extended Commitments and Extended Committed Loans shall be the same as the interest margins with respect to the Non-Extended Commitments and Non-Extended Committed Loans and (B) additional fees may be payable to the Lenders providing any Extended Lender Obligations and (z) Extended Lender Obligations may be subject to covenants or other provisions applicable only to periods after the Applicable Maturity Date of the Non-Extended Lender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in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otherwise in this Agreement, (1) no Extended Lender Obligations may be established unless the Minimum Extension Condition with respect thereto has been met; (2) no Extended Lender Obligations shall be secured by or receive the benefit of any collateral, credit support or security that does not secure or support the applicable Non-Extended Lender Obligations; (3) the repayment (other than in connection with a permanent repayment and, if applicable, termination of commitments), the mandatory prepayment and the commitment reduction of any Loans, Commitments or L/C Commitments applicable to any Extended Lender Obligation shall be made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with all other outstanding Loans, Commitments or L/C Commitments (including all Extended Lender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Extended Lender Obligations may, if the Extending Lenders making or committing to any such Extended Lender Obligations so agree, participate on a less than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in any voluntary or mandatory repayment or prepayment or commitment reduction hereunder); (4) no Extended Committed Loans may be optionally prepaid prior to the date on which the related Non-Extended Committed Loans, as applicable, are repaid unless such optional prepayment is accompanied by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optional prepayment of the related Non-Extended Committed Loans, as applicable; (5) each Lender holding Loans and/or Commitments shall be permitted to participate in the Extended Lender Obligations in accordance with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Loans and/or Commitments; (6) no Default shall exist on the Extension Date before or after giving effect to any Extended Lender Obligations; (7) Extended Commitments, Extended Committed Loans, Non-Extended Commitments and Non-Extended Committed Loans shall be treated as a single class. No Lender shall have any obligation to convert any Non-Extended Lender Obligations held by it into Extended Lender Obligations pursuant to the Extension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8" w:name="page139"/>
    <w:bookmarkEnd w:id="138"/>
    <w:p>
      <w:pPr>
        <w:jc w:val="both"/>
        <w:ind w:left="-1120" w:firstLine="1505"/>
        <w:spacing w:after="0" w:line="268" w:lineRule="auto"/>
        <w:tabs>
          <w:tab w:leader="none" w:pos="86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shall provide the Extension Request at least fifteen days (or such shorter period as may be agreed by the Administrative Agent) prior to the date on which Lenders are requested to respond. Any Lender or Issuing Lender (an “</w:t>
      </w:r>
      <w:r>
        <w:rPr>
          <w:rFonts w:ascii="Arial" w:cs="Arial" w:eastAsia="Arial" w:hAnsi="Arial"/>
          <w:sz w:val="18"/>
          <w:szCs w:val="18"/>
          <w:u w:val="single" w:color="auto"/>
          <w:color w:val="auto"/>
        </w:rPr>
        <w:t>Extending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 wishing to have all or a portion of its Revolving Credit Commitments and/or L/C Commitments converted into Extended Lender Obligations pursuant thereto shall notify the Administrative Agent (an “</w:t>
      </w:r>
      <w:r>
        <w:rPr>
          <w:rFonts w:ascii="Arial" w:cs="Arial" w:eastAsia="Arial" w:hAnsi="Arial"/>
          <w:sz w:val="18"/>
          <w:szCs w:val="18"/>
          <w:u w:val="single" w:color="auto"/>
          <w:color w:val="auto"/>
        </w:rPr>
        <w:t>Extension Election</w:t>
      </w:r>
      <w:r>
        <w:rPr>
          <w:rFonts w:ascii="Arial" w:cs="Arial" w:eastAsia="Arial" w:hAnsi="Arial"/>
          <w:sz w:val="18"/>
          <w:szCs w:val="18"/>
          <w:color w:val="auto"/>
        </w:rPr>
        <w:t xml:space="preserve">”) on or prior to the date specified in such Extension Request of the amount of its applicable Revolving Credit Commitments and/or L/C Commitments that it has elected to convert into Extended Lender Obligations. In the event that the aggregate amount of Revolving Credit Commitments and/or L/C Commitments subject to Extension Elections exceeds the amount of Extended Lender Obligations requested pursuant to the Extension Request and/or Revolving Credit Commitments and/or L/C Commitments shall be converted to Extended Lender Obligations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The Company shall have the right to seek and accept Extended Lender Obligations from (i) Lenders and/or (ii) third party financial institutions that are not then Lenders (each a “</w:t>
      </w:r>
      <w:r>
        <w:rPr>
          <w:rFonts w:ascii="Arial" w:cs="Arial" w:eastAsia="Arial" w:hAnsi="Arial"/>
          <w:sz w:val="18"/>
          <w:szCs w:val="18"/>
          <w:u w:val="single" w:color="auto"/>
          <w:color w:val="auto"/>
        </w:rPr>
        <w:t>New Extending Lender</w:t>
      </w:r>
      <w:r>
        <w:rPr>
          <w:rFonts w:ascii="Arial" w:cs="Arial" w:eastAsia="Arial" w:hAnsi="Arial"/>
          <w:sz w:val="18"/>
          <w:szCs w:val="18"/>
          <w:color w:val="auto"/>
        </w:rPr>
        <w:t>”), in each case in an amount equal to the amount of the Revolving Credit Commitments and/or L/C Commitments of any Lender or Issuing Lender that declines to become an Extending Lender (a “</w:t>
      </w:r>
      <w:r>
        <w:rPr>
          <w:rFonts w:ascii="Arial" w:cs="Arial" w:eastAsia="Arial" w:hAnsi="Arial"/>
          <w:sz w:val="18"/>
          <w:szCs w:val="18"/>
          <w:u w:val="single" w:color="auto"/>
          <w:color w:val="auto"/>
        </w:rPr>
        <w:t>Declining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Lender shall have the right to increase its Revolving Credit Commitments and/or L/C Commitments up to the amount of the Declining Lenders’ Revolving Credit Commitments and/or L/C Commitments before the Company will be permitted to replace a New Extending Lender for any Declining Lender. Each replacement of a New Extending Lender for a Declining Lender shall be effected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 Each Extending Lender under the Facility shall be subject to the prior written approval of the Administrative Agent, each Issuing Lender and the Swing Line Lender. Notwithstanding anything herein to the contrary, no Lender shall have any obligation to extend any of its Commitments and any election to do so shall be in the sole discretion of such Lender. Any Lender not responding by 5:00 p.m. (New York City time) on the date fifteen days after delivery by the Company of the Extension Request shall be deemed to have declined to extend its Commitments.</w:t>
      </w:r>
    </w:p>
    <w:p>
      <w:pPr>
        <w:spacing w:after="0" w:line="184" w:lineRule="exact"/>
        <w:rPr>
          <w:rFonts w:ascii="Arial" w:cs="Arial" w:eastAsia="Arial" w:hAnsi="Arial"/>
          <w:sz w:val="18"/>
          <w:szCs w:val="18"/>
          <w:color w:val="auto"/>
        </w:rPr>
      </w:pPr>
    </w:p>
    <w:p>
      <w:pPr>
        <w:jc w:val="both"/>
        <w:ind w:left="-1120" w:firstLine="1505"/>
        <w:spacing w:after="0" w:line="246" w:lineRule="auto"/>
        <w:tabs>
          <w:tab w:leader="none" w:pos="871" w:val="left"/>
        </w:tabs>
        <w:numPr>
          <w:ilvl w:val="0"/>
          <w:numId w:val="112"/>
        </w:numPr>
        <w:rPr>
          <w:rFonts w:ascii="Arial" w:cs="Arial" w:eastAsia="Arial" w:hAnsi="Arial"/>
          <w:sz w:val="20"/>
          <w:szCs w:val="20"/>
          <w:color w:val="auto"/>
        </w:rPr>
      </w:pPr>
      <w:r>
        <w:rPr>
          <w:rFonts w:ascii="Arial" w:cs="Arial" w:eastAsia="Arial" w:hAnsi="Arial"/>
          <w:sz w:val="20"/>
          <w:szCs w:val="20"/>
          <w:color w:val="auto"/>
        </w:rPr>
        <w:t>Revolving Credit Commitments, Committed Loans and L/C Commitments whose maturity is extended pursuant to this Section are referred to as, in the case of Revolving Credit Commitments, “</w:t>
      </w:r>
      <w:r>
        <w:rPr>
          <w:rFonts w:ascii="Arial" w:cs="Arial" w:eastAsia="Arial" w:hAnsi="Arial"/>
          <w:sz w:val="20"/>
          <w:szCs w:val="20"/>
          <w:u w:val="single" w:color="auto"/>
          <w:color w:val="auto"/>
        </w:rPr>
        <w:t>Extended Commitments</w:t>
      </w:r>
      <w:r>
        <w:rPr>
          <w:rFonts w:ascii="Arial" w:cs="Arial" w:eastAsia="Arial" w:hAnsi="Arial"/>
          <w:sz w:val="20"/>
          <w:szCs w:val="20"/>
          <w:color w:val="auto"/>
        </w:rPr>
        <w:t>”, in the case of Committed Loans, “</w:t>
      </w:r>
      <w:r>
        <w:rPr>
          <w:rFonts w:ascii="Arial" w:cs="Arial" w:eastAsia="Arial" w:hAnsi="Arial"/>
          <w:sz w:val="20"/>
          <w:szCs w:val="20"/>
          <w:u w:val="single" w:color="auto"/>
          <w:color w:val="auto"/>
        </w:rPr>
        <w:t>Extended Committed Loans</w:t>
      </w:r>
      <w:r>
        <w:rPr>
          <w:rFonts w:ascii="Arial" w:cs="Arial" w:eastAsia="Arial" w:hAnsi="Arial"/>
          <w:sz w:val="20"/>
          <w:szCs w:val="20"/>
          <w:color w:val="auto"/>
        </w:rPr>
        <w:t>”, and in the case of L/C Commitments, “</w:t>
      </w:r>
      <w:r>
        <w:rPr>
          <w:rFonts w:ascii="Arial" w:cs="Arial" w:eastAsia="Arial" w:hAnsi="Arial"/>
          <w:sz w:val="20"/>
          <w:szCs w:val="20"/>
          <w:u w:val="single" w:color="auto"/>
          <w:color w:val="auto"/>
        </w:rPr>
        <w:t>Extended L/C Commitments</w:t>
      </w:r>
      <w:r>
        <w:rPr>
          <w:rFonts w:ascii="Arial" w:cs="Arial" w:eastAsia="Arial" w:hAnsi="Arial"/>
          <w:sz w:val="20"/>
          <w:szCs w:val="20"/>
          <w:color w:val="auto"/>
        </w:rPr>
        <w:t>”, respectively, and collectively are referred to as “</w:t>
      </w:r>
      <w:r>
        <w:rPr>
          <w:rFonts w:ascii="Arial" w:cs="Arial" w:eastAsia="Arial" w:hAnsi="Arial"/>
          <w:sz w:val="20"/>
          <w:szCs w:val="20"/>
          <w:u w:val="single" w:color="auto"/>
          <w:color w:val="auto"/>
        </w:rPr>
        <w:t>Extended Lender Obligations</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1120" w:firstLine="1505"/>
        <w:spacing w:after="0" w:line="269" w:lineRule="auto"/>
        <w:tabs>
          <w:tab w:leader="none" w:pos="87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Extended Lender Obligations shall be established pursuant to an amendment (the “</w:t>
      </w:r>
      <w:r>
        <w:rPr>
          <w:rFonts w:ascii="Arial" w:cs="Arial" w:eastAsia="Arial" w:hAnsi="Arial"/>
          <w:sz w:val="18"/>
          <w:szCs w:val="18"/>
          <w:u w:val="single" w:color="auto"/>
          <w:color w:val="auto"/>
        </w:rPr>
        <w:t>Extension Amendment</w:t>
      </w:r>
      <w:r>
        <w:rPr>
          <w:rFonts w:ascii="Arial" w:cs="Arial" w:eastAsia="Arial" w:hAnsi="Arial"/>
          <w:sz w:val="18"/>
          <w:szCs w:val="18"/>
          <w:color w:val="auto"/>
        </w:rPr>
        <w:t xml:space="preserve">”) to this Agreement (which may include amendments to provisions related to maturity, interest margins, fees or prepayments referenced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2.17(b)</w:t>
      </w:r>
      <w:r>
        <w:rPr>
          <w:rFonts w:ascii="Arial" w:cs="Arial" w:eastAsia="Arial" w:hAnsi="Arial"/>
          <w:sz w:val="18"/>
          <w:szCs w:val="18"/>
          <w:color w:val="auto"/>
        </w:rPr>
        <w:t xml:space="preserve"> and which, in the case of Extended Commitments and Extended L/C Commitments, shall contain provisions for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treatment of borrowings, payments, voting and other matters between the Non-Extended Commitments, on the one hand, and the Extended Commitments, on the other hand, for such period of time as Non-Extended Commitments and Non-Extended L/C Commitments shall be in effect) executed by the Loan Parties, the Administrative Agent, and the Extending Lenders. Notwithstanding anything to the contrary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no Extension Amendment shall require the consent of any Lender other than the Extending Lenders with respect to the Extended Lender Obligations established thereby. In connection with the Extension Amendment, the Guarantors shall reaffirm their respective obligations under the Guaranty Agreement pursuant to an agreement reasonably satisfactory to the Administrative Agent and the Company shall, if requested by the Administrative Agent, deliver an opinion of counsel reasonably acceptable to the Administrative Agent as to the enforceability of the Extension Amendment, this Agreement as amended thereby, the reaffirmation of the Guaranty Agreement and such of the other Loan Documents (if any) as may be amended thereby. In addition, the Extension Amendment shall contain a representation and warranty by the Parent and the Company that the representations and warranties of (i) the Parent and the Company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(other than the representation and warranty contained in </w:t>
      </w:r>
      <w:r>
        <w:rPr>
          <w:rFonts w:ascii="Arial" w:cs="Arial" w:eastAsia="Arial" w:hAnsi="Arial"/>
          <w:sz w:val="18"/>
          <w:szCs w:val="18"/>
          <w:u w:val="single" w:color="auto"/>
          <w:color w:val="auto"/>
        </w:rPr>
        <w:t>Section 5.04(b))</w:t>
      </w:r>
      <w:r>
        <w:rPr>
          <w:rFonts w:ascii="Arial" w:cs="Arial" w:eastAsia="Arial" w:hAnsi="Arial"/>
          <w:sz w:val="18"/>
          <w:szCs w:val="18"/>
          <w:color w:val="auto"/>
        </w:rPr>
        <w:t xml:space="preserve"> and (ii) each Loan Party contained in each other Loan Document or in any document furnished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325755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139" w:name="page140"/>
    <w:bookmarkEnd w:id="139"/>
    <w:p>
      <w:pPr>
        <w:jc w:val="both"/>
        <w:spacing w:after="0" w:line="255" w:lineRule="auto"/>
        <w:rPr>
          <w:sz w:val="20"/>
          <w:szCs w:val="20"/>
          <w:color w:val="auto"/>
        </w:rPr>
      </w:pPr>
      <w:r>
        <w:rPr>
          <w:rFonts w:ascii="Arial" w:cs="Arial" w:eastAsia="Arial" w:hAnsi="Arial"/>
          <w:sz w:val="19"/>
          <w:szCs w:val="19"/>
          <w:color w:val="auto"/>
        </w:rPr>
        <w:t xml:space="preserve">under or in connection herewith or therewith are true and correct in all material respects (or, if such representation or warranty is itself modified by materiality or Material Adverse Effect, it shall be true and correct in all respects) on and as of the date of such Extension Amendment, except to the extent that such representations and warranties specifically refer to an earlier date, in which case they shall be true and correct in all material respects (or, with respect to representations and warranties modified by materiality or Material Adverse Effect, in all respects) as of such earlier date. This Section shall supersede any provisions in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to the contrary. Following the execution of the Extension Amendment, the Administrative Agent shall notify the Lenders of the percentage of the Facility that has been extended pursuant to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Until the Original Revolving Credit Maturity Date, all Committed Loans, Swing Line Loans and Letters of Credit shall be made or participated in ratably by all Revolving Credit Lenders and thereafter, all Committed Loans, Swing Line Loans and Letters of Credit shall be made or participated in ratably by all Extending Lenders with Extended Commitments and all other Revolving Credit Lenders to the extent required by </w:t>
      </w:r>
      <w:r>
        <w:rPr>
          <w:rFonts w:ascii="Arial" w:cs="Arial" w:eastAsia="Arial" w:hAnsi="Arial"/>
          <w:sz w:val="19"/>
          <w:szCs w:val="19"/>
          <w:u w:val="single" w:color="auto"/>
          <w:color w:val="auto"/>
        </w:rPr>
        <w:t>Section 2.03(n)(iv)</w:t>
      </w:r>
      <w:r>
        <w:rPr>
          <w:rFonts w:ascii="Arial" w:cs="Arial" w:eastAsia="Arial" w:hAnsi="Arial"/>
          <w:sz w:val="19"/>
          <w:szCs w:val="19"/>
          <w:color w:val="auto"/>
        </w:rPr>
        <w:t>.</w:t>
      </w:r>
    </w:p>
    <w:p>
      <w:pPr>
        <w:spacing w:after="0" w:line="190" w:lineRule="exact"/>
        <w:rPr>
          <w:sz w:val="20"/>
          <w:szCs w:val="20"/>
          <w:color w:val="auto"/>
        </w:rPr>
      </w:pPr>
    </w:p>
    <w:p>
      <w:pPr>
        <w:jc w:val="both"/>
        <w:ind w:firstLine="1505"/>
        <w:spacing w:after="0" w:line="274" w:lineRule="auto"/>
        <w:tabs>
          <w:tab w:leader="none" w:pos="200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(i) on any date on which the Revolving Credit Commitments are converted to extend the scheduled maturity date in accordance with this Section (the “</w:t>
      </w:r>
      <w:r>
        <w:rPr>
          <w:rFonts w:ascii="Arial" w:cs="Arial" w:eastAsia="Arial" w:hAnsi="Arial"/>
          <w:sz w:val="18"/>
          <w:szCs w:val="18"/>
          <w:u w:val="single" w:color="auto"/>
          <w:color w:val="auto"/>
        </w:rPr>
        <w:t>Extension Date</w:t>
      </w:r>
      <w:r>
        <w:rPr>
          <w:rFonts w:ascii="Arial" w:cs="Arial" w:eastAsia="Arial" w:hAnsi="Arial"/>
          <w:sz w:val="18"/>
          <w:szCs w:val="18"/>
          <w:color w:val="auto"/>
        </w:rPr>
        <w:t>”), the aggregate principal amount of Non-Extended Commitments of each Extending Lender shall be deemed reduced by an amount equal to the aggregate principal amount of Extended Lender Obligations so converted by such Lender on such date and (ii) if, on the Extension Date, any Extending Lender has elected to extend the maturity date of some, but not all, of its portion of the Revolving Credit Commitments, such Revolving Credit Commitments (and such Lender’s respective Committed Loans, Swing Line Loans and L/C Obligations thereunder) shall each be allocated in the same proportion between the Non-Extended Commitments and the Extended Commitments.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2.18 </w:t>
      </w:r>
      <w:r>
        <w:rPr>
          <w:rFonts w:ascii="Arial" w:cs="Arial" w:eastAsia="Arial" w:hAnsi="Arial"/>
          <w:sz w:val="20"/>
          <w:szCs w:val="20"/>
          <w:color w:val="000000"/>
        </w:rPr>
        <w:t>Designated Borrower.</w:t>
      </w:r>
    </w:p>
    <w:p>
      <w:pPr>
        <w:spacing w:after="0" w:line="216" w:lineRule="exact"/>
        <w:rPr>
          <w:sz w:val="20"/>
          <w:szCs w:val="20"/>
          <w:color w:val="auto"/>
        </w:rPr>
      </w:pPr>
    </w:p>
    <w:p>
      <w:pPr>
        <w:jc w:val="both"/>
        <w:ind w:firstLine="1505"/>
        <w:spacing w:after="0" w:line="268" w:lineRule="auto"/>
        <w:tabs>
          <w:tab w:leader="none" w:pos="198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The Parent may at any time or from time to time upon prior written notice to the Administrative Agent (which shall promptly notify the Lenders thereof), with the consent of the Administrative Agent (such consent not to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Administrative Agent shall withhold such consent if a Lender has notified the Administrative Agent that such Lender is not permitted under applicable law to lend in the jurisdiction where such Subsidiary is organized or against such Lender’s internal policies for such Lender to do so and such withholding of consent is deemed reasonable;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Administrative Agent may deem that no such prohibition exists unless it shall receive such notice from the relevant Lender within five Business Days thereof), add as a party to this Agreement any wholly-owned Subsidiary of the Parent to be a “Borrower” hereunder (such additional party, a “</w:t>
      </w:r>
      <w:r>
        <w:rPr>
          <w:rFonts w:ascii="Arial" w:cs="Arial" w:eastAsia="Arial" w:hAnsi="Arial"/>
          <w:sz w:val="18"/>
          <w:szCs w:val="18"/>
          <w:u w:val="single" w:color="auto"/>
          <w:color w:val="auto"/>
        </w:rPr>
        <w:t>Designated Borrower</w:t>
      </w:r>
      <w:r>
        <w:rPr>
          <w:rFonts w:ascii="Arial" w:cs="Arial" w:eastAsia="Arial" w:hAnsi="Arial"/>
          <w:sz w:val="18"/>
          <w:szCs w:val="18"/>
          <w:color w:val="auto"/>
        </w:rPr>
        <w:t xml:space="preserve">”) by the execution and delivery to the Administrative Agent and the Lenders of (i) a Borrower Request and Assumption, (ii) a supplement to the Guaranty Agreement and (iii) such other opinions, certificates or documents as may be required by </w:t>
      </w:r>
      <w:r>
        <w:rPr>
          <w:rFonts w:ascii="Arial" w:cs="Arial" w:eastAsia="Arial" w:hAnsi="Arial"/>
          <w:sz w:val="18"/>
          <w:szCs w:val="18"/>
          <w:u w:val="single" w:color="auto"/>
          <w:color w:val="auto"/>
        </w:rPr>
        <w:t>Section 4.01(a)(ii)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4.01(e)</w:t>
      </w:r>
      <w:r>
        <w:rPr>
          <w:rFonts w:ascii="Arial" w:cs="Arial" w:eastAsia="Arial" w:hAnsi="Arial"/>
          <w:sz w:val="18"/>
          <w:szCs w:val="18"/>
          <w:color w:val="auto"/>
        </w:rPr>
        <w:t>, as applicable to such Designated Borrower; provided further that, as of the Closing Date, WNA and Willis Netherlands Holdings B.V.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organized under the laws of the Netherlands, having its official seat in Amsterdam, the Netherlands, its office address at Prof. E.M. Meijerslaan 5, 1183AV Amstelveen, the Netherlands and registered in the trade register of the Dutch Chamber of Commerce under number 34367289) shall be designated as Designated Borrowers. Upon such execution, delivery and consent such Subsidiary shall for all purposes be a party thereto as a Borrower and a Loan Party as fully as if it had executed and delivered this Agreement. So long as the principal and interest on any Loan made to any Designated Borrower under this Agreement shall have been repaid or paid in full, all Letters of Credit issued for the account of such Designated Borrower have expired or been returned and terminated and all other obligations of such Designated Borrower under this Agreement shall have been fully performed, the Parent may, by not less than 5 Business Days’ prior notice to the Administrative Agent (which shall promptly notify the Lenders thereof), terminate such Designated Borrower’s status as a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0" w:name="page141"/>
    <w:bookmarkEnd w:id="140"/>
    <w:p>
      <w:pPr>
        <w:jc w:val="both"/>
        <w:ind w:left="-760" w:firstLine="1505"/>
        <w:spacing w:after="0" w:line="243" w:lineRule="auto"/>
        <w:tabs>
          <w:tab w:leader="none" w:pos="1229" w:val="left"/>
        </w:tabs>
        <w:numPr>
          <w:ilvl w:val="0"/>
          <w:numId w:val="115"/>
        </w:numPr>
        <w:rPr>
          <w:rFonts w:ascii="Arial" w:cs="Arial" w:eastAsia="Arial" w:hAnsi="Arial"/>
          <w:sz w:val="20"/>
          <w:szCs w:val="20"/>
          <w:color w:val="auto"/>
        </w:rPr>
      </w:pPr>
      <w:r>
        <w:rPr>
          <w:rFonts w:ascii="Arial" w:cs="Arial" w:eastAsia="Arial" w:hAnsi="Arial"/>
          <w:sz w:val="20"/>
          <w:szCs w:val="20"/>
          <w:color w:val="auto"/>
        </w:rPr>
        <w:t>Each Borrower hereby appoints the Company as its agent, attorney-in-fact and representative for the purpose of (i) making any borrowing requests or other requests required or permitted under this Agreement, (ii) the giving and receipt of notices by and to Borrowers under this Agreement, (iii) the delivery of all documents, reports, financial statements and written materials required to be delivered by Borrowers under this Agreement, and (iv) all other purposes incidental to any of the foregoing. Each Borrower agrees that any action taken by the Company as the agent, attorney-in-fact and representative of the Borrowers shall be binding upon each Borrower to the same extent as if directly taken by such Borrower.</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010000"/>
        </w:rPr>
        <w:t xml:space="preserve">2.19 </w:t>
      </w:r>
      <w:r>
        <w:rPr>
          <w:rFonts w:ascii="Arial" w:cs="Arial" w:eastAsia="Arial" w:hAnsi="Arial"/>
          <w:sz w:val="20"/>
          <w:szCs w:val="20"/>
          <w:color w:val="000000"/>
        </w:rPr>
        <w:t>Sustainability Adjustments.</w:t>
      </w:r>
    </w:p>
    <w:p>
      <w:pPr>
        <w:spacing w:after="0" w:line="216" w:lineRule="exact"/>
        <w:rPr>
          <w:sz w:val="20"/>
          <w:szCs w:val="20"/>
          <w:color w:val="auto"/>
        </w:rPr>
      </w:pPr>
    </w:p>
    <w:p>
      <w:pPr>
        <w:jc w:val="both"/>
        <w:ind w:left="-760" w:firstLine="1505"/>
        <w:spacing w:after="0" w:line="268" w:lineRule="auto"/>
        <w:tabs>
          <w:tab w:leader="none" w:pos="125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After the Closing Date, the Borrowers, in consultation with the Sustainability Coordinators, shall be entitled to establish specified key performance indicators (“</w:t>
      </w:r>
      <w:r>
        <w:rPr>
          <w:rFonts w:ascii="Arial" w:cs="Arial" w:eastAsia="Arial" w:hAnsi="Arial"/>
          <w:sz w:val="18"/>
          <w:szCs w:val="18"/>
          <w:u w:val="single" w:color="auto"/>
          <w:color w:val="auto"/>
        </w:rPr>
        <w:t>KPIs</w:t>
      </w:r>
      <w:r>
        <w:rPr>
          <w:rFonts w:ascii="Arial" w:cs="Arial" w:eastAsia="Arial" w:hAnsi="Arial"/>
          <w:sz w:val="18"/>
          <w:szCs w:val="18"/>
          <w:color w:val="auto"/>
        </w:rPr>
        <w:t>”) with respect to certain environmental, social and governance (“</w:t>
      </w:r>
      <w:r>
        <w:rPr>
          <w:rFonts w:ascii="Arial" w:cs="Arial" w:eastAsia="Arial" w:hAnsi="Arial"/>
          <w:sz w:val="18"/>
          <w:szCs w:val="18"/>
          <w:u w:val="single" w:color="auto"/>
          <w:color w:val="auto"/>
        </w:rPr>
        <w:t>ESG</w:t>
      </w:r>
      <w:r>
        <w:rPr>
          <w:rFonts w:ascii="Arial" w:cs="Arial" w:eastAsia="Arial" w:hAnsi="Arial"/>
          <w:sz w:val="18"/>
          <w:szCs w:val="18"/>
          <w:color w:val="auto"/>
        </w:rPr>
        <w:t>”) targets of the Borrowers and its Subsidiaries. The Sustainability Coordinators and the Borrowers may amend this Agreement (such amendment, the “</w:t>
      </w:r>
      <w:r>
        <w:rPr>
          <w:rFonts w:ascii="Arial" w:cs="Arial" w:eastAsia="Arial" w:hAnsi="Arial"/>
          <w:sz w:val="18"/>
          <w:szCs w:val="18"/>
          <w:u w:val="single" w:color="auto"/>
          <w:color w:val="auto"/>
        </w:rPr>
        <w:t>ESG</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solely for the purpose of incorporating the KPIs and other related provisions (the “</w:t>
      </w:r>
      <w:r>
        <w:rPr>
          <w:rFonts w:ascii="Arial" w:cs="Arial" w:eastAsia="Arial" w:hAnsi="Arial"/>
          <w:sz w:val="18"/>
          <w:szCs w:val="18"/>
          <w:u w:val="single" w:color="auto"/>
          <w:color w:val="auto"/>
        </w:rPr>
        <w:t>ESG Pricing Provisions</w:t>
      </w:r>
      <w:r>
        <w:rPr>
          <w:rFonts w:ascii="Arial" w:cs="Arial" w:eastAsia="Arial" w:hAnsi="Arial"/>
          <w:sz w:val="18"/>
          <w:szCs w:val="18"/>
          <w:color w:val="auto"/>
        </w:rPr>
        <w:t xml:space="preserve">”) into this Agreement, and any such amendment shall become effective at 5:00 p.m., New York City time, on the tenth Business Day after the Administrative Agent shall have posted such proposed amendment to all Lenders and the Borrowers unless, prior to such time, Lenders comprising the Required Lenders have delivered to the Administrative Agent (who shall promptly notify the Borrowers) written notice that such Required Lenders object to such ESG Amendment. In the event that Required Lenders deliver a written notice objecting to any such ESG Amendment, an alternative ESG Amendment may be effectuated with the consent of the Required Lenders, the Borrowers and the Sustainability Coordinators. Upon the effectiveness of any such ESG Amendment, based on the Borrowers’ performance against the KPIs, certain adjustments (increase, decrease or no adjustment) to the otherwise applicable facility fee, Applicable Rate for Base Rate Loans, Swingline Loans, Term Benchmark Loans, RFR Loans, Alternative Currency Loans, and Letter of Credit Fees will be made; provided that the amount of such adjustments shall not exceed (i) in the case of the facility fee, an increase and/or decrease of 0.01% and (ii) in the case of the Applicable Rate for Term Benchmark Loans, RFR Loans, Alternative Currency Loans and Letter of Credit Fees, an increase and/or decrease of 0.05%, and the adjustments to the Applicable Rate for Base Rate Loans, RFR Loans and Swingline Loans shall be the same amount, in basis points, as the adjustments to the Applicable Rate for Term Benchmark Loans and Letter of Credit Fees,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Applicable Rate for Base Rate Loans and Swingline Loans be less than zero. The pricing adjustments pursuant to the KPIs will require, among other things, reporting and validation of the measurement of the KPIs in a manner that is aligned with the Sustainability Linked Loan Principles and is to be agreed between the Borrower and the Sustainability Coordinators (each acting reasonably). Following the effectiveness of the ESG Amendment:</w:t>
      </w:r>
    </w:p>
    <w:p>
      <w:pPr>
        <w:spacing w:after="0" w:line="183" w:lineRule="exact"/>
        <w:rPr>
          <w:rFonts w:ascii="Arial" w:cs="Arial" w:eastAsia="Arial" w:hAnsi="Arial"/>
          <w:sz w:val="18"/>
          <w:szCs w:val="18"/>
          <w:color w:val="auto"/>
        </w:rPr>
      </w:pPr>
    </w:p>
    <w:p>
      <w:pPr>
        <w:jc w:val="both"/>
        <w:ind w:firstLine="1494"/>
        <w:spacing w:after="0" w:line="242" w:lineRule="auto"/>
        <w:tabs>
          <w:tab w:leader="none" w:pos="2015" w:val="left"/>
        </w:tabs>
        <w:numPr>
          <w:ilvl w:val="1"/>
          <w:numId w:val="116"/>
        </w:numPr>
        <w:rPr>
          <w:rFonts w:ascii="Arial" w:cs="Arial" w:eastAsia="Arial" w:hAnsi="Arial"/>
          <w:sz w:val="20"/>
          <w:szCs w:val="20"/>
          <w:color w:val="010000"/>
        </w:rPr>
      </w:pPr>
      <w:r>
        <w:rPr>
          <w:rFonts w:ascii="Arial" w:cs="Arial" w:eastAsia="Arial" w:hAnsi="Arial"/>
          <w:sz w:val="20"/>
          <w:szCs w:val="20"/>
          <w:color w:val="auto"/>
        </w:rPr>
        <w:t>any modification to the ESG Pricing Provisions which has the effect of (x) reducing the facility fee, Applicable Rate for Base Rate Loans and Swingline Loans, or Applicable Rate for Term Benchmark Loans, RFR Loans, Alternative Currency Loans, and Letter of Credit Fees to a level not otherwise permitted by Section 2.19(a) or (y) increasing the facility fee, Applicable Rate for Base Rate Loans and Swingline Loans, or Applicable Rate for Term Benchmark Loans, RFR Loans, Alternative Currency Loans, and Letter of Credit Fees that is not accompanied by a corresponding reduction of the facility fee, Applicable Rate for Base Rate Loans and Swingline Loans, or Applicable Rate for Term Benchmark Loans, RFR Loans, Alternative Currency Loans, and Letter of Credit Fees by a percentage equivalent to such increase, shall (in each case) be subject to the consent of all Lenders; and</w:t>
      </w:r>
    </w:p>
    <w:p>
      <w:pPr>
        <w:spacing w:after="0" w:line="196" w:lineRule="exact"/>
        <w:rPr>
          <w:rFonts w:ascii="Arial" w:cs="Arial" w:eastAsia="Arial" w:hAnsi="Arial"/>
          <w:sz w:val="20"/>
          <w:szCs w:val="20"/>
          <w:color w:val="010000"/>
        </w:rPr>
      </w:pPr>
    </w:p>
    <w:p>
      <w:pPr>
        <w:ind w:firstLine="1494"/>
        <w:spacing w:after="0" w:line="260" w:lineRule="auto"/>
        <w:tabs>
          <w:tab w:leader="none" w:pos="2008" w:val="left"/>
        </w:tabs>
        <w:numPr>
          <w:ilvl w:val="1"/>
          <w:numId w:val="116"/>
        </w:numPr>
        <w:rPr>
          <w:rFonts w:ascii="Arial" w:cs="Arial" w:eastAsia="Arial" w:hAnsi="Arial"/>
          <w:sz w:val="20"/>
          <w:szCs w:val="20"/>
          <w:color w:val="010000"/>
        </w:rPr>
      </w:pPr>
      <w:r>
        <w:rPr>
          <w:rFonts w:ascii="Arial" w:cs="Arial" w:eastAsia="Arial" w:hAnsi="Arial"/>
          <w:sz w:val="20"/>
          <w:szCs w:val="20"/>
          <w:color w:val="auto"/>
        </w:rPr>
        <w:t>any other modification to the ESG Pricing Provisions (other than as provided for in Section 2.19(a)(i) above) shall be subject only to the consent of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324485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2" w:right="339" w:bottom="1440" w:gutter="0" w:footer="0" w:header="0"/>
        </w:sectPr>
      </w:pPr>
    </w:p>
    <w:bookmarkStart w:id="141" w:name="page142"/>
    <w:bookmarkEnd w:id="141"/>
    <w:p>
      <w:pPr>
        <w:jc w:val="both"/>
        <w:ind w:firstLine="1505"/>
        <w:spacing w:after="0" w:line="250" w:lineRule="auto"/>
        <w:tabs>
          <w:tab w:leader="none" w:pos="1999"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Sustainability Coordinators</w:t>
      </w:r>
      <w:r>
        <w:rPr>
          <w:rFonts w:ascii="Arial" w:cs="Arial" w:eastAsia="Arial" w:hAnsi="Arial"/>
          <w:sz w:val="20"/>
          <w:szCs w:val="20"/>
          <w:color w:val="auto"/>
        </w:rPr>
        <w:t>. The Sustainability Coordinators will (i) assist the Borrowers in determining the ESG Pricing Provisions in connection with the ESG Amendment and (ii) assist the Borrowers in preparing informational materials focused on ESG to be used in connection with the ESG Amendment.</w:t>
      </w:r>
    </w:p>
    <w:p>
      <w:pPr>
        <w:spacing w:after="0" w:line="185" w:lineRule="exact"/>
        <w:rPr>
          <w:rFonts w:ascii="Arial" w:cs="Arial" w:eastAsia="Arial" w:hAnsi="Arial"/>
          <w:sz w:val="20"/>
          <w:szCs w:val="20"/>
          <w:color w:val="auto"/>
        </w:rPr>
      </w:pPr>
    </w:p>
    <w:p>
      <w:pPr>
        <w:ind w:left="1980" w:hanging="475"/>
        <w:spacing w:after="0"/>
        <w:tabs>
          <w:tab w:leader="none" w:pos="1980"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Conflicting Provisions</w:t>
      </w:r>
      <w:r>
        <w:rPr>
          <w:rFonts w:ascii="Arial" w:cs="Arial" w:eastAsia="Arial" w:hAnsi="Arial"/>
          <w:sz w:val="20"/>
          <w:szCs w:val="20"/>
          <w:color w:val="auto"/>
        </w:rPr>
        <w:t xml:space="preserve">. This Section shall supersede any provisions in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to the contrary.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III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TAXES, YIELD PROTECTION AND ILLEGALITY</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3.01 </w:t>
      </w:r>
      <w:r>
        <w:rPr>
          <w:rFonts w:ascii="Arial" w:cs="Arial" w:eastAsia="Arial" w:hAnsi="Arial"/>
          <w:sz w:val="20"/>
          <w:szCs w:val="20"/>
          <w:color w:val="000000"/>
        </w:rPr>
        <w:t>Taxes.</w:t>
      </w:r>
    </w:p>
    <w:p>
      <w:pPr>
        <w:spacing w:after="0" w:line="216" w:lineRule="exact"/>
        <w:rPr>
          <w:sz w:val="20"/>
          <w:szCs w:val="20"/>
          <w:color w:val="auto"/>
        </w:rPr>
      </w:pPr>
    </w:p>
    <w:p>
      <w:pPr>
        <w:jc w:val="both"/>
        <w:ind w:firstLine="1505"/>
        <w:spacing w:after="0" w:line="244" w:lineRule="auto"/>
        <w:tabs>
          <w:tab w:leader="none" w:pos="1984"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 xml:space="preserve">. (i)Any and all payments by or on account of any obligation of the Borrowers hereunder or under any other Loan Document shall to the extent permitted by applicable Laws be made free and clear of and without reduction, withholding or deduction for or on account of any Taxes. If, however, any Tax Deduction is required to be made under any applicable Law, such Tax Deduction shall be made in accordance with such Laws. For purposes of this </w:t>
      </w:r>
      <w:r>
        <w:rPr>
          <w:rFonts w:ascii="Arial" w:cs="Arial" w:eastAsia="Arial" w:hAnsi="Arial"/>
          <w:sz w:val="20"/>
          <w:szCs w:val="20"/>
          <w:u w:val="single" w:color="auto"/>
          <w:color w:val="auto"/>
        </w:rPr>
        <w:t>Section 3.01</w:t>
      </w:r>
      <w:r>
        <w:rPr>
          <w:rFonts w:ascii="Arial" w:cs="Arial" w:eastAsia="Arial" w:hAnsi="Arial"/>
          <w:sz w:val="20"/>
          <w:szCs w:val="20"/>
          <w:color w:val="auto"/>
        </w:rPr>
        <w:t>, “applicable Law” includes FATCA.</w:t>
      </w:r>
    </w:p>
    <w:p>
      <w:pPr>
        <w:spacing w:after="0" w:line="194" w:lineRule="exact"/>
        <w:rPr>
          <w:rFonts w:ascii="Arial" w:cs="Arial" w:eastAsia="Arial" w:hAnsi="Arial"/>
          <w:sz w:val="20"/>
          <w:szCs w:val="20"/>
          <w:color w:val="auto"/>
        </w:rPr>
      </w:pPr>
    </w:p>
    <w:p>
      <w:pPr>
        <w:jc w:val="both"/>
        <w:ind w:left="760" w:firstLine="1494"/>
        <w:spacing w:after="0" w:line="273" w:lineRule="auto"/>
        <w:tabs>
          <w:tab w:leader="none" w:pos="2779" w:val="left"/>
        </w:tabs>
        <w:numPr>
          <w:ilvl w:val="1"/>
          <w:numId w:val="118"/>
        </w:numPr>
        <w:rPr>
          <w:rFonts w:ascii="Arial" w:cs="Arial" w:eastAsia="Arial" w:hAnsi="Arial"/>
          <w:sz w:val="18"/>
          <w:szCs w:val="18"/>
          <w:color w:val="010000"/>
        </w:rPr>
      </w:pPr>
      <w:r>
        <w:rPr>
          <w:rFonts w:ascii="Arial" w:cs="Arial" w:eastAsia="Arial" w:hAnsi="Arial"/>
          <w:sz w:val="18"/>
          <w:szCs w:val="18"/>
          <w:color w:val="auto"/>
        </w:rPr>
        <w:t xml:space="preserve">If any Tax Deduction is required to be made from any such payment under any applicable Law (as determined in the good faith discretion of an applicable Withholding Agent), then (A) the applicable Withholding Agent shall be entitled to make such Tax Deduction as is required by such Laws, (B) the applicable Withholding Agent, to the extent required by such Laws, shall timely pay the full amount so withheld or deducted by it to the relevant Governmental Authority in accordance with such Laws, and (C) to the extent that the Tax Deduction is made for or on account of Indemnified Taxes or Other Taxes, the sum payable by the applicable Borrower, as applicable shall (subject to </w:t>
      </w:r>
      <w:r>
        <w:rPr>
          <w:rFonts w:ascii="Arial" w:cs="Arial" w:eastAsia="Arial" w:hAnsi="Arial"/>
          <w:sz w:val="18"/>
          <w:szCs w:val="18"/>
          <w:u w:val="single" w:color="auto"/>
          <w:color w:val="auto"/>
        </w:rPr>
        <w:t>Section 3.01(h)</w:t>
      </w:r>
      <w:r>
        <w:rPr>
          <w:rFonts w:ascii="Arial" w:cs="Arial" w:eastAsia="Arial" w:hAnsi="Arial"/>
          <w:sz w:val="18"/>
          <w:szCs w:val="18"/>
          <w:color w:val="auto"/>
        </w:rPr>
        <w:t>) be increased as necessary so that after any required Tax Deduction (including withholdings or deductions applicable to additional sums payable under this Section) the applicable Recipient receives an amount equal to the sum it would have received had no such Tax Deduction been made.</w:t>
      </w:r>
    </w:p>
    <w:p>
      <w:pPr>
        <w:spacing w:after="0" w:line="168" w:lineRule="exact"/>
        <w:rPr>
          <w:rFonts w:ascii="Arial" w:cs="Arial" w:eastAsia="Arial" w:hAnsi="Arial"/>
          <w:sz w:val="18"/>
          <w:szCs w:val="18"/>
          <w:color w:val="010000"/>
        </w:rPr>
      </w:pPr>
    </w:p>
    <w:p>
      <w:pPr>
        <w:ind w:firstLine="1505"/>
        <w:spacing w:after="0" w:line="260" w:lineRule="auto"/>
        <w:tabs>
          <w:tab w:leader="none" w:pos="1989"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Borrowers</w:t>
      </w:r>
      <w:r>
        <w:rPr>
          <w:rFonts w:ascii="Arial" w:cs="Arial" w:eastAsia="Arial" w:hAnsi="Arial"/>
          <w:sz w:val="20"/>
          <w:szCs w:val="20"/>
          <w:color w:val="auto"/>
        </w:rPr>
        <w:t>. Without limiting the provisions of subsection (a) above, the Borrowers shall timely pay any Other Taxes to the relevant Governmental Authority in accordance with applicable Laws.</w:t>
      </w:r>
    </w:p>
    <w:p>
      <w:pPr>
        <w:spacing w:after="0" w:line="176" w:lineRule="exact"/>
        <w:rPr>
          <w:rFonts w:ascii="Arial" w:cs="Arial" w:eastAsia="Arial" w:hAnsi="Arial"/>
          <w:sz w:val="20"/>
          <w:szCs w:val="20"/>
          <w:color w:val="auto"/>
        </w:rPr>
      </w:pPr>
    </w:p>
    <w:p>
      <w:pPr>
        <w:jc w:val="both"/>
        <w:ind w:firstLine="1505"/>
        <w:spacing w:after="0" w:line="272" w:lineRule="auto"/>
        <w:tabs>
          <w:tab w:leader="none" w:pos="199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 (i) Without limiting the provisions of subsection (a) or (b) above, but subject to subsection (c)(ii) below, each Borrower shall, and does hereby, indemnify each Recipient, and shall make payment in respect thereof within ten Business Days after written demand therefor, for the full amount of any Indemnified Taxes or Other Taxes (including Indemnified Taxes or Other Taxes imposed or asserted on or attributable to amounts payable under this section) withheld or deducted by the Borrowers or the Administrative Agent or paid by such Recipient and any penalties, interest and reasonable expenses arising therefrom or with respect thereto (other than any penalties attributable to the gross negligence or willful misconduct of such Recipient) whether or not such Indemnified Taxes or Other Taxes were correctly or legally imposed or asserted by the relevant Governmental Authority. A certificate as to the amount of any such payment or liability delivered to the relevant Borrower by a Lender or an Issuing Lender (with a copy to the Administrative Agent), or by the Administrative Agent on its own behalf or on behalf of a Lender or an Issuing Lender,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2" w:name="page143"/>
    <w:bookmarkEnd w:id="142"/>
    <w:p>
      <w:pPr>
        <w:jc w:val="both"/>
        <w:ind w:left="752" w:firstLine="1494"/>
        <w:spacing w:after="0" w:line="250" w:lineRule="auto"/>
        <w:tabs>
          <w:tab w:leader="none" w:pos="2746" w:val="left"/>
        </w:tabs>
        <w:numPr>
          <w:ilvl w:val="2"/>
          <w:numId w:val="119"/>
        </w:numPr>
        <w:rPr>
          <w:rFonts w:ascii="Arial" w:cs="Arial" w:eastAsia="Arial" w:hAnsi="Arial"/>
          <w:sz w:val="20"/>
          <w:szCs w:val="20"/>
          <w:color w:val="010000"/>
        </w:rPr>
      </w:pPr>
      <w:r>
        <w:rPr>
          <w:rFonts w:ascii="Arial" w:cs="Arial" w:eastAsia="Arial" w:hAnsi="Arial"/>
          <w:sz w:val="20"/>
          <w:szCs w:val="20"/>
          <w:color w:val="auto"/>
        </w:rPr>
        <w:t xml:space="preserve">Subsection (c)(i) above shall not apply to the extent that the amount of such Indemnified Taxes or Other Taxes (A) is compensated for by an increased payment under subsection (a)(ii)(C) above, or would have been so compensated but was not so compensated solely because one of the exclusions in </w:t>
      </w:r>
      <w:r>
        <w:rPr>
          <w:rFonts w:ascii="Arial" w:cs="Arial" w:eastAsia="Arial" w:hAnsi="Arial"/>
          <w:sz w:val="20"/>
          <w:szCs w:val="20"/>
          <w:u w:val="single" w:color="auto"/>
          <w:color w:val="auto"/>
        </w:rPr>
        <w:t>Section 3.01(h)</w:t>
      </w:r>
      <w:r>
        <w:rPr>
          <w:rFonts w:ascii="Arial" w:cs="Arial" w:eastAsia="Arial" w:hAnsi="Arial"/>
          <w:sz w:val="20"/>
          <w:szCs w:val="20"/>
          <w:color w:val="auto"/>
        </w:rPr>
        <w:t xml:space="preserve"> applied.</w:t>
      </w:r>
    </w:p>
    <w:p>
      <w:pPr>
        <w:spacing w:after="0" w:line="185" w:lineRule="exact"/>
        <w:rPr>
          <w:rFonts w:ascii="Arial" w:cs="Arial" w:eastAsia="Arial" w:hAnsi="Arial"/>
          <w:sz w:val="20"/>
          <w:szCs w:val="20"/>
          <w:color w:val="010000"/>
        </w:rPr>
      </w:pPr>
    </w:p>
    <w:p>
      <w:pPr>
        <w:jc w:val="both"/>
        <w:ind w:left="-8" w:firstLine="1505"/>
        <w:spacing w:after="0" w:line="282" w:lineRule="auto"/>
        <w:tabs>
          <w:tab w:leader="none" w:pos="1987"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Within 30 days of making either a Tax Deduction or any payment required in connection with that Tax Deduction, the Borrowers shall deliver to the Administrative Agent for the Lender or Issuing Lender entitled to the relevant payment a statement under section 975 of the ITA or other evidence reasonably satisfactory to such Lender or such Issuing Lender that the Tax Deduction has been made or (as applicable) any appropriate payment paid to the relevant Governmental Authority.</w:t>
      </w:r>
    </w:p>
    <w:p>
      <w:pPr>
        <w:spacing w:after="0" w:line="161" w:lineRule="exact"/>
        <w:rPr>
          <w:rFonts w:ascii="Arial" w:cs="Arial" w:eastAsia="Arial" w:hAnsi="Arial"/>
          <w:sz w:val="18"/>
          <w:szCs w:val="18"/>
          <w:color w:val="auto"/>
        </w:rPr>
      </w:pPr>
    </w:p>
    <w:p>
      <w:pPr>
        <w:jc w:val="both"/>
        <w:ind w:left="-8" w:firstLine="1505"/>
        <w:spacing w:after="0" w:line="270" w:lineRule="auto"/>
        <w:tabs>
          <w:tab w:leader="none" w:pos="1973"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 xml:space="preserve">. (i) Each Lender shall indicate, in the case of a Lender party hereto as of the date of this Agreement, on </w:t>
      </w:r>
      <w:r>
        <w:rPr>
          <w:rFonts w:ascii="Arial" w:cs="Arial" w:eastAsia="Arial" w:hAnsi="Arial"/>
          <w:sz w:val="18"/>
          <w:szCs w:val="18"/>
          <w:u w:val="single" w:color="auto"/>
          <w:color w:val="auto"/>
        </w:rPr>
        <w:t>Schedule 3.01</w:t>
      </w:r>
      <w:r>
        <w:rPr>
          <w:rFonts w:ascii="Arial" w:cs="Arial" w:eastAsia="Arial" w:hAnsi="Arial"/>
          <w:sz w:val="18"/>
          <w:szCs w:val="18"/>
          <w:color w:val="auto"/>
        </w:rPr>
        <w:t xml:space="preserve"> hereto, or in the case of any Lender which becomes a party hereto after the date of this Agreement, in the Assignment and Assumption and/or Joinder Agreement which it executes on becoming a party hereto, and for the benefit of the Administrative Agent and without liability to any Loan Party, which of the following categories it falls in (A) not a UK Qualifying Lender,</w:t>
      </w:r>
    </w:p>
    <w:p>
      <w:pPr>
        <w:spacing w:after="0" w:line="2" w:lineRule="exact"/>
        <w:rPr>
          <w:rFonts w:ascii="Arial" w:cs="Arial" w:eastAsia="Arial" w:hAnsi="Arial"/>
          <w:sz w:val="18"/>
          <w:szCs w:val="18"/>
          <w:color w:val="auto"/>
        </w:rPr>
      </w:pPr>
    </w:p>
    <w:p>
      <w:pPr>
        <w:jc w:val="both"/>
        <w:ind w:left="-8" w:firstLine="8"/>
        <w:spacing w:after="0" w:line="274" w:lineRule="auto"/>
        <w:tabs>
          <w:tab w:leader="none" w:pos="34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UK Qualifying Lender (other than a UK Treaty Lender), or (C) a UK Treaty Lender. If a Lender fails to indicate its status in accordance with this clause (e)(i) then such Lender shall be treated for the purposes of this Agreement (including by each Loan Party) as if it is not a UK Qualifying Lender until such time as it notifies the Administrative Agent which category applies (and the Administrative Agent, upon receipt of such notification, shall promptly inform the relevant Borrowers). For the avoidance of doubt, this Agreement, an Assignment and Assumption and/or a Joinder Agreement shall not be invalidated by any failure of a Lender to comply with this clause (e)‎(i).</w:t>
      </w:r>
    </w:p>
    <w:p>
      <w:pPr>
        <w:spacing w:after="0" w:line="395" w:lineRule="exact"/>
        <w:rPr>
          <w:rFonts w:ascii="Arial" w:cs="Arial" w:eastAsia="Arial" w:hAnsi="Arial"/>
          <w:sz w:val="18"/>
          <w:szCs w:val="18"/>
          <w:color w:val="auto"/>
        </w:rPr>
      </w:pPr>
    </w:p>
    <w:p>
      <w:pPr>
        <w:jc w:val="both"/>
        <w:ind w:left="752" w:firstLine="1494"/>
        <w:spacing w:after="0" w:line="242" w:lineRule="auto"/>
        <w:tabs>
          <w:tab w:leader="none" w:pos="2762" w:val="left"/>
        </w:tabs>
        <w:numPr>
          <w:ilvl w:val="2"/>
          <w:numId w:val="121"/>
        </w:numPr>
        <w:rPr>
          <w:rFonts w:ascii="Arial" w:cs="Arial" w:eastAsia="Arial" w:hAnsi="Arial"/>
          <w:sz w:val="20"/>
          <w:szCs w:val="20"/>
          <w:color w:val="010000"/>
        </w:rPr>
      </w:pPr>
      <w:r>
        <w:rPr>
          <w:rFonts w:ascii="Arial" w:cs="Arial" w:eastAsia="Arial" w:hAnsi="Arial"/>
          <w:sz w:val="20"/>
          <w:szCs w:val="20"/>
          <w:color w:val="auto"/>
        </w:rPr>
        <w:t>Each Lender shall promptly (A) notify each Borrower and the Administrative Agent of any change in circumstances which does, or is reasonably likely to, modify or render invalid any claimed exemption from or reduction of Tax (including any exemption from a Tax Deduction), and (B) take such steps as shall not be materially disadvantageous to it, in the reasonable judgment of such Lender, and as may be reasonably necessary (including the re-designation of its Lending Office) to avoid any requirement of applicable Laws that any Borrower, any Guarantor or the Administrative Agent make any Tax Deduction imposed by the relevant Governmental Authority, and (C) upon request by the Borrower, provide the Borrower with any information reasonably required by that Borrower to apply any exemption under the Dutch Withholding Tax Act 2021 (</w:t>
      </w:r>
      <w:r>
        <w:rPr>
          <w:rFonts w:ascii="Arial" w:cs="Arial" w:eastAsia="Arial" w:hAnsi="Arial"/>
          <w:sz w:val="20"/>
          <w:szCs w:val="20"/>
          <w:i w:val="1"/>
          <w:iCs w:val="1"/>
          <w:color w:val="auto"/>
        </w:rPr>
        <w:t>Wet</w:t>
      </w:r>
      <w:r>
        <w:rPr>
          <w:rFonts w:ascii="Arial" w:cs="Arial" w:eastAsia="Arial" w:hAnsi="Arial"/>
          <w:sz w:val="20"/>
          <w:szCs w:val="20"/>
          <w:color w:val="auto"/>
        </w:rPr>
        <w:t xml:space="preserve"> </w:t>
      </w:r>
      <w:r>
        <w:rPr>
          <w:rFonts w:ascii="Arial" w:cs="Arial" w:eastAsia="Arial" w:hAnsi="Arial"/>
          <w:sz w:val="20"/>
          <w:szCs w:val="20"/>
          <w:i w:val="1"/>
          <w:iCs w:val="1"/>
          <w:color w:val="auto"/>
        </w:rPr>
        <w:t>Bronbelasting 2021)</w:t>
      </w:r>
      <w:r>
        <w:rPr>
          <w:rFonts w:ascii="Arial" w:cs="Arial" w:eastAsia="Arial" w:hAnsi="Arial"/>
          <w:sz w:val="20"/>
          <w:szCs w:val="20"/>
          <w:color w:val="auto"/>
        </w:rPr>
        <w:t>.</w:t>
      </w:r>
    </w:p>
    <w:p>
      <w:pPr>
        <w:spacing w:after="0" w:line="197" w:lineRule="exact"/>
        <w:rPr>
          <w:sz w:val="20"/>
          <w:szCs w:val="20"/>
          <w:color w:val="auto"/>
        </w:rPr>
      </w:pPr>
    </w:p>
    <w:p>
      <w:pPr>
        <w:jc w:val="both"/>
        <w:ind w:left="752" w:firstLine="1494"/>
        <w:spacing w:after="0" w:line="259" w:lineRule="auto"/>
        <w:tabs>
          <w:tab w:leader="none" w:pos="2747"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Each party shall promptly deliver to such other party, as such other party shall reasonably request, on or prior to the Closing Date, and in a timely fashion thereafter, such documents and forms required by any relevant taxing authorities under the Laws of any jurisdiction, duly executed and completed, as are required to be furnished by such party under such Laws in connection with any payment of Taxes or Other Taxes, or otherwise in connection with the Loan Documents, or for the purpose of such other party’s compliance with any law, regulation or exchange of information regime with respect to such jurisdiction (including, but not limited to, that other party’s compliance with FATCA).</w:t>
      </w:r>
    </w:p>
    <w:p>
      <w:pPr>
        <w:spacing w:after="0" w:line="178" w:lineRule="exact"/>
        <w:rPr>
          <w:rFonts w:ascii="Arial" w:cs="Arial" w:eastAsia="Arial" w:hAnsi="Arial"/>
          <w:sz w:val="19"/>
          <w:szCs w:val="19"/>
          <w:color w:val="010000"/>
        </w:rPr>
      </w:pPr>
    </w:p>
    <w:p>
      <w:pPr>
        <w:jc w:val="both"/>
        <w:ind w:left="752" w:firstLine="1494"/>
        <w:spacing w:after="0" w:line="263" w:lineRule="auto"/>
        <w:tabs>
          <w:tab w:leader="none" w:pos="2737"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In addition, each Lender that is a “United States person” within the meaning of Section 7701(a)(30) of the Code shall deliver to the relevant Borrowers and the Administrative Agent (in such number as shall be requested by the recipient) on or prior to the date on which such Lender becomes a Lender under this Agreement (and from time to time thereafter upon the expiration of any previously delivered form or upon the request of the Borrowers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324485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52" w:right="339" w:bottom="1440" w:gutter="0" w:footer="0" w:header="0"/>
        </w:sectPr>
      </w:pPr>
    </w:p>
    <w:bookmarkStart w:id="143" w:name="page144"/>
    <w:bookmarkEnd w:id="143"/>
    <w:p>
      <w:pPr>
        <w:jc w:val="both"/>
        <w:spacing w:after="0" w:line="272" w:lineRule="auto"/>
        <w:rPr>
          <w:sz w:val="20"/>
          <w:szCs w:val="20"/>
          <w:color w:val="auto"/>
        </w:rPr>
      </w:pPr>
      <w:r>
        <w:rPr>
          <w:rFonts w:ascii="Arial" w:cs="Arial" w:eastAsia="Arial" w:hAnsi="Arial"/>
          <w:sz w:val="18"/>
          <w:szCs w:val="18"/>
          <w:color w:val="auto"/>
        </w:rPr>
        <w:t>Administrative Agent) executed originals of Internal Revenue Service Form W-9 or such other documentation or information prescribed by applicable Laws or reasonably requested by the Borrowers or the Administrative Agent as will enable the Borrowers or the Administrative Agent, as the case may be, to determine whether or not such Lender is subject to backup withholding or information reporting requirements. Each Lender that is not a “United States person” within the meaning of Section 7701(a)(30) of the Code and that is entitled under the Code or any applicable treaty to an exemption from or reduction of United States federal withholding tax with respect to payments hereunder shall deliver to the Borrowers and the Administrative Agent (in such number as shall be requested by the recipient) on or prior to the date on which such Lender becomes a Lender under this Agreement (and from time to time thereafter upon the expiration of any previously delivered form or upon the request of the Borrowers or the Administrative Agent, but only if such Lender is legally entitled to do so), whichever of the following is applicable:</w:t>
      </w:r>
    </w:p>
    <w:p>
      <w:pPr>
        <w:spacing w:after="0" w:line="170" w:lineRule="exact"/>
        <w:rPr>
          <w:sz w:val="20"/>
          <w:szCs w:val="20"/>
          <w:color w:val="auto"/>
        </w:rPr>
      </w:pPr>
    </w:p>
    <w:p>
      <w:pPr>
        <w:ind w:left="740" w:firstLine="1503"/>
        <w:spacing w:after="0" w:line="260" w:lineRule="auto"/>
        <w:tabs>
          <w:tab w:leader="none" w:pos="2722" w:val="left"/>
        </w:tabs>
        <w:numPr>
          <w:ilvl w:val="2"/>
          <w:numId w:val="123"/>
        </w:numPr>
        <w:rPr>
          <w:rFonts w:ascii="Arial" w:cs="Arial" w:eastAsia="Arial" w:hAnsi="Arial"/>
          <w:sz w:val="20"/>
          <w:szCs w:val="20"/>
          <w:color w:val="010000"/>
        </w:rPr>
      </w:pPr>
      <w:r>
        <w:rPr>
          <w:rFonts w:ascii="Arial" w:cs="Arial" w:eastAsia="Arial" w:hAnsi="Arial"/>
          <w:sz w:val="20"/>
          <w:szCs w:val="20"/>
          <w:color w:val="auto"/>
        </w:rPr>
        <w:t>executed originals of Internal Revenue Service Form W-8BEN or W-8BEN-E claiming eligibility for benefits of an income tax treaty to which the United States is a party;</w:t>
      </w:r>
    </w:p>
    <w:p>
      <w:pPr>
        <w:spacing w:after="0" w:line="176" w:lineRule="exact"/>
        <w:rPr>
          <w:rFonts w:ascii="Arial" w:cs="Arial" w:eastAsia="Arial" w:hAnsi="Arial"/>
          <w:sz w:val="20"/>
          <w:szCs w:val="20"/>
          <w:color w:val="010000"/>
        </w:rPr>
      </w:pPr>
    </w:p>
    <w:p>
      <w:pPr>
        <w:ind w:left="2720" w:hanging="477"/>
        <w:spacing w:after="0"/>
        <w:tabs>
          <w:tab w:leader="none" w:pos="2720" w:val="left"/>
        </w:tabs>
        <w:numPr>
          <w:ilvl w:val="2"/>
          <w:numId w:val="123"/>
        </w:numPr>
        <w:rPr>
          <w:rFonts w:ascii="Arial" w:cs="Arial" w:eastAsia="Arial" w:hAnsi="Arial"/>
          <w:sz w:val="20"/>
          <w:szCs w:val="20"/>
          <w:color w:val="010000"/>
        </w:rPr>
      </w:pPr>
      <w:r>
        <w:rPr>
          <w:rFonts w:ascii="Arial" w:cs="Arial" w:eastAsia="Arial" w:hAnsi="Arial"/>
          <w:sz w:val="20"/>
          <w:szCs w:val="20"/>
          <w:color w:val="auto"/>
        </w:rPr>
        <w:t>executed originals of Internal Revenue Service Form W-8ECI;</w:t>
      </w:r>
    </w:p>
    <w:p>
      <w:pPr>
        <w:spacing w:after="0" w:line="215" w:lineRule="exact"/>
        <w:rPr>
          <w:rFonts w:ascii="Arial" w:cs="Arial" w:eastAsia="Arial" w:hAnsi="Arial"/>
          <w:sz w:val="20"/>
          <w:szCs w:val="20"/>
          <w:color w:val="010000"/>
        </w:rPr>
      </w:pPr>
    </w:p>
    <w:p>
      <w:pPr>
        <w:ind w:left="2780" w:hanging="537"/>
        <w:spacing w:after="0"/>
        <w:tabs>
          <w:tab w:leader="none" w:pos="2780" w:val="left"/>
        </w:tabs>
        <w:numPr>
          <w:ilvl w:val="2"/>
          <w:numId w:val="123"/>
        </w:numPr>
        <w:rPr>
          <w:rFonts w:ascii="Arial" w:cs="Arial" w:eastAsia="Arial" w:hAnsi="Arial"/>
          <w:sz w:val="19"/>
          <w:szCs w:val="19"/>
          <w:color w:val="010000"/>
        </w:rPr>
      </w:pPr>
      <w:r>
        <w:rPr>
          <w:rFonts w:ascii="Arial" w:cs="Arial" w:eastAsia="Arial" w:hAnsi="Arial"/>
          <w:sz w:val="19"/>
          <w:szCs w:val="19"/>
          <w:color w:val="auto"/>
        </w:rPr>
        <w:t>executed originals of Internal Revenue Service Form W-8IMY and all required supporting</w:t>
      </w:r>
    </w:p>
    <w:p>
      <w:pPr>
        <w:spacing w:after="0" w:line="27" w:lineRule="exact"/>
        <w:rPr>
          <w:rFonts w:ascii="Arial" w:cs="Arial" w:eastAsia="Arial" w:hAnsi="Arial"/>
          <w:sz w:val="19"/>
          <w:szCs w:val="19"/>
          <w:color w:val="010000"/>
        </w:rPr>
      </w:pPr>
    </w:p>
    <w:p>
      <w:pPr>
        <w:ind w:left="740"/>
        <w:spacing w:after="0"/>
        <w:rPr>
          <w:rFonts w:ascii="Arial" w:cs="Arial" w:eastAsia="Arial" w:hAnsi="Arial"/>
          <w:sz w:val="19"/>
          <w:szCs w:val="19"/>
          <w:color w:val="010000"/>
        </w:rPr>
      </w:pPr>
      <w:r>
        <w:rPr>
          <w:rFonts w:ascii="Arial" w:cs="Arial" w:eastAsia="Arial" w:hAnsi="Arial"/>
          <w:sz w:val="20"/>
          <w:szCs w:val="20"/>
          <w:color w:val="auto"/>
        </w:rPr>
        <w:t>documentation;</w:t>
      </w:r>
    </w:p>
    <w:p>
      <w:pPr>
        <w:spacing w:after="0" w:line="199" w:lineRule="exact"/>
        <w:rPr>
          <w:rFonts w:ascii="Arial" w:cs="Arial" w:eastAsia="Arial" w:hAnsi="Arial"/>
          <w:sz w:val="19"/>
          <w:szCs w:val="19"/>
          <w:color w:val="010000"/>
        </w:rPr>
      </w:pPr>
    </w:p>
    <w:p>
      <w:pPr>
        <w:jc w:val="both"/>
        <w:ind w:left="740" w:firstLine="1503"/>
        <w:spacing w:after="0" w:line="275" w:lineRule="auto"/>
        <w:tabs>
          <w:tab w:leader="none" w:pos="2724" w:val="left"/>
        </w:tabs>
        <w:numPr>
          <w:ilvl w:val="2"/>
          <w:numId w:val="123"/>
        </w:numPr>
        <w:rPr>
          <w:rFonts w:ascii="Arial" w:cs="Arial" w:eastAsia="Arial" w:hAnsi="Arial"/>
          <w:sz w:val="18"/>
          <w:szCs w:val="18"/>
          <w:color w:val="010000"/>
        </w:rPr>
      </w:pPr>
      <w:r>
        <w:rPr>
          <w:rFonts w:ascii="Arial" w:cs="Arial" w:eastAsia="Arial" w:hAnsi="Arial"/>
          <w:sz w:val="18"/>
          <w:szCs w:val="18"/>
          <w:color w:val="auto"/>
        </w:rPr>
        <w:t>in the case of a Lender claiming the benefits of the exemption for portfolio interest under section 881(c) of the Code, (x) a certificate to the effect that such Lender is not (I) a “bank” within the meaning of section 881(c)</w:t>
      </w:r>
    </w:p>
    <w:p>
      <w:pPr>
        <w:ind w:left="740"/>
        <w:spacing w:after="0"/>
        <w:rPr>
          <w:rFonts w:ascii="Arial" w:cs="Arial" w:eastAsia="Arial" w:hAnsi="Arial"/>
          <w:sz w:val="18"/>
          <w:szCs w:val="18"/>
          <w:color w:val="010000"/>
        </w:rPr>
      </w:pPr>
      <w:r>
        <w:rPr>
          <w:rFonts w:ascii="Arial" w:cs="Arial" w:eastAsia="Arial" w:hAnsi="Arial"/>
          <w:sz w:val="19"/>
          <w:szCs w:val="19"/>
          <w:color w:val="auto"/>
        </w:rPr>
        <w:t>(3)(A) of the Code, (II) a “10-percent shareholder” of WNA within the meaning of section 881(c)(3)(B) of the Code or</w:t>
      </w:r>
    </w:p>
    <w:p>
      <w:pPr>
        <w:spacing w:after="0" w:line="11" w:lineRule="exact"/>
        <w:rPr>
          <w:rFonts w:ascii="Arial" w:cs="Arial" w:eastAsia="Arial" w:hAnsi="Arial"/>
          <w:sz w:val="18"/>
          <w:szCs w:val="18"/>
          <w:color w:val="010000"/>
        </w:rPr>
      </w:pPr>
    </w:p>
    <w:p>
      <w:pPr>
        <w:ind w:left="740" w:firstLine="5"/>
        <w:spacing w:after="0" w:line="244" w:lineRule="auto"/>
        <w:tabs>
          <w:tab w:leader="none" w:pos="11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a “controlled foreign corporation” described in section 881(c)(3)(C) of the Code and (y) executed originals of Internal Revenue Service Form W-8BEN or W-8BEN-E; or</w:t>
      </w:r>
    </w:p>
    <w:p>
      <w:pPr>
        <w:spacing w:after="0" w:line="191" w:lineRule="exact"/>
        <w:rPr>
          <w:rFonts w:ascii="Arial" w:cs="Arial" w:eastAsia="Arial" w:hAnsi="Arial"/>
          <w:sz w:val="20"/>
          <w:szCs w:val="20"/>
          <w:color w:val="auto"/>
        </w:rPr>
      </w:pPr>
    </w:p>
    <w:p>
      <w:pPr>
        <w:jc w:val="both"/>
        <w:ind w:left="740" w:firstLine="1503"/>
        <w:spacing w:after="0" w:line="246" w:lineRule="auto"/>
        <w:tabs>
          <w:tab w:leader="none" w:pos="2758" w:val="left"/>
        </w:tabs>
        <w:numPr>
          <w:ilvl w:val="2"/>
          <w:numId w:val="124"/>
        </w:numPr>
        <w:rPr>
          <w:rFonts w:ascii="Arial" w:cs="Arial" w:eastAsia="Arial" w:hAnsi="Arial"/>
          <w:sz w:val="20"/>
          <w:szCs w:val="20"/>
          <w:color w:val="010000"/>
        </w:rPr>
      </w:pPr>
      <w:r>
        <w:rPr>
          <w:rFonts w:ascii="Arial" w:cs="Arial" w:eastAsia="Arial" w:hAnsi="Arial"/>
          <w:sz w:val="20"/>
          <w:szCs w:val="20"/>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the Borrowers or the Administrative Agent to determine the withholding or deduction required to be made.</w:t>
      </w:r>
    </w:p>
    <w:p>
      <w:pPr>
        <w:spacing w:after="0" w:line="191" w:lineRule="exact"/>
        <w:rPr>
          <w:rFonts w:ascii="Arial" w:cs="Arial" w:eastAsia="Arial" w:hAnsi="Arial"/>
          <w:sz w:val="20"/>
          <w:szCs w:val="20"/>
          <w:color w:val="010000"/>
        </w:rPr>
      </w:pPr>
    </w:p>
    <w:p>
      <w:pPr>
        <w:jc w:val="both"/>
        <w:ind w:firstLine="1494"/>
        <w:spacing w:after="0" w:line="255" w:lineRule="auto"/>
        <w:tabs>
          <w:tab w:leader="none" w:pos="1990" w:val="left"/>
        </w:tabs>
        <w:numPr>
          <w:ilvl w:val="1"/>
          <w:numId w:val="124"/>
        </w:numPr>
        <w:rPr>
          <w:rFonts w:ascii="Arial" w:cs="Arial" w:eastAsia="Arial" w:hAnsi="Arial"/>
          <w:sz w:val="19"/>
          <w:szCs w:val="19"/>
          <w:color w:val="010000"/>
        </w:rPr>
      </w:pPr>
      <w:r>
        <w:rPr>
          <w:rFonts w:ascii="Arial" w:cs="Arial" w:eastAsia="Arial" w:hAnsi="Arial"/>
          <w:sz w:val="19"/>
          <w:szCs w:val="19"/>
          <w:color w:val="auto"/>
        </w:rPr>
        <w:t>If a payment made to a Lender hereunder or under any other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subsection (e)(v), “FATCA” shall include any amendments made to FATCA after the date of this Agreement.</w:t>
      </w:r>
    </w:p>
    <w:p>
      <w:pPr>
        <w:spacing w:after="0" w:line="189" w:lineRule="exact"/>
        <w:rPr>
          <w:rFonts w:ascii="Arial" w:cs="Arial" w:eastAsia="Arial" w:hAnsi="Arial"/>
          <w:sz w:val="19"/>
          <w:szCs w:val="19"/>
          <w:color w:val="010000"/>
        </w:rPr>
      </w:pPr>
    </w:p>
    <w:p>
      <w:pPr>
        <w:ind w:firstLine="1494"/>
        <w:spacing w:after="0" w:line="260" w:lineRule="auto"/>
        <w:tabs>
          <w:tab w:leader="none" w:pos="2005" w:val="left"/>
        </w:tabs>
        <w:numPr>
          <w:ilvl w:val="1"/>
          <w:numId w:val="124"/>
        </w:numPr>
        <w:rPr>
          <w:rFonts w:ascii="Arial" w:cs="Arial" w:eastAsia="Arial" w:hAnsi="Arial"/>
          <w:sz w:val="20"/>
          <w:szCs w:val="20"/>
          <w:color w:val="010000"/>
        </w:rPr>
      </w:pPr>
      <w:r>
        <w:rPr>
          <w:rFonts w:ascii="Arial" w:cs="Arial" w:eastAsia="Arial" w:hAnsi="Arial"/>
          <w:sz w:val="20"/>
          <w:szCs w:val="20"/>
          <w:color w:val="auto"/>
        </w:rPr>
        <w:t>On or before the date the Administrative Agent becomes a party to this Agreement, the Administrative Agent shall deliver to the relevant Borrowers whichever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324485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52" w:right="339" w:bottom="1440" w:gutter="0" w:footer="0" w:header="0"/>
        </w:sectPr>
      </w:pPr>
    </w:p>
    <w:bookmarkStart w:id="144" w:name="page145"/>
    <w:bookmarkEnd w:id="144"/>
    <w:p>
      <w:pPr>
        <w:jc w:val="both"/>
        <w:ind w:left="760"/>
        <w:spacing w:after="0" w:line="256" w:lineRule="auto"/>
        <w:rPr>
          <w:sz w:val="20"/>
          <w:szCs w:val="20"/>
          <w:color w:val="auto"/>
        </w:rPr>
      </w:pPr>
      <w:r>
        <w:rPr>
          <w:rFonts w:ascii="Arial" w:cs="Arial" w:eastAsia="Arial" w:hAnsi="Arial"/>
          <w:sz w:val="19"/>
          <w:szCs w:val="19"/>
          <w:color w:val="auto"/>
        </w:rPr>
        <w:t>following is applicable: (A) if the Administrative Agent is a “United States person” within the meaning of Section 7701(a)(30) of the Code, two executed copies of IRS Form W-9 certifying that such Administrative Agent is exempt from United States federal backup withholding or (B) if the Administrative Agent is not such a person, (I) with respect to payments received for its own account, two executed copies of IRS Form W-8ECI and (II) with respect to payments received on account of any Lender, two executed copies of IRS Form W-8IMY (together with all required accompanying documentation) certifying that the Administrative Agent is a United States branch and may be treated as a United States person for purposes of applicable United States federal withholding Tax. At any time thereafter, the Administrative Agent shall provide updated documentation previously provided (or a successor form thereto) when any documentation previously delivered has expired or become obsolete or invalid or otherwise upon the reasonable request of any Borrower.</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Each Lender shall promptly notify the Borrowers and the Administrative Agent of any change in circumstances which would modify or render invalid any claimed exemption or reduction. Each Recipient agrees that if any form or certification it previously delivered expires or becomes obsolete or inaccurate in any respect, it shall reasonably promptly after it becomes aware of such expiry, or that it has become obsolete or inaccurate, update such form or certification or notify the Borrowers and the Administrative Agent, as applicable, in writing of its legal inability to do so.</w:t>
      </w:r>
    </w:p>
    <w:p>
      <w:pPr>
        <w:spacing w:after="0" w:line="194" w:lineRule="exact"/>
        <w:rPr>
          <w:sz w:val="20"/>
          <w:szCs w:val="20"/>
          <w:color w:val="auto"/>
        </w:rPr>
      </w:pPr>
    </w:p>
    <w:p>
      <w:pPr>
        <w:jc w:val="both"/>
        <w:ind w:firstLine="1505"/>
        <w:spacing w:after="0" w:line="268" w:lineRule="auto"/>
        <w:tabs>
          <w:tab w:leader="none" w:pos="1986"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Unless required by applicable Laws, at no time shall the Administrative Agent have any obligation to file for or otherwise pursue on behalf of a Lender or an Issuing Lender or have any obligation to pay to any Lender or to any Issuing Lender, any refund of Taxes withheld or deducted from funds paid for the account of such Lender or such Issuing Lender, as the case may be. If any Recipient determines, in its sole discretion acting in good faith, that it or any of its Affiliaties has received and utilized a refund or credit, relief or remission (in lieu of such refund) of any Taxes or Other Taxes as to which it has been indemnified by any Loan Party or with respect to which any Loan Party has paid additional amounts pursuant to this Section, it shall pay to such Loan Party, provided that such payment to the relevant Loan Party shall not leave any Recipient in a worse after-Tax position than it would have been in had the indemnity payment or additional amount not been required to be paid, an amount equal to such refund or credit, relief or remission (in lieu of such refund) (but only to the extent of indemnity payments made, or additional amounts paid, by such Loan Party under this Section with respect to the Taxes or Other Taxes giving rise to such refund or credit, relief or remission (in lieu of such refund)) net of all out of pocket expenses incurred by such Recipient and without interest (other than any interest paid by the relevant Governmental Authority with respect to such refund); provided that the relevant Loan Party, upon the request of the Administrative Agent, such Lender or such Issuing Lender, agrees to repay the amount paid over to the relevant Loan Party (plus (i) an amount equal to any interest previously received from the relevant Governmental Authority that was paid over to the relevant Loan Party in accordance with this Section 3.01(f); and (ii) any penalties, interest, or other charges imposed by the relevant Governmental Authority to the extent that such penalties, interest or other charges are reasonably attributable to any default or delay by the Loan Party in making the required repayment) to the Administrative Agent, such Lender or such Issuing Lender in the event the Administrative Agent, such Lender or such Issuing Lender is required to repay such refund to such Governmental Authority. This subsection shall not be construed to require the Administrative Agent, any Lender or any Issuing Lender to make available its Tax returns (or any other information relating to its Taxes that it deems confidential) to any Loan Party or any other Person.</w:t>
      </w:r>
    </w:p>
    <w:p>
      <w:pPr>
        <w:spacing w:after="0" w:line="183" w:lineRule="exact"/>
        <w:rPr>
          <w:rFonts w:ascii="Arial" w:cs="Arial" w:eastAsia="Arial" w:hAnsi="Arial"/>
          <w:sz w:val="18"/>
          <w:szCs w:val="18"/>
          <w:color w:val="auto"/>
        </w:rPr>
      </w:pPr>
    </w:p>
    <w:p>
      <w:pPr>
        <w:jc w:val="both"/>
        <w:ind w:firstLine="1505"/>
        <w:spacing w:after="0" w:line="263" w:lineRule="auto"/>
        <w:tabs>
          <w:tab w:leader="none" w:pos="1991"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Notification by Lenders</w:t>
      </w:r>
      <w:r>
        <w:rPr>
          <w:rFonts w:ascii="Arial" w:cs="Arial" w:eastAsia="Arial" w:hAnsi="Arial"/>
          <w:sz w:val="19"/>
          <w:szCs w:val="19"/>
          <w:color w:val="auto"/>
        </w:rPr>
        <w:t>. A Credit Party shall promptly upon becoming aware that it is subject to a Tax Deduction (or that there is any change in the rate or the basis of a Tax Deduction) notify the Administrative Agent. Similarly (save where a notification under paragraph (e) has been made, in circumstances where a notification obligation would otherwise arise under both paragraph (e) and this paragraph (g)) where a Lender becomes aware that it is subject to a Tax Deduction, a Lender shall notify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5" w:name="page146"/>
    <w:bookmarkEnd w:id="145"/>
    <w:p>
      <w:pPr>
        <w:spacing w:after="0" w:line="260" w:lineRule="auto"/>
        <w:rPr>
          <w:sz w:val="20"/>
          <w:szCs w:val="20"/>
          <w:color w:val="auto"/>
        </w:rPr>
      </w:pPr>
      <w:r>
        <w:rPr>
          <w:rFonts w:ascii="Arial" w:cs="Arial" w:eastAsia="Arial" w:hAnsi="Arial"/>
          <w:sz w:val="20"/>
          <w:szCs w:val="20"/>
          <w:color w:val="auto"/>
        </w:rPr>
        <w:t>the Administrative Agent and if the Administrative Agent receives such a notification from a Lender it shall notify the Borrowers and the Parent.</w:t>
      </w:r>
    </w:p>
    <w:p>
      <w:pPr>
        <w:spacing w:after="0" w:line="177" w:lineRule="exact"/>
        <w:rPr>
          <w:sz w:val="20"/>
          <w:szCs w:val="20"/>
          <w:color w:val="auto"/>
        </w:rPr>
      </w:pPr>
    </w:p>
    <w:p>
      <w:pPr>
        <w:jc w:val="both"/>
        <w:ind w:firstLine="1505"/>
        <w:spacing w:after="0" w:line="269" w:lineRule="auto"/>
        <w:tabs>
          <w:tab w:leader="none" w:pos="1982"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UK Qualifying Lenders</w:t>
      </w:r>
      <w:r>
        <w:rPr>
          <w:rFonts w:ascii="Arial" w:cs="Arial" w:eastAsia="Arial" w:hAnsi="Arial"/>
          <w:sz w:val="18"/>
          <w:szCs w:val="18"/>
          <w:color w:val="auto"/>
        </w:rPr>
        <w:t>. A payment shall not be increased under subsection (a) above by reason of a Tax Deduction on account of Tax imposed by the United Kingdom, if on the date on which the payment falls due (i) the payment could have been made to the relevant Lender without such a Tax Deduction if the Lender had been a UK Qualifying Lender, but on that date that Lender is not or has ceased to be a UK Qualifying Lender other than as a result of any change after the date it became a Lender under this Agreement in (or in the interpretation, administration, or application of) any law or UK Treaty or any published practice or published concession of any relevant taxing authority, (ii) the relevant Lender is a UK Qualifying Lender solely by virtue of clause (a)(ii) of the definition of UK Qualifying Lender and (A) an officer of HMRC has given (and not revoked) a direction (a “</w:t>
      </w:r>
      <w:r>
        <w:rPr>
          <w:rFonts w:ascii="Arial" w:cs="Arial" w:eastAsia="Arial" w:hAnsi="Arial"/>
          <w:sz w:val="18"/>
          <w:szCs w:val="18"/>
          <w:u w:val="single" w:color="auto"/>
          <w:color w:val="auto"/>
        </w:rPr>
        <w:t>Direction</w:t>
      </w:r>
      <w:r>
        <w:rPr>
          <w:rFonts w:ascii="Arial" w:cs="Arial" w:eastAsia="Arial" w:hAnsi="Arial"/>
          <w:sz w:val="18"/>
          <w:szCs w:val="18"/>
          <w:color w:val="auto"/>
        </w:rPr>
        <w:t>”) under section 931 of the ITA which relates to the payment and that Lender has received from the Borrowers a certified copy of that Direction, and (B) the payment could have been made to the Lender without such a Tax Deduction if that Direction had not been made, (iii) the relevant Lender is a UK Qualifying Lender solely by virtue of clause (a)(ii) of the definition of UK Qualifying Lender and (A) the relevant Lender has not given a UK Tax Confirmation to the Borrowers, and (B) the payment could have been made to the Lender without such a Tax Deduction if the Lender had given a UK Tax Confirmation to the Borrowers, on the basis that the UK Tax Confirmation would have enabled the Borrowers to have formed a reasonable belief that the payment was an “excepted payment” for the purpose of section 930 of the ITA or (iv) the relevant Lender is a UK Treaty Lender and the Loan Party making the payment is able to demonstrate that the payment could have been made to the Lender without such a Tax Deduction had that Lender complied with its obligations under subsection (i) below.</w:t>
      </w:r>
    </w:p>
    <w:p>
      <w:pPr>
        <w:spacing w:after="0" w:line="178" w:lineRule="exact"/>
        <w:rPr>
          <w:rFonts w:ascii="Arial" w:cs="Arial" w:eastAsia="Arial" w:hAnsi="Arial"/>
          <w:sz w:val="18"/>
          <w:szCs w:val="18"/>
          <w:color w:val="auto"/>
        </w:rPr>
      </w:pPr>
    </w:p>
    <w:p>
      <w:pPr>
        <w:jc w:val="both"/>
        <w:ind w:firstLine="1505"/>
        <w:spacing w:after="0" w:line="257" w:lineRule="auto"/>
        <w:tabs>
          <w:tab w:leader="none" w:pos="2004"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UK Treaty Lenders</w:t>
      </w:r>
      <w:r>
        <w:rPr>
          <w:rFonts w:ascii="Arial" w:cs="Arial" w:eastAsia="Arial" w:hAnsi="Arial"/>
          <w:sz w:val="19"/>
          <w:szCs w:val="19"/>
          <w:color w:val="auto"/>
        </w:rPr>
        <w:t>. (i) Subject to clause (ii) below, a UK Treaty Lender and each Loan Party which makes a payment to which that UK Treaty Lender is entitled shall co-operate in completing any procedural formalities necessary for that Loan Party to obtain a direction from HMRC authorizing the making of any payment to which such UK Treaty Lender is entitled without a Tax Deduction on account of Tax imposed by the United Kingdom (and, for the avoidance of doubt, this provision shall apply equally to any additional procedural formalities which are necessary (A) in order to maintain, replace or renew any previous direction, following the expiry or withdrawal of such previous direction or (B) to obtain a direction in respect of an increased Commitment, to the extent such increase is not covered by an existing direction) (for the purposes of this clause (i) an “Authorization”).</w:t>
      </w:r>
    </w:p>
    <w:p>
      <w:pPr>
        <w:spacing w:after="0" w:line="184" w:lineRule="exact"/>
        <w:rPr>
          <w:rFonts w:ascii="Arial" w:cs="Arial" w:eastAsia="Arial" w:hAnsi="Arial"/>
          <w:sz w:val="19"/>
          <w:szCs w:val="19"/>
          <w:color w:val="auto"/>
        </w:rPr>
      </w:pPr>
    </w:p>
    <w:p>
      <w:pPr>
        <w:jc w:val="both"/>
        <w:ind w:left="760" w:firstLine="1494"/>
        <w:spacing w:after="0" w:line="244" w:lineRule="auto"/>
        <w:tabs>
          <w:tab w:leader="none" w:pos="2747" w:val="left"/>
        </w:tabs>
        <w:numPr>
          <w:ilvl w:val="1"/>
          <w:numId w:val="126"/>
        </w:numPr>
        <w:rPr>
          <w:rFonts w:ascii="Arial" w:cs="Arial" w:eastAsia="Arial" w:hAnsi="Arial"/>
          <w:sz w:val="20"/>
          <w:szCs w:val="20"/>
          <w:color w:val="010000"/>
        </w:rPr>
      </w:pPr>
      <w:r>
        <w:rPr>
          <w:rFonts w:ascii="Arial" w:cs="Arial" w:eastAsia="Arial" w:hAnsi="Arial"/>
          <w:sz w:val="20"/>
          <w:szCs w:val="20"/>
          <w:color w:val="auto"/>
        </w:rPr>
        <w:t>Nothing in clause (i) above shall require a UK Treaty Lender to: (A) register under the HMRC DT Treaty Passport scheme; (B) apply the HMRC DT Treaty Passport scheme to any Commitment or Loan if it has so registered; or (C) file UK Treaty forms if it has included an indication to the effect that it wishes the HMRC DT Treaty Passport scheme to apply to this Agreement in accordance with clause (iii) or (v) below and a Borrower has not complied with its obligations under clause (iii) or (v) below.</w:t>
      </w:r>
    </w:p>
    <w:p>
      <w:pPr>
        <w:spacing w:after="0" w:line="194" w:lineRule="exact"/>
        <w:rPr>
          <w:rFonts w:ascii="Arial" w:cs="Arial" w:eastAsia="Arial" w:hAnsi="Arial"/>
          <w:sz w:val="20"/>
          <w:szCs w:val="20"/>
          <w:color w:val="010000"/>
        </w:rPr>
      </w:pPr>
    </w:p>
    <w:p>
      <w:pPr>
        <w:jc w:val="both"/>
        <w:ind w:left="760" w:firstLine="1494"/>
        <w:spacing w:after="0" w:line="282" w:lineRule="auto"/>
        <w:tabs>
          <w:tab w:leader="none" w:pos="2740" w:val="left"/>
        </w:tabs>
        <w:numPr>
          <w:ilvl w:val="1"/>
          <w:numId w:val="126"/>
        </w:numPr>
        <w:rPr>
          <w:rFonts w:ascii="Arial" w:cs="Arial" w:eastAsia="Arial" w:hAnsi="Arial"/>
          <w:sz w:val="18"/>
          <w:szCs w:val="18"/>
          <w:color w:val="010000"/>
        </w:rPr>
      </w:pPr>
      <w:r>
        <w:rPr>
          <w:rFonts w:ascii="Arial" w:cs="Arial" w:eastAsia="Arial" w:hAnsi="Arial"/>
          <w:sz w:val="18"/>
          <w:szCs w:val="18"/>
          <w:color w:val="auto"/>
        </w:rPr>
        <w:t xml:space="preserve">(A) A UK Treaty Lender which becomes a party hereto on the day on which this Agreement is entered into that holds a passport under the HMRC DT Treaty Passport scheme, and which wishes that scheme to apply to this Agreement, shall include an indication to that effect (for the benefit of the Administrative Agent and without liability to any Loan Party) by including its scheme reference number and its jurisdiction of tax residence opposite its name in </w:t>
      </w:r>
      <w:r>
        <w:rPr>
          <w:rFonts w:ascii="Arial" w:cs="Arial" w:eastAsia="Arial" w:hAnsi="Arial"/>
          <w:sz w:val="18"/>
          <w:szCs w:val="18"/>
          <w:u w:val="single" w:color="auto"/>
          <w:color w:val="auto"/>
        </w:rPr>
        <w:t>Schedule 3.01(i)</w:t>
      </w:r>
      <w:r>
        <w:rPr>
          <w:rFonts w:ascii="Arial" w:cs="Arial" w:eastAsia="Arial" w:hAnsi="Arial"/>
          <w:sz w:val="18"/>
          <w:szCs w:val="18"/>
          <w:color w:val="auto"/>
        </w:rPr>
        <w:t>.</w:t>
      </w:r>
    </w:p>
    <w:p>
      <w:pPr>
        <w:spacing w:after="0" w:line="161" w:lineRule="exact"/>
        <w:rPr>
          <w:rFonts w:ascii="Arial" w:cs="Arial" w:eastAsia="Arial" w:hAnsi="Arial"/>
          <w:sz w:val="18"/>
          <w:szCs w:val="18"/>
          <w:color w:val="010000"/>
        </w:rPr>
      </w:pPr>
    </w:p>
    <w:p>
      <w:pPr>
        <w:jc w:val="both"/>
        <w:ind w:left="1500" w:firstLine="1503"/>
        <w:spacing w:after="0" w:line="250" w:lineRule="auto"/>
        <w:tabs>
          <w:tab w:leader="none" w:pos="3499" w:val="left"/>
        </w:tabs>
        <w:numPr>
          <w:ilvl w:val="2"/>
          <w:numId w:val="126"/>
        </w:numPr>
        <w:rPr>
          <w:rFonts w:ascii="Arial" w:cs="Arial" w:eastAsia="Arial" w:hAnsi="Arial"/>
          <w:sz w:val="20"/>
          <w:szCs w:val="20"/>
          <w:color w:val="010000"/>
        </w:rPr>
      </w:pPr>
      <w:r>
        <w:rPr>
          <w:rFonts w:ascii="Arial" w:cs="Arial" w:eastAsia="Arial" w:hAnsi="Arial"/>
          <w:sz w:val="20"/>
          <w:szCs w:val="20"/>
          <w:color w:val="auto"/>
        </w:rPr>
        <w:t xml:space="preserve">Where a Lender includes the indication described in subsection (A) above in </w:t>
      </w:r>
      <w:r>
        <w:rPr>
          <w:rFonts w:ascii="Arial" w:cs="Arial" w:eastAsia="Arial" w:hAnsi="Arial"/>
          <w:sz w:val="20"/>
          <w:szCs w:val="20"/>
          <w:u w:val="single" w:color="auto"/>
          <w:color w:val="auto"/>
        </w:rPr>
        <w:t>Schedule 3.01(i)</w:t>
      </w:r>
      <w:r>
        <w:rPr>
          <w:rFonts w:ascii="Arial" w:cs="Arial" w:eastAsia="Arial" w:hAnsi="Arial"/>
          <w:sz w:val="20"/>
          <w:szCs w:val="20"/>
          <w:color w:val="auto"/>
        </w:rPr>
        <w:t>, the relevant Borrowers shall, to the extent that that UK Treaty Lender is a Lender under a Commitment or Loan made available to such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6" w:name="page147"/>
    <w:bookmarkEnd w:id="146"/>
    <w:p>
      <w:pPr>
        <w:jc w:val="both"/>
        <w:ind w:left="743"/>
        <w:spacing w:after="0" w:line="278" w:lineRule="auto"/>
        <w:rPr>
          <w:sz w:val="20"/>
          <w:szCs w:val="20"/>
          <w:color w:val="auto"/>
        </w:rPr>
      </w:pPr>
      <w:r>
        <w:rPr>
          <w:rFonts w:ascii="Arial" w:cs="Arial" w:eastAsia="Arial" w:hAnsi="Arial"/>
          <w:sz w:val="18"/>
          <w:szCs w:val="18"/>
          <w:color w:val="auto"/>
        </w:rPr>
        <w:t>pursuant to this Agreement, file a duly completed Form DTTP2 in respect of such UK Treaty Lender with HMRC (1) within 30 days of the date of this Agreement (and within 30 days of the date of any material amendment and/or restatement of this Agreement) or (2) in the case of any Borrower which becomes a party hereto after the date of this Agreement, within 30 days of it becoming a Borrower (and within 30 days of the date of any material amendment and/or restatement of this Agreement), and, in each case, shall promptly provide the Lender with a copy of such filing.</w:t>
      </w:r>
    </w:p>
    <w:p>
      <w:pPr>
        <w:spacing w:after="0" w:line="165" w:lineRule="exact"/>
        <w:rPr>
          <w:sz w:val="20"/>
          <w:szCs w:val="20"/>
          <w:color w:val="auto"/>
        </w:rPr>
      </w:pPr>
    </w:p>
    <w:p>
      <w:pPr>
        <w:ind w:left="2003" w:hanging="506"/>
        <w:spacing w:after="0"/>
        <w:tabs>
          <w:tab w:leader="none" w:pos="2003" w:val="left"/>
        </w:tabs>
        <w:numPr>
          <w:ilvl w:val="1"/>
          <w:numId w:val="127"/>
        </w:numPr>
        <w:rPr>
          <w:rFonts w:ascii="Arial" w:cs="Arial" w:eastAsia="Arial" w:hAnsi="Arial"/>
          <w:sz w:val="18"/>
          <w:szCs w:val="18"/>
          <w:color w:val="010000"/>
        </w:rPr>
      </w:pPr>
      <w:r>
        <w:rPr>
          <w:rFonts w:ascii="Arial" w:cs="Arial" w:eastAsia="Arial" w:hAnsi="Arial"/>
          <w:sz w:val="18"/>
          <w:szCs w:val="18"/>
          <w:color w:val="auto"/>
        </w:rPr>
        <w:t>If a Lender has not included an indication in accordance with subsection (iii)(A) above or subsection (v)</w:t>
      </w:r>
    </w:p>
    <w:p>
      <w:pPr>
        <w:spacing w:after="0" w:line="38" w:lineRule="exact"/>
        <w:rPr>
          <w:rFonts w:ascii="Arial" w:cs="Arial" w:eastAsia="Arial" w:hAnsi="Arial"/>
          <w:sz w:val="18"/>
          <w:szCs w:val="18"/>
          <w:color w:val="010000"/>
        </w:rPr>
      </w:pPr>
    </w:p>
    <w:p>
      <w:pPr>
        <w:ind w:left="3" w:hanging="3"/>
        <w:spacing w:after="0" w:line="244" w:lineRule="auto"/>
        <w:tabs>
          <w:tab w:leader="none" w:pos="365" w:val="left"/>
        </w:tabs>
        <w:numPr>
          <w:ilvl w:val="0"/>
          <w:numId w:val="128"/>
        </w:numPr>
        <w:rPr>
          <w:rFonts w:ascii="Arial" w:cs="Arial" w:eastAsia="Arial" w:hAnsi="Arial"/>
          <w:sz w:val="20"/>
          <w:szCs w:val="20"/>
          <w:color w:val="auto"/>
        </w:rPr>
      </w:pPr>
      <w:r>
        <w:rPr>
          <w:rFonts w:ascii="Arial" w:cs="Arial" w:eastAsia="Arial" w:hAnsi="Arial"/>
          <w:sz w:val="20"/>
          <w:szCs w:val="20"/>
          <w:color w:val="auto"/>
        </w:rPr>
        <w:t>below, no Loan Party shall file any form relating to the HMRC DT Treaty Passport Scheme in respect of that Lender’s Commitment or its participation in any Loans.</w:t>
      </w:r>
    </w:p>
    <w:p>
      <w:pPr>
        <w:spacing w:after="0" w:line="191" w:lineRule="exact"/>
        <w:rPr>
          <w:rFonts w:ascii="Arial" w:cs="Arial" w:eastAsia="Arial" w:hAnsi="Arial"/>
          <w:sz w:val="20"/>
          <w:szCs w:val="20"/>
          <w:color w:val="auto"/>
        </w:rPr>
      </w:pPr>
    </w:p>
    <w:p>
      <w:pPr>
        <w:jc w:val="both"/>
        <w:ind w:left="3" w:firstLine="1494"/>
        <w:spacing w:after="0" w:line="260" w:lineRule="auto"/>
        <w:tabs>
          <w:tab w:leader="none" w:pos="1995" w:val="left"/>
        </w:tabs>
        <w:numPr>
          <w:ilvl w:val="1"/>
          <w:numId w:val="128"/>
        </w:numPr>
        <w:rPr>
          <w:rFonts w:ascii="Arial" w:cs="Arial" w:eastAsia="Arial" w:hAnsi="Arial"/>
          <w:sz w:val="19"/>
          <w:szCs w:val="19"/>
          <w:color w:val="010000"/>
        </w:rPr>
      </w:pPr>
      <w:r>
        <w:rPr>
          <w:rFonts w:ascii="Arial" w:cs="Arial" w:eastAsia="Arial" w:hAnsi="Arial"/>
          <w:sz w:val="19"/>
          <w:szCs w:val="19"/>
          <w:color w:val="auto"/>
        </w:rPr>
        <w:t>(A) A Lender which becomes a party hereto after the date of this Agreement that is a UK Treaty Lender that holds a passport under the HMRC DT Treaty Passport scheme, and that wishes that scheme to apply to this Agreement, shall include an indication to that effect (for the benefit of the Administrative Agent and without liability to any Loan Party) in the Assignment and Assumption and/or Joinder Agreement which it executes by including its scheme reference number and its jurisdiction of tax residence in that Assignment and Assumption and/or Joinder Agreement.</w:t>
      </w:r>
    </w:p>
    <w:p>
      <w:pPr>
        <w:spacing w:after="0" w:line="180" w:lineRule="exact"/>
        <w:rPr>
          <w:rFonts w:ascii="Arial" w:cs="Arial" w:eastAsia="Arial" w:hAnsi="Arial"/>
          <w:sz w:val="19"/>
          <w:szCs w:val="19"/>
          <w:color w:val="010000"/>
        </w:rPr>
      </w:pPr>
    </w:p>
    <w:p>
      <w:pPr>
        <w:jc w:val="both"/>
        <w:ind w:left="743" w:firstLine="1503"/>
        <w:spacing w:after="0" w:line="272" w:lineRule="auto"/>
        <w:tabs>
          <w:tab w:leader="none" w:pos="2761" w:val="left"/>
        </w:tabs>
        <w:numPr>
          <w:ilvl w:val="2"/>
          <w:numId w:val="128"/>
        </w:numPr>
        <w:rPr>
          <w:rFonts w:ascii="Arial" w:cs="Arial" w:eastAsia="Arial" w:hAnsi="Arial"/>
          <w:sz w:val="18"/>
          <w:szCs w:val="18"/>
          <w:color w:val="010000"/>
        </w:rPr>
      </w:pPr>
      <w:r>
        <w:rPr>
          <w:rFonts w:ascii="Arial" w:cs="Arial" w:eastAsia="Arial" w:hAnsi="Arial"/>
          <w:sz w:val="18"/>
          <w:szCs w:val="18"/>
          <w:color w:val="auto"/>
        </w:rPr>
        <w:t>Where a UK Treaty Lender which becomes a party hereto after the date of this Agreement includes the indication described in subsection (A)‎ above in the relevant Assignment and Assumption and/or Joinder Agreement, the relevant Borrower shall, to the extent that that UK Treaty Lender becomes a Lender under a Commitment or Loan which is made available to that Borrower pursuant to this Agreement, file a duly completed Form DTTP2 in respect of such UK Treaty Lender with HMRC (1) within 30 days of the date on which that Lender becomes a party hereto (and within 30 days of the date of any material amendment and/or restatement of this Agreement)or (2) in the case of any Borrower which becomes a party hereto after the date on which the Lender becomes a party hereto, within 30 days of it becoming a Borrower (and within 30 days of the date of any material amendment and/or restatement of this Agreement), and shall, in each case, promptly provide such UK Treaty Lender with a copy of such filing.</w:t>
      </w:r>
    </w:p>
    <w:p>
      <w:pPr>
        <w:spacing w:after="0" w:line="170" w:lineRule="exact"/>
        <w:rPr>
          <w:rFonts w:ascii="Arial" w:cs="Arial" w:eastAsia="Arial" w:hAnsi="Arial"/>
          <w:sz w:val="18"/>
          <w:szCs w:val="18"/>
          <w:color w:val="010000"/>
        </w:rPr>
      </w:pPr>
    </w:p>
    <w:p>
      <w:pPr>
        <w:ind w:left="3" w:firstLine="1494"/>
        <w:spacing w:after="0" w:line="260" w:lineRule="auto"/>
        <w:tabs>
          <w:tab w:leader="none" w:pos="1994" w:val="left"/>
        </w:tabs>
        <w:numPr>
          <w:ilvl w:val="1"/>
          <w:numId w:val="128"/>
        </w:numPr>
        <w:rPr>
          <w:rFonts w:ascii="Arial" w:cs="Arial" w:eastAsia="Arial" w:hAnsi="Arial"/>
          <w:sz w:val="20"/>
          <w:szCs w:val="20"/>
          <w:color w:val="010000"/>
        </w:rPr>
      </w:pPr>
      <w:r>
        <w:rPr>
          <w:rFonts w:ascii="Arial" w:cs="Arial" w:eastAsia="Arial" w:hAnsi="Arial"/>
          <w:sz w:val="20"/>
          <w:szCs w:val="20"/>
          <w:color w:val="auto"/>
        </w:rPr>
        <w:t>If a UK Treaty Lender has confirmed its scheme reference number and its jurisdiction of tax residence in accordance with subsection (iii)(A) or (v)(A) above and</w:t>
      </w:r>
    </w:p>
    <w:p>
      <w:pPr>
        <w:spacing w:after="0" w:line="176" w:lineRule="exact"/>
        <w:rPr>
          <w:rFonts w:ascii="Arial" w:cs="Arial" w:eastAsia="Arial" w:hAnsi="Arial"/>
          <w:sz w:val="20"/>
          <w:szCs w:val="20"/>
          <w:color w:val="010000"/>
        </w:rPr>
      </w:pPr>
    </w:p>
    <w:p>
      <w:pPr>
        <w:ind w:left="743" w:firstLine="1503"/>
        <w:spacing w:after="0" w:line="260" w:lineRule="auto"/>
        <w:tabs>
          <w:tab w:leader="none" w:pos="2723" w:val="left"/>
        </w:tabs>
        <w:numPr>
          <w:ilvl w:val="2"/>
          <w:numId w:val="129"/>
        </w:numPr>
        <w:rPr>
          <w:rFonts w:ascii="Arial" w:cs="Arial" w:eastAsia="Arial" w:hAnsi="Arial"/>
          <w:sz w:val="20"/>
          <w:szCs w:val="20"/>
          <w:color w:val="010000"/>
        </w:rPr>
      </w:pPr>
      <w:r>
        <w:rPr>
          <w:rFonts w:ascii="Arial" w:cs="Arial" w:eastAsia="Arial" w:hAnsi="Arial"/>
          <w:sz w:val="20"/>
          <w:szCs w:val="20"/>
          <w:color w:val="auto"/>
        </w:rPr>
        <w:t>the relevant Borrower has not filed the Form DTTP2 in respect of such UK Treaty Lender (within the time period provided for in subsection (iii)(B) or (v)(B) above (as the case may be)), or</w:t>
      </w:r>
    </w:p>
    <w:p>
      <w:pPr>
        <w:spacing w:after="0" w:line="176" w:lineRule="exact"/>
        <w:rPr>
          <w:rFonts w:ascii="Arial" w:cs="Arial" w:eastAsia="Arial" w:hAnsi="Arial"/>
          <w:sz w:val="20"/>
          <w:szCs w:val="20"/>
          <w:color w:val="010000"/>
        </w:rPr>
      </w:pPr>
    </w:p>
    <w:p>
      <w:pPr>
        <w:jc w:val="both"/>
        <w:ind w:left="743" w:firstLine="1503"/>
        <w:spacing w:after="0" w:line="243" w:lineRule="auto"/>
        <w:tabs>
          <w:tab w:leader="none" w:pos="2724" w:val="left"/>
        </w:tabs>
        <w:numPr>
          <w:ilvl w:val="2"/>
          <w:numId w:val="129"/>
        </w:numPr>
        <w:rPr>
          <w:rFonts w:ascii="Arial" w:cs="Arial" w:eastAsia="Arial" w:hAnsi="Arial"/>
          <w:sz w:val="20"/>
          <w:szCs w:val="20"/>
          <w:color w:val="010000"/>
        </w:rPr>
      </w:pPr>
      <w:r>
        <w:rPr>
          <w:rFonts w:ascii="Arial" w:cs="Arial" w:eastAsia="Arial" w:hAnsi="Arial"/>
          <w:sz w:val="20"/>
          <w:szCs w:val="20"/>
          <w:color w:val="auto"/>
        </w:rPr>
        <w:t>the relevant Borrower has filed the Form DTTP2 in respect of such UK Treaty Lender (within the time period provided for in subsection (iii)(B) or (v)(B) above (as the case may be)) but (1) such Form DTTP2 has been rejected by HMRC, (2) HMRC has not given the Borrower authority to make payments to that UK Treaty Lender without a Tax Deduction within 60 days of the date of such Borrower filing the Form DTTP2, or (3) HMRC has given the Borrower authority to make payments to that UK Treaty Lender without a Tax Deduction but such authority has subsequently expired or been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336550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2" w:right="339" w:bottom="1440" w:gutter="0" w:footer="0" w:header="0"/>
        </w:sectPr>
      </w:pPr>
    </w:p>
    <w:bookmarkStart w:id="147" w:name="page148"/>
    <w:bookmarkEnd w:id="147"/>
    <w:p>
      <w:pPr>
        <w:jc w:val="both"/>
        <w:ind w:left="380"/>
        <w:spacing w:after="0" w:line="269" w:lineRule="auto"/>
        <w:rPr>
          <w:sz w:val="20"/>
          <w:szCs w:val="20"/>
          <w:color w:val="auto"/>
        </w:rPr>
      </w:pPr>
      <w:r>
        <w:rPr>
          <w:rFonts w:ascii="Arial" w:cs="Arial" w:eastAsia="Arial" w:hAnsi="Arial"/>
          <w:sz w:val="19"/>
          <w:szCs w:val="19"/>
          <w:color w:val="auto"/>
        </w:rPr>
        <w:t>and in each case, the relevant Borrower has notified that UK Treaty Lender in writing, that UK Treaty Lender and the Borrowers shall co-operate in completing any additional procedural formalities necessary for the relevant Borrowers to obtain authorization to make payments to that UK Treaty Lender without a Tax Deduction.</w:t>
      </w:r>
    </w:p>
    <w:p>
      <w:pPr>
        <w:spacing w:after="0" w:line="170" w:lineRule="exact"/>
        <w:rPr>
          <w:sz w:val="20"/>
          <w:szCs w:val="20"/>
          <w:color w:val="auto"/>
        </w:rPr>
      </w:pPr>
    </w:p>
    <w:p>
      <w:pPr>
        <w:jc w:val="both"/>
        <w:ind w:left="-360" w:firstLine="1494"/>
        <w:spacing w:after="0" w:line="274" w:lineRule="auto"/>
        <w:tabs>
          <w:tab w:leader="none" w:pos="1628" w:val="left"/>
        </w:tabs>
        <w:numPr>
          <w:ilvl w:val="1"/>
          <w:numId w:val="130"/>
        </w:numPr>
        <w:rPr>
          <w:rFonts w:ascii="Arial" w:cs="Arial" w:eastAsia="Arial" w:hAnsi="Arial"/>
          <w:sz w:val="18"/>
          <w:szCs w:val="18"/>
          <w:color w:val="010000"/>
        </w:rPr>
      </w:pPr>
      <w:r>
        <w:rPr>
          <w:rFonts w:ascii="Arial" w:cs="Arial" w:eastAsia="Arial" w:hAnsi="Arial"/>
          <w:sz w:val="18"/>
          <w:szCs w:val="18"/>
          <w:color w:val="auto"/>
        </w:rPr>
        <w:t>If any direction which has been received from HMRC, and which authorizes the making of any payments by a Loan Party to a UK Treaty Lender without a Tax Deduction on account of Tax imposed by the United Kingdom, expires or is otherwise withdrawn by HMRC, any Loan Party or the relevant UK Treaty Lender in respect of which the direction was issued shall, promptly upon becoming aware of such expiry or withdrawal, inform (where it is the Loan Party which becomes so aware) the relevant UK Treaty Lender or (where it is such UK Treaty Lender which becomes so aware) the Parent. In the event that a UK Treaty Lender holds a passport under the HMRC DT Treaty Passport scheme, and such passport expires or is withdrawn, that UK Treaty Lender shall, promptly upon becoming aware of such expiry or withdrawal, inform the Parent.</w:t>
      </w:r>
    </w:p>
    <w:p>
      <w:pPr>
        <w:spacing w:after="0" w:line="168" w:lineRule="exact"/>
        <w:rPr>
          <w:rFonts w:ascii="Arial" w:cs="Arial" w:eastAsia="Arial" w:hAnsi="Arial"/>
          <w:sz w:val="18"/>
          <w:szCs w:val="18"/>
          <w:color w:val="010000"/>
        </w:rPr>
      </w:pPr>
    </w:p>
    <w:p>
      <w:pPr>
        <w:jc w:val="both"/>
        <w:ind w:left="-1120" w:firstLine="1505"/>
        <w:spacing w:after="0" w:line="291" w:lineRule="auto"/>
        <w:tabs>
          <w:tab w:leader="none" w:pos="859"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UK Non-Bank Lenders</w:t>
      </w:r>
      <w:r>
        <w:rPr>
          <w:rFonts w:ascii="Arial" w:cs="Arial" w:eastAsia="Arial" w:hAnsi="Arial"/>
          <w:sz w:val="18"/>
          <w:szCs w:val="18"/>
          <w:color w:val="auto"/>
        </w:rPr>
        <w:t>. A UK Non-Bank Lender which becomes a party hereto on the day on which this Agreement is entered into gives a UK Tax Confirmation to each Loan Party by entering into this Agreement. A UK Non-Bank Lender shall promptly notify the Borrowers and the Administrative Agent if there is any change in the position from that set out in the UK Tax Confirmation.</w:t>
      </w:r>
    </w:p>
    <w:p>
      <w:pPr>
        <w:spacing w:after="0" w:line="151" w:lineRule="exact"/>
        <w:rPr>
          <w:rFonts w:ascii="Arial" w:cs="Arial" w:eastAsia="Arial" w:hAnsi="Arial"/>
          <w:sz w:val="18"/>
          <w:szCs w:val="18"/>
          <w:color w:val="auto"/>
        </w:rPr>
      </w:pPr>
    </w:p>
    <w:p>
      <w:pPr>
        <w:jc w:val="both"/>
        <w:ind w:left="-1120" w:firstLine="1505"/>
        <w:spacing w:after="0" w:line="242" w:lineRule="auto"/>
        <w:tabs>
          <w:tab w:leader="none" w:pos="875"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VAT</w:t>
      </w:r>
      <w:r>
        <w:rPr>
          <w:rFonts w:ascii="Arial" w:cs="Arial" w:eastAsia="Arial" w:hAnsi="Arial"/>
          <w:sz w:val="20"/>
          <w:szCs w:val="20"/>
          <w:color w:val="auto"/>
        </w:rPr>
        <w:t>. (i) All amounts set out or expressed in a Loan Document to be payable by any party to the Administrative Agent, any Issuing Lender or any Lender (each, a “</w:t>
      </w:r>
      <w:r>
        <w:rPr>
          <w:rFonts w:ascii="Arial" w:cs="Arial" w:eastAsia="Arial" w:hAnsi="Arial"/>
          <w:sz w:val="20"/>
          <w:szCs w:val="20"/>
          <w:u w:val="single" w:color="auto"/>
          <w:color w:val="auto"/>
        </w:rPr>
        <w:t>Finance Party</w:t>
      </w:r>
      <w:r>
        <w:rPr>
          <w:rFonts w:ascii="Arial" w:cs="Arial" w:eastAsia="Arial" w:hAnsi="Arial"/>
          <w:sz w:val="20"/>
          <w:szCs w:val="20"/>
          <w:color w:val="auto"/>
        </w:rPr>
        <w:t>” for the purposes of this subsection (k)) which (in whole or in part) constitute the consideration for a supply or supplies for VAT purposes shall be deemed to be exclusive of any VAT which is chargeable on such supply or supplies, and accordingly, subject to subsection (ii) below, if VAT is or becomes chargeable on any supply made by any Finance Party to any party under this Agreement or any other Loan Document and such Finance Party is required to account to the relevant tax authority for the VAT, that party shall pay to the Finance Party (in addition to and at the same time as paying any other consideration for such supply) an amount equal to the amount of such VAT (and such Finance Party shall promptly provide an appropriate VAT invoice to such party).</w:t>
      </w:r>
    </w:p>
    <w:p>
      <w:pPr>
        <w:spacing w:after="0" w:line="196" w:lineRule="exact"/>
        <w:rPr>
          <w:rFonts w:ascii="Arial" w:cs="Arial" w:eastAsia="Arial" w:hAnsi="Arial"/>
          <w:sz w:val="20"/>
          <w:szCs w:val="20"/>
          <w:color w:val="auto"/>
        </w:rPr>
      </w:pPr>
    </w:p>
    <w:p>
      <w:pPr>
        <w:jc w:val="both"/>
        <w:ind w:left="-360" w:firstLine="1494"/>
        <w:spacing w:after="0" w:line="244" w:lineRule="auto"/>
        <w:tabs>
          <w:tab w:leader="none" w:pos="1632" w:val="left"/>
        </w:tabs>
        <w:numPr>
          <w:ilvl w:val="1"/>
          <w:numId w:val="131"/>
        </w:numPr>
        <w:rPr>
          <w:rFonts w:ascii="Arial" w:cs="Arial" w:eastAsia="Arial" w:hAnsi="Arial"/>
          <w:sz w:val="20"/>
          <w:szCs w:val="20"/>
          <w:color w:val="010000"/>
        </w:rPr>
      </w:pPr>
      <w:r>
        <w:rPr>
          <w:rFonts w:ascii="Arial" w:cs="Arial" w:eastAsia="Arial" w:hAnsi="Arial"/>
          <w:sz w:val="20"/>
          <w:szCs w:val="20"/>
          <w:color w:val="auto"/>
        </w:rPr>
        <w:t>If VAT is or becomes chargeable on any supply made by any Finance Party (the “</w:t>
      </w:r>
      <w:r>
        <w:rPr>
          <w:rFonts w:ascii="Arial" w:cs="Arial" w:eastAsia="Arial" w:hAnsi="Arial"/>
          <w:sz w:val="20"/>
          <w:szCs w:val="20"/>
          <w:u w:val="single" w:color="auto"/>
          <w:color w:val="auto"/>
        </w:rPr>
        <w:t>Supplier</w:t>
      </w:r>
      <w:r>
        <w:rPr>
          <w:rFonts w:ascii="Arial" w:cs="Arial" w:eastAsia="Arial" w:hAnsi="Arial"/>
          <w:sz w:val="20"/>
          <w:szCs w:val="20"/>
          <w:color w:val="auto"/>
        </w:rPr>
        <w:t>”) to any other Finance Party (the “</w:t>
      </w:r>
      <w:r>
        <w:rPr>
          <w:rFonts w:ascii="Arial" w:cs="Arial" w:eastAsia="Arial" w:hAnsi="Arial"/>
          <w:sz w:val="20"/>
          <w:szCs w:val="20"/>
          <w:u w:val="single" w:color="auto"/>
          <w:color w:val="auto"/>
        </w:rPr>
        <w:t>Supply Recipient</w:t>
      </w:r>
      <w:r>
        <w:rPr>
          <w:rFonts w:ascii="Arial" w:cs="Arial" w:eastAsia="Arial" w:hAnsi="Arial"/>
          <w:sz w:val="20"/>
          <w:szCs w:val="20"/>
          <w:color w:val="auto"/>
        </w:rPr>
        <w:t>”) under this Agreement or any other Loan Document, and any party hereto other than the Supply Recipient (the “</w:t>
      </w:r>
      <w:r>
        <w:rPr>
          <w:rFonts w:ascii="Arial" w:cs="Arial" w:eastAsia="Arial" w:hAnsi="Arial"/>
          <w:sz w:val="20"/>
          <w:szCs w:val="20"/>
          <w:u w:val="single" w:color="auto"/>
          <w:color w:val="auto"/>
        </w:rPr>
        <w:t>Subject Party</w:t>
      </w:r>
      <w:r>
        <w:rPr>
          <w:rFonts w:ascii="Arial" w:cs="Arial" w:eastAsia="Arial" w:hAnsi="Arial"/>
          <w:sz w:val="20"/>
          <w:szCs w:val="20"/>
          <w:color w:val="auto"/>
        </w:rPr>
        <w:t>”) is required by the terms of this Agreement or any other Loan Document to pay an amount equal to the consideration for such supply to the Supplier (rather than being required to reimburse the Supply Recipient in respect of that consideration),</w:t>
      </w:r>
    </w:p>
    <w:p>
      <w:pPr>
        <w:spacing w:after="0" w:line="194" w:lineRule="exact"/>
        <w:rPr>
          <w:rFonts w:ascii="Arial" w:cs="Arial" w:eastAsia="Arial" w:hAnsi="Arial"/>
          <w:sz w:val="20"/>
          <w:szCs w:val="20"/>
          <w:color w:val="010000"/>
        </w:rPr>
      </w:pPr>
    </w:p>
    <w:p>
      <w:pPr>
        <w:jc w:val="both"/>
        <w:ind w:left="380" w:firstLine="1503"/>
        <w:spacing w:after="0" w:line="244" w:lineRule="auto"/>
        <w:tabs>
          <w:tab w:leader="none" w:pos="2373" w:val="left"/>
        </w:tabs>
        <w:numPr>
          <w:ilvl w:val="2"/>
          <w:numId w:val="131"/>
        </w:numPr>
        <w:rPr>
          <w:rFonts w:ascii="Arial" w:cs="Arial" w:eastAsia="Arial" w:hAnsi="Arial"/>
          <w:sz w:val="20"/>
          <w:szCs w:val="20"/>
          <w:color w:val="010000"/>
        </w:rPr>
      </w:pPr>
      <w:r>
        <w:rPr>
          <w:rFonts w:ascii="Arial" w:cs="Arial" w:eastAsia="Arial" w:hAnsi="Arial"/>
          <w:sz w:val="20"/>
          <w:szCs w:val="20"/>
          <w:color w:val="auto"/>
        </w:rPr>
        <w:t>(where the Supplier is the person required to account to the relevant tax authority for the VAT), the Subject Party shall also pay to the Supplier (in addition to and at the same time as paying such amount) an amount equal to the amount of such VAT. The Supply Recipient will promptly pay to the Subject Party an amount equal to any credit or repayment obtained by the Supply Recipient from the relevant tax authority which the Supply Recipient reasonably determines relates to such VAT, and</w:t>
      </w:r>
    </w:p>
    <w:p>
      <w:pPr>
        <w:spacing w:after="0" w:line="194" w:lineRule="exact"/>
        <w:rPr>
          <w:rFonts w:ascii="Arial" w:cs="Arial" w:eastAsia="Arial" w:hAnsi="Arial"/>
          <w:sz w:val="20"/>
          <w:szCs w:val="20"/>
          <w:color w:val="010000"/>
        </w:rPr>
      </w:pPr>
    </w:p>
    <w:p>
      <w:pPr>
        <w:jc w:val="both"/>
        <w:ind w:left="380" w:firstLine="1503"/>
        <w:spacing w:after="0" w:line="263" w:lineRule="auto"/>
        <w:tabs>
          <w:tab w:leader="none" w:pos="2362" w:val="left"/>
        </w:tabs>
        <w:numPr>
          <w:ilvl w:val="2"/>
          <w:numId w:val="131"/>
        </w:numPr>
        <w:rPr>
          <w:rFonts w:ascii="Arial" w:cs="Arial" w:eastAsia="Arial" w:hAnsi="Arial"/>
          <w:sz w:val="19"/>
          <w:szCs w:val="19"/>
          <w:color w:val="010000"/>
        </w:rPr>
      </w:pPr>
      <w:r>
        <w:rPr>
          <w:rFonts w:ascii="Arial" w:cs="Arial" w:eastAsia="Arial" w:hAnsi="Arial"/>
          <w:sz w:val="19"/>
          <w:szCs w:val="19"/>
          <w:color w:val="auto"/>
        </w:rPr>
        <w:t>(where the Supply Recipient is the person required to account to the relevant tax authority for the VAT), the Subject Party shall, following demand from the Supply Recipient, pay to the Supply Recipient an amount equal to the amount of such VAT, but only to the extent that the Supply Recipient reasonably determines that it is not entitled to credit or repayment from the relevant tax authority in respect of such VAT.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324485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148" w:name="page149"/>
    <w:bookmarkEnd w:id="148"/>
    <w:p>
      <w:pPr>
        <w:jc w:val="both"/>
        <w:ind w:left="760" w:firstLine="1494"/>
        <w:spacing w:after="0" w:line="282" w:lineRule="auto"/>
        <w:tabs>
          <w:tab w:leader="none" w:pos="2745" w:val="left"/>
        </w:tabs>
        <w:numPr>
          <w:ilvl w:val="0"/>
          <w:numId w:val="132"/>
        </w:numPr>
        <w:rPr>
          <w:rFonts w:ascii="Arial" w:cs="Arial" w:eastAsia="Arial" w:hAnsi="Arial"/>
          <w:sz w:val="18"/>
          <w:szCs w:val="18"/>
          <w:color w:val="010000"/>
        </w:rPr>
      </w:pPr>
      <w:r>
        <w:rPr>
          <w:rFonts w:ascii="Arial" w:cs="Arial" w:eastAsia="Arial" w:hAnsi="Arial"/>
          <w:sz w:val="18"/>
          <w:szCs w:val="18"/>
          <w:color w:val="auto"/>
        </w:rPr>
        <w:t>Where this Agreement or any other Loan Document requires any party hereto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161" w:lineRule="exact"/>
        <w:rPr>
          <w:rFonts w:ascii="Arial" w:cs="Arial" w:eastAsia="Arial" w:hAnsi="Arial"/>
          <w:sz w:val="18"/>
          <w:szCs w:val="18"/>
          <w:color w:val="010000"/>
        </w:rPr>
      </w:pPr>
    </w:p>
    <w:p>
      <w:pPr>
        <w:jc w:val="both"/>
        <w:ind w:left="760" w:firstLine="1494"/>
        <w:spacing w:after="0" w:line="257" w:lineRule="auto"/>
        <w:tabs>
          <w:tab w:leader="none" w:pos="2744" w:val="left"/>
        </w:tabs>
        <w:numPr>
          <w:ilvl w:val="0"/>
          <w:numId w:val="132"/>
        </w:numPr>
        <w:rPr>
          <w:rFonts w:ascii="Arial" w:cs="Arial" w:eastAsia="Arial" w:hAnsi="Arial"/>
          <w:sz w:val="19"/>
          <w:szCs w:val="19"/>
          <w:color w:val="010000"/>
        </w:rPr>
      </w:pPr>
      <w:r>
        <w:rPr>
          <w:rFonts w:ascii="Arial" w:cs="Arial" w:eastAsia="Arial" w:hAnsi="Arial"/>
          <w:sz w:val="19"/>
          <w:szCs w:val="19"/>
          <w:color w:val="auto"/>
        </w:rPr>
        <w:t>Any reference in this subsection (k) to any party shall, at any time when such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representative member (or head) of that group or unity (or fiscal unity) at the relevant time (as the case may be).</w:t>
      </w:r>
    </w:p>
    <w:p>
      <w:pPr>
        <w:spacing w:after="0" w:line="18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010000"/>
        </w:rPr>
        <w:t xml:space="preserve">3.02 </w:t>
      </w:r>
      <w:r>
        <w:rPr>
          <w:rFonts w:ascii="Arial" w:cs="Arial" w:eastAsia="Arial" w:hAnsi="Arial"/>
          <w:sz w:val="18"/>
          <w:szCs w:val="18"/>
          <w:color w:val="000000"/>
        </w:rPr>
        <w:t>Illegality. If any Lender determines that any Law has made it unlawful, or that any Governmental Authority has asserted that</w:t>
      </w:r>
      <w:r>
        <w:rPr>
          <w:rFonts w:ascii="Arial" w:cs="Arial" w:eastAsia="Arial" w:hAnsi="Arial"/>
          <w:sz w:val="18"/>
          <w:szCs w:val="18"/>
          <w:color w:val="010000"/>
        </w:rPr>
        <w:t xml:space="preserve"> </w:t>
      </w:r>
      <w:r>
        <w:rPr>
          <w:rFonts w:ascii="Arial" w:cs="Arial" w:eastAsia="Arial" w:hAnsi="Arial"/>
          <w:sz w:val="18"/>
          <w:szCs w:val="18"/>
          <w:color w:val="000000"/>
        </w:rPr>
        <w:t>it is unlawful, for any Lender or its applicable Lending Office to make, maintain or fund Term Benchmark Loans (whether denominated in Dollars or an Alternative Currency), RFR Loans or to determine or charge interest rates based upon the Term Benchmark Rate or RFR, or any Governmental Authority has imposed material restrictions on the authority of such Lender to purchase or sell, or to take deposits of, Dollars or any Alternative Currency in the applicable interbank market, then, on notice thereof by such Lender to the Borrowers through the Administrative Agent, any obligation of such Lender to make or continue Term Benchmark Loans or RFR Loans, in each case, in the affected currency or currencies, or, in the case of Term Benchmark Loans in Dollars, to convert Base Rate Loans to Term Benchmark Loans or RFR Loans, shall be suspended until such Lender notifies the Administrative Agent and the Borrowers that the circumstances giving rise to such determination no longer exist. Upon receipt of such notice, the Borrowers shall, upon demand from such Lender (with a copy to the Administrative Agent), either prepay or convert all such Term Benchmark Loans and RFR Loans of such Lender to Base Rate Loans (in the case of Loans denominated in Dollars) or to Loans bearing interest at the Cost of Funds Rate plus the Applicable Rate for Term Benchmark Loans or RFR Loans (in the case of any other Loan), either on the last day of the Interest Period therefor, if such Lender may lawfully continue to maintain such Term Benchmark Loans to such day, or immediately, if such Lender may not lawfully continue to maintain such Term Benchmark Loans or if such Loans are RFR Loans. Upon any such prepayment or conversion, the Borrowers shall also pay accrued interest on the amount so prepaid or converted.</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3.03 </w:t>
      </w:r>
      <w:r>
        <w:rPr>
          <w:rFonts w:ascii="Arial" w:cs="Arial" w:eastAsia="Arial" w:hAnsi="Arial"/>
          <w:sz w:val="20"/>
          <w:szCs w:val="20"/>
          <w:color w:val="000000"/>
        </w:rPr>
        <w:t>Inability to Determine Rates; Benchmark Replacement Setting; Rates Notification.</w:t>
      </w:r>
    </w:p>
    <w:p>
      <w:pPr>
        <w:spacing w:after="0" w:line="216" w:lineRule="exact"/>
        <w:rPr>
          <w:sz w:val="20"/>
          <w:szCs w:val="20"/>
          <w:color w:val="auto"/>
        </w:rPr>
      </w:pPr>
    </w:p>
    <w:p>
      <w:pPr>
        <w:ind w:left="1980" w:hanging="475"/>
        <w:spacing w:after="0"/>
        <w:tabs>
          <w:tab w:leader="none" w:pos="198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Subject to Section 3.03(b), if:</w:t>
      </w:r>
    </w:p>
    <w:p>
      <w:pPr>
        <w:spacing w:after="0" w:line="215" w:lineRule="exact"/>
        <w:rPr>
          <w:rFonts w:ascii="Arial" w:cs="Arial" w:eastAsia="Arial" w:hAnsi="Arial"/>
          <w:sz w:val="20"/>
          <w:szCs w:val="20"/>
          <w:color w:val="auto"/>
        </w:rPr>
      </w:pPr>
    </w:p>
    <w:p>
      <w:pPr>
        <w:jc w:val="both"/>
        <w:ind w:left="760" w:firstLine="1494"/>
        <w:spacing w:after="0" w:line="243" w:lineRule="auto"/>
        <w:tabs>
          <w:tab w:leader="none" w:pos="2755" w:val="left"/>
        </w:tabs>
        <w:numPr>
          <w:ilvl w:val="1"/>
          <w:numId w:val="133"/>
        </w:numPr>
        <w:rPr>
          <w:rFonts w:ascii="Arial" w:cs="Arial" w:eastAsia="Arial" w:hAnsi="Arial"/>
          <w:sz w:val="20"/>
          <w:szCs w:val="20"/>
          <w:color w:val="010000"/>
        </w:rPr>
      </w:pPr>
      <w:r>
        <w:rPr>
          <w:rFonts w:ascii="Arial" w:cs="Arial" w:eastAsia="Arial" w:hAnsi="Arial"/>
          <w:sz w:val="20"/>
          <w:szCs w:val="20"/>
          <w:color w:val="auto"/>
        </w:rPr>
        <w:t>prior to the commencement of any Interest Period for a Term Benchmark Borrowing, the Administrative Agent determines that adequate and reasonable means do not exist for ascertaining the Term SOFR or the Adjusted EURIBOR Rate, as applicable (including, without limitation, because the Term SOFR or EURIBOR Screen Rate for such Interest Period is not available or published on a current basis and such circumstances are unlikely to be temporary) for such Interest Period or (B) at any time, for an RFR Borrowing, the Administrative Agent determines that adequate and reasonable means do not exist for ascertaining the applicable Daily Simple RFR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49" w:name="page150"/>
    <w:bookmarkEnd w:id="149"/>
    <w:p>
      <w:pPr>
        <w:ind w:left="760"/>
        <w:spacing w:after="0"/>
        <w:rPr>
          <w:sz w:val="20"/>
          <w:szCs w:val="20"/>
          <w:color w:val="auto"/>
        </w:rPr>
      </w:pPr>
      <w:r>
        <w:rPr>
          <w:rFonts w:ascii="Arial" w:cs="Arial" w:eastAsia="Arial" w:hAnsi="Arial"/>
          <w:sz w:val="20"/>
          <w:szCs w:val="20"/>
          <w:color w:val="auto"/>
        </w:rPr>
        <w:t>(each determination under this clause (i) shall be made in good faith and shall be conclusive absent manifest error); or</w:t>
      </w:r>
    </w:p>
    <w:p>
      <w:pPr>
        <w:spacing w:after="0" w:line="216" w:lineRule="exact"/>
        <w:rPr>
          <w:sz w:val="20"/>
          <w:szCs w:val="20"/>
          <w:color w:val="auto"/>
        </w:rPr>
      </w:pPr>
    </w:p>
    <w:p>
      <w:pPr>
        <w:jc w:val="both"/>
        <w:ind w:left="760" w:firstLine="1494"/>
        <w:spacing w:after="0" w:line="259" w:lineRule="auto"/>
        <w:tabs>
          <w:tab w:leader="none" w:pos="2752" w:val="left"/>
        </w:tabs>
        <w:numPr>
          <w:ilvl w:val="0"/>
          <w:numId w:val="134"/>
        </w:numPr>
        <w:rPr>
          <w:rFonts w:ascii="Arial" w:cs="Arial" w:eastAsia="Arial" w:hAnsi="Arial"/>
          <w:sz w:val="19"/>
          <w:szCs w:val="19"/>
          <w:color w:val="010000"/>
        </w:rPr>
      </w:pPr>
      <w:r>
        <w:rPr>
          <w:rFonts w:ascii="Arial" w:cs="Arial" w:eastAsia="Arial" w:hAnsi="Arial"/>
          <w:sz w:val="19"/>
          <w:szCs w:val="19"/>
          <w:color w:val="auto"/>
        </w:rPr>
        <w:t>the Administrative Agent is advised by the Required Lenders that (A) prior to the commencement of any Interest Period for a Term Benchmark Borrowing, the Term SOFR or the Adjusted EURIBOR Rate, as applicable, for the applicable Interest Period will not adequately and fairly reflect the cost to such Lenders of making or maintaining the Loans included in such Borrowing for such Interest Period or (B) at any time, the applicable Daily Simple RFR or the applicable rate for any other Alternative Currency will not adequately and fairly reflect the cost to such Lenders (or Lender) of making or maintaining their Loans (or its Loan) included in such Borrowing for the currency;</w:t>
      </w:r>
    </w:p>
    <w:p>
      <w:pPr>
        <w:spacing w:after="0" w:line="178"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then the Administrative Agent shall give notice thereof (which may be by telephone) to the Borrower and the Lenders as promptly as practicable thereafter. Upon notice thereof by the Administrative Agent to the Borrower, any obligation of the Lenders to make or continue Term Benchmark Loans or RFR Loans, as applicable or to convert Base Rate Loans to Term Benchmark Loans shall be suspended (to the extent of the affected Term Benchmark Loans or RFR Loans or, in the case of a Term Benchmark Borrowing, the affected Interest Periods) until the Administrative Agent revokes such notice. Upon receipt of such notice, (i) the Borrower may revoke any pending request for a borrowing of, conversion to or continuation of RFR Loans or Term Benchmark Loans, as applicable (to the extent of the affected Term Benchmark Loans or RFR Loans or, in the case of a Term Benchmark Borrowing, the affected Interest Periods) or, failing that, in the case of any request for an affected Term Benchmark Borrowing, then such request shall be ineffective, (ii) any outstanding affected Loans denominated in Dollars will be deemed to have been converted to (x) RFR Borrowing denominated in Dollars (so long as the Daily Simple SOFR is not also the subject of this Section 3.03(a)) or (y) into Base Rate Loans if the Daily Simple SOFR is also the subject of Section</w:t>
      </w:r>
    </w:p>
    <w:p>
      <w:pPr>
        <w:spacing w:after="0" w:line="8"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 xml:space="preserve">3.03(a) and (iii) any outstanding affected Loans denominated in an Alternative Currency will be deemed to have been converted into Loans that bear interest at the Central Bank Rate for such Alternative Currency plus the Applicable Rate for Term Benchmark Loans or RFR Loans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determines (which determination shall be conclusive and binding absent manifest error) that the Central Bank Rate for the applicable Alternative Currency cannot be determined, then, at the Borrower’s election, such Loans shall either (A) be converted into (x) RFR Borrowing denominated in Dollars (so long as the Daily Simple SOFR is not also the subject of this Section 3.03(a)) or (y) into Base Rate Loans if the Daily Simple SOFR is also the subject of Section 3.03(a) (in each case, in an amount equal to the Dollar Equivalent of such Alternative Currency) immediately or (B) be prepaid in full immediately;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 election is made by the Borrower by the date that is three Business Days after receipt by the Borrower of such notice, the Borrower shall be deemed to have elected clause (A) above. Upon any such conversion, the Borrower shall also pay any additional amounts required pursuant to Section 3.05. If the Administrative Agent determines (which determination shall be conclusive and binding absent manifest error) that Term SOFR cannot be determined in accordance with the terms of this Agreement on any given day, the interest rate on Base Rate Loans shall be determined by the Administrative Agent without reference to clause (c) of the definition of “Base Rate” until the Administrative Agent revokes such determination.</w:t>
      </w:r>
    </w:p>
    <w:p>
      <w:pPr>
        <w:spacing w:after="0" w:line="149" w:lineRule="exact"/>
        <w:rPr>
          <w:sz w:val="20"/>
          <w:szCs w:val="20"/>
          <w:color w:val="auto"/>
        </w:rPr>
      </w:pPr>
    </w:p>
    <w:p>
      <w:pPr>
        <w:ind w:left="1980" w:hanging="475"/>
        <w:spacing w:after="0"/>
        <w:tabs>
          <w:tab w:leader="none" w:pos="198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Benchmark Replacement Setting.</w:t>
      </w:r>
    </w:p>
    <w:p>
      <w:pPr>
        <w:spacing w:after="0" w:line="215" w:lineRule="exact"/>
        <w:rPr>
          <w:rFonts w:ascii="Arial" w:cs="Arial" w:eastAsia="Arial" w:hAnsi="Arial"/>
          <w:sz w:val="20"/>
          <w:szCs w:val="20"/>
          <w:color w:val="auto"/>
        </w:rPr>
      </w:pPr>
    </w:p>
    <w:p>
      <w:pPr>
        <w:jc w:val="both"/>
        <w:ind w:left="760" w:firstLine="1494"/>
        <w:spacing w:after="0" w:line="260" w:lineRule="auto"/>
        <w:tabs>
          <w:tab w:leader="none" w:pos="2802" w:val="left"/>
        </w:tabs>
        <w:numPr>
          <w:ilvl w:val="1"/>
          <w:numId w:val="135"/>
        </w:numPr>
        <w:rPr>
          <w:rFonts w:ascii="Arial" w:cs="Arial" w:eastAsia="Arial" w:hAnsi="Arial"/>
          <w:sz w:val="19"/>
          <w:szCs w:val="19"/>
          <w:color w:val="010000"/>
        </w:rPr>
      </w:pPr>
      <w:r>
        <w:rPr>
          <w:rFonts w:ascii="Arial" w:cs="Arial" w:eastAsia="Arial" w:hAnsi="Arial"/>
          <w:sz w:val="19"/>
          <w:szCs w:val="19"/>
          <w:u w:val="single" w:color="auto"/>
          <w:color w:val="auto"/>
        </w:rPr>
        <w:t>Benchmark Replacement</w:t>
      </w:r>
      <w:r>
        <w:rPr>
          <w:rFonts w:ascii="Arial" w:cs="Arial" w:eastAsia="Arial" w:hAnsi="Arial"/>
          <w:sz w:val="19"/>
          <w:szCs w:val="19"/>
          <w:color w:val="auto"/>
        </w:rPr>
        <w:t xml:space="preserve">. Notwithstanding anything to the contrary herein or in any other Loan Document, upon the occurrence of a Benchmark Transition Event, then (A) if a Benchmark Replacement is determined in accordance with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0" w:name="page151"/>
    <w:bookmarkEnd w:id="150"/>
    <w:p>
      <w:pPr>
        <w:jc w:val="both"/>
        <w:ind w:left="3"/>
        <w:spacing w:after="0" w:line="276" w:lineRule="auto"/>
        <w:rPr>
          <w:sz w:val="20"/>
          <w:szCs w:val="20"/>
          <w:color w:val="auto"/>
        </w:rPr>
      </w:pPr>
      <w:r>
        <w:rPr>
          <w:rFonts w:ascii="Arial" w:cs="Arial" w:eastAsia="Arial" w:hAnsi="Arial"/>
          <w:sz w:val="18"/>
          <w:szCs w:val="18"/>
          <w:color w:val="auto"/>
        </w:rPr>
        <w:t xml:space="preserve">further action or consent of any other party to, this Agreement or any other Loan Document and (B) if a Benchmark Replacement is determined in accordance with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Required Lenders.</w:t>
      </w:r>
    </w:p>
    <w:p>
      <w:pPr>
        <w:spacing w:after="0" w:line="165" w:lineRule="exact"/>
        <w:rPr>
          <w:sz w:val="20"/>
          <w:szCs w:val="20"/>
          <w:color w:val="auto"/>
        </w:rPr>
      </w:pPr>
    </w:p>
    <w:p>
      <w:pPr>
        <w:jc w:val="both"/>
        <w:ind w:left="3" w:firstLine="1494"/>
        <w:spacing w:after="0" w:line="260" w:lineRule="auto"/>
        <w:tabs>
          <w:tab w:leader="none" w:pos="2003" w:val="left"/>
        </w:tabs>
        <w:numPr>
          <w:ilvl w:val="1"/>
          <w:numId w:val="136"/>
        </w:numPr>
        <w:rPr>
          <w:rFonts w:ascii="Arial" w:cs="Arial" w:eastAsia="Arial" w:hAnsi="Arial"/>
          <w:sz w:val="19"/>
          <w:szCs w:val="19"/>
          <w:color w:val="010000"/>
        </w:rPr>
      </w:pP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In connection with the use, administration, adoption or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0" w:lineRule="exact"/>
        <w:rPr>
          <w:rFonts w:ascii="Arial" w:cs="Arial" w:eastAsia="Arial" w:hAnsi="Arial"/>
          <w:sz w:val="19"/>
          <w:szCs w:val="19"/>
          <w:color w:val="010000"/>
        </w:rPr>
      </w:pPr>
    </w:p>
    <w:p>
      <w:pPr>
        <w:jc w:val="both"/>
        <w:ind w:left="3" w:firstLine="1494"/>
        <w:spacing w:after="0" w:line="255" w:lineRule="auto"/>
        <w:tabs>
          <w:tab w:leader="none" w:pos="1993" w:val="left"/>
        </w:tabs>
        <w:numPr>
          <w:ilvl w:val="1"/>
          <w:numId w:val="136"/>
        </w:numPr>
        <w:rPr>
          <w:rFonts w:ascii="Arial" w:cs="Arial" w:eastAsia="Arial" w:hAnsi="Arial"/>
          <w:sz w:val="19"/>
          <w:szCs w:val="19"/>
          <w:color w:val="010000"/>
        </w:rPr>
      </w:pPr>
      <w:r>
        <w:rPr>
          <w:rFonts w:ascii="Arial" w:cs="Arial" w:eastAsia="Arial" w:hAnsi="Arial"/>
          <w:sz w:val="19"/>
          <w:szCs w:val="19"/>
          <w:u w:val="single" w:color="auto"/>
          <w:color w:val="auto"/>
        </w:rPr>
        <w:t>Notices; Standards for Decisions and Determinations</w:t>
      </w:r>
      <w:r>
        <w:rPr>
          <w:rFonts w:ascii="Arial" w:cs="Arial" w:eastAsia="Arial" w:hAnsi="Arial"/>
          <w:sz w:val="19"/>
          <w:szCs w:val="19"/>
          <w:color w:val="auto"/>
        </w:rPr>
        <w:t>. The Administrative Agent will promptly notify the Borrower and the Lenders of (i) the implementation of any Benchmark Replacement and (ii) the effectiveness of any Benchmark Replacement Conforming Changes in connection with the use, administration, adoption or implementation of a Benchmark Replacement. The Administrative Agent will promptly notify the Borrower of the removal or reinstatement of any tenor of a Benchmark pursuant to Section 3.03(b). Any determination, decision or election that may be made by the Administrative Agent or, if applicable, any Lender (or group of Lenders) pursuant to this Section 3.03(b),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3.03(b).</w:t>
      </w:r>
    </w:p>
    <w:p>
      <w:pPr>
        <w:spacing w:after="0" w:line="189" w:lineRule="exact"/>
        <w:rPr>
          <w:rFonts w:ascii="Arial" w:cs="Arial" w:eastAsia="Arial" w:hAnsi="Arial"/>
          <w:sz w:val="19"/>
          <w:szCs w:val="19"/>
          <w:color w:val="010000"/>
        </w:rPr>
      </w:pPr>
    </w:p>
    <w:p>
      <w:pPr>
        <w:jc w:val="both"/>
        <w:ind w:left="3" w:firstLine="1494"/>
        <w:spacing w:after="0" w:line="268" w:lineRule="auto"/>
        <w:tabs>
          <w:tab w:leader="none" w:pos="2001" w:val="left"/>
        </w:tabs>
        <w:numPr>
          <w:ilvl w:val="1"/>
          <w:numId w:val="136"/>
        </w:numPr>
        <w:rPr>
          <w:rFonts w:ascii="Arial" w:cs="Arial" w:eastAsia="Arial" w:hAnsi="Arial"/>
          <w:sz w:val="18"/>
          <w:szCs w:val="18"/>
          <w:color w:val="010000"/>
        </w:rPr>
      </w:pPr>
      <w:r>
        <w:rPr>
          <w:rFonts w:ascii="Arial" w:cs="Arial" w:eastAsia="Arial" w:hAnsi="Arial"/>
          <w:sz w:val="18"/>
          <w:szCs w:val="18"/>
          <w:u w:val="single" w:color="auto"/>
          <w:color w:val="auto"/>
        </w:rPr>
        <w:t>Unavailability of Tenor of Benchmark</w:t>
      </w:r>
      <w:r>
        <w:rPr>
          <w:rFonts w:ascii="Arial" w:cs="Arial" w:eastAsia="Arial" w:hAnsi="Arial"/>
          <w:sz w:val="18"/>
          <w:szCs w:val="18"/>
          <w:color w:val="auto"/>
        </w:rPr>
        <w:t>. Notwithstanding anything to the contrary herein or in any other Loan Document, at any time (including in connection with the implementation of a Benchmark Replacement), (i) if the then-current Benchmark is a term rate (including any Term Benchmark)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w:t>
      </w:r>
    </w:p>
    <w:p>
      <w:pPr>
        <w:spacing w:after="0" w:line="2" w:lineRule="exact"/>
        <w:rPr>
          <w:rFonts w:ascii="Arial" w:cs="Arial" w:eastAsia="Arial" w:hAnsi="Arial"/>
          <w:sz w:val="18"/>
          <w:szCs w:val="18"/>
          <w:color w:val="010000"/>
        </w:rPr>
      </w:pPr>
    </w:p>
    <w:p>
      <w:pPr>
        <w:jc w:val="both"/>
        <w:ind w:left="3" w:hanging="3"/>
        <w:spacing w:after="0"/>
        <w:tabs>
          <w:tab w:leader="none" w:pos="301"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97" w:lineRule="exact"/>
        <w:rPr>
          <w:rFonts w:ascii="Arial" w:cs="Arial" w:eastAsia="Arial" w:hAnsi="Arial"/>
          <w:sz w:val="20"/>
          <w:szCs w:val="20"/>
          <w:color w:val="auto"/>
        </w:rPr>
      </w:pPr>
    </w:p>
    <w:p>
      <w:pPr>
        <w:ind w:left="3" w:firstLine="1494"/>
        <w:spacing w:after="0" w:line="260" w:lineRule="auto"/>
        <w:tabs>
          <w:tab w:leader="none" w:pos="2017" w:val="left"/>
        </w:tabs>
        <w:numPr>
          <w:ilvl w:val="1"/>
          <w:numId w:val="137"/>
        </w:numPr>
        <w:rPr>
          <w:rFonts w:ascii="Arial" w:cs="Arial" w:eastAsia="Arial" w:hAnsi="Arial"/>
          <w:sz w:val="20"/>
          <w:szCs w:val="20"/>
          <w:color w:val="010000"/>
        </w:rPr>
      </w:pP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Upon the Borrower’s receipt of notice of the commencement of a Benchmark Unavailability Period, the Borrower may revoke any 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324485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2" w:right="339" w:bottom="1440" w:gutter="0" w:footer="0" w:header="0"/>
        </w:sectPr>
      </w:pPr>
    </w:p>
    <w:bookmarkStart w:id="151" w:name="page152"/>
    <w:bookmarkEnd w:id="151"/>
    <w:p>
      <w:pPr>
        <w:jc w:val="both"/>
        <w:ind w:left="760"/>
        <w:spacing w:after="0" w:line="278" w:lineRule="auto"/>
        <w:rPr>
          <w:sz w:val="20"/>
          <w:szCs w:val="20"/>
          <w:color w:val="auto"/>
        </w:rPr>
      </w:pPr>
      <w:r>
        <w:rPr>
          <w:rFonts w:ascii="Arial" w:cs="Arial" w:eastAsia="Arial" w:hAnsi="Arial"/>
          <w:sz w:val="18"/>
          <w:szCs w:val="18"/>
          <w:color w:val="auto"/>
        </w:rPr>
        <w:t>request for a Term Benchmark Borrowing of, conversion to or continuation of Term Benchmark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any tenor for the then-current Benchmark is not an Available Tenor, the component of Base Rate based upon the then-current Benchmark or such tenor for such Benchmark, as applicable, will not be used in any determination of Base Rate.</w:t>
      </w:r>
    </w:p>
    <w:p>
      <w:pPr>
        <w:spacing w:after="0" w:line="178" w:lineRule="exact"/>
        <w:rPr>
          <w:sz w:val="20"/>
          <w:szCs w:val="20"/>
          <w:color w:val="auto"/>
        </w:rPr>
      </w:pPr>
    </w:p>
    <w:p>
      <w:pPr>
        <w:jc w:val="both"/>
        <w:ind w:firstLine="1505"/>
        <w:spacing w:after="0" w:line="268" w:lineRule="auto"/>
        <w:tabs>
          <w:tab w:leader="none" w:pos="2192" w:val="left"/>
        </w:tabs>
        <w:numPr>
          <w:ilvl w:val="0"/>
          <w:numId w:val="138"/>
        </w:numPr>
        <w:rPr>
          <w:rFonts w:ascii="Arial" w:cs="Arial" w:eastAsia="Arial" w:hAnsi="Arial"/>
          <w:sz w:val="19"/>
          <w:szCs w:val="19"/>
          <w:color w:val="auto"/>
        </w:rPr>
      </w:pPr>
      <w:r>
        <w:rPr>
          <w:rFonts w:ascii="Arial" w:cs="Arial" w:eastAsia="Arial" w:hAnsi="Arial"/>
          <w:sz w:val="18"/>
          <w:szCs w:val="18"/>
          <w:color w:val="auto"/>
        </w:rPr>
        <w:t>The Administrative Agent does not warrant or accept responsibility for, and shall not have any liability with respect to (i) the continuation of, administration of, submission of, calculation of or any other matter related to Base Rate, any Term Benchmark, any RFR, or any component definition thereof or rates referred to in the definition thereof, or any alternative, successor or replacement rate thereto (including, without limitation any Benchmark Replacement implemented hereunder), including whether the composition or characteristics of any such alternative, successor or replacement rate (including any Benchmark Replacement) will be similar to, or produce the same value or economic equivalence of, or have the same volume or liquidity as, Base Rate, any Term Benchmark, any RFR or any other Benchmark prior to its discontinuance or unavailability, or (ii) the effect, implementation or composition of any Benchmark Replacement Conforming Changes. The Administrative Agent and its Affiliates or other related entities may engage in transactions that affect the calculation of Base Rate, any Term Benchmark, any RFR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Base Rate, any Term Benchmark, any RFR or any other Benchmark, or any component definition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3.04 </w:t>
      </w:r>
      <w:r>
        <w:rPr>
          <w:rFonts w:ascii="Arial" w:cs="Arial" w:eastAsia="Arial" w:hAnsi="Arial"/>
          <w:sz w:val="20"/>
          <w:szCs w:val="20"/>
          <w:color w:val="000000"/>
        </w:rPr>
        <w:t>Increased Costs; Reserves on Term Benchmark Rate Loans.</w:t>
      </w:r>
    </w:p>
    <w:p>
      <w:pPr>
        <w:spacing w:after="0" w:line="216" w:lineRule="exact"/>
        <w:rPr>
          <w:sz w:val="20"/>
          <w:szCs w:val="20"/>
          <w:color w:val="auto"/>
        </w:rPr>
      </w:pPr>
    </w:p>
    <w:p>
      <w:pPr>
        <w:ind w:left="1980" w:hanging="475"/>
        <w:spacing w:after="0"/>
        <w:tabs>
          <w:tab w:leader="none" w:pos="1980"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15" w:lineRule="exact"/>
        <w:rPr>
          <w:rFonts w:ascii="Arial" w:cs="Arial" w:eastAsia="Arial" w:hAnsi="Arial"/>
          <w:sz w:val="20"/>
          <w:szCs w:val="20"/>
          <w:color w:val="auto"/>
        </w:rPr>
      </w:pPr>
    </w:p>
    <w:p>
      <w:pPr>
        <w:jc w:val="both"/>
        <w:ind w:left="760" w:firstLine="1494"/>
        <w:spacing w:after="0" w:line="250" w:lineRule="auto"/>
        <w:tabs>
          <w:tab w:leader="none" w:pos="2768" w:val="left"/>
        </w:tabs>
        <w:numPr>
          <w:ilvl w:val="1"/>
          <w:numId w:val="139"/>
        </w:numPr>
        <w:rPr>
          <w:rFonts w:ascii="Arial" w:cs="Arial" w:eastAsia="Arial" w:hAnsi="Arial"/>
          <w:sz w:val="20"/>
          <w:szCs w:val="20"/>
          <w:color w:val="010000"/>
        </w:rPr>
      </w:pPr>
      <w:r>
        <w:rPr>
          <w:rFonts w:ascii="Arial" w:cs="Arial" w:eastAsia="Arial" w:hAnsi="Arial"/>
          <w:sz w:val="20"/>
          <w:szCs w:val="20"/>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20"/>
          <w:szCs w:val="20"/>
          <w:u w:val="single" w:color="auto"/>
          <w:color w:val="auto"/>
        </w:rPr>
        <w:t>Section 3.04(e)</w:t>
      </w:r>
      <w:r>
        <w:rPr>
          <w:rFonts w:ascii="Arial" w:cs="Arial" w:eastAsia="Arial" w:hAnsi="Arial"/>
          <w:sz w:val="20"/>
          <w:szCs w:val="20"/>
          <w:color w:val="auto"/>
        </w:rPr>
        <w:t>) or any Issuing Lender;</w:t>
      </w:r>
    </w:p>
    <w:p>
      <w:pPr>
        <w:spacing w:after="0" w:line="185" w:lineRule="exact"/>
        <w:rPr>
          <w:rFonts w:ascii="Arial" w:cs="Arial" w:eastAsia="Arial" w:hAnsi="Arial"/>
          <w:sz w:val="20"/>
          <w:szCs w:val="20"/>
          <w:color w:val="010000"/>
        </w:rPr>
      </w:pPr>
    </w:p>
    <w:p>
      <w:pPr>
        <w:jc w:val="both"/>
        <w:ind w:left="760" w:firstLine="1494"/>
        <w:spacing w:after="0" w:line="244" w:lineRule="auto"/>
        <w:tabs>
          <w:tab w:leader="none" w:pos="2771" w:val="left"/>
        </w:tabs>
        <w:numPr>
          <w:ilvl w:val="1"/>
          <w:numId w:val="139"/>
        </w:numPr>
        <w:rPr>
          <w:rFonts w:ascii="Arial" w:cs="Arial" w:eastAsia="Arial" w:hAnsi="Arial"/>
          <w:sz w:val="20"/>
          <w:szCs w:val="20"/>
          <w:color w:val="010000"/>
        </w:rPr>
      </w:pPr>
      <w:r>
        <w:rPr>
          <w:rFonts w:ascii="Arial" w:cs="Arial" w:eastAsia="Arial" w:hAnsi="Arial"/>
          <w:sz w:val="20"/>
          <w:szCs w:val="20"/>
          <w:color w:val="auto"/>
        </w:rPr>
        <w:t xml:space="preserve">except as specifically provided in the last sentence of this </w:t>
      </w:r>
      <w:r>
        <w:rPr>
          <w:rFonts w:ascii="Arial" w:cs="Arial" w:eastAsia="Arial" w:hAnsi="Arial"/>
          <w:sz w:val="20"/>
          <w:szCs w:val="20"/>
          <w:u w:val="single" w:color="auto"/>
          <w:color w:val="auto"/>
        </w:rPr>
        <w:t>Section 3.04(a)</w:t>
      </w:r>
      <w:r>
        <w:rPr>
          <w:rFonts w:ascii="Arial" w:cs="Arial" w:eastAsia="Arial" w:hAnsi="Arial"/>
          <w:sz w:val="20"/>
          <w:szCs w:val="20"/>
          <w:color w:val="auto"/>
        </w:rPr>
        <w:t>, subject any Lender or any Issuing Lender to any Tax of any kind whatsoever (other than Indemnified Taxes, Other Taxes covered by section 3.01 and Excluded Taxes) with respect to this Agreement, any Letter of Credit, any participation in a Letter of Credit or any Term Benchmark Loan or RFR Loan made by it, or change the basis of Taxation of payments to such Lender or such Issuing Lender in respect thereof; or</w:t>
      </w:r>
    </w:p>
    <w:p>
      <w:pPr>
        <w:spacing w:after="0" w:line="194" w:lineRule="exact"/>
        <w:rPr>
          <w:rFonts w:ascii="Arial" w:cs="Arial" w:eastAsia="Arial" w:hAnsi="Arial"/>
          <w:sz w:val="20"/>
          <w:szCs w:val="20"/>
          <w:color w:val="010000"/>
        </w:rPr>
      </w:pPr>
    </w:p>
    <w:p>
      <w:pPr>
        <w:jc w:val="both"/>
        <w:ind w:left="760" w:firstLine="1494"/>
        <w:spacing w:after="0" w:line="250" w:lineRule="auto"/>
        <w:tabs>
          <w:tab w:leader="none" w:pos="2748" w:val="left"/>
        </w:tabs>
        <w:numPr>
          <w:ilvl w:val="1"/>
          <w:numId w:val="139"/>
        </w:numPr>
        <w:rPr>
          <w:rFonts w:ascii="Arial" w:cs="Arial" w:eastAsia="Arial" w:hAnsi="Arial"/>
          <w:sz w:val="20"/>
          <w:szCs w:val="20"/>
          <w:color w:val="010000"/>
        </w:rPr>
      </w:pPr>
      <w:r>
        <w:rPr>
          <w:rFonts w:ascii="Arial" w:cs="Arial" w:eastAsia="Arial" w:hAnsi="Arial"/>
          <w:sz w:val="20"/>
          <w:szCs w:val="20"/>
          <w:color w:val="auto"/>
        </w:rPr>
        <w:t>impose on any Lender or any Issuing Lender or the London interbank market any other condition, cost or expense affecting this Agreement or Term Benchmark Loans or RFR Loans made by such Lender or any Letter of Credit or participation therein;</w:t>
      </w:r>
    </w:p>
    <w:p>
      <w:pPr>
        <w:spacing w:after="0" w:line="18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and the result of any of the foregoing shall be to increase the cost to such Lender of making, converting to, continuing or maintaining any Term Benchmark Loan or RFR Loan (or of maintaining its obligation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2" w:name="page153"/>
    <w:bookmarkEnd w:id="152"/>
    <w:p>
      <w:pPr>
        <w:jc w:val="both"/>
        <w:spacing w:after="0" w:line="271" w:lineRule="auto"/>
        <w:rPr>
          <w:sz w:val="20"/>
          <w:szCs w:val="20"/>
          <w:color w:val="auto"/>
        </w:rPr>
      </w:pPr>
      <w:r>
        <w:rPr>
          <w:rFonts w:ascii="Arial" w:cs="Arial" w:eastAsia="Arial" w:hAnsi="Arial"/>
          <w:sz w:val="18"/>
          <w:szCs w:val="18"/>
          <w:color w:val="auto"/>
        </w:rPr>
        <w:t>make any such Loan), or to increase the cost to such Lender or such Issuing Lender of participating in, issuing or maintaining any Letter of Credit (or of maintaining its obligation to participate in or to issue any Letter of Credit), or to reduce the amount of any sum received or receivable by such Lender or such Issuing Lender hereunder (whether of principal, interest or any other amount) then, upon request of such Lender or such Issuing Lender, the Borrowers will pay to such Lender or such Issuing Lender, as the case may be, such additional amount or amounts as will compensate such Lender or such Issuing Lender, as the case may be, for such additional costs incurred or reduction suffered. For the avoidance of doubt, subsections (i) through (iii) above shall not apply to the extent any increased costs are (A) attributable to a Tax Deduction required by law to be made by any Loan Party, (B) compensated for by Section 3.01(c), or would have been so compensated but were not so compensated solely because (a) the relevant Tax is an Excluded Tax or (b) any exception in Section 3.01(c)(ii) (including for the avoidance of doubt any exclusion under section 3.01(h)) applies, or by payment of an amount under Section 3.01(k), or would have been so compensated but was not so compensated solely because an exclusion in Section 3.01(k) applies, or (C) attributable to the wilful breach by the relevant Lender or Issuing Lender (or its Affiliates) of any law or regulation.</w:t>
      </w:r>
    </w:p>
    <w:p>
      <w:pPr>
        <w:spacing w:after="0" w:line="170" w:lineRule="exact"/>
        <w:rPr>
          <w:sz w:val="20"/>
          <w:szCs w:val="20"/>
          <w:color w:val="auto"/>
        </w:rPr>
      </w:pPr>
    </w:p>
    <w:p>
      <w:pPr>
        <w:jc w:val="both"/>
        <w:ind w:firstLine="1505"/>
        <w:spacing w:after="0" w:line="255" w:lineRule="auto"/>
        <w:tabs>
          <w:tab w:leader="none" w:pos="2007"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Commitments of such Lender or the Loans made by, or participations in Letters of Credit or Swing Line Loans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and liquidity), then from time to time the Borrowers will pay to such Lender or such Issuing Lender, as the case may be, such additional amount or amounts as will compensate such Lender or such Issuing Lender or such Lender’s or such Issuing Lender’s holding company for any such reduction suffered.</w:t>
      </w:r>
    </w:p>
    <w:p>
      <w:pPr>
        <w:spacing w:after="0" w:line="186" w:lineRule="exact"/>
        <w:rPr>
          <w:rFonts w:ascii="Arial" w:cs="Arial" w:eastAsia="Arial" w:hAnsi="Arial"/>
          <w:sz w:val="19"/>
          <w:szCs w:val="19"/>
          <w:color w:val="auto"/>
        </w:rPr>
      </w:pPr>
    </w:p>
    <w:p>
      <w:pPr>
        <w:jc w:val="both"/>
        <w:ind w:firstLine="1505"/>
        <w:spacing w:after="0" w:line="282" w:lineRule="auto"/>
        <w:tabs>
          <w:tab w:leader="none" w:pos="198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any Issuing Lender setting forth the amount or amounts necessary to compensate such Lender or such Issuing Lender or its holding company, as the case may be, as specified in subsection (a) or (b) of this Section and delivered to the Borrowers shall be conclusive absent manifest error. The Borrowers shall pay such Lender or such Issuing Lender, as the case may be, the amount shown as due on any such certificate within 10 days after receipt thereof.</w:t>
      </w:r>
    </w:p>
    <w:p>
      <w:pPr>
        <w:spacing w:after="0" w:line="161" w:lineRule="exact"/>
        <w:rPr>
          <w:rFonts w:ascii="Arial" w:cs="Arial" w:eastAsia="Arial" w:hAnsi="Arial"/>
          <w:sz w:val="18"/>
          <w:szCs w:val="18"/>
          <w:color w:val="auto"/>
        </w:rPr>
      </w:pPr>
    </w:p>
    <w:p>
      <w:pPr>
        <w:jc w:val="both"/>
        <w:ind w:firstLine="1505"/>
        <w:spacing w:after="0" w:line="242" w:lineRule="auto"/>
        <w:tabs>
          <w:tab w:leader="none" w:pos="2006"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Delay in Requests</w:t>
      </w:r>
      <w:r>
        <w:rPr>
          <w:rFonts w:ascii="Arial" w:cs="Arial" w:eastAsia="Arial" w:hAnsi="Arial"/>
          <w:sz w:val="20"/>
          <w:szCs w:val="20"/>
          <w:color w:val="auto"/>
        </w:rPr>
        <w:t>. Failure or delay on the part of any Lender or any Issuing Lender to demand compensation pursuant to the foregoing provisions of this Section shall not constitute a waiver of such Lender’s or such Issuing Lender’s right to demand such compensation, provided that the Borrowers shall not be required to compensate a Lender or any Issuing Lender pursuant to the foregoing provisions of this Section for any increased costs incurred or reductions suffered more than nine months prior to the date that such Lender or such Issuing Lender, as the case may be, notifies the Borrowers of the Change in Law giving rise to such increased costs or reductions and of such Lender’s or such Issuing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96" w:lineRule="exact"/>
        <w:rPr>
          <w:rFonts w:ascii="Arial" w:cs="Arial" w:eastAsia="Arial" w:hAnsi="Arial"/>
          <w:sz w:val="20"/>
          <w:szCs w:val="20"/>
          <w:color w:val="auto"/>
        </w:rPr>
      </w:pPr>
    </w:p>
    <w:p>
      <w:pPr>
        <w:jc w:val="both"/>
        <w:ind w:firstLine="1505"/>
        <w:spacing w:after="0" w:line="250" w:lineRule="auto"/>
        <w:tabs>
          <w:tab w:leader="none" w:pos="2003"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Additional Reserve Requirements</w:t>
      </w:r>
      <w:r>
        <w:rPr>
          <w:rFonts w:ascii="Arial" w:cs="Arial" w:eastAsia="Arial" w:hAnsi="Arial"/>
          <w:sz w:val="20"/>
          <w:szCs w:val="20"/>
          <w:color w:val="auto"/>
        </w:rPr>
        <w:t>. The Borrowers shall pay to each Lender, (i) as long as such Lender shall be required to maintain reserves with respect to liabilities or assets consisting of or including eurocurrency funds or deposits (currently known as “Eurocurrency liabilities”),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3" w:name="page154"/>
    <w:bookmarkEnd w:id="153"/>
    <w:p>
      <w:pPr>
        <w:jc w:val="both"/>
        <w:spacing w:after="0" w:line="255" w:lineRule="auto"/>
        <w:rPr>
          <w:sz w:val="20"/>
          <w:szCs w:val="20"/>
          <w:color w:val="auto"/>
        </w:rPr>
      </w:pPr>
      <w:r>
        <w:rPr>
          <w:rFonts w:ascii="Arial" w:cs="Arial" w:eastAsia="Arial" w:hAnsi="Arial"/>
          <w:sz w:val="19"/>
          <w:szCs w:val="19"/>
          <w:color w:val="auto"/>
        </w:rPr>
        <w:t xml:space="preserve">interest on the unpaid principal amount of each Term Benchmark Loan or RFR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Commitments or the funding of the Term Benchmark Loans or RFR Loans, such additional costs (expressed as a percentage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Borrowers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9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010000"/>
        </w:rPr>
        <w:t xml:space="preserve">3.05 </w:t>
      </w:r>
      <w:r>
        <w:rPr>
          <w:rFonts w:ascii="Arial" w:cs="Arial" w:eastAsia="Arial" w:hAnsi="Arial"/>
          <w:sz w:val="20"/>
          <w:szCs w:val="20"/>
          <w:color w:val="000000"/>
        </w:rPr>
        <w:t>Compensation for Losses. Upon demand of any Lender (with a copy to the Administrative Agent) from time to time, the</w:t>
      </w:r>
      <w:r>
        <w:rPr>
          <w:rFonts w:ascii="Arial" w:cs="Arial" w:eastAsia="Arial" w:hAnsi="Arial"/>
          <w:sz w:val="20"/>
          <w:szCs w:val="20"/>
          <w:color w:val="010000"/>
        </w:rPr>
        <w:t xml:space="preserve"> </w:t>
      </w:r>
      <w:r>
        <w:rPr>
          <w:rFonts w:ascii="Arial" w:cs="Arial" w:eastAsia="Arial" w:hAnsi="Arial"/>
          <w:sz w:val="20"/>
          <w:szCs w:val="20"/>
          <w:color w:val="000000"/>
        </w:rPr>
        <w:t>Borrowers shall promptly compensate such Lender for and hold such Lender harmless from any loss, cost or expense incurred by it as a result of:</w:t>
      </w:r>
    </w:p>
    <w:p>
      <w:pPr>
        <w:spacing w:after="0" w:line="186" w:lineRule="exact"/>
        <w:rPr>
          <w:sz w:val="20"/>
          <w:szCs w:val="20"/>
          <w:color w:val="auto"/>
        </w:rPr>
      </w:pPr>
    </w:p>
    <w:p>
      <w:pPr>
        <w:ind w:firstLine="1505"/>
        <w:spacing w:after="0" w:line="316" w:lineRule="auto"/>
        <w:tabs>
          <w:tab w:leader="none" w:pos="198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29" w:lineRule="exact"/>
        <w:rPr>
          <w:rFonts w:ascii="Arial" w:cs="Arial" w:eastAsia="Arial" w:hAnsi="Arial"/>
          <w:sz w:val="18"/>
          <w:szCs w:val="18"/>
          <w:color w:val="auto"/>
        </w:rPr>
      </w:pPr>
    </w:p>
    <w:p>
      <w:pPr>
        <w:ind w:firstLine="1505"/>
        <w:spacing w:after="0" w:line="287" w:lineRule="auto"/>
        <w:tabs>
          <w:tab w:leader="none" w:pos="198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any failure by the Borrowers (for a reason other than the failure of such Lender to make a Loan) to prepay, borrow, continue or convert any Loan other than a Base Rate Loan on the date or in the amount notified by the Borrowers;</w:t>
      </w:r>
    </w:p>
    <w:p>
      <w:pPr>
        <w:spacing w:after="0" w:line="152" w:lineRule="exact"/>
        <w:rPr>
          <w:rFonts w:ascii="Arial" w:cs="Arial" w:eastAsia="Arial" w:hAnsi="Arial"/>
          <w:sz w:val="19"/>
          <w:szCs w:val="19"/>
          <w:color w:val="auto"/>
        </w:rPr>
      </w:pPr>
    </w:p>
    <w:p>
      <w:pPr>
        <w:ind w:firstLine="1505"/>
        <w:spacing w:after="0" w:line="260" w:lineRule="auto"/>
        <w:tabs>
          <w:tab w:leader="none" w:pos="1987" w:val="left"/>
        </w:tabs>
        <w:numPr>
          <w:ilvl w:val="0"/>
          <w:numId w:val="141"/>
        </w:numPr>
        <w:rPr>
          <w:rFonts w:ascii="Arial" w:cs="Arial" w:eastAsia="Arial" w:hAnsi="Arial"/>
          <w:sz w:val="20"/>
          <w:szCs w:val="20"/>
          <w:color w:val="auto"/>
        </w:rPr>
      </w:pPr>
      <w:r>
        <w:rPr>
          <w:rFonts w:ascii="Arial" w:cs="Arial" w:eastAsia="Arial" w:hAnsi="Arial"/>
          <w:sz w:val="20"/>
          <w:szCs w:val="20"/>
          <w:color w:val="auto"/>
        </w:rPr>
        <w:t>any failure by the Borrowers to make payment of any Loan (or interest due thereon) denominated in an Alternative Currency on its scheduled due date or any payment thereof in a different currency; or</w:t>
      </w:r>
    </w:p>
    <w:p>
      <w:pPr>
        <w:spacing w:after="0" w:line="176" w:lineRule="exact"/>
        <w:rPr>
          <w:rFonts w:ascii="Arial" w:cs="Arial" w:eastAsia="Arial" w:hAnsi="Arial"/>
          <w:sz w:val="20"/>
          <w:szCs w:val="20"/>
          <w:color w:val="auto"/>
        </w:rPr>
      </w:pPr>
    </w:p>
    <w:p>
      <w:pPr>
        <w:ind w:firstLine="1505"/>
        <w:spacing w:after="0" w:line="260" w:lineRule="auto"/>
        <w:tabs>
          <w:tab w:leader="none" w:pos="1981"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any assignment of a Term Benchmark Loan on a day other than the last day of the Interest Period therefor as a result of a request by the Borrowers pursuant to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including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The Borrowers shall also pay any customary administrative fees charged by such Lender in connection with the foregoing.</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For purposes of calculating amounts payable by the Borrowers to the Lenders under this </w:t>
      </w:r>
      <w:r>
        <w:rPr>
          <w:rFonts w:ascii="Arial" w:cs="Arial" w:eastAsia="Arial" w:hAnsi="Arial"/>
          <w:sz w:val="19"/>
          <w:szCs w:val="19"/>
          <w:u w:val="single" w:color="auto"/>
          <w:color w:val="auto"/>
        </w:rPr>
        <w:t>Section 3.05</w:t>
      </w:r>
      <w:r>
        <w:rPr>
          <w:rFonts w:ascii="Arial" w:cs="Arial" w:eastAsia="Arial" w:hAnsi="Arial"/>
          <w:sz w:val="19"/>
          <w:szCs w:val="19"/>
          <w:color w:val="auto"/>
        </w:rPr>
        <w:t>, each Lender shall be deemed to have funded each Term Benchmark Loan or RFR Loan made by it at the Term Benchmark or Daily Simple RFR, as applicable, for such Loan by a matching deposit or other borrowing in the offshore interbank market for such currency for a comparable amount and for a comparable period, whether or not such Term Benchmark Loan or RFR Loan, as applicable, was in fact so funded.</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3.06 </w:t>
      </w:r>
      <w:r>
        <w:rPr>
          <w:rFonts w:ascii="Arial" w:cs="Arial" w:eastAsia="Arial" w:hAnsi="Arial"/>
          <w:sz w:val="20"/>
          <w:szCs w:val="20"/>
          <w:color w:val="000000"/>
        </w:rPr>
        <w:t>Mitigation Obligations; Replacement of Lenders.</w:t>
      </w:r>
    </w:p>
    <w:p>
      <w:pPr>
        <w:spacing w:after="0" w:line="216" w:lineRule="exact"/>
        <w:rPr>
          <w:sz w:val="20"/>
          <w:szCs w:val="20"/>
          <w:color w:val="auto"/>
        </w:rPr>
      </w:pPr>
    </w:p>
    <w:p>
      <w:pPr>
        <w:jc w:val="both"/>
        <w:ind w:firstLine="1505"/>
        <w:spacing w:after="0" w:line="263" w:lineRule="auto"/>
        <w:tabs>
          <w:tab w:leader="none" w:pos="1993"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any Loan Party is required to pay any additional amount to any Lender, any Issuing Lender, or any Governmental Authority for the account of any Lender or any Issuing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gives a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then such Lender or such Issuing Lender shall, as applicable, use reasonable efforts to designate a different Lending Office for funding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4" w:name="page155"/>
    <w:bookmarkEnd w:id="154"/>
    <w:p>
      <w:pPr>
        <w:jc w:val="both"/>
        <w:spacing w:after="0" w:line="276" w:lineRule="auto"/>
        <w:rPr>
          <w:sz w:val="20"/>
          <w:szCs w:val="20"/>
          <w:color w:val="auto"/>
        </w:rPr>
      </w:pPr>
      <w:r>
        <w:rPr>
          <w:rFonts w:ascii="Arial" w:cs="Arial" w:eastAsia="Arial" w:hAnsi="Arial"/>
          <w:sz w:val="18"/>
          <w:szCs w:val="18"/>
          <w:color w:val="auto"/>
        </w:rPr>
        <w:t xml:space="preserve">booking its Loans hereunder or to assign its rights and obligations hereunder to another of its offices, branches or affiliates, if, in the judgment of such Lender or such Issuing Lender, such designation or assignment (i) would eliminate or reduce amounts payable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as applicable, and (ii) in each case, would not subject such Lender or such Issuing Lender, as the case may be, to any unreimbursed cost or expense and would not otherwise be disadvantageous to such Lender or such Issuing Lender, as the case may be. Each Borrower hereby agrees to pay all reasonable costs and expenses incurred by any Lender or any Issuing Lender in connection with any such designation or assignment.</w:t>
      </w:r>
    </w:p>
    <w:p>
      <w:pPr>
        <w:spacing w:after="0" w:line="165" w:lineRule="exact"/>
        <w:rPr>
          <w:sz w:val="20"/>
          <w:szCs w:val="20"/>
          <w:color w:val="auto"/>
        </w:rPr>
      </w:pPr>
    </w:p>
    <w:p>
      <w:pPr>
        <w:jc w:val="both"/>
        <w:ind w:firstLine="1505"/>
        <w:spacing w:after="0" w:line="244" w:lineRule="auto"/>
        <w:tabs>
          <w:tab w:leader="none" w:pos="1981"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Replacement of Lenders</w:t>
      </w:r>
      <w:r>
        <w:rPr>
          <w:rFonts w:ascii="Arial" w:cs="Arial" w:eastAsia="Arial" w:hAnsi="Arial"/>
          <w:sz w:val="20"/>
          <w:szCs w:val="20"/>
          <w:color w:val="auto"/>
        </w:rPr>
        <w:t xml:space="preserve">. If any Lender requests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if any Borrower is required to pay any additional amount to any Lender or any Governmental Authority for the account of any Lender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or if any Lender is a Defaulting Lender, or if any Lender declines to become an Extending Lender pursuant to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or if any circumstance exists under the last paragraph of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that gives the Borrowers the right to replace a Lender as a party hereto, the Company may replace such Lender in accordance with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9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010000"/>
        </w:rPr>
        <w:t xml:space="preserve">3.07 </w:t>
      </w:r>
      <w:r>
        <w:rPr>
          <w:rFonts w:ascii="Arial" w:cs="Arial" w:eastAsia="Arial" w:hAnsi="Arial"/>
          <w:sz w:val="20"/>
          <w:szCs w:val="20"/>
          <w:color w:val="000000"/>
        </w:rPr>
        <w:t>Survival. All of the Borrowers’ obligations under this</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Article III</w:t>
      </w:r>
      <w:r>
        <w:rPr>
          <w:rFonts w:ascii="Arial" w:cs="Arial" w:eastAsia="Arial" w:hAnsi="Arial"/>
          <w:sz w:val="20"/>
          <w:szCs w:val="20"/>
          <w:color w:val="010000"/>
        </w:rPr>
        <w:t xml:space="preserve"> </w:t>
      </w:r>
      <w:r>
        <w:rPr>
          <w:rFonts w:ascii="Arial" w:cs="Arial" w:eastAsia="Arial" w:hAnsi="Arial"/>
          <w:sz w:val="20"/>
          <w:szCs w:val="20"/>
          <w:color w:val="000000"/>
        </w:rPr>
        <w:t>shall survive termination of the Aggregate Commitments,</w:t>
      </w:r>
      <w:r>
        <w:rPr>
          <w:rFonts w:ascii="Arial" w:cs="Arial" w:eastAsia="Arial" w:hAnsi="Arial"/>
          <w:sz w:val="20"/>
          <w:szCs w:val="20"/>
          <w:color w:val="010000"/>
        </w:rPr>
        <w:t xml:space="preserve"> </w:t>
      </w:r>
      <w:r>
        <w:rPr>
          <w:rFonts w:ascii="Arial" w:cs="Arial" w:eastAsia="Arial" w:hAnsi="Arial"/>
          <w:sz w:val="20"/>
          <w:szCs w:val="20"/>
          <w:color w:val="000000"/>
        </w:rPr>
        <w:t>repayment of all other Obligations hereunder, and resignation of the Administrative Agent.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IV</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CONDITIONS PRECEDENT TO BORROWINGS</w:t>
      </w:r>
    </w:p>
    <w:p>
      <w:pPr>
        <w:spacing w:after="0" w:line="20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010000"/>
        </w:rPr>
        <w:t xml:space="preserve">4.01 </w:t>
      </w:r>
      <w:r>
        <w:rPr>
          <w:rFonts w:ascii="Arial" w:cs="Arial" w:eastAsia="Arial" w:hAnsi="Arial"/>
          <w:sz w:val="20"/>
          <w:szCs w:val="20"/>
          <w:color w:val="000000"/>
        </w:rPr>
        <w:t>Conditions of Initial Credit Extension. The obligation of each Issuing Lender and each Lender to make its Initial Credit</w:t>
      </w:r>
      <w:r>
        <w:rPr>
          <w:rFonts w:ascii="Arial" w:cs="Arial" w:eastAsia="Arial" w:hAnsi="Arial"/>
          <w:sz w:val="20"/>
          <w:szCs w:val="20"/>
          <w:color w:val="010000"/>
        </w:rPr>
        <w:t xml:space="preserve"> </w:t>
      </w:r>
      <w:r>
        <w:rPr>
          <w:rFonts w:ascii="Arial" w:cs="Arial" w:eastAsia="Arial" w:hAnsi="Arial"/>
          <w:sz w:val="20"/>
          <w:szCs w:val="20"/>
          <w:color w:val="000000"/>
        </w:rPr>
        <w:t xml:space="preserve">Extension available to the Borrowers hereunder is subject to satisfaction (or waiver) of the following conditions precedent in addition to those specified in </w:t>
      </w:r>
      <w:r>
        <w:rPr>
          <w:rFonts w:ascii="Arial" w:cs="Arial" w:eastAsia="Arial" w:hAnsi="Arial"/>
          <w:sz w:val="20"/>
          <w:szCs w:val="20"/>
          <w:u w:val="single" w:color="auto"/>
          <w:color w:val="000000"/>
        </w:rPr>
        <w:t>Section 4.02</w:t>
      </w:r>
      <w:r>
        <w:rPr>
          <w:rFonts w:ascii="Arial" w:cs="Arial" w:eastAsia="Arial" w:hAnsi="Arial"/>
          <w:sz w:val="20"/>
          <w:szCs w:val="20"/>
          <w:color w:val="000000"/>
        </w:rPr>
        <w:t>:</w:t>
      </w:r>
    </w:p>
    <w:p>
      <w:pPr>
        <w:spacing w:after="0" w:line="186" w:lineRule="exact"/>
        <w:rPr>
          <w:sz w:val="20"/>
          <w:szCs w:val="20"/>
          <w:color w:val="auto"/>
        </w:rPr>
      </w:pPr>
    </w:p>
    <w:p>
      <w:pPr>
        <w:jc w:val="both"/>
        <w:ind w:firstLine="1505"/>
        <w:spacing w:after="0" w:line="243" w:lineRule="auto"/>
        <w:tabs>
          <w:tab w:leader="none" w:pos="2034"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Administrative Agent’s receipt of the following, each of which shall be executed (or written evidence satisfactory to the Administrative Agent (which may include a facsimile or other electronic transmission) that such party has signed a counterpart) by a Responsible Officer (or, with respect to any Loan Party other than the Company, by a Secretary or other Person duly appointed as an attorney-in-fact by a power of attorney granted by, or pursuant to an authorization of, the board of directors or similar body of such Loan Party) of the applicable Loan Party, each dated the Closing Date or the day prior to the Closing Date (or, in the case of certificates of governmental officials, a recent date before the Closing Date) and each in form and substance reasonably satisfactory to the Administrative Agent:</w:t>
      </w:r>
    </w:p>
    <w:p>
      <w:pPr>
        <w:spacing w:after="0" w:line="192" w:lineRule="exact"/>
        <w:rPr>
          <w:rFonts w:ascii="Arial" w:cs="Arial" w:eastAsia="Arial" w:hAnsi="Arial"/>
          <w:sz w:val="20"/>
          <w:szCs w:val="20"/>
          <w:color w:val="auto"/>
        </w:rPr>
      </w:pPr>
    </w:p>
    <w:p>
      <w:pPr>
        <w:jc w:val="both"/>
        <w:ind w:left="760" w:firstLine="1494"/>
        <w:spacing w:after="0" w:line="260" w:lineRule="auto"/>
        <w:tabs>
          <w:tab w:leader="none" w:pos="2772" w:val="left"/>
        </w:tabs>
        <w:numPr>
          <w:ilvl w:val="1"/>
          <w:numId w:val="144"/>
        </w:numPr>
        <w:rPr>
          <w:rFonts w:ascii="Arial" w:cs="Arial" w:eastAsia="Arial" w:hAnsi="Arial"/>
          <w:sz w:val="19"/>
          <w:szCs w:val="19"/>
          <w:color w:val="010000"/>
        </w:rPr>
      </w:pPr>
      <w:r>
        <w:rPr>
          <w:rFonts w:ascii="Arial" w:cs="Arial" w:eastAsia="Arial" w:hAnsi="Arial"/>
          <w:sz w:val="19"/>
          <w:szCs w:val="19"/>
          <w:color w:val="auto"/>
        </w:rPr>
        <w:t>The Administrative Agent (or its counsel) shall have received (A) an executed counterpart (or written evidence satisfactory to the Administrative Agent (which may include a facsimile or other electronic transmission) that such party has signed a counterpart) of this Agreement by Parent, each Borrower, each Lender and the Administrative Agent and (B) executed counterparts (or written evidence satisfactory to the Administrative Agent (which may include a facsimile or other electronic transmission) that such party has signed a counterpart) of the Guaranty Agreement;</w:t>
      </w:r>
    </w:p>
    <w:p>
      <w:pPr>
        <w:spacing w:after="0" w:line="180" w:lineRule="exact"/>
        <w:rPr>
          <w:rFonts w:ascii="Arial" w:cs="Arial" w:eastAsia="Arial" w:hAnsi="Arial"/>
          <w:sz w:val="19"/>
          <w:szCs w:val="19"/>
          <w:color w:val="010000"/>
        </w:rPr>
      </w:pPr>
    </w:p>
    <w:p>
      <w:pPr>
        <w:ind w:left="760" w:firstLine="1494"/>
        <w:spacing w:after="0" w:line="260" w:lineRule="auto"/>
        <w:tabs>
          <w:tab w:leader="none" w:pos="2773" w:val="left"/>
        </w:tabs>
        <w:numPr>
          <w:ilvl w:val="1"/>
          <w:numId w:val="144"/>
        </w:numPr>
        <w:rPr>
          <w:rFonts w:ascii="Arial" w:cs="Arial" w:eastAsia="Arial" w:hAnsi="Arial"/>
          <w:sz w:val="20"/>
          <w:szCs w:val="20"/>
          <w:color w:val="010000"/>
        </w:rPr>
      </w:pPr>
      <w:r>
        <w:rPr>
          <w:rFonts w:ascii="Arial" w:cs="Arial" w:eastAsia="Arial" w:hAnsi="Arial"/>
          <w:sz w:val="20"/>
          <w:szCs w:val="20"/>
          <w:color w:val="auto"/>
        </w:rPr>
        <w:t>Revolving Credit Notes executed by the Borrowers in favor of each Lender that requested Revolving Credit Notes at least three Business Days prior to the Closing Date;</w:t>
      </w:r>
    </w:p>
    <w:p>
      <w:pPr>
        <w:spacing w:after="0" w:line="176" w:lineRule="exact"/>
        <w:rPr>
          <w:rFonts w:ascii="Arial" w:cs="Arial" w:eastAsia="Arial" w:hAnsi="Arial"/>
          <w:sz w:val="20"/>
          <w:szCs w:val="20"/>
          <w:color w:val="010000"/>
        </w:rPr>
      </w:pPr>
    </w:p>
    <w:p>
      <w:pPr>
        <w:jc w:val="both"/>
        <w:ind w:left="760" w:firstLine="1494"/>
        <w:spacing w:after="0" w:line="291" w:lineRule="auto"/>
        <w:tabs>
          <w:tab w:leader="none" w:pos="2797" w:val="left"/>
        </w:tabs>
        <w:numPr>
          <w:ilvl w:val="1"/>
          <w:numId w:val="144"/>
        </w:numPr>
        <w:rPr>
          <w:rFonts w:ascii="Arial" w:cs="Arial" w:eastAsia="Arial" w:hAnsi="Arial"/>
          <w:sz w:val="18"/>
          <w:szCs w:val="18"/>
          <w:color w:val="010000"/>
        </w:rPr>
      </w:pPr>
      <w:r>
        <w:rPr>
          <w:rFonts w:ascii="Arial" w:cs="Arial" w:eastAsia="Arial" w:hAnsi="Arial"/>
          <w:sz w:val="18"/>
          <w:szCs w:val="18"/>
          <w:color w:val="auto"/>
        </w:rPr>
        <w:t>such certificates of resolutions or other action, incumbency certificates and/or other certificates of Responsible Officers of each Loan Party (including, for each Loan Party incorporated in England, a director’s certificate signed by a director of that Loan Party) as the Administrative Agent may reasonably require evidencing the identity, authority and capacity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5" w:name="page156"/>
    <w:bookmarkEnd w:id="155"/>
    <w:p>
      <w:pPr>
        <w:ind w:left="3"/>
        <w:spacing w:after="0" w:line="260" w:lineRule="auto"/>
        <w:rPr>
          <w:sz w:val="20"/>
          <w:szCs w:val="20"/>
          <w:color w:val="auto"/>
        </w:rPr>
      </w:pPr>
      <w:r>
        <w:rPr>
          <w:rFonts w:ascii="Arial" w:cs="Arial" w:eastAsia="Arial" w:hAnsi="Arial"/>
          <w:sz w:val="20"/>
          <w:szCs w:val="20"/>
          <w:color w:val="auto"/>
        </w:rPr>
        <w:t>each Responsible Officer thereof authorized to act as a Responsible Officer in connection with this Agreement and the other Loan Documents to which such Loan Party is a party or is to be a party;</w:t>
      </w:r>
    </w:p>
    <w:p>
      <w:pPr>
        <w:spacing w:after="0" w:line="177" w:lineRule="exact"/>
        <w:rPr>
          <w:sz w:val="20"/>
          <w:szCs w:val="20"/>
          <w:color w:val="auto"/>
        </w:rPr>
      </w:pPr>
    </w:p>
    <w:p>
      <w:pPr>
        <w:jc w:val="both"/>
        <w:ind w:left="3" w:firstLine="1494"/>
        <w:spacing w:after="0" w:line="250" w:lineRule="auto"/>
        <w:tabs>
          <w:tab w:leader="none" w:pos="2005" w:val="left"/>
        </w:tabs>
        <w:numPr>
          <w:ilvl w:val="2"/>
          <w:numId w:val="145"/>
        </w:numPr>
        <w:rPr>
          <w:rFonts w:ascii="Arial" w:cs="Arial" w:eastAsia="Arial" w:hAnsi="Arial"/>
          <w:sz w:val="20"/>
          <w:szCs w:val="20"/>
          <w:color w:val="010000"/>
        </w:rPr>
      </w:pPr>
      <w:r>
        <w:rPr>
          <w:rFonts w:ascii="Arial" w:cs="Arial" w:eastAsia="Arial" w:hAnsi="Arial"/>
          <w:sz w:val="20"/>
          <w:szCs w:val="20"/>
          <w:color w:val="auto"/>
        </w:rPr>
        <w:t>such documents and certifications as the Administrative Agent or its counsel may reasonably request to evidence that each Loan Party is duly organized, incorporated or formed, validly existing and in good standing in its jurisdiction of organization;</w:t>
      </w:r>
    </w:p>
    <w:p>
      <w:pPr>
        <w:spacing w:after="0" w:line="185" w:lineRule="exact"/>
        <w:rPr>
          <w:rFonts w:ascii="Arial" w:cs="Arial" w:eastAsia="Arial" w:hAnsi="Arial"/>
          <w:sz w:val="20"/>
          <w:szCs w:val="20"/>
          <w:color w:val="010000"/>
        </w:rPr>
      </w:pPr>
    </w:p>
    <w:p>
      <w:pPr>
        <w:jc w:val="both"/>
        <w:ind w:left="3" w:firstLine="1494"/>
        <w:spacing w:after="0" w:line="309" w:lineRule="auto"/>
        <w:tabs>
          <w:tab w:leader="none" w:pos="1982" w:val="left"/>
        </w:tabs>
        <w:numPr>
          <w:ilvl w:val="2"/>
          <w:numId w:val="145"/>
        </w:numPr>
        <w:rPr>
          <w:rFonts w:ascii="Arial" w:cs="Arial" w:eastAsia="Arial" w:hAnsi="Arial"/>
          <w:sz w:val="16"/>
          <w:szCs w:val="16"/>
          <w:color w:val="010000"/>
        </w:rPr>
      </w:pPr>
      <w:r>
        <w:rPr>
          <w:rFonts w:ascii="Arial" w:cs="Arial" w:eastAsia="Arial" w:hAnsi="Arial"/>
          <w:sz w:val="16"/>
          <w:szCs w:val="16"/>
          <w:color w:val="auto"/>
        </w:rPr>
        <w:t>a written opinion (addressed to the Administrative Agent and the Lenders and dated the Closing Date or the day prior to the Closing Date) of (A) Weil, Gotshal &amp; Manges LLP, New York counsel to the Company and the other Loan Parties,</w:t>
      </w:r>
    </w:p>
    <w:p>
      <w:pPr>
        <w:spacing w:after="0" w:line="1" w:lineRule="exact"/>
        <w:rPr>
          <w:rFonts w:ascii="Arial" w:cs="Arial" w:eastAsia="Arial" w:hAnsi="Arial"/>
          <w:sz w:val="16"/>
          <w:szCs w:val="16"/>
          <w:color w:val="010000"/>
        </w:rPr>
      </w:pPr>
    </w:p>
    <w:p>
      <w:pPr>
        <w:jc w:val="both"/>
        <w:ind w:left="3" w:hanging="3"/>
        <w:spacing w:after="0" w:line="256" w:lineRule="auto"/>
        <w:tabs>
          <w:tab w:leader="none" w:pos="324" w:val="left"/>
        </w:tabs>
        <w:numPr>
          <w:ilvl w:val="0"/>
          <w:numId w:val="146"/>
        </w:numPr>
        <w:rPr>
          <w:rFonts w:ascii="Arial" w:cs="Arial" w:eastAsia="Arial" w:hAnsi="Arial"/>
          <w:sz w:val="19"/>
          <w:szCs w:val="19"/>
          <w:color w:val="auto"/>
        </w:rPr>
      </w:pPr>
      <w:r>
        <w:rPr>
          <w:rFonts w:ascii="Arial" w:cs="Arial" w:eastAsia="Arial" w:hAnsi="Arial"/>
          <w:sz w:val="19"/>
          <w:szCs w:val="19"/>
          <w:color w:val="auto"/>
        </w:rPr>
        <w:t>Matheson, local counsel to the Parent, (C) Weil, Gotshal &amp; Manges (London) LLP, local counsel to the Loan Parties organized or existing under the laws of England and Wales, and (D) Baker &amp; McKenzie Amsterdam N.V., local counsel to Willis Netherlands Holdings B.V., and, in the case of each such opinion required by this clause (v), covering such other matters relating to the Loan Parties, the Loan Documents or the transactions contemplated hereby as the Required Lenders shall reasonably request, and the Parent and the Company hereby request such counsel to deliver such opinions; and</w:t>
      </w:r>
    </w:p>
    <w:p>
      <w:pPr>
        <w:spacing w:after="0" w:line="182" w:lineRule="exact"/>
        <w:rPr>
          <w:rFonts w:ascii="Arial" w:cs="Arial" w:eastAsia="Arial" w:hAnsi="Arial"/>
          <w:sz w:val="19"/>
          <w:szCs w:val="19"/>
          <w:color w:val="auto"/>
        </w:rPr>
      </w:pPr>
    </w:p>
    <w:p>
      <w:pPr>
        <w:jc w:val="both"/>
        <w:ind w:left="3" w:firstLine="1494"/>
        <w:spacing w:after="0" w:line="269" w:lineRule="auto"/>
        <w:tabs>
          <w:tab w:leader="none" w:pos="2000" w:val="left"/>
        </w:tabs>
        <w:numPr>
          <w:ilvl w:val="2"/>
          <w:numId w:val="146"/>
        </w:numPr>
        <w:rPr>
          <w:rFonts w:ascii="Arial" w:cs="Arial" w:eastAsia="Arial" w:hAnsi="Arial"/>
          <w:sz w:val="19"/>
          <w:szCs w:val="19"/>
          <w:color w:val="010000"/>
        </w:rPr>
      </w:pPr>
      <w:r>
        <w:rPr>
          <w:rFonts w:ascii="Arial" w:cs="Arial" w:eastAsia="Arial" w:hAnsi="Arial"/>
          <w:sz w:val="19"/>
          <w:szCs w:val="19"/>
          <w:color w:val="auto"/>
        </w:rPr>
        <w:t xml:space="preserve">a certificate signed by a Responsible Officer of the Parent certifying (A) that the conditions specified in </w:t>
      </w:r>
      <w:r>
        <w:rPr>
          <w:rFonts w:ascii="Arial" w:cs="Arial" w:eastAsia="Arial" w:hAnsi="Arial"/>
          <w:sz w:val="19"/>
          <w:szCs w:val="19"/>
          <w:u w:val="single" w:color="auto"/>
          <w:color w:val="auto"/>
        </w:rPr>
        <w:t>Sections 4.02(b)</w:t>
      </w:r>
      <w:r>
        <w:rPr>
          <w:rFonts w:ascii="Arial" w:cs="Arial" w:eastAsia="Arial" w:hAnsi="Arial"/>
          <w:sz w:val="19"/>
          <w:szCs w:val="19"/>
          <w:color w:val="auto"/>
        </w:rPr>
        <w:t xml:space="preserve"> have been satisfied and (B) that since December 31, 2020 there shall not have occurred any events or changes that, individually or in the aggregate, have had or could reasonably be expected to have a Material Adverse Effect.</w:t>
      </w:r>
    </w:p>
    <w:p>
      <w:pPr>
        <w:spacing w:after="0" w:line="169" w:lineRule="exact"/>
        <w:rPr>
          <w:rFonts w:ascii="Arial" w:cs="Arial" w:eastAsia="Arial" w:hAnsi="Arial"/>
          <w:sz w:val="19"/>
          <w:szCs w:val="19"/>
          <w:color w:val="010000"/>
        </w:rPr>
      </w:pPr>
    </w:p>
    <w:p>
      <w:pPr>
        <w:ind w:left="-757" w:firstLine="1505"/>
        <w:spacing w:after="0" w:line="260" w:lineRule="auto"/>
        <w:tabs>
          <w:tab w:leader="none" w:pos="1243" w:val="left"/>
        </w:tabs>
        <w:numPr>
          <w:ilvl w:val="1"/>
          <w:numId w:val="146"/>
        </w:numPr>
        <w:rPr>
          <w:rFonts w:ascii="Arial" w:cs="Arial" w:eastAsia="Arial" w:hAnsi="Arial"/>
          <w:sz w:val="20"/>
          <w:szCs w:val="20"/>
          <w:color w:val="auto"/>
        </w:rPr>
      </w:pPr>
      <w:r>
        <w:rPr>
          <w:rFonts w:ascii="Arial" w:cs="Arial" w:eastAsia="Arial" w:hAnsi="Arial"/>
          <w:sz w:val="20"/>
          <w:szCs w:val="20"/>
          <w:color w:val="auto"/>
        </w:rPr>
        <w:t>(i) All fees required to be paid to any Agent on or before the Closing Date shall have been paid and (ii) all fees required to be paid to the Lenders on or before the Closing Date shall have been paid.</w:t>
      </w:r>
    </w:p>
    <w:p>
      <w:pPr>
        <w:spacing w:after="0" w:line="176" w:lineRule="exact"/>
        <w:rPr>
          <w:rFonts w:ascii="Arial" w:cs="Arial" w:eastAsia="Arial" w:hAnsi="Arial"/>
          <w:sz w:val="20"/>
          <w:szCs w:val="20"/>
          <w:color w:val="auto"/>
        </w:rPr>
      </w:pPr>
    </w:p>
    <w:p>
      <w:pPr>
        <w:jc w:val="both"/>
        <w:ind w:left="-757" w:firstLine="1505"/>
        <w:spacing w:after="0" w:line="250" w:lineRule="auto"/>
        <w:tabs>
          <w:tab w:leader="none" w:pos="1276" w:val="left"/>
        </w:tabs>
        <w:numPr>
          <w:ilvl w:val="1"/>
          <w:numId w:val="146"/>
        </w:numPr>
        <w:rPr>
          <w:rFonts w:ascii="Arial" w:cs="Arial" w:eastAsia="Arial" w:hAnsi="Arial"/>
          <w:sz w:val="20"/>
          <w:szCs w:val="20"/>
          <w:color w:val="auto"/>
        </w:rPr>
      </w:pPr>
      <w:r>
        <w:rPr>
          <w:rFonts w:ascii="Arial" w:cs="Arial" w:eastAsia="Arial" w:hAnsi="Arial"/>
          <w:sz w:val="20"/>
          <w:szCs w:val="20"/>
          <w:color w:val="auto"/>
        </w:rPr>
        <w:t>Unless waived by the Administrative Agent, the Company shall have paid all reasonable fees, charges and disbursements of counsel to the Administrative Agent (directly to such counsel, if requested by the Administrative Agent) to the extent invoiced at least three Business Days’ prior to the Closing Date.</w:t>
      </w:r>
    </w:p>
    <w:p>
      <w:pPr>
        <w:spacing w:after="0" w:line="185" w:lineRule="exact"/>
        <w:rPr>
          <w:rFonts w:ascii="Arial" w:cs="Arial" w:eastAsia="Arial" w:hAnsi="Arial"/>
          <w:sz w:val="20"/>
          <w:szCs w:val="20"/>
          <w:color w:val="auto"/>
        </w:rPr>
      </w:pPr>
    </w:p>
    <w:p>
      <w:pPr>
        <w:jc w:val="both"/>
        <w:ind w:left="-757" w:firstLine="1505"/>
        <w:spacing w:after="0" w:line="274" w:lineRule="auto"/>
        <w:tabs>
          <w:tab w:leader="none" w:pos="12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 xml:space="preserve">All indebtedness under the Existing Credit Agreement shall have been repaid (or shall be repaid out of the initial Borrowing on the Closing Date), all commitments thereunder shall have been terminated and the Administrative Agent shall have received reasonably satisfactory evidence of all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that the Existing Letters of Credit shall be permitted to remain outstanding and shall be deemed issued under this Agreement on the Closing Date (unless such Existing Letters of Credit shall otherwise be replaced or backstopped with Letters of Credit issued hereunder). By executing this Agreement, the Required Lenders (as defined in the Existing Credit Agreement) under the Existing Credit Agreement waive any prepayment prior notice required to be delivered pursuant to the terms thereof with respect to the prepayment of all indebtedness and the termination of all commitments in respect thereof to be made on the Closing Date.</w:t>
      </w:r>
    </w:p>
    <w:p>
      <w:pPr>
        <w:spacing w:after="0" w:line="168" w:lineRule="exact"/>
        <w:rPr>
          <w:rFonts w:ascii="Arial" w:cs="Arial" w:eastAsia="Arial" w:hAnsi="Arial"/>
          <w:sz w:val="18"/>
          <w:szCs w:val="18"/>
          <w:color w:val="auto"/>
        </w:rPr>
      </w:pPr>
    </w:p>
    <w:p>
      <w:pPr>
        <w:jc w:val="both"/>
        <w:ind w:left="-757" w:firstLine="1505"/>
        <w:spacing w:after="0" w:line="243" w:lineRule="auto"/>
        <w:tabs>
          <w:tab w:leader="none" w:pos="1237" w:val="left"/>
        </w:tabs>
        <w:numPr>
          <w:ilvl w:val="1"/>
          <w:numId w:val="146"/>
        </w:numPr>
        <w:rPr>
          <w:rFonts w:ascii="Arial" w:cs="Arial" w:eastAsia="Arial" w:hAnsi="Arial"/>
          <w:sz w:val="20"/>
          <w:szCs w:val="20"/>
          <w:color w:val="auto"/>
        </w:rPr>
      </w:pPr>
      <w:r>
        <w:rPr>
          <w:rFonts w:ascii="Arial" w:cs="Arial" w:eastAsia="Arial" w:hAnsi="Arial"/>
          <w:sz w:val="20"/>
          <w:szCs w:val="20"/>
          <w:color w:val="auto"/>
        </w:rPr>
        <w:t>To the extent requested by the Administrative Agent on or prior to the date that is five Business Days prior to the Effective Date, the Administrative Agent shall have received, at least three Business Days prior to the Effective Date, all documentation and other information required by regulatory authorities under applicable “know your customer” and anti-money laundering rules and regulations, including, without limitation, the U.S.A. PATRIOT Act, and (ii) if any of the Borrowers qualify as a “legal entity customer” under the Beneficial Ownership Regulation, such Borrower shall deliver, to each Lender that so requests at least five Business Days before the Effective Date, a customary beneficial ownership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336550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52" w:right="339" w:bottom="1440" w:gutter="0" w:footer="0" w:header="0"/>
        </w:sectPr>
      </w:pPr>
    </w:p>
    <w:bookmarkStart w:id="156" w:name="page157"/>
    <w:bookmarkEnd w:id="156"/>
    <w:p>
      <w:pPr>
        <w:jc w:val="both"/>
        <w:ind w:firstLine="749"/>
        <w:spacing w:after="0" w:line="244" w:lineRule="auto"/>
        <w:rPr>
          <w:sz w:val="20"/>
          <w:szCs w:val="20"/>
          <w:color w:val="auto"/>
        </w:rPr>
      </w:pPr>
      <w:r>
        <w:rPr>
          <w:rFonts w:ascii="Arial" w:cs="Arial" w:eastAsia="Arial" w:hAnsi="Arial"/>
          <w:sz w:val="20"/>
          <w:szCs w:val="20"/>
          <w:color w:val="auto"/>
        </w:rPr>
        <w:t xml:space="preserve">Without limiting the generality of the provisions of </w:t>
      </w:r>
      <w:r>
        <w:rPr>
          <w:rFonts w:ascii="Arial" w:cs="Arial" w:eastAsia="Arial" w:hAnsi="Arial"/>
          <w:sz w:val="20"/>
          <w:szCs w:val="20"/>
          <w:u w:val="single" w:color="auto"/>
          <w:color w:val="auto"/>
        </w:rPr>
        <w:t>Section 9.03(c)</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4.01</w:t>
      </w:r>
      <w:r>
        <w:rPr>
          <w:rFonts w:ascii="Arial" w:cs="Arial" w:eastAsia="Arial" w:hAnsi="Arial"/>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9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010000"/>
        </w:rPr>
        <w:t xml:space="preserve">4.02 </w:t>
      </w:r>
      <w:r>
        <w:rPr>
          <w:rFonts w:ascii="Arial" w:cs="Arial" w:eastAsia="Arial" w:hAnsi="Arial"/>
          <w:sz w:val="19"/>
          <w:szCs w:val="19"/>
          <w:color w:val="000000"/>
        </w:rPr>
        <w:t>Conditions to all Borrowings. The obligation of each Lender to honor any Borrowing Request (other than a Committed Loan</w:t>
      </w:r>
      <w:r>
        <w:rPr>
          <w:rFonts w:ascii="Arial" w:cs="Arial" w:eastAsia="Arial" w:hAnsi="Arial"/>
          <w:sz w:val="19"/>
          <w:szCs w:val="19"/>
          <w:color w:val="010000"/>
        </w:rPr>
        <w:t xml:space="preserve"> </w:t>
      </w:r>
      <w:r>
        <w:rPr>
          <w:rFonts w:ascii="Arial" w:cs="Arial" w:eastAsia="Arial" w:hAnsi="Arial"/>
          <w:sz w:val="19"/>
          <w:szCs w:val="19"/>
          <w:color w:val="000000"/>
        </w:rPr>
        <w:t>Borrowing Request requesting only a conversion of Loans to the other Type or a continuation of Term Benchmark Loans, or a Letter of Credit Application in respect of the amendment or modification of a Letter of Credit which does not increase the stated amount or extend the stated maturity date of such Letter of Credit) is subject to the following conditions precedent:</w:t>
      </w:r>
    </w:p>
    <w:p>
      <w:pPr>
        <w:spacing w:after="0" w:line="176" w:lineRule="exact"/>
        <w:rPr>
          <w:sz w:val="20"/>
          <w:szCs w:val="20"/>
          <w:color w:val="auto"/>
        </w:rPr>
      </w:pPr>
    </w:p>
    <w:p>
      <w:pPr>
        <w:jc w:val="both"/>
        <w:ind w:firstLine="1505"/>
        <w:spacing w:after="0" w:line="274" w:lineRule="auto"/>
        <w:tabs>
          <w:tab w:leader="none" w:pos="200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(i) the Parent and the Company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(ii) each Loan Party contained in each other Loan Document shall be true and correct in all material respects (or, if such representation or warranty is itself modified by materiality or Material Adverse Effect, it shall be true and correct in all respects) on and as of the date of such Credit Extension, except (A) to the extent that such representations and warranties specifically refer to an earlier date, in which case they shall be true and correct in all material respects (or, with respect to representations and warranties modified by materiality or Material Adverse Effect, in all respects) as of such earlier date, and (B) the making of the representation and warranty contained in </w:t>
      </w:r>
      <w:r>
        <w:rPr>
          <w:rFonts w:ascii="Arial" w:cs="Arial" w:eastAsia="Arial" w:hAnsi="Arial"/>
          <w:sz w:val="18"/>
          <w:szCs w:val="18"/>
          <w:u w:val="single" w:color="auto"/>
          <w:color w:val="auto"/>
        </w:rPr>
        <w:t>Sections 5.04(b)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5.06</w:t>
      </w:r>
      <w:r>
        <w:rPr>
          <w:rFonts w:ascii="Arial" w:cs="Arial" w:eastAsia="Arial" w:hAnsi="Arial"/>
          <w:sz w:val="18"/>
          <w:szCs w:val="18"/>
          <w:color w:val="auto"/>
        </w:rPr>
        <w:t xml:space="preserve"> shall only be required as a condition precedent to the Closing Date and the effectiveness of the Commitments on the Closing Date.</w:t>
      </w:r>
    </w:p>
    <w:p>
      <w:pPr>
        <w:spacing w:after="0" w:line="168" w:lineRule="exact"/>
        <w:rPr>
          <w:rFonts w:ascii="Arial" w:cs="Arial" w:eastAsia="Arial" w:hAnsi="Arial"/>
          <w:sz w:val="18"/>
          <w:szCs w:val="18"/>
          <w:color w:val="auto"/>
        </w:rPr>
      </w:pPr>
    </w:p>
    <w:p>
      <w:pPr>
        <w:ind w:left="2020" w:hanging="515"/>
        <w:spacing w:after="0"/>
        <w:tabs>
          <w:tab w:leader="none" w:pos="202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No Default shall exist, or would result from such proposed Credit Extension or the application of the proceeds</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thereof.</w:t>
      </w:r>
    </w:p>
    <w:p>
      <w:pPr>
        <w:spacing w:after="0" w:line="199" w:lineRule="exact"/>
        <w:rPr>
          <w:rFonts w:ascii="Arial" w:cs="Arial" w:eastAsia="Arial" w:hAnsi="Arial"/>
          <w:sz w:val="19"/>
          <w:szCs w:val="19"/>
          <w:color w:val="auto"/>
        </w:rPr>
      </w:pPr>
    </w:p>
    <w:p>
      <w:pPr>
        <w:ind w:firstLine="1505"/>
        <w:spacing w:after="0" w:line="260" w:lineRule="auto"/>
        <w:tabs>
          <w:tab w:leader="none" w:pos="1994"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Administrative Agent and, if applicable, Swing Line Lender and/or each Issuing Lender shall have received a Borrowing Request in accordance with the requirements hereof.</w:t>
      </w:r>
    </w:p>
    <w:p>
      <w:pPr>
        <w:spacing w:after="0" w:line="176" w:lineRule="exact"/>
        <w:rPr>
          <w:rFonts w:ascii="Arial" w:cs="Arial" w:eastAsia="Arial" w:hAnsi="Arial"/>
          <w:sz w:val="20"/>
          <w:szCs w:val="20"/>
          <w:color w:val="auto"/>
        </w:rPr>
      </w:pPr>
    </w:p>
    <w:p>
      <w:pPr>
        <w:jc w:val="both"/>
        <w:ind w:firstLine="1505"/>
        <w:spacing w:after="0" w:line="246" w:lineRule="auto"/>
        <w:tabs>
          <w:tab w:leader="none" w:pos="1987" w:val="left"/>
        </w:tabs>
        <w:numPr>
          <w:ilvl w:val="0"/>
          <w:numId w:val="147"/>
        </w:numPr>
        <w:rPr>
          <w:rFonts w:ascii="Arial" w:cs="Arial" w:eastAsia="Arial" w:hAnsi="Arial"/>
          <w:sz w:val="20"/>
          <w:szCs w:val="20"/>
          <w:color w:val="auto"/>
        </w:rPr>
      </w:pPr>
      <w:r>
        <w:rPr>
          <w:rFonts w:ascii="Arial" w:cs="Arial" w:eastAsia="Arial" w:hAnsi="Arial"/>
          <w:sz w:val="20"/>
          <w:szCs w:val="20"/>
          <w:color w:val="auto"/>
        </w:rPr>
        <w:t>In the case of a Borrowing to be denominated in an Alternative Currency, there shall not have occurred any change in national or international financial, political or economic conditions or currency exchange rates or exchange controls that in the reasonable opinion of the Administrative Agent or the Required Lenders would make it impracticable for such Borrowing to be denominated in the relevant Alternative Currency.</w:t>
      </w:r>
    </w:p>
    <w:p>
      <w:pPr>
        <w:spacing w:after="0" w:line="191"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 xml:space="preserve">Each Borrowing Request (other than a Committed Loan Borrowing Request requesting only a conversion of Loans to the other Type or a continuation of Term Benchmark Loans) submitted by a Borrower shall be deemed to be a representation and warranty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V</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REPRESENTATIONS AND WARRANTIES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Each of the Parent and each Borrower represents and warrants to the Administrative Agent and the Lenders that:</w:t>
      </w:r>
    </w:p>
    <w:p>
      <w:pPr>
        <w:spacing w:after="0" w:line="21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010000"/>
        </w:rPr>
        <w:t xml:space="preserve">5.01 </w:t>
      </w:r>
      <w:r>
        <w:rPr>
          <w:rFonts w:ascii="Arial" w:cs="Arial" w:eastAsia="Arial" w:hAnsi="Arial"/>
          <w:sz w:val="18"/>
          <w:szCs w:val="18"/>
          <w:color w:val="000000"/>
        </w:rPr>
        <w:t>Organization; Powers. Each of the Parent, the Loan Parties and any Significant Subsidiary of the Parent (a) is duly organized</w:t>
      </w:r>
      <w:r>
        <w:rPr>
          <w:rFonts w:ascii="Arial" w:cs="Arial" w:eastAsia="Arial" w:hAnsi="Arial"/>
          <w:sz w:val="18"/>
          <w:szCs w:val="18"/>
          <w:color w:val="010000"/>
        </w:rPr>
        <w:t xml:space="preserve"> </w:t>
      </w:r>
      <w:r>
        <w:rPr>
          <w:rFonts w:ascii="Arial" w:cs="Arial" w:eastAsia="Arial" w:hAnsi="Arial"/>
          <w:sz w:val="18"/>
          <w:szCs w:val="18"/>
          <w:color w:val="000000"/>
        </w:rPr>
        <w:t>or incorporated, validly existing and in good standing under the Laws of the jurisdiction of its organization or incorporation, as applicable,</w:t>
      </w:r>
    </w:p>
    <w:p>
      <w:pPr>
        <w:spacing w:after="0" w:line="1" w:lineRule="exact"/>
        <w:rPr>
          <w:sz w:val="20"/>
          <w:szCs w:val="20"/>
          <w:color w:val="auto"/>
        </w:rPr>
      </w:pPr>
    </w:p>
    <w:p>
      <w:pPr>
        <w:ind w:firstLine="8"/>
        <w:spacing w:after="0" w:line="269" w:lineRule="auto"/>
        <w:tabs>
          <w:tab w:leader="none" w:pos="304"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has all requisite power and authority to carry on its business as now conducted and (c) is qualified to do business in, and is in good standing in, every jurisdiction where such qualification is required, except in the case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(other than in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7" w:name="page158"/>
    <w:bookmarkEnd w:id="157"/>
    <w:p>
      <w:pPr>
        <w:jc w:val="both"/>
        <w:spacing w:after="0" w:line="260" w:lineRule="auto"/>
        <w:rPr>
          <w:sz w:val="20"/>
          <w:szCs w:val="20"/>
          <w:color w:val="auto"/>
        </w:rPr>
      </w:pPr>
      <w:r>
        <w:rPr>
          <w:rFonts w:ascii="Arial" w:cs="Arial" w:eastAsia="Arial" w:hAnsi="Arial"/>
          <w:sz w:val="20"/>
          <w:szCs w:val="20"/>
          <w:color w:val="auto"/>
        </w:rPr>
        <w:t xml:space="preserve">of the Loan Parties),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where the failure to do so, individually or in the aggregate, could not reasonably be expected to have a Material Adverse Effect.</w:t>
      </w:r>
    </w:p>
    <w:p>
      <w:pPr>
        <w:spacing w:after="0" w:line="17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010000"/>
        </w:rPr>
        <w:t xml:space="preserve">5.02 </w:t>
      </w:r>
      <w:r>
        <w:rPr>
          <w:rFonts w:ascii="Arial" w:cs="Arial" w:eastAsia="Arial" w:hAnsi="Arial"/>
          <w:sz w:val="19"/>
          <w:szCs w:val="19"/>
          <w:color w:val="000000"/>
        </w:rPr>
        <w:t>Authorization; Enforceability. The transactions contemplated hereby to be entered into by each Loan Party are within such</w:t>
      </w:r>
      <w:r>
        <w:rPr>
          <w:rFonts w:ascii="Arial" w:cs="Arial" w:eastAsia="Arial" w:hAnsi="Arial"/>
          <w:sz w:val="19"/>
          <w:szCs w:val="19"/>
          <w:color w:val="010000"/>
        </w:rPr>
        <w:t xml:space="preserve"> </w:t>
      </w:r>
      <w:r>
        <w:rPr>
          <w:rFonts w:ascii="Arial" w:cs="Arial" w:eastAsia="Arial" w:hAnsi="Arial"/>
          <w:sz w:val="19"/>
          <w:szCs w:val="19"/>
          <w:color w:val="000000"/>
        </w:rPr>
        <w:t>Loan Party’s corporate powers and have been duly authorized by all necessary corporate and, if required, stockholder action. This Agreement has been duly executed and delivered by the Parent and the Borrowers and constitutes, and each other Loan Document to which any Loan Party is to be a party, when executed and delivered by such Loan Party, will constitute, a legal, valid and binding obligation of the Parent, the Company or such other Loan Party (as the case may be),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color w:val="010000"/>
        </w:rPr>
        <w:t xml:space="preserve">5.03 </w:t>
      </w:r>
      <w:r>
        <w:rPr>
          <w:rFonts w:ascii="Arial" w:cs="Arial" w:eastAsia="Arial" w:hAnsi="Arial"/>
          <w:sz w:val="19"/>
          <w:szCs w:val="19"/>
          <w:color w:val="000000"/>
        </w:rPr>
        <w:t>Governmental Approvals; No Conflicts. The transactions contemplated hereby (a) do not require any consent or approval of,</w:t>
      </w:r>
      <w:r>
        <w:rPr>
          <w:rFonts w:ascii="Arial" w:cs="Arial" w:eastAsia="Arial" w:hAnsi="Arial"/>
          <w:sz w:val="19"/>
          <w:szCs w:val="19"/>
          <w:color w:val="010000"/>
        </w:rPr>
        <w:t xml:space="preserve"> </w:t>
      </w:r>
      <w:r>
        <w:rPr>
          <w:rFonts w:ascii="Arial" w:cs="Arial" w:eastAsia="Arial" w:hAnsi="Arial"/>
          <w:sz w:val="19"/>
          <w:szCs w:val="19"/>
          <w:color w:val="000000"/>
        </w:rPr>
        <w:t>registration or filing with, or any other action by, any Governmental Authority, except such as have been obtained or made and are in full force and effect, (b) will not violate (i) in any material respect any applicable Law, (ii) the charter, by-laws or other Organization Documents of the Parent or any Subsidiary or (iii) any order of any Governmental Authority, (c) will not violate or result in a default under any indenture, agreement or other instrument binding upon the Parent or any Subsidiary or its assets, or give rise to a right thereunder to require any payment to be made by the Parent or any Subsidiary and (d) will not result in the creation or imposition of any Lien on any asset of the Parent or any Subsidiary pursuant to the terms of such material indenture, agreement or other material instrument, except (in the case of causes (b)(iii) and (c)) to the extent that such violation or default, as the case may be, individually or in the aggregate, could not reasonably be expected to have a Material Adverse Effect.</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5.04 </w:t>
      </w:r>
      <w:r>
        <w:rPr>
          <w:rFonts w:ascii="Arial" w:cs="Arial" w:eastAsia="Arial" w:hAnsi="Arial"/>
          <w:sz w:val="20"/>
          <w:szCs w:val="20"/>
          <w:color w:val="000000"/>
        </w:rPr>
        <w:t>Financial Condition; No Material Adverse Change.</w:t>
      </w:r>
    </w:p>
    <w:p>
      <w:pPr>
        <w:spacing w:after="0" w:line="216" w:lineRule="exact"/>
        <w:rPr>
          <w:sz w:val="20"/>
          <w:szCs w:val="20"/>
          <w:color w:val="auto"/>
        </w:rPr>
      </w:pPr>
    </w:p>
    <w:p>
      <w:pPr>
        <w:jc w:val="both"/>
        <w:ind w:firstLine="1505"/>
        <w:spacing w:after="0" w:line="244" w:lineRule="auto"/>
        <w:tabs>
          <w:tab w:leader="none" w:pos="200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The Parent has heretofore furnished to the Administrative Agent its consolidated balance sheet and statements of income, stockholders equity and cash flows as of and for the fiscal year ended December 31, 2020, reported on by Deloitte LLP, independent public accountants. Such financial statements present fairly, in all material respects, the financial position and results of operations and cash flows of the Parent and its consolidated Subsidiaries as of such dates and for such periods in accordance with GAAP, subject to year-end audit adjustments and the absence of footnotes.</w:t>
      </w:r>
    </w:p>
    <w:p>
      <w:pPr>
        <w:spacing w:after="0" w:line="194" w:lineRule="exact"/>
        <w:rPr>
          <w:rFonts w:ascii="Arial" w:cs="Arial" w:eastAsia="Arial" w:hAnsi="Arial"/>
          <w:sz w:val="20"/>
          <w:szCs w:val="20"/>
          <w:color w:val="auto"/>
        </w:rPr>
      </w:pPr>
    </w:p>
    <w:p>
      <w:pPr>
        <w:ind w:firstLine="1505"/>
        <w:spacing w:after="0" w:line="260" w:lineRule="auto"/>
        <w:tabs>
          <w:tab w:leader="none" w:pos="1983" w:val="left"/>
        </w:tabs>
        <w:numPr>
          <w:ilvl w:val="0"/>
          <w:numId w:val="149"/>
        </w:numPr>
        <w:rPr>
          <w:rFonts w:ascii="Arial" w:cs="Arial" w:eastAsia="Arial" w:hAnsi="Arial"/>
          <w:sz w:val="20"/>
          <w:szCs w:val="20"/>
          <w:color w:val="auto"/>
        </w:rPr>
      </w:pPr>
      <w:r>
        <w:rPr>
          <w:rFonts w:ascii="Arial" w:cs="Arial" w:eastAsia="Arial" w:hAnsi="Arial"/>
          <w:sz w:val="20"/>
          <w:szCs w:val="20"/>
          <w:color w:val="auto"/>
        </w:rPr>
        <w:t>Since December 31, 2020, there has not occurred any event or change that, individually or in the aggregate, has had or could reasonably be expected to have a Material Adverse Effect.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5.05 </w:t>
      </w:r>
      <w:r>
        <w:rPr>
          <w:rFonts w:ascii="Arial" w:cs="Arial" w:eastAsia="Arial" w:hAnsi="Arial"/>
          <w:sz w:val="20"/>
          <w:szCs w:val="20"/>
          <w:color w:val="000000"/>
        </w:rPr>
        <w:t>Properties.</w:t>
      </w:r>
    </w:p>
    <w:p>
      <w:pPr>
        <w:spacing w:after="0" w:line="216" w:lineRule="exact"/>
        <w:rPr>
          <w:sz w:val="20"/>
          <w:szCs w:val="20"/>
          <w:color w:val="auto"/>
        </w:rPr>
      </w:pPr>
    </w:p>
    <w:p>
      <w:pPr>
        <w:jc w:val="both"/>
        <w:ind w:firstLine="1505"/>
        <w:spacing w:after="0" w:line="263" w:lineRule="auto"/>
        <w:tabs>
          <w:tab w:leader="none" w:pos="200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Each of the Parent and its Subsidiaries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 and except where the failure to have such good title or valid leasehold interests, individually or in the aggregate, would not reasonably be expected to result in a Material Adverse Effect.</w:t>
      </w:r>
    </w:p>
    <w:p>
      <w:pPr>
        <w:spacing w:after="0" w:line="176" w:lineRule="exact"/>
        <w:rPr>
          <w:rFonts w:ascii="Arial" w:cs="Arial" w:eastAsia="Arial" w:hAnsi="Arial"/>
          <w:sz w:val="19"/>
          <w:szCs w:val="19"/>
          <w:color w:val="auto"/>
        </w:rPr>
      </w:pPr>
    </w:p>
    <w:p>
      <w:pPr>
        <w:jc w:val="both"/>
        <w:ind w:firstLine="1505"/>
        <w:spacing w:after="0" w:line="246" w:lineRule="auto"/>
        <w:tabs>
          <w:tab w:leader="none" w:pos="1993" w:val="left"/>
        </w:tabs>
        <w:numPr>
          <w:ilvl w:val="0"/>
          <w:numId w:val="150"/>
        </w:numPr>
        <w:rPr>
          <w:rFonts w:ascii="Arial" w:cs="Arial" w:eastAsia="Arial" w:hAnsi="Arial"/>
          <w:sz w:val="20"/>
          <w:szCs w:val="20"/>
          <w:color w:val="auto"/>
        </w:rPr>
      </w:pPr>
      <w:r>
        <w:rPr>
          <w:rFonts w:ascii="Arial" w:cs="Arial" w:eastAsia="Arial" w:hAnsi="Arial"/>
          <w:sz w:val="20"/>
          <w:szCs w:val="20"/>
          <w:color w:val="auto"/>
        </w:rPr>
        <w:t>Each of the Parent and its Subsidiaries owns, or is licensed to use, all trademarks, tradenames, copyrights, patents and other intellectual property material to its business, and the use thereof by the Parent and its Subsidiaries does not infringe upon the rights of any other Person, except for any such infringements that, individually or in the aggregate, would not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8" w:name="page159"/>
    <w:bookmarkEnd w:id="158"/>
    <w:p>
      <w:pPr>
        <w:jc w:val="both"/>
        <w:ind w:firstLine="749"/>
        <w:spacing w:after="0" w:line="246" w:lineRule="auto"/>
        <w:rPr>
          <w:sz w:val="20"/>
          <w:szCs w:val="20"/>
          <w:color w:val="auto"/>
        </w:rPr>
      </w:pPr>
      <w:r>
        <w:rPr>
          <w:rFonts w:ascii="Arial" w:cs="Arial" w:eastAsia="Arial" w:hAnsi="Arial"/>
          <w:sz w:val="20"/>
          <w:szCs w:val="20"/>
          <w:color w:val="010000"/>
        </w:rPr>
        <w:t xml:space="preserve">5.06 </w:t>
      </w:r>
      <w:r>
        <w:rPr>
          <w:rFonts w:ascii="Arial" w:cs="Arial" w:eastAsia="Arial" w:hAnsi="Arial"/>
          <w:sz w:val="20"/>
          <w:szCs w:val="20"/>
          <w:color w:val="000000"/>
        </w:rPr>
        <w:t>Litigation. There are no actions, suits or proceedings (including investigative proceedings) by or before any arbitrator or</w:t>
      </w:r>
      <w:r>
        <w:rPr>
          <w:rFonts w:ascii="Arial" w:cs="Arial" w:eastAsia="Arial" w:hAnsi="Arial"/>
          <w:sz w:val="20"/>
          <w:szCs w:val="20"/>
          <w:color w:val="010000"/>
        </w:rPr>
        <w:t xml:space="preserve"> </w:t>
      </w:r>
      <w:r>
        <w:rPr>
          <w:rFonts w:ascii="Arial" w:cs="Arial" w:eastAsia="Arial" w:hAnsi="Arial"/>
          <w:sz w:val="20"/>
          <w:szCs w:val="20"/>
          <w:color w:val="000000"/>
        </w:rPr>
        <w:t>Governmental Authority pending against or, to the knowledge of the Parent or the Company, threatened against or affecting the Parent or any Subsidiary, that would reasonably be expected, individually or in the aggregate, to result in a Material Adverse Effect (other than the Disclosed Matters).</w:t>
      </w:r>
    </w:p>
    <w:p>
      <w:pPr>
        <w:spacing w:after="0" w:line="19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010000"/>
        </w:rPr>
        <w:t xml:space="preserve">5.07 </w:t>
      </w:r>
      <w:r>
        <w:rPr>
          <w:rFonts w:ascii="Arial" w:cs="Arial" w:eastAsia="Arial" w:hAnsi="Arial"/>
          <w:sz w:val="20"/>
          <w:szCs w:val="20"/>
          <w:color w:val="000000"/>
        </w:rPr>
        <w:t>Compliance with Laws; Absence of Default. Each of the Parent and its Subsidiaries is in compliance with all Laws applicable</w:t>
      </w:r>
      <w:r>
        <w:rPr>
          <w:rFonts w:ascii="Arial" w:cs="Arial" w:eastAsia="Arial" w:hAnsi="Arial"/>
          <w:sz w:val="20"/>
          <w:szCs w:val="20"/>
          <w:color w:val="010000"/>
        </w:rPr>
        <w:t xml:space="preserve"> </w:t>
      </w:r>
      <w:r>
        <w:rPr>
          <w:rFonts w:ascii="Arial" w:cs="Arial" w:eastAsia="Arial" w:hAnsi="Arial"/>
          <w:sz w:val="20"/>
          <w:szCs w:val="20"/>
          <w:color w:val="000000"/>
        </w:rPr>
        <w:t>to it or its property, except where the failure to do so, individually or in the aggregate, would not reasonably be expected to result in a Material Adverse Effect.</w:t>
      </w:r>
    </w:p>
    <w:p>
      <w:pPr>
        <w:spacing w:after="0" w:line="18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010000"/>
        </w:rPr>
        <w:t xml:space="preserve">5.08 </w:t>
      </w:r>
      <w:r>
        <w:rPr>
          <w:rFonts w:ascii="Arial" w:cs="Arial" w:eastAsia="Arial" w:hAnsi="Arial"/>
          <w:sz w:val="20"/>
          <w:szCs w:val="20"/>
          <w:color w:val="000000"/>
        </w:rPr>
        <w:t>Investment Company Status. Neither the Parent nor any other Loan Party is an “investment company” as defined in, or</w:t>
      </w:r>
      <w:r>
        <w:rPr>
          <w:rFonts w:ascii="Arial" w:cs="Arial" w:eastAsia="Arial" w:hAnsi="Arial"/>
          <w:sz w:val="20"/>
          <w:szCs w:val="20"/>
          <w:color w:val="010000"/>
        </w:rPr>
        <w:t xml:space="preserve"> </w:t>
      </w:r>
      <w:r>
        <w:rPr>
          <w:rFonts w:ascii="Arial" w:cs="Arial" w:eastAsia="Arial" w:hAnsi="Arial"/>
          <w:sz w:val="20"/>
          <w:szCs w:val="20"/>
          <w:color w:val="000000"/>
        </w:rPr>
        <w:t>subject to regulation under, the Investment Company Act of 1940.</w:t>
      </w:r>
    </w:p>
    <w:p>
      <w:pPr>
        <w:spacing w:after="0" w:line="177"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010000"/>
        </w:rPr>
        <w:t xml:space="preserve">5.09 </w:t>
      </w:r>
      <w:r>
        <w:rPr>
          <w:rFonts w:ascii="Arial" w:cs="Arial" w:eastAsia="Arial" w:hAnsi="Arial"/>
          <w:sz w:val="18"/>
          <w:szCs w:val="18"/>
          <w:color w:val="000000"/>
        </w:rPr>
        <w:t>Taxes. Each of the Parent and its Subsidiaries has timely filed or caused to be filed all Tax returns and reports required to have</w:t>
      </w:r>
      <w:r>
        <w:rPr>
          <w:rFonts w:ascii="Arial" w:cs="Arial" w:eastAsia="Arial" w:hAnsi="Arial"/>
          <w:sz w:val="18"/>
          <w:szCs w:val="18"/>
          <w:color w:val="010000"/>
        </w:rPr>
        <w:t xml:space="preserve"> </w:t>
      </w:r>
      <w:r>
        <w:rPr>
          <w:rFonts w:ascii="Arial" w:cs="Arial" w:eastAsia="Arial" w:hAnsi="Arial"/>
          <w:sz w:val="18"/>
          <w:szCs w:val="18"/>
          <w:color w:val="000000"/>
        </w:rPr>
        <w:t>been filed and has paid or caused to be paid all Taxes required to have been paid by it, except (a) Taxes that are being contested in good faith by appropriate proceedings and for which the Parent or such Subsidiary, as applicable, has set aside on its books adequate reserves or (b) to the extent that the failure to do so would not reasonably be expected to result in a Material Adverse Effect.</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5.10 </w:t>
      </w:r>
      <w:r>
        <w:rPr>
          <w:rFonts w:ascii="Arial" w:cs="Arial" w:eastAsia="Arial" w:hAnsi="Arial"/>
          <w:sz w:val="20"/>
          <w:szCs w:val="20"/>
          <w:color w:val="000000"/>
        </w:rPr>
        <w:t>ERISA.</w:t>
      </w:r>
    </w:p>
    <w:p>
      <w:pPr>
        <w:spacing w:after="0" w:line="216" w:lineRule="exact"/>
        <w:rPr>
          <w:sz w:val="20"/>
          <w:szCs w:val="20"/>
          <w:color w:val="auto"/>
        </w:rPr>
      </w:pPr>
    </w:p>
    <w:p>
      <w:pPr>
        <w:jc w:val="both"/>
        <w:ind w:firstLine="1505"/>
        <w:spacing w:after="0" w:line="272" w:lineRule="auto"/>
        <w:tabs>
          <w:tab w:leader="none" w:pos="200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ERISA Event has occurred or is reasonably expected to occur that, when taken together with all other such ERISA Events for which liability is reasonably expected to occur, would reasonably be expected to result in a Material Adverse Effect. The present value of all accumulated benefit obligations under each Pension Plan (excluding the UK Pension Plan) (based on the assumptions used for purposes of Accounting Standards Codification No. 715: Compensation-Retirement Benefits) did not, as of the date of the most recent financial statements reflecting such amounts, exceed the fair market value of the assets of such Pension Plan, and the present value of all accumulated benefit obligations of all underfunded Pension Plans (excluding the UK Pensions Plan) (based on the assumptions used for purposes of Accounting Standards Codification No. 715: Compensation-Retirement Benefits) did not, as of the date of the most recent financial statements reflecting such amounts, exceed the fair market value of the assets of all such underfunded Pension Plans, in each case, by an amount that has had, or would reasonably be expected to have, a Material Adverse Effect.</w:t>
      </w:r>
    </w:p>
    <w:p>
      <w:pPr>
        <w:spacing w:after="0" w:line="170" w:lineRule="exact"/>
        <w:rPr>
          <w:rFonts w:ascii="Arial" w:cs="Arial" w:eastAsia="Arial" w:hAnsi="Arial"/>
          <w:sz w:val="18"/>
          <w:szCs w:val="18"/>
          <w:color w:val="auto"/>
        </w:rPr>
      </w:pPr>
    </w:p>
    <w:p>
      <w:pPr>
        <w:ind w:firstLine="1505"/>
        <w:spacing w:after="0" w:line="260" w:lineRule="auto"/>
        <w:tabs>
          <w:tab w:leader="none" w:pos="1994"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UK Pension Plan is funded in compliance with the statutory funding objective under sections 221 and 222 of the Pensions Act 2004 (UK) to the extent that failure to do so is reasonably likely to have a Material Adverse Effect.</w:t>
      </w:r>
    </w:p>
    <w:p>
      <w:pPr>
        <w:spacing w:after="0" w:line="176" w:lineRule="exact"/>
        <w:rPr>
          <w:rFonts w:ascii="Arial" w:cs="Arial" w:eastAsia="Arial" w:hAnsi="Arial"/>
          <w:sz w:val="20"/>
          <w:szCs w:val="20"/>
          <w:color w:val="auto"/>
        </w:rPr>
      </w:pPr>
    </w:p>
    <w:p>
      <w:pPr>
        <w:jc w:val="both"/>
        <w:ind w:firstLine="1505"/>
        <w:spacing w:after="0" w:line="260" w:lineRule="auto"/>
        <w:tabs>
          <w:tab w:leader="none" w:pos="198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Except for the UK Pension Plan, as of the Closing Date neither Parent nor any of its Subsidiaries is an employer (for the purposes of sections 38 to 51 of the Pensions Act 2004) of a UK occupational pension scheme which is not a money purchase scheme (both such terms as defined in the Pension Schemes Act 1993) or is “connected” with or an “associate” of (as those terms are used in sections 38 and 43 of the Pensions Act 2004) such an employer, save where being an employer or being connected with or an associate of such an employer would not reasonably be expected to have a Material Adverse Effect.</w:t>
      </w:r>
    </w:p>
    <w:p>
      <w:pPr>
        <w:spacing w:after="0" w:line="180" w:lineRule="exact"/>
        <w:rPr>
          <w:rFonts w:ascii="Arial" w:cs="Arial" w:eastAsia="Arial" w:hAnsi="Arial"/>
          <w:sz w:val="19"/>
          <w:szCs w:val="19"/>
          <w:color w:val="auto"/>
        </w:rPr>
      </w:pPr>
    </w:p>
    <w:p>
      <w:pPr>
        <w:jc w:val="both"/>
        <w:ind w:firstLine="1505"/>
        <w:spacing w:after="0" w:line="250" w:lineRule="auto"/>
        <w:tabs>
          <w:tab w:leader="none" w:pos="1979" w:val="left"/>
        </w:tabs>
        <w:numPr>
          <w:ilvl w:val="0"/>
          <w:numId w:val="151"/>
        </w:numPr>
        <w:rPr>
          <w:rFonts w:ascii="Arial" w:cs="Arial" w:eastAsia="Arial" w:hAnsi="Arial"/>
          <w:sz w:val="20"/>
          <w:szCs w:val="20"/>
          <w:color w:val="auto"/>
        </w:rPr>
      </w:pPr>
      <w:r>
        <w:rPr>
          <w:rFonts w:ascii="Arial" w:cs="Arial" w:eastAsia="Arial" w:hAnsi="Arial"/>
          <w:sz w:val="20"/>
          <w:szCs w:val="20"/>
          <w:color w:val="auto"/>
        </w:rPr>
        <w:t>Neither the Parent nor any Subsidiary has been issued with a contribution notice or financial support direction by the UK Pensions Regulator or received any written communication from the UK Pensions Regulator that on its face is preparatory to the issue of a contribution notice or financial support direction.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59" w:name="page160"/>
    <w:bookmarkEnd w:id="159"/>
    <w:p>
      <w:pPr>
        <w:jc w:val="both"/>
        <w:ind w:firstLine="749"/>
        <w:spacing w:after="0" w:line="272" w:lineRule="auto"/>
        <w:rPr>
          <w:sz w:val="20"/>
          <w:szCs w:val="20"/>
          <w:color w:val="auto"/>
        </w:rPr>
      </w:pPr>
      <w:r>
        <w:rPr>
          <w:rFonts w:ascii="Arial" w:cs="Arial" w:eastAsia="Arial" w:hAnsi="Arial"/>
          <w:sz w:val="18"/>
          <w:szCs w:val="18"/>
          <w:color w:val="010000"/>
        </w:rPr>
        <w:t xml:space="preserve">5.11 </w:t>
      </w:r>
      <w:r>
        <w:rPr>
          <w:rFonts w:ascii="Arial" w:cs="Arial" w:eastAsia="Arial" w:hAnsi="Arial"/>
          <w:sz w:val="18"/>
          <w:szCs w:val="18"/>
          <w:color w:val="000000"/>
        </w:rPr>
        <w:t>Disclosure. Neither the Marketing Information nor any of the other reports, financial statements, certificates or other written</w:t>
      </w:r>
      <w:r>
        <w:rPr>
          <w:rFonts w:ascii="Arial" w:cs="Arial" w:eastAsia="Arial" w:hAnsi="Arial"/>
          <w:sz w:val="18"/>
          <w:szCs w:val="18"/>
          <w:color w:val="010000"/>
        </w:rPr>
        <w:t xml:space="preserve"> </w:t>
      </w:r>
      <w:r>
        <w:rPr>
          <w:rFonts w:ascii="Arial" w:cs="Arial" w:eastAsia="Arial" w:hAnsi="Arial"/>
          <w:sz w:val="18"/>
          <w:szCs w:val="18"/>
          <w:color w:val="000000"/>
        </w:rPr>
        <w:t xml:space="preserve">information furnished by or on behalf of the Parent or the Company to the Administrative Agent or any Lender in connection with the negotiation of this Agreement or delivered on or prior to the Closing Date hereunder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with respect to projected financial information, the Parent and the Company represent only that such information was prepared in good faith based upon assumptions believed to be reasonable at the time, it being understood that such projections and other forward-looking information are not to be viewed as facts and are subject to significant uncertainties and contingencies, many of which are beyond the control of the Company, and that actual results may vary form projected results and such variances may be material.</w:t>
      </w:r>
    </w:p>
    <w:p>
      <w:pPr>
        <w:spacing w:after="0" w:line="17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010000"/>
        </w:rPr>
        <w:t xml:space="preserve">5.12 </w:t>
      </w:r>
      <w:r>
        <w:rPr>
          <w:rFonts w:ascii="Arial" w:cs="Arial" w:eastAsia="Arial" w:hAnsi="Arial"/>
          <w:sz w:val="20"/>
          <w:szCs w:val="20"/>
          <w:color w:val="000000"/>
        </w:rPr>
        <w:t>Subsidiaries.</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Schedule 5.12</w:t>
      </w:r>
      <w:r>
        <w:rPr>
          <w:rFonts w:ascii="Arial" w:cs="Arial" w:eastAsia="Arial" w:hAnsi="Arial"/>
          <w:sz w:val="20"/>
          <w:szCs w:val="20"/>
          <w:color w:val="010000"/>
        </w:rPr>
        <w:t xml:space="preserve"> </w:t>
      </w:r>
      <w:r>
        <w:rPr>
          <w:rFonts w:ascii="Arial" w:cs="Arial" w:eastAsia="Arial" w:hAnsi="Arial"/>
          <w:sz w:val="20"/>
          <w:szCs w:val="20"/>
          <w:color w:val="000000"/>
        </w:rPr>
        <w:t>sets forth the name and jurisdiction of organization of each Subsidiary, and identifies each</w:t>
      </w:r>
      <w:r>
        <w:rPr>
          <w:rFonts w:ascii="Arial" w:cs="Arial" w:eastAsia="Arial" w:hAnsi="Arial"/>
          <w:sz w:val="20"/>
          <w:szCs w:val="20"/>
          <w:color w:val="010000"/>
        </w:rPr>
        <w:t xml:space="preserve"> </w:t>
      </w:r>
      <w:r>
        <w:rPr>
          <w:rFonts w:ascii="Arial" w:cs="Arial" w:eastAsia="Arial" w:hAnsi="Arial"/>
          <w:sz w:val="20"/>
          <w:szCs w:val="20"/>
          <w:color w:val="000000"/>
        </w:rPr>
        <w:t>Subsidiary that is a Guarantor, in each case as of June 30, 2021.</w:t>
      </w:r>
    </w:p>
    <w:p>
      <w:pPr>
        <w:spacing w:after="0" w:line="177"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010000"/>
        </w:rPr>
        <w:t xml:space="preserve">5.13 </w:t>
      </w:r>
      <w:r>
        <w:rPr>
          <w:rFonts w:ascii="Arial" w:cs="Arial" w:eastAsia="Arial" w:hAnsi="Arial"/>
          <w:sz w:val="18"/>
          <w:szCs w:val="18"/>
          <w:color w:val="000000"/>
        </w:rPr>
        <w:t>Beneficial Ownership Certification. The information included in the Beneficial Ownership Certification, if applicable, is true</w:t>
      </w:r>
      <w:r>
        <w:rPr>
          <w:rFonts w:ascii="Arial" w:cs="Arial" w:eastAsia="Arial" w:hAnsi="Arial"/>
          <w:sz w:val="18"/>
          <w:szCs w:val="18"/>
          <w:color w:val="010000"/>
        </w:rPr>
        <w:t xml:space="preserve"> </w:t>
      </w:r>
      <w:r>
        <w:rPr>
          <w:rFonts w:ascii="Arial" w:cs="Arial" w:eastAsia="Arial" w:hAnsi="Arial"/>
          <w:sz w:val="18"/>
          <w:szCs w:val="18"/>
          <w:color w:val="000000"/>
        </w:rPr>
        <w:t>and correct in all respects, as of the Closing Date and each other date on which such Beneficial Ownership Certification is delivered.</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5.14 </w:t>
      </w:r>
      <w:r>
        <w:rPr>
          <w:rFonts w:ascii="Arial" w:cs="Arial" w:eastAsia="Arial" w:hAnsi="Arial"/>
          <w:sz w:val="20"/>
          <w:szCs w:val="20"/>
          <w:color w:val="000000"/>
        </w:rPr>
        <w:t>PATRIOT Act, OFAC and FCPA; UK Bribery Act.</w:t>
      </w:r>
    </w:p>
    <w:p>
      <w:pPr>
        <w:spacing w:after="0" w:line="216" w:lineRule="exact"/>
        <w:rPr>
          <w:sz w:val="20"/>
          <w:szCs w:val="20"/>
          <w:color w:val="auto"/>
        </w:rPr>
      </w:pPr>
    </w:p>
    <w:p>
      <w:pPr>
        <w:jc w:val="both"/>
        <w:ind w:firstLine="1505"/>
        <w:spacing w:after="0" w:line="273" w:lineRule="auto"/>
        <w:tabs>
          <w:tab w:leader="none" w:pos="198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None of the Parent or any of its Subsidiaries or, to the knowledge of the Parent, any director or officer of any of the foregoing is a Sanctioned Person or otherwise the target of Sanctions; (ii) none of the Parent or any of its Subsidiaries will use the proceeds of the Loans or otherwise make available such proceeds for the purpose of funding or financing any activities, business or transaction of or with any Sanctioned Person, or in any Sanctioned Country; (iii) each of the Parent and its Subsidiaries is in compliance with any Sanctions applicable to it in all material respects and is not knowingly engaged in any activity that would reasonably be expected to result in the Parent or any such Subsidiary being designated as a Sanctioned Person and (iv) the Parent and each of its Subsidiaries has implemented and maintains in effect and enforces policies and procedures reasonably designed to ensure compliance by the Parent, its Subsidiaries and their respective directors, officers, and employees with Sanctions applicable to such Persons.</w:t>
      </w:r>
    </w:p>
    <w:p>
      <w:pPr>
        <w:spacing w:after="0" w:line="168" w:lineRule="exact"/>
        <w:rPr>
          <w:rFonts w:ascii="Arial" w:cs="Arial" w:eastAsia="Arial" w:hAnsi="Arial"/>
          <w:sz w:val="18"/>
          <w:szCs w:val="18"/>
          <w:color w:val="auto"/>
        </w:rPr>
      </w:pPr>
    </w:p>
    <w:p>
      <w:pPr>
        <w:ind w:left="1980" w:hanging="475"/>
        <w:spacing w:after="0"/>
        <w:tabs>
          <w:tab w:leader="none" w:pos="1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the extent applicable, each Loan Party is in compliance, in all material respects, with the USA PATRIOT Act.</w:t>
      </w:r>
    </w:p>
    <w:p>
      <w:pPr>
        <w:spacing w:after="0" w:line="238" w:lineRule="exact"/>
        <w:rPr>
          <w:rFonts w:ascii="Arial" w:cs="Arial" w:eastAsia="Arial" w:hAnsi="Arial"/>
          <w:sz w:val="18"/>
          <w:szCs w:val="18"/>
          <w:color w:val="auto"/>
        </w:rPr>
      </w:pPr>
    </w:p>
    <w:p>
      <w:pPr>
        <w:jc w:val="both"/>
        <w:ind w:firstLine="1505"/>
        <w:spacing w:after="0" w:line="276" w:lineRule="auto"/>
        <w:tabs>
          <w:tab w:leader="none" w:pos="199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No part of the proceeds of any Loan, will be used, directly or, to the knowledge of the Parent or any Borrower, indirectly either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U.S. Foreign Corrupt Practices Act of 1977 (the “</w:t>
      </w:r>
      <w:r>
        <w:rPr>
          <w:rFonts w:ascii="Arial" w:cs="Arial" w:eastAsia="Arial" w:hAnsi="Arial"/>
          <w:sz w:val="18"/>
          <w:szCs w:val="18"/>
          <w:u w:val="single" w:color="auto"/>
          <w:color w:val="auto"/>
        </w:rPr>
        <w:t>FCPA</w:t>
      </w:r>
      <w:r>
        <w:rPr>
          <w:rFonts w:ascii="Arial" w:cs="Arial" w:eastAsia="Arial" w:hAnsi="Arial"/>
          <w:sz w:val="18"/>
          <w:szCs w:val="18"/>
          <w:color w:val="auto"/>
        </w:rPr>
        <w:t>”) or for payments which would, if any relevant act or omission took place in the United Kingdom, constitute an offense under the U.K. Bribery Act 2010 (the “</w:t>
      </w:r>
      <w:r>
        <w:rPr>
          <w:rFonts w:ascii="Arial" w:cs="Arial" w:eastAsia="Arial" w:hAnsi="Arial"/>
          <w:sz w:val="18"/>
          <w:szCs w:val="18"/>
          <w:u w:val="single" w:color="auto"/>
          <w:color w:val="auto"/>
        </w:rPr>
        <w:t>UK Bribery Act</w:t>
      </w:r>
      <w:r>
        <w:rPr>
          <w:rFonts w:ascii="Arial" w:cs="Arial" w:eastAsia="Arial" w:hAnsi="Arial"/>
          <w:sz w:val="18"/>
          <w:szCs w:val="18"/>
          <w:color w:val="auto"/>
        </w:rPr>
        <w:t>”) and (ii) neither the Parent nor any of its Subsidiaries is otherwise in violation of the FCPA or the UK Bribery Act in any material respect.</w:t>
      </w:r>
    </w:p>
    <w:p>
      <w:pPr>
        <w:spacing w:after="0" w:line="164" w:lineRule="exact"/>
        <w:rPr>
          <w:rFonts w:ascii="Arial" w:cs="Arial" w:eastAsia="Arial" w:hAnsi="Arial"/>
          <w:sz w:val="18"/>
          <w:szCs w:val="18"/>
          <w:color w:val="auto"/>
        </w:rPr>
      </w:pPr>
    </w:p>
    <w:p>
      <w:pPr>
        <w:ind w:left="1980" w:hanging="475"/>
        <w:spacing w:after="0"/>
        <w:tabs>
          <w:tab w:leader="none" w:pos="198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The proceeds of the Loans will be used in compliance with </w:t>
      </w:r>
      <w:r>
        <w:rPr>
          <w:rFonts w:ascii="Arial" w:cs="Arial" w:eastAsia="Arial" w:hAnsi="Arial"/>
          <w:sz w:val="20"/>
          <w:szCs w:val="20"/>
          <w:u w:val="single" w:color="auto"/>
          <w:color w:val="auto"/>
        </w:rPr>
        <w:t>Section 6.08</w:t>
      </w:r>
      <w:r>
        <w:rPr>
          <w:rFonts w:ascii="Arial" w:cs="Arial" w:eastAsia="Arial" w:hAnsi="Arial"/>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010000"/>
        </w:rPr>
        <w:t xml:space="preserve">5.15 </w:t>
      </w:r>
      <w:r>
        <w:rPr>
          <w:rFonts w:ascii="Arial" w:cs="Arial" w:eastAsia="Arial" w:hAnsi="Arial"/>
          <w:sz w:val="20"/>
          <w:szCs w:val="20"/>
          <w:color w:val="000000"/>
        </w:rPr>
        <w:t>Deduction of Tax. The Company is not required to make any Tax Deduction from any payment to a Lender which is (a) a UK</w:t>
      </w:r>
      <w:r>
        <w:rPr>
          <w:rFonts w:ascii="Arial" w:cs="Arial" w:eastAsia="Arial" w:hAnsi="Arial"/>
          <w:sz w:val="20"/>
          <w:szCs w:val="20"/>
          <w:color w:val="010000"/>
        </w:rPr>
        <w:t xml:space="preserve"> </w:t>
      </w:r>
      <w:r>
        <w:rPr>
          <w:rFonts w:ascii="Arial" w:cs="Arial" w:eastAsia="Arial" w:hAnsi="Arial"/>
          <w:sz w:val="20"/>
          <w:szCs w:val="20"/>
          <w:color w:val="000000"/>
        </w:rPr>
        <w:t>Qualifying Lender (i) falling within clause (a)(i) of the definition of UK Qualifying Lender, (ii) except where a Direction has been given under section 931 of the ITA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0" w:name="page161"/>
    <w:bookmarkEnd w:id="160"/>
    <w:p>
      <w:pPr>
        <w:jc w:val="both"/>
        <w:spacing w:after="0" w:line="246" w:lineRule="auto"/>
        <w:rPr>
          <w:sz w:val="20"/>
          <w:szCs w:val="20"/>
          <w:color w:val="auto"/>
        </w:rPr>
      </w:pPr>
      <w:r>
        <w:rPr>
          <w:rFonts w:ascii="Arial" w:cs="Arial" w:eastAsia="Arial" w:hAnsi="Arial"/>
          <w:sz w:val="20"/>
          <w:szCs w:val="20"/>
          <w:color w:val="auto"/>
        </w:rPr>
        <w:t>relation to the payment concerned, falling within clause (a)(ii) of the definition of UK Qualifying Lender, or (iii) falling within clause (b) of the definition of UK Qualifying Lender, or (b) a UK Treaty Lender and the payment is one specified in a direction given by the Commissioners of Revenue &amp; Customs under Regulation 2 of the United Kingdom Double Taxation Relief (Taxes on Income) (General) Regulations 1970 (SI 1970/488)</w:t>
      </w:r>
      <w:r>
        <w:rPr>
          <w:rFonts w:ascii="Arial" w:cs="Arial" w:eastAsia="Arial" w:hAnsi="Arial"/>
          <w:sz w:val="20"/>
          <w:szCs w:val="20"/>
          <w:b w:val="1"/>
          <w:bCs w:val="1"/>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VI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AFFIRMATIVE COVENANTS</w:t>
      </w:r>
    </w:p>
    <w:p>
      <w:pPr>
        <w:spacing w:after="0" w:line="200"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So long as any Lender shall have any Commitment hereunder or any Loan or other Obligation hereunder shall remain unpaid or unsatisfied (other than contingent Obligations to the extent no claim giving rise thereto has been asserted), or any Letter of Credit shall remain outstanding (unless such Letter of Credit shall be Cash Collateralized or backstopped by a letter of credit or otherwise in a manner reasonably satisfactory to the Applicable Issuing Party), the Parent and the Borrowers covenant and agree with the Lenders that:</w:t>
      </w:r>
    </w:p>
    <w:p>
      <w:pPr>
        <w:spacing w:after="0" w:line="16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010000"/>
        </w:rPr>
        <w:t xml:space="preserve">6.01 </w:t>
      </w:r>
      <w:r>
        <w:rPr>
          <w:rFonts w:ascii="Arial" w:cs="Arial" w:eastAsia="Arial" w:hAnsi="Arial"/>
          <w:sz w:val="20"/>
          <w:szCs w:val="20"/>
          <w:color w:val="000000"/>
        </w:rPr>
        <w:t>Financial Statements; Ratings Change and Other Information. The Parent will furnish to the Administrative Agent (for</w:t>
      </w:r>
      <w:r>
        <w:rPr>
          <w:rFonts w:ascii="Arial" w:cs="Arial" w:eastAsia="Arial" w:hAnsi="Arial"/>
          <w:sz w:val="20"/>
          <w:szCs w:val="20"/>
          <w:color w:val="010000"/>
        </w:rPr>
        <w:t xml:space="preserve"> </w:t>
      </w:r>
      <w:r>
        <w:rPr>
          <w:rFonts w:ascii="Arial" w:cs="Arial" w:eastAsia="Arial" w:hAnsi="Arial"/>
          <w:sz w:val="20"/>
          <w:szCs w:val="20"/>
          <w:color w:val="000000"/>
        </w:rPr>
        <w:t>distribution to the Lenders):</w:t>
      </w:r>
    </w:p>
    <w:p>
      <w:pPr>
        <w:spacing w:after="0" w:line="177" w:lineRule="exact"/>
        <w:rPr>
          <w:sz w:val="20"/>
          <w:szCs w:val="20"/>
          <w:color w:val="auto"/>
        </w:rPr>
      </w:pPr>
    </w:p>
    <w:p>
      <w:pPr>
        <w:jc w:val="both"/>
        <w:ind w:firstLine="1505"/>
        <w:spacing w:after="0" w:line="274" w:lineRule="auto"/>
        <w:tabs>
          <w:tab w:leader="none" w:pos="198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 soon as available and in any event within 120 days (or, if earlier, the date that is 15 days after the reporting date for such information required by the SEC) after the end of each fiscal year of the Parent, its audited consolidated balance sheet and related statements of operations, stockholders’ equity and cash flows as of the end of and for such year, setting forth in each case in comparative form the figures for the previous fiscal year, all reported on by Deloitte LLP or other independent public accountants of recognized national standing (without a “going concern” or like qualification or exception and without any material qualification or exception as to the scope of such audit) to the effect that such consolidated financial statements present fairly in all material respects the financial condition and results of operations of the Parent and its consolidated Subsidiaries on a consolidated basis in accordance with GAAP;</w:t>
      </w:r>
    </w:p>
    <w:p>
      <w:pPr>
        <w:spacing w:after="0" w:line="168" w:lineRule="exact"/>
        <w:rPr>
          <w:rFonts w:ascii="Arial" w:cs="Arial" w:eastAsia="Arial" w:hAnsi="Arial"/>
          <w:sz w:val="18"/>
          <w:szCs w:val="18"/>
          <w:color w:val="auto"/>
        </w:rPr>
      </w:pPr>
    </w:p>
    <w:p>
      <w:pPr>
        <w:jc w:val="both"/>
        <w:ind w:firstLine="1505"/>
        <w:spacing w:after="0" w:line="313" w:lineRule="auto"/>
        <w:tabs>
          <w:tab w:leader="none" w:pos="19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as soon as available and in any event within 60 days (or, if earlier, the date that is 15 days after the reporting date for such information required by the SEC) after the end of each of the first three fiscal quarters of each fiscal year of the Parent,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of the Parent as presenting fairly in all material respects the financial condition and results of operations of the Parent and its consolidated Subsidiaries on a consolidated basis in accordance with GAAP consistently applied, subject to normal year-end audit adjustments and the absence of footnotes;</w:t>
      </w:r>
    </w:p>
    <w:p>
      <w:pPr>
        <w:spacing w:after="0" w:line="142" w:lineRule="exact"/>
        <w:rPr>
          <w:rFonts w:ascii="Arial" w:cs="Arial" w:eastAsia="Arial" w:hAnsi="Arial"/>
          <w:sz w:val="16"/>
          <w:szCs w:val="16"/>
          <w:color w:val="auto"/>
        </w:rPr>
      </w:pPr>
    </w:p>
    <w:p>
      <w:pPr>
        <w:jc w:val="both"/>
        <w:ind w:firstLine="1505"/>
        <w:spacing w:after="0" w:line="257" w:lineRule="auto"/>
        <w:tabs>
          <w:tab w:leader="none" w:pos="201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concurrently with any delivery of financial statements under clause (a) or (b) above, a Compliance Certificate executed by a Financial Officer of the Parent (i) certifying as to whether a Default that has not been disclosed in any prior Compliance Certificate (unless such Default exists anew or continues to exist at such time, in which case it shall be included on such Compliance Certificate) has occurred and, if such Default has occurred, specifying the details thereof and any action taken or proposed to be taken with respect thereto, (ii) setting forth reasonably detailed quarterly calculations of the financial covenants set forth in, and demonstrating compliance with, </w:t>
      </w:r>
      <w:r>
        <w:rPr>
          <w:rFonts w:ascii="Arial" w:cs="Arial" w:eastAsia="Arial" w:hAnsi="Arial"/>
          <w:sz w:val="19"/>
          <w:szCs w:val="19"/>
          <w:u w:val="single" w:color="auto"/>
          <w:color w:val="auto"/>
        </w:rPr>
        <w:t>Sections 7.08(a)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(iii) stating whether any change in GAAP or in the application thereof that has not been disclosed in any prior Compliance Certificate has occurred since the date of the Audited Financial Statements referred to in </w:t>
      </w:r>
      <w:r>
        <w:rPr>
          <w:rFonts w:ascii="Arial" w:cs="Arial" w:eastAsia="Arial" w:hAnsi="Arial"/>
          <w:sz w:val="19"/>
          <w:szCs w:val="19"/>
          <w:u w:val="single" w:color="auto"/>
          <w:color w:val="auto"/>
        </w:rPr>
        <w:t>Section 5.04</w:t>
      </w:r>
      <w:r>
        <w:rPr>
          <w:rFonts w:ascii="Arial" w:cs="Arial" w:eastAsia="Arial" w:hAnsi="Arial"/>
          <w:sz w:val="19"/>
          <w:szCs w:val="19"/>
          <w:color w:val="auto"/>
        </w:rPr>
        <w:t xml:space="preserve"> that would be relevant in the calculation of any of the financial covenants set forth in </w:t>
      </w:r>
      <w:r>
        <w:rPr>
          <w:rFonts w:ascii="Arial" w:cs="Arial" w:eastAsia="Arial" w:hAnsi="Arial"/>
          <w:sz w:val="19"/>
          <w:szCs w:val="19"/>
          <w:u w:val="single" w:color="auto"/>
          <w:color w:val="auto"/>
        </w:rPr>
        <w:t>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1" w:name="page162"/>
    <w:bookmarkEnd w:id="161"/>
    <w:p>
      <w:pPr>
        <w:spacing w:after="0" w:line="260" w:lineRule="auto"/>
        <w:rPr>
          <w:sz w:val="20"/>
          <w:szCs w:val="20"/>
          <w:color w:val="auto"/>
        </w:rPr>
      </w:pPr>
      <w:r>
        <w:rPr>
          <w:rFonts w:ascii="Arial" w:cs="Arial" w:eastAsia="Arial" w:hAnsi="Arial"/>
          <w:sz w:val="20"/>
          <w:szCs w:val="20"/>
          <w:u w:val="single" w:color="auto"/>
          <w:color w:val="auto"/>
        </w:rPr>
        <w:t>7.08(a)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if any such change has occurred, specifying the effect of such change on the financial statements accompanying such certificate;</w:t>
      </w:r>
    </w:p>
    <w:p>
      <w:pPr>
        <w:spacing w:after="0" w:line="177" w:lineRule="exact"/>
        <w:rPr>
          <w:sz w:val="20"/>
          <w:szCs w:val="20"/>
          <w:color w:val="auto"/>
        </w:rPr>
      </w:pPr>
    </w:p>
    <w:p>
      <w:pPr>
        <w:ind w:left="1980" w:hanging="475"/>
        <w:spacing w:after="0"/>
        <w:tabs>
          <w:tab w:leader="none" w:pos="198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firstLine="1505"/>
        <w:spacing w:after="0" w:line="291" w:lineRule="auto"/>
        <w:tabs>
          <w:tab w:leader="none" w:pos="199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other materials filed by the Parent or any Subsidiary with the SEC, or any Governmental Authority succeeding to any or all of the functions of said Commission, or with any national securities exchange, or distributed by the Parent to its shareholders generally, as the case may be;</w:t>
      </w:r>
    </w:p>
    <w:p>
      <w:pPr>
        <w:spacing w:after="0" w:line="151" w:lineRule="exact"/>
        <w:rPr>
          <w:rFonts w:ascii="Arial" w:cs="Arial" w:eastAsia="Arial" w:hAnsi="Arial"/>
          <w:sz w:val="18"/>
          <w:szCs w:val="18"/>
          <w:color w:val="auto"/>
        </w:rPr>
      </w:pPr>
    </w:p>
    <w:p>
      <w:pPr>
        <w:ind w:left="1980" w:hanging="475"/>
        <w:spacing w:after="0"/>
        <w:tabs>
          <w:tab w:leader="none" w:pos="19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promptly after S&amp;P or Moody’s shall have announced a change in the Debt Rating, written notice of such change;</w:t>
      </w:r>
    </w:p>
    <w:p>
      <w:pPr>
        <w:spacing w:after="0" w:line="238" w:lineRule="exact"/>
        <w:rPr>
          <w:rFonts w:ascii="Arial" w:cs="Arial" w:eastAsia="Arial" w:hAnsi="Arial"/>
          <w:sz w:val="18"/>
          <w:szCs w:val="18"/>
          <w:color w:val="auto"/>
        </w:rPr>
      </w:pPr>
    </w:p>
    <w:p>
      <w:pPr>
        <w:jc w:val="both"/>
        <w:ind w:firstLine="1505"/>
        <w:spacing w:after="0" w:line="250" w:lineRule="auto"/>
        <w:tabs>
          <w:tab w:leader="none" w:pos="1991" w:val="left"/>
        </w:tabs>
        <w:numPr>
          <w:ilvl w:val="0"/>
          <w:numId w:val="154"/>
        </w:numPr>
        <w:rPr>
          <w:rFonts w:ascii="Arial" w:cs="Arial" w:eastAsia="Arial" w:hAnsi="Arial"/>
          <w:sz w:val="20"/>
          <w:szCs w:val="20"/>
          <w:color w:val="auto"/>
        </w:rPr>
      </w:pPr>
      <w:r>
        <w:rPr>
          <w:rFonts w:ascii="Arial" w:cs="Arial" w:eastAsia="Arial" w:hAnsi="Arial"/>
          <w:sz w:val="20"/>
          <w:szCs w:val="20"/>
          <w:color w:val="auto"/>
        </w:rPr>
        <w:t>promptly following a request by any Lender, all documentation and other information that such Lender reasonably requests in order to comply with its ongoing obligations under applicable “know your customer” and anti-money laundering rules and regulations, including the USA Patriot Act; and</w:t>
      </w:r>
    </w:p>
    <w:p>
      <w:pPr>
        <w:spacing w:after="0" w:line="185" w:lineRule="exact"/>
        <w:rPr>
          <w:rFonts w:ascii="Arial" w:cs="Arial" w:eastAsia="Arial" w:hAnsi="Arial"/>
          <w:sz w:val="20"/>
          <w:szCs w:val="20"/>
          <w:color w:val="auto"/>
        </w:rPr>
      </w:pPr>
    </w:p>
    <w:p>
      <w:pPr>
        <w:jc w:val="both"/>
        <w:ind w:firstLine="1505"/>
        <w:spacing w:after="0" w:line="274" w:lineRule="auto"/>
        <w:tabs>
          <w:tab w:leader="none" w:pos="201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Parent or any Subsidiary, or compliance with the terms of this Agreement, as the Administrative Agent or any Lender may reasonably request; provided that neither the Parent nor any of its Subsidiaries will be required to disclose, any document, information or other matter in respect of which disclosure to the Administrative Agent or any Lender (or its respective designated representative) is as reasonably determined by an officer of the Parent then prohibited by applicable law or any agreement binding on the Parent or any of its Subsidiaries or is subject to attorney-client or similar privilege or constitutes attorney work product, and in each case, not entered into in contemplation of or in connection with limiting disclosure under this Section 6.01(h).</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(i) on which the Parent or the Company posts such documents, or provides a link thereto on the Parent’s or the Company’s website on the Internet at the website address listed on </w:t>
      </w:r>
      <w:r>
        <w:rPr>
          <w:rFonts w:ascii="Arial" w:cs="Arial" w:eastAsia="Arial" w:hAnsi="Arial"/>
          <w:sz w:val="19"/>
          <w:szCs w:val="19"/>
          <w:u w:val="single" w:color="auto"/>
          <w:color w:val="auto"/>
        </w:rPr>
        <w:t>Schedule 10.02</w:t>
      </w:r>
      <w:r>
        <w:rPr>
          <w:rFonts w:ascii="Arial" w:cs="Arial" w:eastAsia="Arial" w:hAnsi="Arial"/>
          <w:sz w:val="19"/>
          <w:szCs w:val="19"/>
          <w:color w:val="auto"/>
        </w:rPr>
        <w:t>; (ii) on which such materials are publicly available as posted on the Electronic Data Gathering, Analysis and Retrieval system (EDGAR); or (iii) on which such documents are posted on the Parent’s or the Company’s behalf on an Internet or intranet website, if any, to which each Lender and the Administrative Agent have access (whether a commercial, third-party website or whether sponsored by the Administrative Agent). Except for such Compliance Certificates, the Administrative Agent shall have no obligation to request the delivery or to maintain copies of the documents referred to above, and in any event shall have no responsibility to monitor compliance by the Parent or the Company with any such request for delivery, and each Lender shall be solely responsible for requesting delivery to it or maintaining its copies of such documents.</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Each of the Parent and the Company hereby acknowledges that (a) the Administrative Agent and/or one or more of the Agents will make available to the Lenders and each Issuing Lender materials and/or information provided by or on behalf of the Parent or the Borrowers, as applicable, hereunder and under the other Loan Documents (collectively, the “</w:t>
      </w:r>
      <w:r>
        <w:rPr>
          <w:rFonts w:ascii="Arial" w:cs="Arial" w:eastAsia="Arial" w:hAnsi="Arial"/>
          <w:sz w:val="18"/>
          <w:szCs w:val="18"/>
          <w:u w:val="single" w:color="auto"/>
          <w:color w:val="auto"/>
        </w:rPr>
        <w:t>Parent and Borrower Materials</w:t>
      </w:r>
      <w:r>
        <w:rPr>
          <w:rFonts w:ascii="Arial" w:cs="Arial" w:eastAsia="Arial" w:hAnsi="Arial"/>
          <w:sz w:val="18"/>
          <w:szCs w:val="18"/>
          <w:color w:val="auto"/>
        </w:rPr>
        <w:t>”) by posting the Parent and Borrower Materials on Debt Domain, IntraLinks, Syndtrak or another similar electronic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the Parent, the Company or their respective Affiliates, or the respective securities of any of the foregoing, and who may be engaged in investment and other market-related activities with respect to such Persons’ securities. Each of the Parent and the Company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2" w:name="page163"/>
    <w:bookmarkEnd w:id="162"/>
    <w:p>
      <w:pPr>
        <w:jc w:val="both"/>
        <w:spacing w:after="0" w:line="268" w:lineRule="auto"/>
        <w:rPr>
          <w:sz w:val="20"/>
          <w:szCs w:val="20"/>
          <w:color w:val="auto"/>
        </w:rPr>
      </w:pPr>
      <w:r>
        <w:rPr>
          <w:rFonts w:ascii="Arial" w:cs="Arial" w:eastAsia="Arial" w:hAnsi="Arial"/>
          <w:sz w:val="18"/>
          <w:szCs w:val="18"/>
          <w:color w:val="auto"/>
        </w:rPr>
        <w:t xml:space="preserve">agrees that (w) all Parent and Borrower Materials that are to be made available to Public Lenders shall be clearly and conspicuously marked “PUBLIC” which, at a minimum, shall mean that the word “PUBLIC” shall appear prominently on the first page thereof; (x) by marking Parent and Borrower Materials “PUBLIC,” the Parent and the Company shall be deemed to have authorized the Agents, each Issuing Lender and the Lenders to treat such Parent and Borrower Materials as not containing any material non-public information with respect to the Parent, the Company or their respective securities for purposes of United States Federal and state securities Laws (provided that to the extent such Parent and Borrower Materials constitute Information, they shall be treated as set forth in </w:t>
      </w:r>
      <w:r>
        <w:rPr>
          <w:rFonts w:ascii="Arial" w:cs="Arial" w:eastAsia="Arial" w:hAnsi="Arial"/>
          <w:sz w:val="18"/>
          <w:szCs w:val="18"/>
          <w:u w:val="single" w:color="auto"/>
          <w:color w:val="auto"/>
        </w:rPr>
        <w:t>Section 10.07</w:t>
      </w:r>
      <w:r>
        <w:rPr>
          <w:rFonts w:ascii="Arial" w:cs="Arial" w:eastAsia="Arial" w:hAnsi="Arial"/>
          <w:sz w:val="18"/>
          <w:szCs w:val="18"/>
          <w:color w:val="auto"/>
        </w:rPr>
        <w:t xml:space="preserve"> ); (y) all Parent and Borrower Materials marked “PUBLIC” are permitted to be made available through a portion of the Platform designated “Public Side Information”; and</w:t>
      </w:r>
    </w:p>
    <w:p>
      <w:pPr>
        <w:spacing w:after="0" w:line="5" w:lineRule="exact"/>
        <w:rPr>
          <w:sz w:val="20"/>
          <w:szCs w:val="20"/>
          <w:color w:val="auto"/>
        </w:rPr>
      </w:pPr>
    </w:p>
    <w:p>
      <w:pPr>
        <w:jc w:val="both"/>
        <w:ind w:firstLine="8"/>
        <w:spacing w:after="0" w:line="241" w:lineRule="auto"/>
        <w:tabs>
          <w:tab w:leader="none" w:pos="277"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Agents shall be entitled to treat any Parent and Borrower Materials that are not marked “PUBLIC” as being suitable only for posting on a portion of the Platform not designated “Public Side Information”. Notwithstanding the foregoing, the Company shall not be under any obligation to mark any Parent and Borrower Materials “PUBLIC”.</w:t>
      </w:r>
    </w:p>
    <w:p>
      <w:pPr>
        <w:spacing w:after="0" w:line="196"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010000"/>
        </w:rPr>
        <w:t xml:space="preserve">6.02 </w:t>
      </w:r>
      <w:r>
        <w:rPr>
          <w:rFonts w:ascii="Arial" w:cs="Arial" w:eastAsia="Arial" w:hAnsi="Arial"/>
          <w:sz w:val="20"/>
          <w:szCs w:val="20"/>
          <w:color w:val="000000"/>
        </w:rPr>
        <w:t>Notices of Material Events. The Parent or the Company will furnish to the Administrative Agent and each Lender prompt</w:t>
      </w:r>
      <w:r>
        <w:rPr>
          <w:rFonts w:ascii="Arial" w:cs="Arial" w:eastAsia="Arial" w:hAnsi="Arial"/>
          <w:sz w:val="20"/>
          <w:szCs w:val="20"/>
          <w:color w:val="010000"/>
        </w:rPr>
        <w:t xml:space="preserve"> </w:t>
      </w:r>
      <w:r>
        <w:rPr>
          <w:rFonts w:ascii="Arial" w:cs="Arial" w:eastAsia="Arial" w:hAnsi="Arial"/>
          <w:sz w:val="20"/>
          <w:szCs w:val="20"/>
          <w:color w:val="000000"/>
        </w:rPr>
        <w:t>written notice (but in any event within five (5) Business Days’) of the following:</w:t>
      </w:r>
    </w:p>
    <w:p>
      <w:pPr>
        <w:spacing w:after="0" w:line="177" w:lineRule="exact"/>
        <w:rPr>
          <w:sz w:val="20"/>
          <w:szCs w:val="20"/>
          <w:color w:val="auto"/>
        </w:rPr>
      </w:pPr>
    </w:p>
    <w:p>
      <w:pPr>
        <w:ind w:left="1980" w:hanging="475"/>
        <w:spacing w:after="0"/>
        <w:tabs>
          <w:tab w:leader="none" w:pos="198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occurrence of any Default;</w:t>
      </w:r>
    </w:p>
    <w:p>
      <w:pPr>
        <w:spacing w:after="0" w:line="215" w:lineRule="exact"/>
        <w:rPr>
          <w:rFonts w:ascii="Arial" w:cs="Arial" w:eastAsia="Arial" w:hAnsi="Arial"/>
          <w:sz w:val="20"/>
          <w:szCs w:val="20"/>
          <w:color w:val="auto"/>
        </w:rPr>
      </w:pPr>
    </w:p>
    <w:p>
      <w:pPr>
        <w:ind w:firstLine="1505"/>
        <w:spacing w:after="0" w:line="316" w:lineRule="auto"/>
        <w:tabs>
          <w:tab w:leader="none" w:pos="198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affecting the Company or any Affiliate thereof that would reasonably be expected to result in a Material Adverse Effect;</w:t>
      </w:r>
    </w:p>
    <w:p>
      <w:pPr>
        <w:spacing w:after="0" w:line="129" w:lineRule="exact"/>
        <w:rPr>
          <w:rFonts w:ascii="Arial" w:cs="Arial" w:eastAsia="Arial" w:hAnsi="Arial"/>
          <w:sz w:val="18"/>
          <w:szCs w:val="18"/>
          <w:color w:val="auto"/>
        </w:rPr>
      </w:pPr>
    </w:p>
    <w:p>
      <w:pPr>
        <w:jc w:val="both"/>
        <w:ind w:firstLine="1505"/>
        <w:spacing w:after="0" w:line="250" w:lineRule="auto"/>
        <w:tabs>
          <w:tab w:leader="none" w:pos="2008"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occurrence of any ERISA Event or imposition of a contribution notice or financial support direction on the Parent or any of its Subsidiaries by the UK Pensions Regulator that, alone or together with any other ERISA Events that have occurred, would reasonably be expected to result in a Material Adverse Effect; and</w:t>
      </w:r>
    </w:p>
    <w:p>
      <w:pPr>
        <w:spacing w:after="0" w:line="185" w:lineRule="exact"/>
        <w:rPr>
          <w:rFonts w:ascii="Arial" w:cs="Arial" w:eastAsia="Arial" w:hAnsi="Arial"/>
          <w:sz w:val="20"/>
          <w:szCs w:val="20"/>
          <w:color w:val="auto"/>
        </w:rPr>
      </w:pPr>
    </w:p>
    <w:p>
      <w:pPr>
        <w:ind w:left="1980" w:hanging="475"/>
        <w:spacing w:after="0"/>
        <w:tabs>
          <w:tab w:leader="none" w:pos="198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any other development that results in, or could reasonably be expected to result in, a Material Adverse Effect.</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Each notice delivered under this Section shall be accompanied by a statement of a Financial Officer or other Responsible Officer of the Parent or the Company setting forth the details of the event or development requiring such notice and any action taken or proposed to be taken with respect thereto.</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6.03 </w:t>
      </w:r>
      <w:r>
        <w:rPr>
          <w:rFonts w:ascii="Arial" w:cs="Arial" w:eastAsia="Arial" w:hAnsi="Arial"/>
          <w:sz w:val="20"/>
          <w:szCs w:val="20"/>
          <w:color w:val="000000"/>
        </w:rPr>
        <w:t>Existence; Conduct of Business.</w:t>
      </w:r>
    </w:p>
    <w:p>
      <w:pPr>
        <w:spacing w:after="0" w:line="216" w:lineRule="exact"/>
        <w:rPr>
          <w:sz w:val="20"/>
          <w:szCs w:val="20"/>
          <w:color w:val="auto"/>
        </w:rPr>
      </w:pPr>
    </w:p>
    <w:p>
      <w:pPr>
        <w:jc w:val="both"/>
        <w:ind w:firstLine="1505"/>
        <w:spacing w:after="0" w:line="244" w:lineRule="auto"/>
        <w:tabs>
          <w:tab w:leader="none" w:pos="1982"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The Parent and the Company will, and will cause each of the other Loan Parties to, do or cause to be done all things necessary to preserve, renew and keep in full force and effect (i) its legal existence and (ii) the rights, licenses, permits, privileges and franchises material to the conduct of its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prohibit any merger, consolidation, liquidation or dissolution permitted under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and, in the case of clause (ii), to the extent that the failure to do so could not reasonably be expected to have a Material Adverse Effect.</w:t>
      </w:r>
    </w:p>
    <w:p>
      <w:pPr>
        <w:spacing w:after="0" w:line="194" w:lineRule="exact"/>
        <w:rPr>
          <w:rFonts w:ascii="Arial" w:cs="Arial" w:eastAsia="Arial" w:hAnsi="Arial"/>
          <w:sz w:val="20"/>
          <w:szCs w:val="20"/>
          <w:color w:val="auto"/>
        </w:rPr>
      </w:pPr>
    </w:p>
    <w:p>
      <w:pPr>
        <w:jc w:val="both"/>
        <w:ind w:firstLine="1505"/>
        <w:spacing w:after="0" w:line="246" w:lineRule="auto"/>
        <w:tabs>
          <w:tab w:leader="none" w:pos="1995"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Parent and the Company will, and will cause each of the other Subsidiaries to, continue to engage (including after giving effect to any acquisition) only in a business of the type that does not represent a fundamental change in the character of the business of the Parent and its Subsidiaries, taken as a whole, conducted by the Parent and its Subsidiaries on the date of this Agreement, and businesses reasonably related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3" w:name="page164"/>
    <w:bookmarkEnd w:id="163"/>
    <w:p>
      <w:pPr>
        <w:jc w:val="both"/>
        <w:ind w:firstLine="749"/>
        <w:spacing w:after="0" w:line="244" w:lineRule="auto"/>
        <w:rPr>
          <w:sz w:val="20"/>
          <w:szCs w:val="20"/>
          <w:color w:val="auto"/>
        </w:rPr>
      </w:pPr>
      <w:r>
        <w:rPr>
          <w:rFonts w:ascii="Arial" w:cs="Arial" w:eastAsia="Arial" w:hAnsi="Arial"/>
          <w:sz w:val="20"/>
          <w:szCs w:val="20"/>
          <w:color w:val="010000"/>
        </w:rPr>
        <w:t xml:space="preserve">6.04 </w:t>
      </w:r>
      <w:r>
        <w:rPr>
          <w:rFonts w:ascii="Arial" w:cs="Arial" w:eastAsia="Arial" w:hAnsi="Arial"/>
          <w:sz w:val="20"/>
          <w:szCs w:val="20"/>
          <w:color w:val="000000"/>
        </w:rPr>
        <w:t>Payment of Taxes. The Parent and the Company will, and will cause each of the other Subsidiaries to, pay its Tax liabilities</w:t>
      </w:r>
      <w:r>
        <w:rPr>
          <w:rFonts w:ascii="Arial" w:cs="Arial" w:eastAsia="Arial" w:hAnsi="Arial"/>
          <w:sz w:val="20"/>
          <w:szCs w:val="20"/>
          <w:color w:val="010000"/>
        </w:rPr>
        <w:t xml:space="preserve"> </w:t>
      </w:r>
      <w:r>
        <w:rPr>
          <w:rFonts w:ascii="Arial" w:cs="Arial" w:eastAsia="Arial" w:hAnsi="Arial"/>
          <w:sz w:val="20"/>
          <w:szCs w:val="20"/>
          <w:color w:val="000000"/>
        </w:rPr>
        <w:t>before the same shall become delinquent or in default, except where (a) the validity or amount thereof is being contested in good faith by appropriate proceedings and for which the Parent, the Company or such other Subsidiary, as applicable, has set aside on its books adequate reserves with respect thereto in accordance with GAAP or (b) the failure to make payment would not reasonably be expected to result in a Material Adverse Effect.</w:t>
      </w:r>
    </w:p>
    <w:p>
      <w:pPr>
        <w:spacing w:after="0" w:line="194"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010000"/>
        </w:rPr>
        <w:t xml:space="preserve">6.05 </w:t>
      </w:r>
      <w:r>
        <w:rPr>
          <w:rFonts w:ascii="Arial" w:cs="Arial" w:eastAsia="Arial" w:hAnsi="Arial"/>
          <w:sz w:val="18"/>
          <w:szCs w:val="18"/>
          <w:color w:val="000000"/>
        </w:rPr>
        <w:t>Maintenance of Properties; Insurance. The Parent and the Company will, and will cause each of the other Subsidiaries to, (a)</w:t>
      </w:r>
      <w:r>
        <w:rPr>
          <w:rFonts w:ascii="Arial" w:cs="Arial" w:eastAsia="Arial" w:hAnsi="Arial"/>
          <w:sz w:val="18"/>
          <w:szCs w:val="18"/>
          <w:color w:val="010000"/>
        </w:rPr>
        <w:t xml:space="preserve"> </w:t>
      </w:r>
      <w:r>
        <w:rPr>
          <w:rFonts w:ascii="Arial" w:cs="Arial" w:eastAsia="Arial" w:hAnsi="Arial"/>
          <w:sz w:val="18"/>
          <w:szCs w:val="18"/>
          <w:color w:val="000000"/>
        </w:rPr>
        <w:t>keep and maintain all property material to the conduct of its business in good working order and condition, ordinary wear and tear (and casualty and condemnation) excepted or except where the failure to maintain would not reasonably be expected to result in a Material Adverse Effect, and (b) maintain in full force and effect, pursuant to a self-insurance program and/or with insurance companies that the Parent and the Company believe (in the good faith judgment of the management of the Parent and the Company) are financially sound and responsible at the time the relevant coverage is placed or renewed, insurance in at least such amounts and against at least such risks (and with such risk retentions) as are usually insured against in the same general area by companies engaged in the same or a similar business.</w:t>
      </w:r>
    </w:p>
    <w:p>
      <w:pPr>
        <w:spacing w:after="0" w:line="16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color w:val="010000"/>
        </w:rPr>
        <w:t xml:space="preserve">6.06 </w:t>
      </w:r>
      <w:r>
        <w:rPr>
          <w:rFonts w:ascii="Arial" w:cs="Arial" w:eastAsia="Arial" w:hAnsi="Arial"/>
          <w:sz w:val="18"/>
          <w:szCs w:val="18"/>
          <w:color w:val="000000"/>
        </w:rPr>
        <w:t>Books and Records; Inspection Rights. The Parent and the Company will, and will cause each of the other Subsidiaries to,</w:t>
      </w:r>
      <w:r>
        <w:rPr>
          <w:rFonts w:ascii="Arial" w:cs="Arial" w:eastAsia="Arial" w:hAnsi="Arial"/>
          <w:sz w:val="18"/>
          <w:szCs w:val="18"/>
          <w:color w:val="010000"/>
        </w:rPr>
        <w:t xml:space="preserve"> </w:t>
      </w:r>
      <w:r>
        <w:rPr>
          <w:rFonts w:ascii="Arial" w:cs="Arial" w:eastAsia="Arial" w:hAnsi="Arial"/>
          <w:sz w:val="18"/>
          <w:szCs w:val="18"/>
          <w:color w:val="000000"/>
        </w:rPr>
        <w:t xml:space="preserve">keep proper books of record and account in which full, true and correct entries are made in all material respects of all dealings and transactions in relation to its business and activities. The Parent will, and will cause each of its Subsidiaries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an officer of the Parent or any of its Subsidiaries may, if it so desires, be present at and participate in any such discussions;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 </w:t>
      </w:r>
      <w:r>
        <w:rPr>
          <w:rFonts w:ascii="Arial" w:cs="Arial" w:eastAsia="Arial" w:hAnsi="Arial"/>
          <w:sz w:val="18"/>
          <w:szCs w:val="18"/>
          <w:u w:val="single" w:color="auto"/>
          <w:color w:val="000000"/>
        </w:rPr>
        <w:t>further</w:t>
      </w:r>
      <w:r>
        <w:rPr>
          <w:rFonts w:ascii="Arial" w:cs="Arial" w:eastAsia="Arial" w:hAnsi="Arial"/>
          <w:sz w:val="18"/>
          <w:szCs w:val="18"/>
          <w:color w:val="000000"/>
        </w:rPr>
        <w:t>, that, unless an Event of Default shall have occurred and be continuing, the Administrative Agent and the Lenders shall not exercise such right more often than one time during any calendar year.</w:t>
      </w:r>
    </w:p>
    <w:p>
      <w:pPr>
        <w:spacing w:after="0" w:line="16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010000"/>
        </w:rPr>
        <w:t xml:space="preserve">6.07 </w:t>
      </w:r>
      <w:r>
        <w:rPr>
          <w:rFonts w:ascii="Arial" w:cs="Arial" w:eastAsia="Arial" w:hAnsi="Arial"/>
          <w:sz w:val="20"/>
          <w:szCs w:val="20"/>
          <w:color w:val="000000"/>
        </w:rPr>
        <w:t>Compliance with Laws. The Parent and the Company will, and will cause each of the other Subsidiaries to, comply with all</w:t>
      </w:r>
      <w:r>
        <w:rPr>
          <w:rFonts w:ascii="Arial" w:cs="Arial" w:eastAsia="Arial" w:hAnsi="Arial"/>
          <w:sz w:val="20"/>
          <w:szCs w:val="20"/>
          <w:color w:val="010000"/>
        </w:rPr>
        <w:t xml:space="preserve"> </w:t>
      </w:r>
      <w:r>
        <w:rPr>
          <w:rFonts w:ascii="Arial" w:cs="Arial" w:eastAsia="Arial" w:hAnsi="Arial"/>
          <w:sz w:val="20"/>
          <w:szCs w:val="20"/>
          <w:color w:val="000000"/>
        </w:rPr>
        <w:t>Laws, rules, regulations and orders of any Governmental Authority applicable to it or its property, except where the failure to do so, individually or in the aggregate, would not reasonably be expected to result in a Material Adverse Effect.</w:t>
      </w:r>
    </w:p>
    <w:p>
      <w:pPr>
        <w:spacing w:after="0" w:line="186"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20"/>
          <w:szCs w:val="20"/>
          <w:color w:val="010000"/>
        </w:rPr>
        <w:t xml:space="preserve">6.08 </w:t>
      </w:r>
      <w:r>
        <w:rPr>
          <w:rFonts w:ascii="Arial" w:cs="Arial" w:eastAsia="Arial" w:hAnsi="Arial"/>
          <w:sz w:val="20"/>
          <w:szCs w:val="20"/>
          <w:color w:val="000000"/>
        </w:rPr>
        <w:t>Use of Proceeds. The proceeds of the Loans and any other Credit Extension will be used solely (a) to refinance all</w:t>
      </w:r>
      <w:r>
        <w:rPr>
          <w:rFonts w:ascii="Arial" w:cs="Arial" w:eastAsia="Arial" w:hAnsi="Arial"/>
          <w:sz w:val="20"/>
          <w:szCs w:val="20"/>
          <w:color w:val="010000"/>
        </w:rPr>
        <w:t xml:space="preserve"> </w:t>
      </w:r>
      <w:r>
        <w:rPr>
          <w:rFonts w:ascii="Arial" w:cs="Arial" w:eastAsia="Arial" w:hAnsi="Arial"/>
          <w:sz w:val="20"/>
          <w:szCs w:val="20"/>
          <w:color w:val="000000"/>
        </w:rPr>
        <w:t>Indebtedness and other amounts due under the Existing Credit Agreement, (b) to pay the costs and expenses incurred by the Company in connection with the transactions contemplated by this Agreement and (c) for working capital, capital expenditures, other permitted acquisitions and other lawful corporate purposes of the Borrowers. Notwithstanding anything to the contrary in this Section or in any other Loan Document, the Parent and the Company agree that they will ensure, and will cause their Subsidiaries to ensure, that no part of the proceeds of any Loan will be used,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 in each case, in any manner that violates the provisions of Regulation U of the FRB.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0"/>
          <w:szCs w:val="20"/>
          <w:color w:val="010000"/>
        </w:rPr>
        <w:t>ARTICLE VII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NEGATIVE COVENANTS</w:t>
      </w:r>
    </w:p>
    <w:p>
      <w:pPr>
        <w:spacing w:after="0" w:line="200"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So long as any Lender shall have any Commitment hereunder, any Loan or other Obligation hereunder shall remain unpaid or unsatisfied (other than contingent Obligations to the extent no claim giving rise thereto has been asserted), or any Letter of Credit shall remain outstanding (unless such Letter of Credit shall be Cash Collateralized or backstopped by a letter of credit or otherwise in a manner reasonably satisfactory to the Applicable Issuing Party), the Parent and each Borrower covenant and agree with the Lenders that:</w:t>
      </w:r>
    </w:p>
    <w:p>
      <w:pPr>
        <w:spacing w:after="0" w:line="161"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010000"/>
        </w:rPr>
        <w:t xml:space="preserve">7.01 </w:t>
      </w:r>
      <w:r>
        <w:rPr>
          <w:rFonts w:ascii="Arial" w:cs="Arial" w:eastAsia="Arial" w:hAnsi="Arial"/>
          <w:sz w:val="19"/>
          <w:szCs w:val="19"/>
          <w:color w:val="000000"/>
        </w:rPr>
        <w:t>Subsidiary Indebtedness. The Parent will not permit any Subsidiary that is not a Loan Party to create, incur, assume or permit</w:t>
      </w:r>
      <w:r>
        <w:rPr>
          <w:rFonts w:ascii="Arial" w:cs="Arial" w:eastAsia="Arial" w:hAnsi="Arial"/>
          <w:sz w:val="19"/>
          <w:szCs w:val="19"/>
          <w:color w:val="010000"/>
        </w:rPr>
        <w:t xml:space="preserve"> </w:t>
      </w:r>
      <w:r>
        <w:rPr>
          <w:rFonts w:ascii="Arial" w:cs="Arial" w:eastAsia="Arial" w:hAnsi="Arial"/>
          <w:sz w:val="19"/>
          <w:szCs w:val="19"/>
          <w:color w:val="000000"/>
        </w:rPr>
        <w:t>to exist any Indebtedness (including pursuant to any Guarantee of Indebtedness of the Parent or another Subsidiary), except:</w:t>
      </w:r>
    </w:p>
    <w:p>
      <w:pPr>
        <w:spacing w:after="0" w:line="152" w:lineRule="exact"/>
        <w:rPr>
          <w:sz w:val="20"/>
          <w:szCs w:val="20"/>
          <w:color w:val="auto"/>
        </w:rPr>
      </w:pPr>
    </w:p>
    <w:p>
      <w:pPr>
        <w:ind w:left="1980" w:hanging="475"/>
        <w:spacing w:after="0"/>
        <w:tabs>
          <w:tab w:leader="none" w:pos="198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Indebtedness owing to the Parent or another Subsidiary;</w:t>
      </w:r>
    </w:p>
    <w:p>
      <w:pPr>
        <w:spacing w:after="0" w:line="215" w:lineRule="exact"/>
        <w:rPr>
          <w:rFonts w:ascii="Arial" w:cs="Arial" w:eastAsia="Arial" w:hAnsi="Arial"/>
          <w:sz w:val="20"/>
          <w:szCs w:val="20"/>
          <w:color w:val="auto"/>
        </w:rPr>
      </w:pPr>
    </w:p>
    <w:p>
      <w:pPr>
        <w:ind w:firstLine="1505"/>
        <w:spacing w:after="0" w:line="260" w:lineRule="auto"/>
        <w:tabs>
          <w:tab w:leader="none" w:pos="2017"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xml:space="preserve">Guarantees of Indebtedness of another Subsidiary that is not a Loan Party, to the extent such Indebtedness is permitted by this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1505"/>
        <w:spacing w:after="0" w:line="244" w:lineRule="auto"/>
        <w:tabs>
          <w:tab w:leader="none" w:pos="2005" w:val="left"/>
        </w:tabs>
        <w:numPr>
          <w:ilvl w:val="0"/>
          <w:numId w:val="158"/>
        </w:numPr>
        <w:rPr>
          <w:rFonts w:ascii="Arial" w:cs="Arial" w:eastAsia="Arial" w:hAnsi="Arial"/>
          <w:sz w:val="20"/>
          <w:szCs w:val="20"/>
          <w:color w:val="auto"/>
        </w:rPr>
      </w:pPr>
      <w:r>
        <w:rPr>
          <w:rFonts w:ascii="Arial" w:cs="Arial" w:eastAsia="Arial" w:hAnsi="Arial"/>
          <w:sz w:val="20"/>
          <w:szCs w:val="20"/>
          <w:color w:val="auto"/>
        </w:rPr>
        <w:t>Indebtedness of any Person that becomes a Subsidiary after the date hereof; provided that (i) such Indebtedness exists at the time such Person becomes a Subsidiary and is not created in contemplation of or in connection with such Person becoming a Subsidiary and (ii) such Indebtedness shall not be Guaranteed by the Parent or any other Subsidiary, except Indebtedness that, in the aggregate, but without duplication, does not exceed the greater of (x) $300,000,000 and (y) 5% of Consolidated Net Tangible Assets, determined as of the most recently ended Measurement Period, may be Guaranteed;</w:t>
      </w:r>
    </w:p>
    <w:p>
      <w:pPr>
        <w:spacing w:after="0" w:line="194" w:lineRule="exact"/>
        <w:rPr>
          <w:rFonts w:ascii="Arial" w:cs="Arial" w:eastAsia="Arial" w:hAnsi="Arial"/>
          <w:sz w:val="20"/>
          <w:szCs w:val="20"/>
          <w:color w:val="auto"/>
        </w:rPr>
      </w:pPr>
    </w:p>
    <w:p>
      <w:pPr>
        <w:jc w:val="both"/>
        <w:ind w:firstLine="1505"/>
        <w:spacing w:after="0" w:line="257" w:lineRule="auto"/>
        <w:tabs>
          <w:tab w:leader="none" w:pos="202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 xml:space="preserve">Indebtedness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Indebtedness is incurred prior to or within 180 days after such acquisition or the completion of such construction or improvement and (ii) the aggregate principal amount of Indebtedness permitted by this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shall not exceed the greater of (x) $300,000,000 and (y) 5% of Consolidated Net Tangible Assets, determined as of the last day of the most recently ended Measurement Period, at any time outstanding;</w:t>
      </w:r>
    </w:p>
    <w:p>
      <w:pPr>
        <w:spacing w:after="0" w:line="184" w:lineRule="exact"/>
        <w:rPr>
          <w:rFonts w:ascii="Arial" w:cs="Arial" w:eastAsia="Arial" w:hAnsi="Arial"/>
          <w:sz w:val="19"/>
          <w:szCs w:val="19"/>
          <w:color w:val="auto"/>
        </w:rPr>
      </w:pPr>
    </w:p>
    <w:p>
      <w:pPr>
        <w:ind w:firstLine="1505"/>
        <w:spacing w:after="0" w:line="260" w:lineRule="auto"/>
        <w:tabs>
          <w:tab w:leader="none" w:pos="1985" w:val="left"/>
        </w:tabs>
        <w:numPr>
          <w:ilvl w:val="0"/>
          <w:numId w:val="158"/>
        </w:numPr>
        <w:rPr>
          <w:rFonts w:ascii="Arial" w:cs="Arial" w:eastAsia="Arial" w:hAnsi="Arial"/>
          <w:sz w:val="20"/>
          <w:szCs w:val="20"/>
          <w:color w:val="auto"/>
        </w:rPr>
      </w:pPr>
      <w:r>
        <w:rPr>
          <w:rFonts w:ascii="Arial" w:cs="Arial" w:eastAsia="Arial" w:hAnsi="Arial"/>
          <w:sz w:val="20"/>
          <w:szCs w:val="20"/>
          <w:color w:val="auto"/>
        </w:rPr>
        <w:t>Indebtedness incurred in relation to arrangements made in the ordinary course of business to facilitate the operation of bank accounts on a net balance basis;</w:t>
      </w:r>
    </w:p>
    <w:p>
      <w:pPr>
        <w:spacing w:after="0" w:line="176" w:lineRule="exact"/>
        <w:rPr>
          <w:rFonts w:ascii="Arial" w:cs="Arial" w:eastAsia="Arial" w:hAnsi="Arial"/>
          <w:sz w:val="20"/>
          <w:szCs w:val="20"/>
          <w:color w:val="auto"/>
        </w:rPr>
      </w:pPr>
    </w:p>
    <w:p>
      <w:pPr>
        <w:jc w:val="both"/>
        <w:ind w:firstLine="1505"/>
        <w:spacing w:after="0" w:line="250" w:lineRule="auto"/>
        <w:tabs>
          <w:tab w:leader="none" w:pos="2001"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xml:space="preserve">short term Indebtedness from banks incurred in the ordinary course of business pursuant to a facility required in order to comply with rules and regulations issued from time to time by regulatory authorities;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compliance is required for the applicable Subsidiary to remain licensed to conduct its business;</w:t>
      </w:r>
    </w:p>
    <w:p>
      <w:pPr>
        <w:spacing w:after="0" w:line="185" w:lineRule="exact"/>
        <w:rPr>
          <w:rFonts w:ascii="Arial" w:cs="Arial" w:eastAsia="Arial" w:hAnsi="Arial"/>
          <w:sz w:val="20"/>
          <w:szCs w:val="20"/>
          <w:color w:val="auto"/>
        </w:rPr>
      </w:pPr>
    </w:p>
    <w:p>
      <w:pPr>
        <w:jc w:val="both"/>
        <w:ind w:firstLine="1505"/>
        <w:spacing w:after="0" w:line="291" w:lineRule="auto"/>
        <w:tabs>
          <w:tab w:leader="none" w:pos="199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Indebtedness incurred by WSI the proceeds of which are used to make Investments in any Underwritten Securities in the ordinary course of WSI’s business in an aggregate principal amount not to exceed $950,000,000 at any time outstanding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cost of Investments made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that were not made using the proceeds of Indebtedness;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5" w:name="page166"/>
    <w:bookmarkEnd w:id="165"/>
    <w:p>
      <w:pPr>
        <w:jc w:val="both"/>
        <w:ind w:firstLine="1505"/>
        <w:spacing w:after="0" w:line="250" w:lineRule="auto"/>
        <w:tabs>
          <w:tab w:leader="none" w:pos="1995" w:val="left"/>
        </w:tabs>
        <w:numPr>
          <w:ilvl w:val="0"/>
          <w:numId w:val="159"/>
        </w:numPr>
        <w:rPr>
          <w:rFonts w:ascii="Arial" w:cs="Arial" w:eastAsia="Arial" w:hAnsi="Arial"/>
          <w:sz w:val="20"/>
          <w:szCs w:val="20"/>
          <w:color w:val="auto"/>
        </w:rPr>
      </w:pPr>
      <w:r>
        <w:rPr>
          <w:rFonts w:ascii="Arial" w:cs="Arial" w:eastAsia="Arial" w:hAnsi="Arial"/>
          <w:sz w:val="20"/>
          <w:szCs w:val="20"/>
          <w:color w:val="auto"/>
        </w:rPr>
        <w:t>other Indebtedness in an aggregate principal amount (for all such Subsidiaries combined, but without duplication) not exceeding 10% of Consolidated Net Tangible Assets, determined as of the most recently ended Measurement Period, at any time outstanding.</w:t>
      </w:r>
    </w:p>
    <w:p>
      <w:pPr>
        <w:spacing w:after="0" w:line="186"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010000"/>
        </w:rPr>
        <w:t xml:space="preserve">7.02 </w:t>
      </w:r>
      <w:r>
        <w:rPr>
          <w:rFonts w:ascii="Arial" w:cs="Arial" w:eastAsia="Arial" w:hAnsi="Arial"/>
          <w:sz w:val="20"/>
          <w:szCs w:val="20"/>
          <w:color w:val="000000"/>
        </w:rPr>
        <w:t>Liens. The Parent and the Company will not, and will not permit any other Subsidiary to, create, incur, assume or permit to</w:t>
      </w:r>
      <w:r>
        <w:rPr>
          <w:rFonts w:ascii="Arial" w:cs="Arial" w:eastAsia="Arial" w:hAnsi="Arial"/>
          <w:sz w:val="20"/>
          <w:szCs w:val="20"/>
          <w:color w:val="010000"/>
        </w:rPr>
        <w:t xml:space="preserve"> </w:t>
      </w:r>
      <w:r>
        <w:rPr>
          <w:rFonts w:ascii="Arial" w:cs="Arial" w:eastAsia="Arial" w:hAnsi="Arial"/>
          <w:sz w:val="20"/>
          <w:szCs w:val="20"/>
          <w:color w:val="000000"/>
        </w:rPr>
        <w:t>exist any Lien on any property or asset now owned or hereafter acquired by it except:</w:t>
      </w:r>
    </w:p>
    <w:p>
      <w:pPr>
        <w:spacing w:after="0" w:line="177" w:lineRule="exact"/>
        <w:rPr>
          <w:sz w:val="20"/>
          <w:szCs w:val="20"/>
          <w:color w:val="auto"/>
        </w:rPr>
      </w:pPr>
    </w:p>
    <w:p>
      <w:pPr>
        <w:ind w:left="1980" w:hanging="475"/>
        <w:spacing w:after="0"/>
        <w:tabs>
          <w:tab w:leader="none" w:pos="1980" w:val="left"/>
        </w:tabs>
        <w:numPr>
          <w:ilvl w:val="1"/>
          <w:numId w:val="160"/>
        </w:numPr>
        <w:rPr>
          <w:rFonts w:ascii="Arial" w:cs="Arial" w:eastAsia="Arial" w:hAnsi="Arial"/>
          <w:sz w:val="20"/>
          <w:szCs w:val="20"/>
          <w:color w:val="auto"/>
        </w:rPr>
      </w:pPr>
      <w:r>
        <w:rPr>
          <w:rFonts w:ascii="Arial" w:cs="Arial" w:eastAsia="Arial" w:hAnsi="Arial"/>
          <w:sz w:val="20"/>
          <w:szCs w:val="20"/>
          <w:color w:val="auto"/>
        </w:rPr>
        <w:t>Permitted Encumbrances;</w:t>
      </w:r>
    </w:p>
    <w:p>
      <w:pPr>
        <w:spacing w:after="0" w:line="215" w:lineRule="exact"/>
        <w:rPr>
          <w:rFonts w:ascii="Arial" w:cs="Arial" w:eastAsia="Arial" w:hAnsi="Arial"/>
          <w:sz w:val="20"/>
          <w:szCs w:val="20"/>
          <w:color w:val="auto"/>
        </w:rPr>
      </w:pPr>
    </w:p>
    <w:p>
      <w:pPr>
        <w:jc w:val="both"/>
        <w:ind w:firstLine="1505"/>
        <w:spacing w:after="0" w:line="246" w:lineRule="auto"/>
        <w:tabs>
          <w:tab w:leader="none" w:pos="2011" w:val="left"/>
        </w:tabs>
        <w:numPr>
          <w:ilvl w:val="1"/>
          <w:numId w:val="160"/>
        </w:numPr>
        <w:rPr>
          <w:rFonts w:ascii="Arial" w:cs="Arial" w:eastAsia="Arial" w:hAnsi="Arial"/>
          <w:sz w:val="20"/>
          <w:szCs w:val="20"/>
          <w:color w:val="auto"/>
        </w:rPr>
      </w:pPr>
      <w:r>
        <w:rPr>
          <w:rFonts w:ascii="Arial" w:cs="Arial" w:eastAsia="Arial" w:hAnsi="Arial"/>
          <w:sz w:val="20"/>
          <w:szCs w:val="20"/>
          <w:color w:val="auto"/>
        </w:rPr>
        <w:t xml:space="preserve">any Lien on any property or asset of the Parent or any Subsidiary existing on the date hereof and set forth in </w:t>
      </w:r>
      <w:r>
        <w:rPr>
          <w:rFonts w:ascii="Arial" w:cs="Arial" w:eastAsia="Arial" w:hAnsi="Arial"/>
          <w:sz w:val="20"/>
          <w:szCs w:val="20"/>
          <w:u w:val="single" w:color="auto"/>
          <w:color w:val="auto"/>
        </w:rPr>
        <w:t>Schedule 7.02</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 shall not apply to any other property or asset of the Parent or any Subsidiary and (ii) such Lien shall secure only those obligations which it secures on the date hereof and extensions, renewals and replacements thereof that do not increase the outstanding principal amount thereof;</w:t>
      </w:r>
    </w:p>
    <w:p>
      <w:pPr>
        <w:spacing w:after="0" w:line="191" w:lineRule="exact"/>
        <w:rPr>
          <w:rFonts w:ascii="Arial" w:cs="Arial" w:eastAsia="Arial" w:hAnsi="Arial"/>
          <w:sz w:val="20"/>
          <w:szCs w:val="20"/>
          <w:color w:val="auto"/>
        </w:rPr>
      </w:pPr>
    </w:p>
    <w:p>
      <w:pPr>
        <w:jc w:val="both"/>
        <w:ind w:firstLine="1505"/>
        <w:spacing w:after="0" w:line="270" w:lineRule="auto"/>
        <w:tabs>
          <w:tab w:leader="none" w:pos="199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any Lien existing on any property or asset prior to the acquisition thereof by the Parent or any Subsidiary after the date hereof or existing on any property or asset of any Person that becomes a Subsidiary after the date hereof prior to the time such Person becomes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 is not created in contemplation of or in connection with such acquisition or such Person becoming a Subsidiary, as the case may be, (ii) such Lien shall not apply to any other property or assets of the Parent or any Subsidiary and</w:t>
      </w:r>
    </w:p>
    <w:p>
      <w:pPr>
        <w:spacing w:after="0" w:line="2" w:lineRule="exact"/>
        <w:rPr>
          <w:rFonts w:ascii="Arial" w:cs="Arial" w:eastAsia="Arial" w:hAnsi="Arial"/>
          <w:sz w:val="18"/>
          <w:szCs w:val="18"/>
          <w:color w:val="auto"/>
        </w:rPr>
      </w:pPr>
    </w:p>
    <w:p>
      <w:pPr>
        <w:jc w:val="both"/>
        <w:ind w:firstLine="8"/>
        <w:spacing w:after="0" w:line="241" w:lineRule="auto"/>
        <w:tabs>
          <w:tab w:leader="none" w:pos="38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195" w:lineRule="exact"/>
        <w:rPr>
          <w:rFonts w:ascii="Arial" w:cs="Arial" w:eastAsia="Arial" w:hAnsi="Arial"/>
          <w:sz w:val="20"/>
          <w:szCs w:val="20"/>
          <w:color w:val="auto"/>
        </w:rPr>
      </w:pPr>
    </w:p>
    <w:p>
      <w:pPr>
        <w:jc w:val="both"/>
        <w:ind w:firstLine="1505"/>
        <w:spacing w:after="0" w:line="274" w:lineRule="auto"/>
        <w:tabs>
          <w:tab w:leader="none" w:pos="198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Liens on fixed or capital assets acquired, constructed or improved by the Parent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security interests secure only Indebtedness incurred to finance the acquisition, construction or improvement of such fixed or capital assets (including Capital Lease Obligations and any Indebtedness assumed in connection with the acquisition of such assets) and extensions, renewals and replacements thereof that do not increase the outstanding principal amount thereof, (ii) such security interests and the Indebtedness secured thereby are incurred prior to or within 270 days after such acquisition or the completion of such construction or improvement, (iii) the Indebtedness secured thereby does not exceed the cost of acquiring, constructing or improving such fixed or capital assets and (iv) such security interests shall not apply to any other property or assets of the Parent or any Subsidiary;</w:t>
      </w:r>
    </w:p>
    <w:p>
      <w:pPr>
        <w:spacing w:after="0" w:line="168" w:lineRule="exact"/>
        <w:rPr>
          <w:rFonts w:ascii="Arial" w:cs="Arial" w:eastAsia="Arial" w:hAnsi="Arial"/>
          <w:sz w:val="18"/>
          <w:szCs w:val="18"/>
          <w:color w:val="auto"/>
        </w:rPr>
      </w:pPr>
    </w:p>
    <w:p>
      <w:pPr>
        <w:jc w:val="both"/>
        <w:ind w:firstLine="1505"/>
        <w:spacing w:after="0" w:line="291" w:lineRule="auto"/>
        <w:tabs>
          <w:tab w:leader="none" w:pos="198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(to the extent a Dutch Loan Party has a Dutch bank account), any Lien arising under clause 24 or 25 of the general banking terms and conditions (</w:t>
      </w:r>
      <w:r>
        <w:rPr>
          <w:rFonts w:ascii="Arial" w:cs="Arial" w:eastAsia="Arial" w:hAnsi="Arial"/>
          <w:sz w:val="18"/>
          <w:szCs w:val="18"/>
          <w:i w:val="1"/>
          <w:iCs w:val="1"/>
          <w:color w:val="auto"/>
        </w:rPr>
        <w:t>algemene bankvoorwaarden</w:t>
      </w:r>
      <w:r>
        <w:rPr>
          <w:rFonts w:ascii="Arial" w:cs="Arial" w:eastAsia="Arial" w:hAnsi="Arial"/>
          <w:sz w:val="18"/>
          <w:szCs w:val="18"/>
          <w:color w:val="auto"/>
        </w:rPr>
        <w:t>) of any member of the Dutch Banking Association (</w:t>
      </w:r>
      <w:r>
        <w:rPr>
          <w:rFonts w:ascii="Arial" w:cs="Arial" w:eastAsia="Arial" w:hAnsi="Arial"/>
          <w:sz w:val="18"/>
          <w:szCs w:val="18"/>
          <w:i w:val="1"/>
          <w:iCs w:val="1"/>
          <w:color w:val="auto"/>
        </w:rPr>
        <w:t>Nederlandse Vereniging van</w:t>
      </w:r>
      <w:r>
        <w:rPr>
          <w:rFonts w:ascii="Arial" w:cs="Arial" w:eastAsia="Arial" w:hAnsi="Arial"/>
          <w:sz w:val="18"/>
          <w:szCs w:val="18"/>
          <w:color w:val="auto"/>
        </w:rPr>
        <w:t xml:space="preserve"> </w:t>
      </w:r>
      <w:r>
        <w:rPr>
          <w:rFonts w:ascii="Arial" w:cs="Arial" w:eastAsia="Arial" w:hAnsi="Arial"/>
          <w:sz w:val="18"/>
          <w:szCs w:val="18"/>
          <w:i w:val="1"/>
          <w:iCs w:val="1"/>
          <w:color w:val="auto"/>
        </w:rPr>
        <w:t>Banken</w:t>
      </w:r>
      <w:r>
        <w:rPr>
          <w:rFonts w:ascii="Arial" w:cs="Arial" w:eastAsia="Arial" w:hAnsi="Arial"/>
          <w:sz w:val="18"/>
          <w:szCs w:val="18"/>
          <w:color w:val="auto"/>
        </w:rPr>
        <w:t>) or any similar term applied by a financial institution in the Netherlands pursuant to its general terms and conditions;</w:t>
      </w:r>
    </w:p>
    <w:p>
      <w:pPr>
        <w:spacing w:after="0" w:line="151" w:lineRule="exact"/>
        <w:rPr>
          <w:rFonts w:ascii="Arial" w:cs="Arial" w:eastAsia="Arial" w:hAnsi="Arial"/>
          <w:sz w:val="18"/>
          <w:szCs w:val="18"/>
          <w:color w:val="auto"/>
        </w:rPr>
      </w:pPr>
    </w:p>
    <w:p>
      <w:pPr>
        <w:jc w:val="both"/>
        <w:ind w:firstLine="1505"/>
        <w:spacing w:after="0" w:line="250" w:lineRule="auto"/>
        <w:tabs>
          <w:tab w:leader="none" w:pos="2000" w:val="left"/>
        </w:tabs>
        <w:numPr>
          <w:ilvl w:val="1"/>
          <w:numId w:val="161"/>
        </w:numPr>
        <w:rPr>
          <w:rFonts w:ascii="Arial" w:cs="Arial" w:eastAsia="Arial" w:hAnsi="Arial"/>
          <w:sz w:val="20"/>
          <w:szCs w:val="20"/>
          <w:color w:val="auto"/>
        </w:rPr>
      </w:pPr>
      <w:r>
        <w:rPr>
          <w:rFonts w:ascii="Arial" w:cs="Arial" w:eastAsia="Arial" w:hAnsi="Arial"/>
          <w:sz w:val="20"/>
          <w:szCs w:val="20"/>
          <w:color w:val="auto"/>
        </w:rPr>
        <w:t>charges or Liens in favor of a regulatory authority or a third party, in each case, as contemplated by the rules or regulations issued by a regulatory authority and with which the applicable Subsidiary is required to comply in order to remain licensed to conduct its business;</w:t>
      </w:r>
    </w:p>
    <w:p>
      <w:pPr>
        <w:spacing w:after="0" w:line="185" w:lineRule="exact"/>
        <w:rPr>
          <w:rFonts w:ascii="Arial" w:cs="Arial" w:eastAsia="Arial" w:hAnsi="Arial"/>
          <w:sz w:val="20"/>
          <w:szCs w:val="20"/>
          <w:color w:val="auto"/>
        </w:rPr>
      </w:pPr>
    </w:p>
    <w:p>
      <w:pPr>
        <w:jc w:val="both"/>
        <w:ind w:firstLine="1505"/>
        <w:spacing w:after="0" w:line="246" w:lineRule="auto"/>
        <w:tabs>
          <w:tab w:leader="none" w:pos="1998" w:val="left"/>
        </w:tabs>
        <w:numPr>
          <w:ilvl w:val="1"/>
          <w:numId w:val="161"/>
        </w:numPr>
        <w:rPr>
          <w:rFonts w:ascii="Arial" w:cs="Arial" w:eastAsia="Arial" w:hAnsi="Arial"/>
          <w:sz w:val="20"/>
          <w:szCs w:val="20"/>
          <w:color w:val="auto"/>
        </w:rPr>
      </w:pPr>
      <w:r>
        <w:rPr>
          <w:rFonts w:ascii="Arial" w:cs="Arial" w:eastAsia="Arial" w:hAnsi="Arial"/>
          <w:sz w:val="20"/>
          <w:szCs w:val="20"/>
          <w:color w:val="auto"/>
        </w:rPr>
        <w:t>Liens over credit balances created in favor of any bank (i) relating to the establishment of cash management and treasury services, including commercial credit card or purchase card programs and other similar arrangements, (ii) in order to facilitate the operation of bank accounts on a net balance basis or (iii) in connection with any Bankers Automated Clearing Services facility, in each case used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6" w:name="page167"/>
    <w:bookmarkEnd w:id="166"/>
    <w:p>
      <w:pPr>
        <w:ind w:firstLine="1505"/>
        <w:spacing w:after="0" w:line="260" w:lineRule="auto"/>
        <w:tabs>
          <w:tab w:leader="none" w:pos="1988"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Liens comprised by escrow arrangements entered into in connection with asset sales, transfers or other dispositions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ind w:firstLine="1505"/>
        <w:spacing w:after="0" w:line="316" w:lineRule="auto"/>
        <w:tabs>
          <w:tab w:leader="none" w:pos="200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Liens arising in connection with leases, licenses, subleases and sublicenses that are entered into in the ordinary course of business or that do not interfere in any material respect with the business of the Parent and its Subsidiaries, taken as a whole;</w:t>
      </w:r>
    </w:p>
    <w:p>
      <w:pPr>
        <w:spacing w:after="0" w:line="129" w:lineRule="exact"/>
        <w:rPr>
          <w:rFonts w:ascii="Arial" w:cs="Arial" w:eastAsia="Arial" w:hAnsi="Arial"/>
          <w:sz w:val="18"/>
          <w:szCs w:val="18"/>
          <w:color w:val="auto"/>
        </w:rPr>
      </w:pPr>
    </w:p>
    <w:p>
      <w:pPr>
        <w:ind w:firstLine="1505"/>
        <w:spacing w:after="0" w:line="260" w:lineRule="auto"/>
        <w:tabs>
          <w:tab w:leader="none" w:pos="1984"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other Liens;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sum of the aggregate principal amount of obligations secured by such Liens shall not, at any time, exceed 10% of Net Worth.</w:t>
      </w:r>
    </w:p>
    <w:p>
      <w:pPr>
        <w:spacing w:after="0" w:line="177"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8"/>
          <w:szCs w:val="18"/>
          <w:color w:val="010000"/>
        </w:rPr>
        <w:t xml:space="preserve">7.03 </w:t>
      </w:r>
      <w:r>
        <w:rPr>
          <w:rFonts w:ascii="Arial" w:cs="Arial" w:eastAsia="Arial" w:hAnsi="Arial"/>
          <w:sz w:val="18"/>
          <w:szCs w:val="18"/>
          <w:color w:val="000000"/>
        </w:rPr>
        <w:t>Investments. The Parent and the Company will not permit WSI or any other Subsidiary that is a licensed broker-dealer to</w:t>
      </w:r>
      <w:r>
        <w:rPr>
          <w:rFonts w:ascii="Arial" w:cs="Arial" w:eastAsia="Arial" w:hAnsi="Arial"/>
          <w:sz w:val="18"/>
          <w:szCs w:val="18"/>
          <w:color w:val="010000"/>
        </w:rPr>
        <w:t xml:space="preserve"> </w:t>
      </w:r>
      <w:r>
        <w:rPr>
          <w:rFonts w:ascii="Arial" w:cs="Arial" w:eastAsia="Arial" w:hAnsi="Arial"/>
          <w:sz w:val="18"/>
          <w:szCs w:val="18"/>
          <w:color w:val="000000"/>
        </w:rPr>
        <w:t>make Investments in any Underwritten Securities in the ordinary course of WSI’s or such Subsidiary’s business in an aggregate amount</w:t>
      </w:r>
    </w:p>
    <w:p>
      <w:pPr>
        <w:jc w:val="both"/>
        <w:spacing w:after="0" w:line="246" w:lineRule="auto"/>
        <w:rPr>
          <w:sz w:val="20"/>
          <w:szCs w:val="20"/>
          <w:color w:val="auto"/>
        </w:rPr>
      </w:pPr>
      <w:r>
        <w:rPr>
          <w:rFonts w:ascii="Arial" w:cs="Arial" w:eastAsia="Arial" w:hAnsi="Arial"/>
          <w:sz w:val="20"/>
          <w:szCs w:val="20"/>
          <w:color w:val="auto"/>
        </w:rPr>
        <w:t>exceeding at any one time outstanding $950,000,000 (including the Investments made with the proceeds of Indebtedness incurred pursuant to Section 7.01(g)); provided that such Investments shall not be made or maintained using proceeds of Borrowings of the Loans in aggregate amount exceeding $800,000,000 at any time outstanding.</w:t>
      </w:r>
    </w:p>
    <w:p>
      <w:pPr>
        <w:spacing w:after="0" w:line="18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010000"/>
        </w:rPr>
        <w:t xml:space="preserve">7.04 </w:t>
      </w:r>
      <w:r>
        <w:rPr>
          <w:rFonts w:ascii="Arial" w:cs="Arial" w:eastAsia="Arial" w:hAnsi="Arial"/>
          <w:sz w:val="20"/>
          <w:szCs w:val="20"/>
          <w:color w:val="000000"/>
        </w:rPr>
        <w:t>Fundamental Changes</w:t>
      </w:r>
      <w:r>
        <w:rPr>
          <w:rFonts w:ascii="Arial" w:cs="Arial" w:eastAsia="Arial" w:hAnsi="Arial"/>
          <w:sz w:val="20"/>
          <w:szCs w:val="20"/>
          <w:b w:val="1"/>
          <w:bCs w:val="1"/>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The Parent and the Company will not, and will not permit any other Loan Party to (x) either (i) merge</w:t>
      </w:r>
      <w:r>
        <w:rPr>
          <w:rFonts w:ascii="Arial" w:cs="Arial" w:eastAsia="Arial" w:hAnsi="Arial"/>
          <w:sz w:val="20"/>
          <w:szCs w:val="20"/>
          <w:color w:val="010000"/>
        </w:rPr>
        <w:t xml:space="preserve"> </w:t>
      </w:r>
      <w:r>
        <w:rPr>
          <w:rFonts w:ascii="Arial" w:cs="Arial" w:eastAsia="Arial" w:hAnsi="Arial"/>
          <w:sz w:val="20"/>
          <w:szCs w:val="20"/>
          <w:color w:val="000000"/>
        </w:rPr>
        <w:t>into or consolidate with any other Person, or permit any other Person to merge into or consolidate with it, or (ii) liquidate or dissolve or (y) otherwise dispose of (whether in one transaction or in a series of related transactions) all or substantially all of the assets of the Parent and its Subsidiaries taken as a whole, except that, if at the time thereof and immediately after giving effect thereto no Default shall have occurred and be continuing:</w:t>
      </w:r>
    </w:p>
    <w:p>
      <w:pPr>
        <w:spacing w:after="0" w:line="191" w:lineRule="exact"/>
        <w:rPr>
          <w:sz w:val="20"/>
          <w:szCs w:val="20"/>
          <w:color w:val="auto"/>
        </w:rPr>
      </w:pPr>
    </w:p>
    <w:p>
      <w:pPr>
        <w:jc w:val="both"/>
        <w:ind w:firstLine="1505"/>
        <w:spacing w:after="0" w:line="246" w:lineRule="auto"/>
        <w:tabs>
          <w:tab w:leader="none" w:pos="199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any Subsidiary may merge with or into the Parent, the Company or any other Loan Party in a transaction in which the Parent, the Company or such Loan Party, as the case may be, is the surviving entity;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Parent and the Company will not merge with or into each other and (ii) if the Parent or the Company merges with any other Loan Party, the Parent or the Company, as the case may be, must be the surviving entity;</w:t>
      </w:r>
    </w:p>
    <w:p>
      <w:pPr>
        <w:spacing w:after="0" w:line="191" w:lineRule="exact"/>
        <w:rPr>
          <w:rFonts w:ascii="Arial" w:cs="Arial" w:eastAsia="Arial" w:hAnsi="Arial"/>
          <w:sz w:val="20"/>
          <w:szCs w:val="20"/>
          <w:color w:val="auto"/>
        </w:rPr>
      </w:pPr>
    </w:p>
    <w:p>
      <w:pPr>
        <w:jc w:val="both"/>
        <w:ind w:firstLine="1505"/>
        <w:spacing w:after="0" w:line="269" w:lineRule="auto"/>
        <w:tabs>
          <w:tab w:leader="none" w:pos="198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any Person may merge or consolidate with or into the Parent, the Company or any other Loan Party in a transaction in which the Parent, the Company or such Loan Party, as the case may be, is not the surviving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(i)(A) in the case of a Person merging or consolidating with or into the Company, the Person formed by or surviving any such merger or consolidation shall be a company organized or existing under the laws of the jurisdiction in which the Company is organized and (B) in the case of a Person merging or consolidating with or into the Parent or any other Loan Party other than the Company, the Person formed by or surviving any merger or consolidation shall be a company organized or existing under the laws of the United States, any state thereof, the District of Columbia or any territory thereof or the laws of any other jurisdiction in which the Parent or such other Loan Party is organized (such Person being herein referred to as the “</w:t>
      </w:r>
      <w:r>
        <w:rPr>
          <w:rFonts w:ascii="Arial" w:cs="Arial" w:eastAsia="Arial" w:hAnsi="Arial"/>
          <w:sz w:val="18"/>
          <w:szCs w:val="18"/>
          <w:u w:val="single" w:color="auto"/>
          <w:color w:val="auto"/>
        </w:rPr>
        <w:t>Successor Entity</w:t>
      </w:r>
      <w:r>
        <w:rPr>
          <w:rFonts w:ascii="Arial" w:cs="Arial" w:eastAsia="Arial" w:hAnsi="Arial"/>
          <w:sz w:val="18"/>
          <w:szCs w:val="18"/>
          <w:color w:val="auto"/>
        </w:rPr>
        <w:t>”), (ii) the Successor Entity shall expressly assume all the obligations of the Parent, the Company or the applicable Loan Party, as the case may be, under the Loan Documents to which the Parent, the Company or such Loan Party, as applicable, is a party, pursuant to a supplement hereto or thereto in form reasonably satisfactory to the Administrative Agent, (iii) if such merger or consolidation involves the Company, then each Guarantor, unless it is the other party to such merger or consolidation, shall have (by a supplement to the Guaranty Agreement) confirmed that its Guarantee shall apply to all of the Successor Entity’s obligations under this Agreement, (iv) if requested by the Administrative Agent, the Administrative Agent shall have received an opinion of counsel reasonably satisfactory to the Administrative Agent to the effect that the applicable Loan Documents are legal, valid, binding and enforceable obligations of the Successor Entity and (v) this clause (b) shall not be construed to permit the Company to merge with or into the Parent;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7" w:name="page168"/>
    <w:bookmarkEnd w:id="167"/>
    <w:p>
      <w:pPr>
        <w:jc w:val="both"/>
        <w:ind w:firstLine="1505"/>
        <w:spacing w:after="0" w:line="250" w:lineRule="auto"/>
        <w:tabs>
          <w:tab w:leader="none" w:pos="1983" w:val="left"/>
        </w:tabs>
        <w:numPr>
          <w:ilvl w:val="0"/>
          <w:numId w:val="164"/>
        </w:numPr>
        <w:rPr>
          <w:rFonts w:ascii="Arial" w:cs="Arial" w:eastAsia="Arial" w:hAnsi="Arial"/>
          <w:sz w:val="20"/>
          <w:szCs w:val="20"/>
          <w:color w:val="auto"/>
        </w:rPr>
      </w:pPr>
      <w:r>
        <w:rPr>
          <w:rFonts w:ascii="Arial" w:cs="Arial" w:eastAsia="Arial" w:hAnsi="Arial"/>
          <w:sz w:val="20"/>
          <w:szCs w:val="20"/>
          <w:color w:val="auto"/>
        </w:rPr>
        <w:t>any Loan Party may dissolve, liquidate or wind-up its affairs at any time if such dissolution, liquidation or winding-up is not disadvantageous to the Administrative Agent or any Lender in any material respect and any remaining assets are transferred to, or disposed in favor of, another Loan Party.</w:t>
      </w:r>
    </w:p>
    <w:p>
      <w:pPr>
        <w:spacing w:after="0" w:line="18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the case of any such merger of the Parent or the Company in accordance with clause (b) above, the Successor Entity shall be deemed to be the Parent or the Company, as applicable, for all purposes of the Loan Documents.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7.05 </w:t>
      </w:r>
      <w:r>
        <w:rPr>
          <w:rFonts w:ascii="Arial" w:cs="Arial" w:eastAsia="Arial" w:hAnsi="Arial"/>
          <w:sz w:val="20"/>
          <w:szCs w:val="20"/>
          <w:color w:val="000000"/>
        </w:rPr>
        <w:t>[Reserved].</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7.06 </w:t>
      </w:r>
      <w:r>
        <w:rPr>
          <w:rFonts w:ascii="Arial" w:cs="Arial" w:eastAsia="Arial" w:hAnsi="Arial"/>
          <w:sz w:val="20"/>
          <w:szCs w:val="20"/>
          <w:color w:val="000000"/>
        </w:rPr>
        <w:t>[Reserved].</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7.07 </w:t>
      </w:r>
      <w:r>
        <w:rPr>
          <w:rFonts w:ascii="Arial" w:cs="Arial" w:eastAsia="Arial" w:hAnsi="Arial"/>
          <w:sz w:val="20"/>
          <w:szCs w:val="20"/>
          <w:color w:val="000000"/>
        </w:rPr>
        <w:t>[Reserved].</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7.08 </w:t>
      </w:r>
      <w:r>
        <w:rPr>
          <w:rFonts w:ascii="Arial" w:cs="Arial" w:eastAsia="Arial" w:hAnsi="Arial"/>
          <w:sz w:val="20"/>
          <w:szCs w:val="20"/>
          <w:color w:val="000000"/>
        </w:rPr>
        <w:t>Financial Covenants.</w:t>
      </w:r>
    </w:p>
    <w:p>
      <w:pPr>
        <w:spacing w:after="0" w:line="216" w:lineRule="exact"/>
        <w:rPr>
          <w:sz w:val="20"/>
          <w:szCs w:val="20"/>
          <w:color w:val="auto"/>
        </w:rPr>
      </w:pPr>
    </w:p>
    <w:p>
      <w:pPr>
        <w:ind w:firstLine="1505"/>
        <w:spacing w:after="0" w:line="260" w:lineRule="auto"/>
        <w:tabs>
          <w:tab w:leader="none" w:pos="1998"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Consolidated Cash Interest Coverage Ratio</w:t>
      </w:r>
      <w:r>
        <w:rPr>
          <w:rFonts w:ascii="Arial" w:cs="Arial" w:eastAsia="Arial" w:hAnsi="Arial"/>
          <w:sz w:val="20"/>
          <w:szCs w:val="20"/>
          <w:color w:val="auto"/>
        </w:rPr>
        <w:t>. The Parent and the Company will not permit the Consolidated Cash Interest Coverage Ratio as of the end of any Measurement Period to be less than 4.00 to 1.00.</w:t>
      </w:r>
    </w:p>
    <w:p>
      <w:pPr>
        <w:spacing w:after="0" w:line="176" w:lineRule="exact"/>
        <w:rPr>
          <w:rFonts w:ascii="Arial" w:cs="Arial" w:eastAsia="Arial" w:hAnsi="Arial"/>
          <w:sz w:val="20"/>
          <w:szCs w:val="20"/>
          <w:color w:val="auto"/>
        </w:rPr>
      </w:pPr>
    </w:p>
    <w:p>
      <w:pPr>
        <w:jc w:val="both"/>
        <w:ind w:firstLine="1505"/>
        <w:spacing w:after="0" w:line="270" w:lineRule="auto"/>
        <w:tabs>
          <w:tab w:leader="none" w:pos="1989"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xml:space="preserve">. The Parent and the Company will not permit the Consolidated Leverage Ratio as of the end of any Measurement Period of the Parent to be greater than 3.25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written request of the Company (such request, which shall include a listing of the acquisitions so made, a “</w:t>
      </w:r>
      <w:r>
        <w:rPr>
          <w:rFonts w:ascii="Arial" w:cs="Arial" w:eastAsia="Arial" w:hAnsi="Arial"/>
          <w:sz w:val="18"/>
          <w:szCs w:val="18"/>
          <w:u w:val="single" w:color="auto"/>
          <w:color w:val="auto"/>
        </w:rPr>
        <w:t>Covenant Reset Request</w:t>
      </w:r>
      <w:r>
        <w:rPr>
          <w:rFonts w:ascii="Arial" w:cs="Arial" w:eastAsia="Arial" w:hAnsi="Arial"/>
          <w:sz w:val="18"/>
          <w:szCs w:val="18"/>
          <w:color w:val="auto"/>
        </w:rPr>
        <w:t xml:space="preserve">”), but without any action on the part of the Administrative Agent or any Lender, at any time where during the prior 15 month period the Company can demonstrate that it and/or any other Subsidiaries of the Parent have made acquisitions whose aggregate consideration equals or exceeds the Requisite Qualified Acquisition Threshold (without duplication of any acquisition that was included in any previous Covenant Reset Request), the maximum Consolidated Leverage Ratio permitted under this </w:t>
      </w:r>
      <w:r>
        <w:rPr>
          <w:rFonts w:ascii="Arial" w:cs="Arial" w:eastAsia="Arial" w:hAnsi="Arial"/>
          <w:sz w:val="18"/>
          <w:szCs w:val="18"/>
          <w:u w:val="single" w:color="auto"/>
          <w:color w:val="auto"/>
        </w:rPr>
        <w:t>Section 7.08(b)</w:t>
      </w:r>
      <w:r>
        <w:rPr>
          <w:rFonts w:ascii="Arial" w:cs="Arial" w:eastAsia="Arial" w:hAnsi="Arial"/>
          <w:sz w:val="18"/>
          <w:szCs w:val="18"/>
          <w:color w:val="auto"/>
        </w:rPr>
        <w:t xml:space="preserve"> shall be automatically increased from 3.25 to 1.00 to 3.75 to 1.00 for the last day of each fiscal quarter of the Covenant Reset Period related to such Covenant Reset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Company shall provide to the Administrative Agent such details with respect to such acquisitions as the Administrative Agent, in its reasonable discretion, shall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after the end of each Covenant Reset Period, the Company shall deliver to the Administrative Agent an executed Compliance Certificate that shall evidence the Company’s compliance with a Consolidated Leverage Ratio of 3.25 to 1.00 for a full fiscal quarter following the end of such Covenant Reset Period before becoming entitled to make an additional Covenant Reset Request (which, for the avoidance of doubt, must nonetheless comply with the other requirements of this </w:t>
      </w:r>
      <w:r>
        <w:rPr>
          <w:rFonts w:ascii="Arial" w:cs="Arial" w:eastAsia="Arial" w:hAnsi="Arial"/>
          <w:sz w:val="18"/>
          <w:szCs w:val="18"/>
          <w:u w:val="single" w:color="auto"/>
          <w:color w:val="auto"/>
        </w:rPr>
        <w:t>Section 7.08(b))</w:t>
      </w:r>
      <w:r>
        <w:rPr>
          <w:rFonts w:ascii="Arial" w:cs="Arial" w:eastAsia="Arial" w:hAnsi="Arial"/>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VIII</w:t>
      </w:r>
    </w:p>
    <w:p>
      <w:pPr>
        <w:spacing w:after="0" w:line="16" w:lineRule="exact"/>
        <w:rPr>
          <w:sz w:val="20"/>
          <w:szCs w:val="20"/>
          <w:color w:val="auto"/>
        </w:rPr>
      </w:pPr>
    </w:p>
    <w:p>
      <w:pPr>
        <w:ind w:left="3800"/>
        <w:spacing w:after="0"/>
        <w:rPr>
          <w:sz w:val="20"/>
          <w:szCs w:val="20"/>
          <w:color w:val="auto"/>
        </w:rPr>
      </w:pPr>
      <w:r>
        <w:rPr>
          <w:rFonts w:ascii="Arial" w:cs="Arial" w:eastAsia="Arial" w:hAnsi="Arial"/>
          <w:sz w:val="20"/>
          <w:szCs w:val="20"/>
          <w:b w:val="1"/>
          <w:bCs w:val="1"/>
          <w:u w:val="single" w:color="auto"/>
          <w:color w:val="auto"/>
        </w:rPr>
        <w:t>EVENTS OF DEFAULT AND REMEDIES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8.01 </w:t>
      </w:r>
      <w:r>
        <w:rPr>
          <w:rFonts w:ascii="Arial" w:cs="Arial" w:eastAsia="Arial" w:hAnsi="Arial"/>
          <w:sz w:val="20"/>
          <w:szCs w:val="20"/>
          <w:color w:val="000000"/>
        </w:rPr>
        <w:t>Events of Default. Any of the following shall constitute an “</w:t>
      </w:r>
      <w:r>
        <w:rPr>
          <w:rFonts w:ascii="Arial" w:cs="Arial" w:eastAsia="Arial" w:hAnsi="Arial"/>
          <w:sz w:val="20"/>
          <w:szCs w:val="20"/>
          <w:u w:val="single" w:color="auto"/>
          <w:color w:val="000000"/>
        </w:rPr>
        <w:t>Event of Default</w:t>
      </w:r>
      <w:r>
        <w:rPr>
          <w:rFonts w:ascii="Arial" w:cs="Arial" w:eastAsia="Arial" w:hAnsi="Arial"/>
          <w:sz w:val="20"/>
          <w:szCs w:val="20"/>
          <w:color w:val="000000"/>
        </w:rPr>
        <w:t>”:</w:t>
      </w:r>
    </w:p>
    <w:p>
      <w:pPr>
        <w:spacing w:after="0" w:line="216" w:lineRule="exact"/>
        <w:rPr>
          <w:sz w:val="20"/>
          <w:szCs w:val="20"/>
          <w:color w:val="auto"/>
        </w:rPr>
      </w:pPr>
    </w:p>
    <w:p>
      <w:pPr>
        <w:jc w:val="both"/>
        <w:ind w:firstLine="1505"/>
        <w:spacing w:after="0" w:line="276" w:lineRule="auto"/>
        <w:tabs>
          <w:tab w:leader="none" w:pos="1986"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xml:space="preserve">. Either (i) any Borrower shall fail to pay any principal of any Loan or any L/C Obligation when and as the same shall become due and payable, whether at the due date thereof or at a date fixed for prepayment thereof or otherwise (including with respect to Extended Letters of Credit after the Applicable Maturity Date) or (ii) any Borrower shall fail to pay any interest on any Loan or on any L/C Obligation, or any fee or any other amount (other than an amount referred to in subclause (i) of this clause (a)) payable under this Agreement, when and as the same shall become due and payable (including with respect to Extended Letters of Credit after the Applicable Maturity Date) or pursuant to </w:t>
      </w:r>
      <w:r>
        <w:rPr>
          <w:rFonts w:ascii="Arial" w:cs="Arial" w:eastAsia="Arial" w:hAnsi="Arial"/>
          <w:sz w:val="18"/>
          <w:szCs w:val="18"/>
          <w:u w:val="single" w:color="auto"/>
          <w:color w:val="auto"/>
        </w:rPr>
        <w:t>Section 2.03(q)</w:t>
      </w:r>
      <w:r>
        <w:rPr>
          <w:rFonts w:ascii="Arial" w:cs="Arial" w:eastAsia="Arial" w:hAnsi="Arial"/>
          <w:sz w:val="18"/>
          <w:szCs w:val="18"/>
          <w:color w:val="auto"/>
        </w:rPr>
        <w:t>, and such failure shall continue unremedied for a period of three Business Days;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68" w:name="page169"/>
    <w:bookmarkEnd w:id="168"/>
    <w:p>
      <w:pPr>
        <w:ind w:left="-1120" w:firstLine="1505"/>
        <w:spacing w:after="0" w:line="287" w:lineRule="auto"/>
        <w:tabs>
          <w:tab w:leader="none" w:pos="895"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Specific Covenants</w:t>
      </w:r>
      <w:r>
        <w:rPr>
          <w:rFonts w:ascii="Arial" w:cs="Arial" w:eastAsia="Arial" w:hAnsi="Arial"/>
          <w:sz w:val="19"/>
          <w:szCs w:val="19"/>
          <w:color w:val="auto"/>
        </w:rPr>
        <w:t xml:space="preserve">. The Parent or the Borrowers shall fail to observe or perform any covenant, condition or agreement contained in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6.03</w:t>
      </w:r>
      <w:r>
        <w:rPr>
          <w:rFonts w:ascii="Arial" w:cs="Arial" w:eastAsia="Arial" w:hAnsi="Arial"/>
          <w:sz w:val="19"/>
          <w:szCs w:val="19"/>
          <w:color w:val="auto"/>
        </w:rPr>
        <w:t xml:space="preserve"> (with respect to the existence of the Parent or each Borrower), </w:t>
      </w:r>
      <w:r>
        <w:rPr>
          <w:rFonts w:ascii="Arial" w:cs="Arial" w:eastAsia="Arial" w:hAnsi="Arial"/>
          <w:sz w:val="19"/>
          <w:szCs w:val="19"/>
          <w:u w:val="single" w:color="auto"/>
          <w:color w:val="auto"/>
        </w:rPr>
        <w:t>6.08</w:t>
      </w:r>
      <w:r>
        <w:rPr>
          <w:rFonts w:ascii="Arial" w:cs="Arial" w:eastAsia="Arial" w:hAnsi="Arial"/>
          <w:sz w:val="19"/>
          <w:szCs w:val="19"/>
          <w:color w:val="auto"/>
        </w:rPr>
        <w:t xml:space="preserve"> or in </w:t>
      </w:r>
      <w:r>
        <w:rPr>
          <w:rFonts w:ascii="Arial" w:cs="Arial" w:eastAsia="Arial" w:hAnsi="Arial"/>
          <w:sz w:val="19"/>
          <w:szCs w:val="19"/>
          <w:u w:val="single" w:color="auto"/>
          <w:color w:val="auto"/>
        </w:rPr>
        <w:t>Article VII</w:t>
      </w:r>
      <w:r>
        <w:rPr>
          <w:rFonts w:ascii="Arial" w:cs="Arial" w:eastAsia="Arial" w:hAnsi="Arial"/>
          <w:sz w:val="19"/>
          <w:szCs w:val="19"/>
          <w:color w:val="auto"/>
        </w:rPr>
        <w:t>; or</w:t>
      </w:r>
    </w:p>
    <w:p>
      <w:pPr>
        <w:spacing w:after="0" w:line="152" w:lineRule="exact"/>
        <w:rPr>
          <w:rFonts w:ascii="Arial" w:cs="Arial" w:eastAsia="Arial" w:hAnsi="Arial"/>
          <w:sz w:val="19"/>
          <w:szCs w:val="19"/>
          <w:color w:val="auto"/>
        </w:rPr>
      </w:pPr>
    </w:p>
    <w:p>
      <w:pPr>
        <w:jc w:val="both"/>
        <w:ind w:left="-1120" w:firstLine="1505"/>
        <w:spacing w:after="0" w:line="246" w:lineRule="auto"/>
        <w:tabs>
          <w:tab w:leader="none" w:pos="865" w:val="left"/>
        </w:tabs>
        <w:numPr>
          <w:ilvl w:val="0"/>
          <w:numId w:val="167"/>
        </w:numPr>
        <w:rPr>
          <w:rFonts w:ascii="Arial" w:cs="Arial" w:eastAsia="Arial" w:hAnsi="Arial"/>
          <w:sz w:val="20"/>
          <w:szCs w:val="20"/>
          <w:color w:val="auto"/>
        </w:rPr>
      </w:pPr>
      <w:r>
        <w:rPr>
          <w:rFonts w:ascii="Arial" w:cs="Arial" w:eastAsia="Arial" w:hAnsi="Arial"/>
          <w:sz w:val="20"/>
          <w:szCs w:val="20"/>
          <w:u w:val="single" w:color="auto"/>
          <w:color w:val="auto"/>
        </w:rPr>
        <w:t>Other Defaults</w:t>
      </w:r>
      <w:r>
        <w:rPr>
          <w:rFonts w:ascii="Arial" w:cs="Arial" w:eastAsia="Arial" w:hAnsi="Arial"/>
          <w:sz w:val="20"/>
          <w:szCs w:val="20"/>
          <w:color w:val="auto"/>
        </w:rPr>
        <w:t>. Any Loan Party shall fail to observe or perform any covenant, condition or agreement contained in any Loan Document (other than those specified in clause (a) or (b) of this Article), and, if such failure is capable of remedy, such failure shall continue unremedied for a period of 30 days after notice thereof from the Administrative Agent to the Company (which notice will be given at the request of any Lender); or</w:t>
      </w:r>
    </w:p>
    <w:p>
      <w:pPr>
        <w:spacing w:after="0" w:line="191" w:lineRule="exact"/>
        <w:rPr>
          <w:rFonts w:ascii="Arial" w:cs="Arial" w:eastAsia="Arial" w:hAnsi="Arial"/>
          <w:sz w:val="20"/>
          <w:szCs w:val="20"/>
          <w:color w:val="auto"/>
        </w:rPr>
      </w:pPr>
    </w:p>
    <w:p>
      <w:pPr>
        <w:jc w:val="both"/>
        <w:ind w:left="-1120" w:firstLine="1505"/>
        <w:spacing w:after="0" w:line="263" w:lineRule="auto"/>
        <w:tabs>
          <w:tab w:leader="none" w:pos="889"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Any representation or warranty made or deemed made by or on behalf of the Parent, the Borrowers or any other Subsidiary in or in connection with any Loan Document, any certificate or any financial statement furnished pursuant to any Loan Document, shall prove to have been incorrect in any material respect (or, with respect to any representation or warranty modified by materiality or Material Adverse Effect, in any respect) when made or deemed made; or</w:t>
      </w:r>
    </w:p>
    <w:p>
      <w:pPr>
        <w:spacing w:after="0" w:line="176" w:lineRule="exact"/>
        <w:rPr>
          <w:rFonts w:ascii="Arial" w:cs="Arial" w:eastAsia="Arial" w:hAnsi="Arial"/>
          <w:sz w:val="19"/>
          <w:szCs w:val="19"/>
          <w:color w:val="auto"/>
        </w:rPr>
      </w:pPr>
    </w:p>
    <w:p>
      <w:pPr>
        <w:jc w:val="both"/>
        <w:ind w:left="-1120" w:firstLine="1505"/>
        <w:spacing w:after="0" w:line="273" w:lineRule="auto"/>
        <w:tabs>
          <w:tab w:leader="none" w:pos="889"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 xml:space="preserve">. Either (i) the Parent or any Subsidiary shall fail to make any payment (whether of principal or interest and regardless of amount) in respect of any Material Indebtedness or Material Swap Obligations, when and as the same shall become due and payable (after taking into account any period of grace provided with respect thereto) or (ii) any event or condition occurs beyond any period of grace that results in any Material Indebtedness becoming due prior to its scheduled maturity or that enables or permits (with or without the giving of notice) the holder or holders of any Material Indebtedness or any trustee or agent on its or their behalf to cause any Material Indebtedness to become due, or to require the prepayment, repurchase, redemption or defeasance thereof, prior to its scheduled maturity (other than by a regularly scheduled required prepayment);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(e) shall not apply to secured Indebtedness that becomes due as a result of the voluntary sale or transfer of the property or assets securing such Indebtedness; or</w:t>
      </w:r>
    </w:p>
    <w:p>
      <w:pPr>
        <w:spacing w:after="0" w:line="168" w:lineRule="exact"/>
        <w:rPr>
          <w:rFonts w:ascii="Arial" w:cs="Arial" w:eastAsia="Arial" w:hAnsi="Arial"/>
          <w:sz w:val="18"/>
          <w:szCs w:val="18"/>
          <w:color w:val="auto"/>
        </w:rPr>
      </w:pPr>
    </w:p>
    <w:p>
      <w:pPr>
        <w:jc w:val="both"/>
        <w:ind w:left="-1120" w:firstLine="1505"/>
        <w:spacing w:after="0" w:line="257" w:lineRule="auto"/>
        <w:tabs>
          <w:tab w:leader="none" w:pos="861"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Involuntary Insolvency Proceedings, Etc</w:t>
      </w:r>
      <w:r>
        <w:rPr>
          <w:rFonts w:ascii="Arial" w:cs="Arial" w:eastAsia="Arial" w:hAnsi="Arial"/>
          <w:sz w:val="19"/>
          <w:szCs w:val="19"/>
          <w:color w:val="auto"/>
        </w:rPr>
        <w:t>. An involuntary proceeding shall be commenced or an involuntary petition shall be filed seeking (i) liquidation, reorganization or other relief (including the suspension of payments or a moratorium of any indebtedness) in respect of the Parent, any Borrower or any Significant Subsidiary or its debts, or of a substantial part of its assets, under any federal, state or foreign bankruptcy, insolvency, receivership or similar law now or hereafter in effect or (ii) the appointment of a receiver, trustee, custodian, sequestrator, administrator, conservator or similar official for the Parent, any Borrower or any Significant Subsidiary or for a substantial part of its assets, and, in any such case, if such proceeding or petition has been commenced under Federal or state bankruptcy, insolvency, receivership or similar law, such proceeding or petition shall continue undismissed for 60 days or an order or decree approving or ordering any of the foregoing shall be entered; or</w:t>
      </w:r>
    </w:p>
    <w:p>
      <w:pPr>
        <w:spacing w:after="0" w:line="180" w:lineRule="exact"/>
        <w:rPr>
          <w:rFonts w:ascii="Arial" w:cs="Arial" w:eastAsia="Arial" w:hAnsi="Arial"/>
          <w:sz w:val="19"/>
          <w:szCs w:val="19"/>
          <w:color w:val="auto"/>
        </w:rPr>
      </w:pPr>
    </w:p>
    <w:p>
      <w:pPr>
        <w:jc w:val="both"/>
        <w:ind w:left="-1120" w:firstLine="1505"/>
        <w:spacing w:after="0" w:line="274" w:lineRule="auto"/>
        <w:tabs>
          <w:tab w:leader="none" w:pos="861"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Voluntary Insolvency Proceedings, Etc</w:t>
      </w:r>
      <w:r>
        <w:rPr>
          <w:rFonts w:ascii="Arial" w:cs="Arial" w:eastAsia="Arial" w:hAnsi="Arial"/>
          <w:sz w:val="18"/>
          <w:szCs w:val="18"/>
          <w:color w:val="auto"/>
        </w:rPr>
        <w:t>. The Parent, any Borrower or any Significant Subsidiary shall (i) voluntarily commence any proceeding or file any petition seeking liquidation, reorganization, administration or other relief under any federal, state or foreign bankruptcy, insolvency, receivership or similar law now or hereafter in effect, (ii) consent to the institution of, or fail to contest in a timely and appropriate manner, any proceeding or petition described in clause (f) of this Article, (iii) apply for or consent to the appointment of a receiver, trustee, custodian, sequestrator, conservator or similar official for the Parent, any Borrower or any Significant Subsidiary or for a substantial part of its assets, (iv) file an answer admitting the material allegations of a petition filed against it in any such proceeding, (v) make a general assignment for the benefit of creditors or (vi) take any corporate action for the purpose of effecting any of the foregoing;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319405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169" w:name="page170"/>
    <w:bookmarkEnd w:id="169"/>
    <w:p>
      <w:pPr>
        <w:ind w:firstLine="1505"/>
        <w:spacing w:after="0" w:line="260" w:lineRule="auto"/>
        <w:tabs>
          <w:tab w:leader="none" w:pos="2009"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Inability to Pay Debts</w:t>
      </w:r>
      <w:r>
        <w:rPr>
          <w:rFonts w:ascii="Arial" w:cs="Arial" w:eastAsia="Arial" w:hAnsi="Arial"/>
          <w:sz w:val="20"/>
          <w:szCs w:val="20"/>
          <w:color w:val="auto"/>
        </w:rPr>
        <w:t>. The Parent, any Borrower or any Significant Subsidiary shall become unable, admit in writing its inability or fail generally to pay its debts as they become due; or</w:t>
      </w:r>
    </w:p>
    <w:p>
      <w:pPr>
        <w:spacing w:after="0" w:line="176" w:lineRule="exact"/>
        <w:rPr>
          <w:rFonts w:ascii="Arial" w:cs="Arial" w:eastAsia="Arial" w:hAnsi="Arial"/>
          <w:sz w:val="20"/>
          <w:szCs w:val="20"/>
          <w:color w:val="auto"/>
        </w:rPr>
      </w:pPr>
    </w:p>
    <w:p>
      <w:pPr>
        <w:jc w:val="both"/>
        <w:ind w:firstLine="1505"/>
        <w:spacing w:after="0" w:line="243" w:lineRule="auto"/>
        <w:tabs>
          <w:tab w:leader="none" w:pos="1992"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Judgments</w:t>
      </w:r>
      <w:r>
        <w:rPr>
          <w:rFonts w:ascii="Arial" w:cs="Arial" w:eastAsia="Arial" w:hAnsi="Arial"/>
          <w:sz w:val="20"/>
          <w:szCs w:val="20"/>
          <w:color w:val="auto"/>
        </w:rPr>
        <w:t>. One or more judgments for the payment of money in an aggregate amount in excess of $100,000,000 (to the extent not covered by insurance provided by a carrier that is not disputing coverage) shall be rendered against the Parent, any Subsidiary or any combination thereof and the same shall remain unpaid, unvacated, unbonded, unstayed or undischarged, in each case for a period of 60 consecutive days during which period execution shall not be effectively stayed; or any formal legal process has been commenced by a judgment creditor to attach or levy upon any material assets of the Parent or any Subsidiary to enforce any such judgment; or</w:t>
      </w:r>
    </w:p>
    <w:p>
      <w:pPr>
        <w:spacing w:after="0" w:line="195" w:lineRule="exact"/>
        <w:rPr>
          <w:rFonts w:ascii="Arial" w:cs="Arial" w:eastAsia="Arial" w:hAnsi="Arial"/>
          <w:sz w:val="20"/>
          <w:szCs w:val="20"/>
          <w:color w:val="auto"/>
        </w:rPr>
      </w:pPr>
    </w:p>
    <w:p>
      <w:pPr>
        <w:ind w:firstLine="1505"/>
        <w:spacing w:after="0" w:line="260" w:lineRule="auto"/>
        <w:tabs>
          <w:tab w:leader="none" w:pos="2006"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ERISA</w:t>
      </w:r>
      <w:r>
        <w:rPr>
          <w:rFonts w:ascii="Arial" w:cs="Arial" w:eastAsia="Arial" w:hAnsi="Arial"/>
          <w:sz w:val="20"/>
          <w:szCs w:val="20"/>
          <w:color w:val="auto"/>
        </w:rPr>
        <w:t>. An ERISA Event shall have occurred that when taken together with all other ERISA Events that have occurred, would reasonably be expected to result in a Material Adverse Effect; or</w:t>
      </w:r>
    </w:p>
    <w:p>
      <w:pPr>
        <w:spacing w:after="0" w:line="176" w:lineRule="exact"/>
        <w:rPr>
          <w:rFonts w:ascii="Arial" w:cs="Arial" w:eastAsia="Arial" w:hAnsi="Arial"/>
          <w:sz w:val="20"/>
          <w:szCs w:val="20"/>
          <w:color w:val="auto"/>
        </w:rPr>
      </w:pPr>
    </w:p>
    <w:p>
      <w:pPr>
        <w:jc w:val="both"/>
        <w:ind w:firstLine="1505"/>
        <w:spacing w:after="0" w:line="244" w:lineRule="auto"/>
        <w:tabs>
          <w:tab w:leader="none" w:pos="1982"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Invalidity of Loan Documents</w:t>
      </w:r>
      <w:r>
        <w:rPr>
          <w:rFonts w:ascii="Arial" w:cs="Arial" w:eastAsia="Arial" w:hAnsi="Arial"/>
          <w:sz w:val="20"/>
          <w:szCs w:val="20"/>
          <w:color w:val="auto"/>
        </w:rPr>
        <w:t>. Any Loan Document, at any time after its execution and delivery and for any reason other than as expressly permitted hereunder or thereunder or satisfaction in full of all the Obligations, ceases to be in full force and effect; or the Parent or any Subsidiary (including any Loan Party) contests in any manner the validity or enforceability of any Loan Document; or any Loan Party denies that it has any or further liability or obligation under any Loan Document, or purports to revoke, terminate or rescind any Loan Document; or</w:t>
      </w:r>
    </w:p>
    <w:p>
      <w:pPr>
        <w:spacing w:after="0" w:line="194" w:lineRule="exact"/>
        <w:rPr>
          <w:rFonts w:ascii="Arial" w:cs="Arial" w:eastAsia="Arial" w:hAnsi="Arial"/>
          <w:sz w:val="20"/>
          <w:szCs w:val="20"/>
          <w:color w:val="auto"/>
        </w:rPr>
      </w:pPr>
    </w:p>
    <w:p>
      <w:pPr>
        <w:ind w:left="1980" w:hanging="475"/>
        <w:spacing w:after="0"/>
        <w:tabs>
          <w:tab w:leader="none" w:pos="1980"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There occurs any Change in Control.</w:t>
      </w:r>
    </w:p>
    <w:p>
      <w:pPr>
        <w:spacing w:after="0" w:line="216"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010000"/>
        </w:rPr>
        <w:t xml:space="preserve">8.02 </w:t>
      </w:r>
      <w:r>
        <w:rPr>
          <w:rFonts w:ascii="Arial" w:cs="Arial" w:eastAsia="Arial" w:hAnsi="Arial"/>
          <w:sz w:val="20"/>
          <w:szCs w:val="20"/>
          <w:color w:val="000000"/>
        </w:rPr>
        <w:t>Remedies Upon Event of Default. If any Event of Default occurs and is continuing, the Administrative Agent shall, at the</w:t>
      </w:r>
      <w:r>
        <w:rPr>
          <w:rFonts w:ascii="Arial" w:cs="Arial" w:eastAsia="Arial" w:hAnsi="Arial"/>
          <w:sz w:val="20"/>
          <w:szCs w:val="20"/>
          <w:color w:val="010000"/>
        </w:rPr>
        <w:t xml:space="preserve"> </w:t>
      </w:r>
      <w:r>
        <w:rPr>
          <w:rFonts w:ascii="Arial" w:cs="Arial" w:eastAsia="Arial" w:hAnsi="Arial"/>
          <w:sz w:val="20"/>
          <w:szCs w:val="20"/>
          <w:color w:val="000000"/>
        </w:rPr>
        <w:t>request of, or may, with the consent of, the Required Lenders, take any or all of the following actions:</w:t>
      </w:r>
    </w:p>
    <w:p>
      <w:pPr>
        <w:spacing w:after="0" w:line="177" w:lineRule="exact"/>
        <w:rPr>
          <w:sz w:val="20"/>
          <w:szCs w:val="20"/>
          <w:color w:val="auto"/>
        </w:rPr>
      </w:pPr>
    </w:p>
    <w:p>
      <w:pPr>
        <w:ind w:firstLine="1505"/>
        <w:spacing w:after="0" w:line="260" w:lineRule="auto"/>
        <w:tabs>
          <w:tab w:leader="none" w:pos="1993" w:val="left"/>
        </w:tabs>
        <w:numPr>
          <w:ilvl w:val="0"/>
          <w:numId w:val="169"/>
        </w:numPr>
        <w:rPr>
          <w:rFonts w:ascii="Arial" w:cs="Arial" w:eastAsia="Arial" w:hAnsi="Arial"/>
          <w:sz w:val="20"/>
          <w:szCs w:val="20"/>
          <w:color w:val="auto"/>
        </w:rPr>
      </w:pPr>
      <w:r>
        <w:rPr>
          <w:rFonts w:ascii="Arial" w:cs="Arial" w:eastAsia="Arial" w:hAnsi="Arial"/>
          <w:sz w:val="20"/>
          <w:szCs w:val="20"/>
          <w:color w:val="auto"/>
        </w:rPr>
        <w:t>declare the commitment of each Lender to make Loans and any obligation of each L/C Issuer to make L/C Credit Extensions to be terminated, whereupon such commitments and obligation shall be terminated;</w:t>
      </w:r>
    </w:p>
    <w:p>
      <w:pPr>
        <w:spacing w:after="0" w:line="176" w:lineRule="exact"/>
        <w:rPr>
          <w:rFonts w:ascii="Arial" w:cs="Arial" w:eastAsia="Arial" w:hAnsi="Arial"/>
          <w:sz w:val="20"/>
          <w:szCs w:val="20"/>
          <w:color w:val="auto"/>
        </w:rPr>
      </w:pPr>
    </w:p>
    <w:p>
      <w:pPr>
        <w:jc w:val="both"/>
        <w:ind w:firstLine="1505"/>
        <w:spacing w:after="0" w:line="269" w:lineRule="auto"/>
        <w:tabs>
          <w:tab w:leader="none" w:pos="1989" w:val="left"/>
        </w:tabs>
        <w:numPr>
          <w:ilvl w:val="0"/>
          <w:numId w:val="169"/>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Parent and each Borrower;</w:t>
      </w:r>
    </w:p>
    <w:p>
      <w:pPr>
        <w:spacing w:after="0" w:line="169" w:lineRule="exact"/>
        <w:rPr>
          <w:rFonts w:ascii="Arial" w:cs="Arial" w:eastAsia="Arial" w:hAnsi="Arial"/>
          <w:sz w:val="19"/>
          <w:szCs w:val="19"/>
          <w:color w:val="auto"/>
        </w:rPr>
      </w:pPr>
    </w:p>
    <w:p>
      <w:pPr>
        <w:ind w:left="2020" w:hanging="515"/>
        <w:spacing w:after="0"/>
        <w:tabs>
          <w:tab w:leader="none" w:pos="202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require that the Borrowers Cash Collateralize the L/C Obligations (in an amount equal to the then Outstanding</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Amount thereof); and/or</w:t>
      </w:r>
    </w:p>
    <w:p>
      <w:pPr>
        <w:spacing w:after="0" w:line="199" w:lineRule="exact"/>
        <w:rPr>
          <w:rFonts w:ascii="Arial" w:cs="Arial" w:eastAsia="Arial" w:hAnsi="Arial"/>
          <w:sz w:val="19"/>
          <w:szCs w:val="19"/>
          <w:color w:val="auto"/>
        </w:rPr>
      </w:pPr>
    </w:p>
    <w:p>
      <w:pPr>
        <w:ind w:firstLine="1505"/>
        <w:spacing w:after="0" w:line="260" w:lineRule="auto"/>
        <w:tabs>
          <w:tab w:leader="none" w:pos="1989" w:val="left"/>
        </w:tabs>
        <w:numPr>
          <w:ilvl w:val="0"/>
          <w:numId w:val="169"/>
        </w:numPr>
        <w:rPr>
          <w:rFonts w:ascii="Arial" w:cs="Arial" w:eastAsia="Arial" w:hAnsi="Arial"/>
          <w:sz w:val="20"/>
          <w:szCs w:val="20"/>
          <w:color w:val="auto"/>
        </w:rPr>
      </w:pPr>
      <w:r>
        <w:rPr>
          <w:rFonts w:ascii="Arial" w:cs="Arial" w:eastAsia="Arial" w:hAnsi="Arial"/>
          <w:sz w:val="20"/>
          <w:szCs w:val="20"/>
          <w:color w:val="auto"/>
        </w:rPr>
        <w:t>exercise on behalf of itself, the Lenders and the L/C Issuers all rights and remedies available to it, the Lenders and the L/C Issuers under the Loan Documents;</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occurrence of an actual or deemed entry of an order for relief with respect to any Borrower under the Bankruptcy Code of the United States, the obligation of each Lender to make Loans and any obligation of each L/C Issuer to make L/C Credit Extensions shall automatically terminate, and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0" w:name="page171"/>
    <w:bookmarkEnd w:id="170"/>
    <w:p>
      <w:pPr>
        <w:jc w:val="both"/>
        <w:ind w:firstLine="749"/>
        <w:spacing w:after="0" w:line="246" w:lineRule="auto"/>
        <w:rPr>
          <w:sz w:val="20"/>
          <w:szCs w:val="20"/>
          <w:color w:val="auto"/>
        </w:rPr>
      </w:pPr>
      <w:r>
        <w:rPr>
          <w:rFonts w:ascii="Arial" w:cs="Arial" w:eastAsia="Arial" w:hAnsi="Arial"/>
          <w:sz w:val="20"/>
          <w:szCs w:val="20"/>
          <w:color w:val="010000"/>
        </w:rPr>
        <w:t xml:space="preserve">8.03 </w:t>
      </w:r>
      <w:r>
        <w:rPr>
          <w:rFonts w:ascii="Arial" w:cs="Arial" w:eastAsia="Arial" w:hAnsi="Arial"/>
          <w:sz w:val="20"/>
          <w:szCs w:val="20"/>
          <w:color w:val="000000"/>
        </w:rPr>
        <w:t>Application of Funds. After the exercise of remedies provided for in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Section 8.02</w:t>
      </w:r>
      <w:r>
        <w:rPr>
          <w:rFonts w:ascii="Arial" w:cs="Arial" w:eastAsia="Arial" w:hAnsi="Arial"/>
          <w:sz w:val="20"/>
          <w:szCs w:val="20"/>
          <w:color w:val="010000"/>
        </w:rPr>
        <w:t xml:space="preserve"> </w:t>
      </w:r>
      <w:r>
        <w:rPr>
          <w:rFonts w:ascii="Arial" w:cs="Arial" w:eastAsia="Arial" w:hAnsi="Arial"/>
          <w:sz w:val="20"/>
          <w:szCs w:val="20"/>
          <w:color w:val="000000"/>
        </w:rPr>
        <w:t>(or after the Loans have automatically</w:t>
      </w:r>
      <w:r>
        <w:rPr>
          <w:rFonts w:ascii="Arial" w:cs="Arial" w:eastAsia="Arial" w:hAnsi="Arial"/>
          <w:sz w:val="20"/>
          <w:szCs w:val="20"/>
          <w:color w:val="010000"/>
        </w:rPr>
        <w:t xml:space="preserve"> </w:t>
      </w:r>
      <w:r>
        <w:rPr>
          <w:rFonts w:ascii="Arial" w:cs="Arial" w:eastAsia="Arial" w:hAnsi="Arial"/>
          <w:sz w:val="20"/>
          <w:szCs w:val="20"/>
          <w:color w:val="000000"/>
        </w:rPr>
        <w:t xml:space="preserve">become immediately due and payable and the L/C Obligations have automatically been required to be Cash Collateralized as set forth in the proviso to </w:t>
      </w:r>
      <w:r>
        <w:rPr>
          <w:rFonts w:ascii="Arial" w:cs="Arial" w:eastAsia="Arial" w:hAnsi="Arial"/>
          <w:sz w:val="20"/>
          <w:szCs w:val="20"/>
          <w:u w:val="single" w:color="auto"/>
          <w:color w:val="000000"/>
        </w:rPr>
        <w:t>Section 8.02</w:t>
      </w:r>
      <w:r>
        <w:rPr>
          <w:rFonts w:ascii="Arial" w:cs="Arial" w:eastAsia="Arial" w:hAnsi="Arial"/>
          <w:sz w:val="20"/>
          <w:szCs w:val="20"/>
          <w:color w:val="000000"/>
        </w:rPr>
        <w:t xml:space="preserve">), any amounts received on account of the Obligations shall, subject to the provisions of </w:t>
      </w:r>
      <w:r>
        <w:rPr>
          <w:rFonts w:ascii="Arial" w:cs="Arial" w:eastAsia="Arial" w:hAnsi="Arial"/>
          <w:sz w:val="20"/>
          <w:szCs w:val="20"/>
          <w:u w:val="single" w:color="auto"/>
          <w:color w:val="000000"/>
        </w:rPr>
        <w:t>Sections 2.15</w:t>
      </w:r>
      <w:r>
        <w:rPr>
          <w:rFonts w:ascii="Arial" w:cs="Arial" w:eastAsia="Arial" w:hAnsi="Arial"/>
          <w:sz w:val="20"/>
          <w:szCs w:val="20"/>
          <w:color w:val="000000"/>
        </w:rPr>
        <w:t xml:space="preserve"> and </w:t>
      </w:r>
      <w:r>
        <w:rPr>
          <w:rFonts w:ascii="Arial" w:cs="Arial" w:eastAsia="Arial" w:hAnsi="Arial"/>
          <w:sz w:val="20"/>
          <w:szCs w:val="20"/>
          <w:u w:val="single" w:color="auto"/>
          <w:color w:val="000000"/>
        </w:rPr>
        <w:t>2.16</w:t>
      </w:r>
      <w:r>
        <w:rPr>
          <w:rFonts w:ascii="Arial" w:cs="Arial" w:eastAsia="Arial" w:hAnsi="Arial"/>
          <w:sz w:val="20"/>
          <w:szCs w:val="20"/>
          <w:color w:val="000000"/>
        </w:rPr>
        <w:t>, be applied by the Administrative Agent in the following order:</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in each case, in accordance with the terms of the Loan Documents) payable to the Administrative Agent in its capacity as such;</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payment of that portion of the Obligations constituting fees, indemnities and other amounts (other than principal and interest and Letter of Credit Fees) payable to the Lenders, the L/C Administrator and the Issuing Lenders (including fees, charges and disbursements of counsel to the respective Lenders and the respective Issuing Lenders arising under the Loan Documents and amounts payable under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w:t>
      </w:r>
      <w:r>
        <w:rPr>
          <w:rFonts w:ascii="Arial" w:cs="Arial" w:eastAsia="Arial" w:hAnsi="Arial"/>
          <w:sz w:val="20"/>
          <w:szCs w:val="20"/>
          <w:u w:val="single" w:color="auto"/>
          <w:color w:val="auto"/>
        </w:rPr>
        <w:t>III</w:t>
      </w:r>
      <w:r>
        <w:rPr>
          <w:rFonts w:ascii="Arial" w:cs="Arial" w:eastAsia="Arial" w:hAnsi="Arial"/>
          <w:sz w:val="20"/>
          <w:szCs w:val="20"/>
          <w:color w:val="auto"/>
        </w:rPr>
        <w:t>, in each case, in accordance with the terms of the Loan Documents), ratably among them in proportion to the respective amounts described in this clause Second payable to them;</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payment of that portion of the Obligations constituting accrued and unpaid Letter of Credit Fees, interest on the Loans, L/C Borrowings and other Obligations, ratably among the Lenders and the Issuing Lenders in proportion to the respective amounts described in this clause Third payable to them;</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to payment of that portion of the Obligations constituting unpaid principal of the Loans, unreimbursed Several Letters of Credit and L/C Borrowings, ratably among the Lenders and the L/C Issuers in proportion to the respective amounts described in this clause Fourth held by them;</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xml:space="preserve">, to the Administrative Agent for the account of the Applicable Issuing Party to Cash Collateralize that portion of L/C Obligations composed of the aggregate undrawn amount of outstanding Letters of Credit to the extent not otherwise Cash Collateralized by the Borrowers pursuant to </w:t>
      </w:r>
      <w:r>
        <w:rPr>
          <w:rFonts w:ascii="Arial" w:cs="Arial" w:eastAsia="Arial" w:hAnsi="Arial"/>
          <w:sz w:val="20"/>
          <w:szCs w:val="20"/>
          <w:u w:val="single" w:color="auto"/>
          <w:color w:val="auto"/>
        </w:rPr>
        <w:t>Sections 2.03</w:t>
      </w:r>
      <w:r>
        <w:rPr>
          <w:rFonts w:ascii="Arial" w:cs="Arial" w:eastAsia="Arial" w:hAnsi="Arial"/>
          <w:sz w:val="20"/>
          <w:szCs w:val="20"/>
          <w:color w:val="auto"/>
        </w:rPr>
        <w:t xml:space="preserve"> and/or </w:t>
      </w:r>
      <w:r>
        <w:rPr>
          <w:rFonts w:ascii="Arial" w:cs="Arial" w:eastAsia="Arial" w:hAnsi="Arial"/>
          <w:sz w:val="20"/>
          <w:szCs w:val="20"/>
          <w:u w:val="single" w:color="auto"/>
          <w:color w:val="auto"/>
        </w:rPr>
        <w:t>2.15</w:t>
      </w:r>
      <w:r>
        <w:rPr>
          <w:rFonts w:ascii="Arial" w:cs="Arial" w:eastAsia="Arial" w:hAnsi="Arial"/>
          <w:sz w:val="20"/>
          <w:szCs w:val="20"/>
          <w:color w:val="auto"/>
        </w:rPr>
        <w:t xml:space="preserve"> and</w:t>
      </w:r>
    </w:p>
    <w:p>
      <w:pPr>
        <w:spacing w:after="0" w:line="186" w:lineRule="exact"/>
        <w:rPr>
          <w:sz w:val="20"/>
          <w:szCs w:val="20"/>
          <w:color w:val="auto"/>
        </w:rPr>
      </w:pPr>
    </w:p>
    <w:p>
      <w:pPr>
        <w:jc w:val="center"/>
        <w:ind w:right="38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Company or as otherwise required by Law.</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IX</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ADMINISTRATIVE AGENT</w:t>
      </w:r>
    </w:p>
    <w:p>
      <w:pPr>
        <w:spacing w:after="0" w:line="20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010000"/>
        </w:rPr>
        <w:t xml:space="preserve">9.01 </w:t>
      </w:r>
      <w:r>
        <w:rPr>
          <w:rFonts w:ascii="Arial" w:cs="Arial" w:eastAsia="Arial" w:hAnsi="Arial"/>
          <w:sz w:val="18"/>
          <w:szCs w:val="18"/>
          <w:color w:val="000000"/>
        </w:rPr>
        <w:t>Appointment and Authorization of Agents. Each of the Lenders and each Issuing Lender hereby irrevocably appoints Barclays</w:t>
      </w:r>
      <w:r>
        <w:rPr>
          <w:rFonts w:ascii="Arial" w:cs="Arial" w:eastAsia="Arial" w:hAnsi="Arial"/>
          <w:sz w:val="18"/>
          <w:szCs w:val="18"/>
          <w:color w:val="010000"/>
        </w:rPr>
        <w:t xml:space="preserve"> </w:t>
      </w:r>
      <w:r>
        <w:rPr>
          <w:rFonts w:ascii="Arial" w:cs="Arial" w:eastAsia="Arial" w:hAnsi="Arial"/>
          <w:sz w:val="18"/>
          <w:szCs w:val="18"/>
          <w:color w:val="000000"/>
        </w:rPr>
        <w:t xml:space="preserve">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Agents and the Lenders (including the Swing Line Lender) and each Issuing Lender, and neither the Company nor any other Loan Party shall have rights as a third-party beneficiary of any of such provisions (other than </w:t>
      </w:r>
      <w:r>
        <w:rPr>
          <w:rFonts w:ascii="Arial" w:cs="Arial" w:eastAsia="Arial" w:hAnsi="Arial"/>
          <w:sz w:val="18"/>
          <w:szCs w:val="18"/>
          <w:u w:val="single" w:color="auto"/>
          <w:color w:val="000000"/>
        </w:rPr>
        <w:t>Sections 9.06</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9.11</w:t>
      </w:r>
      <w:r>
        <w:rPr>
          <w:rFonts w:ascii="Arial" w:cs="Arial" w:eastAsia="Arial" w:hAnsi="Arial"/>
          <w:sz w:val="18"/>
          <w:szCs w:val="18"/>
          <w:color w:val="000000"/>
        </w:rPr>
        <w:t>). It is understood and agreed that the use of the term “agent” herein or in any other Loan Documents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Each Issuing Lender and the L/C Administrator shall act on behalf of the Revolving Credit Lenders with respect to each Letter of Credit issued by it and the documents associated therewith, and each Issuing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1" w:name="page172"/>
    <w:bookmarkEnd w:id="171"/>
    <w:p>
      <w:pPr>
        <w:jc w:val="both"/>
        <w:spacing w:after="0" w:line="244" w:lineRule="auto"/>
        <w:rPr>
          <w:sz w:val="20"/>
          <w:szCs w:val="20"/>
          <w:color w:val="auto"/>
        </w:rPr>
      </w:pPr>
      <w:r>
        <w:rPr>
          <w:rFonts w:ascii="Arial" w:cs="Arial" w:eastAsia="Arial" w:hAnsi="Arial"/>
          <w:sz w:val="20"/>
          <w:szCs w:val="20"/>
          <w:color w:val="auto"/>
        </w:rPr>
        <w:t>and the L/C Administrator shall have all of the benefits and immunities (a) provided to the Agents in this Article with respect to any acts taken or omissions suffered by such Issuing Lender or L/C Administrator in connection with Letters of Credit issued by it or proposed to be issued by it and Issuer Documents pertaining to such Letters of Credit as fully as if the term “Agent” as used in this Article and the definition of “Agent-Related Person” included such Issuing Lender with respect to such acts or omissions, and (b) as additionally provided herein with respect to such Issuing Lender or L/C Administrator.</w:t>
      </w:r>
    </w:p>
    <w:p>
      <w:pPr>
        <w:spacing w:after="0" w:line="19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010000"/>
        </w:rPr>
        <w:t xml:space="preserve">9.02 </w:t>
      </w:r>
      <w:r>
        <w:rPr>
          <w:rFonts w:ascii="Arial" w:cs="Arial" w:eastAsia="Arial" w:hAnsi="Arial"/>
          <w:sz w:val="18"/>
          <w:szCs w:val="18"/>
          <w:color w:val="000000"/>
        </w:rPr>
        <w:t>Rights as a Lender. The Person serving as the Administrative Agent shall have the same rights and powers in its capacity as a</w:t>
      </w:r>
      <w:r>
        <w:rPr>
          <w:rFonts w:ascii="Arial" w:cs="Arial" w:eastAsia="Arial" w:hAnsi="Arial"/>
          <w:sz w:val="18"/>
          <w:szCs w:val="18"/>
          <w:color w:val="010000"/>
        </w:rPr>
        <w:t xml:space="preserve"> </w:t>
      </w:r>
      <w:r>
        <w:rPr>
          <w:rFonts w:ascii="Arial" w:cs="Arial" w:eastAsia="Arial" w:hAnsi="Arial"/>
          <w:sz w:val="18"/>
          <w:szCs w:val="18"/>
          <w:color w:val="000000"/>
        </w:rPr>
        <w:t>Lender as any other Lender and may exercise the same as though it were not an Agent hereunder, and the term “Lender” or “Lenders” shall, unless otherwise expressly indicated or unless the context otherwise requires, include the Person serving as such Agent hereunder in its individual capacity. Such Person and its Affiliates may accept deposits from, lend money to, own securities of, act as the financial advisor or in any other advisory capacity for, and generally engage in any kind of business with, the Parent or any Subsidiary or other Affiliate thereof as if such Person were not an Agent hereunder and without any duty to account therefor to the Lenders.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9.03 </w:t>
      </w:r>
      <w:r>
        <w:rPr>
          <w:rFonts w:ascii="Arial" w:cs="Arial" w:eastAsia="Arial" w:hAnsi="Arial"/>
          <w:sz w:val="20"/>
          <w:szCs w:val="20"/>
          <w:color w:val="000000"/>
        </w:rPr>
        <w:t>Exculpatory Provisions.</w:t>
      </w:r>
    </w:p>
    <w:p>
      <w:pPr>
        <w:spacing w:after="0" w:line="216" w:lineRule="exact"/>
        <w:rPr>
          <w:sz w:val="20"/>
          <w:szCs w:val="20"/>
          <w:color w:val="auto"/>
        </w:rPr>
      </w:pPr>
    </w:p>
    <w:p>
      <w:pPr>
        <w:jc w:val="both"/>
        <w:ind w:firstLine="1505"/>
        <w:spacing w:after="0" w:line="255" w:lineRule="auto"/>
        <w:tabs>
          <w:tab w:leader="none" w:pos="2022"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No Agent shall have any duties or obligations except those expressly set forth herein and in the other Loan Documents, and the duties of the Administrative Agent hereunder shall be administrative in nature. Without limiting the generality of the foregoing, no Agent shall: (i) be subject to any fiduciary or other implied duties, regardless of whether a Default has occurred and is continuing; (ii) have any duty to take any discretionary action or exercise any discretionary powers, except (in the case of the Administrative Agent)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(iii) except as expressly set forth herein and in the other Loan Documents, have any duty to disclose, and shall not be liable for the failure to disclose, any information relating to the Parent, the Company or any of their respective Affiliates that is communicated to or obtained by such Agent or any of its Affiliates in any capacity.</w:t>
      </w:r>
    </w:p>
    <w:p>
      <w:pPr>
        <w:spacing w:after="0" w:line="181" w:lineRule="exact"/>
        <w:rPr>
          <w:rFonts w:ascii="Arial" w:cs="Arial" w:eastAsia="Arial" w:hAnsi="Arial"/>
          <w:sz w:val="19"/>
          <w:szCs w:val="19"/>
          <w:color w:val="auto"/>
        </w:rPr>
      </w:pPr>
    </w:p>
    <w:p>
      <w:pPr>
        <w:jc w:val="both"/>
        <w:ind w:firstLine="1505"/>
        <w:spacing w:after="0" w:line="274" w:lineRule="auto"/>
        <w:tabs>
          <w:tab w:leader="none" w:pos="199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10.01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10.03</w:t>
      </w:r>
      <w:r>
        <w:rPr>
          <w:rFonts w:ascii="Arial" w:cs="Arial" w:eastAsia="Arial" w:hAnsi="Arial"/>
          <w:sz w:val="18"/>
          <w:szCs w:val="18"/>
          <w:color w:val="auto"/>
        </w:rPr>
        <w:t>), or (ii) in the absence of its own gross negligence or willful misconduct to the extent that such determination is made by a final and non-appealable judgment of a court of competent jurisdiction. The Administrative Agent shall not be deemed to have knowledge or notice of the occurrence of any Default unless and until the Administrative Agent shall have received written notice from a Lender, any Issuing Lender or the Borrowers referring to this Agreement, describing such Default and stating that such notice is a “notice of default.”</w:t>
      </w:r>
    </w:p>
    <w:p>
      <w:pPr>
        <w:spacing w:after="0" w:line="168" w:lineRule="exact"/>
        <w:rPr>
          <w:rFonts w:ascii="Arial" w:cs="Arial" w:eastAsia="Arial" w:hAnsi="Arial"/>
          <w:sz w:val="18"/>
          <w:szCs w:val="18"/>
          <w:color w:val="auto"/>
        </w:rPr>
      </w:pPr>
    </w:p>
    <w:p>
      <w:pPr>
        <w:jc w:val="both"/>
        <w:ind w:firstLine="1505"/>
        <w:spacing w:after="0" w:line="282" w:lineRule="auto"/>
        <w:tabs>
          <w:tab w:leader="none" w:pos="20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Agent-Related Person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2" w:name="page173"/>
    <w:bookmarkEnd w:id="172"/>
    <w:p>
      <w:pPr>
        <w:jc w:val="both"/>
        <w:spacing w:after="0" w:line="250" w:lineRule="auto"/>
        <w:rPr>
          <w:sz w:val="20"/>
          <w:szCs w:val="20"/>
          <w:color w:val="auto"/>
        </w:rPr>
      </w:pPr>
      <w:r>
        <w:rPr>
          <w:rFonts w:ascii="Arial" w:cs="Arial" w:eastAsia="Arial" w:hAnsi="Arial"/>
          <w:sz w:val="20"/>
          <w:szCs w:val="20"/>
          <w:color w:val="auto"/>
        </w:rPr>
        <w:t xml:space="preserve">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or elsewhere herein, other than (in the case of the Administrative Agent) to confirm receipt of items expressly required to be delivered to it</w:t>
      </w:r>
    </w:p>
    <w:p>
      <w:pPr>
        <w:spacing w:after="0" w:line="18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010000"/>
        </w:rPr>
        <w:t xml:space="preserve">9.04 </w:t>
      </w:r>
      <w:r>
        <w:rPr>
          <w:rFonts w:ascii="Arial" w:cs="Arial" w:eastAsia="Arial" w:hAnsi="Arial"/>
          <w:sz w:val="18"/>
          <w:szCs w:val="18"/>
          <w:color w:val="000000"/>
        </w:rPr>
        <w:t>Reliance by Administrative Agent. Each Agent shall be entitled to rely upon, and shall not incur any liability for relying upon,</w:t>
      </w:r>
      <w:r>
        <w:rPr>
          <w:rFonts w:ascii="Arial" w:cs="Arial" w:eastAsia="Arial" w:hAnsi="Arial"/>
          <w:sz w:val="18"/>
          <w:szCs w:val="18"/>
          <w:color w:val="010000"/>
        </w:rPr>
        <w:t xml:space="preserve"> </w:t>
      </w:r>
      <w:r>
        <w:rPr>
          <w:rFonts w:ascii="Arial" w:cs="Arial" w:eastAsia="Arial" w:hAnsi="Arial"/>
          <w:sz w:val="18"/>
          <w:szCs w:val="18"/>
          <w:color w:val="000000"/>
        </w:rPr>
        <w:t>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any Credit Extension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any such Credit Extension. The Administrative Agent may consult with legal counsel (who may be counsel for the Company or the Parent), independent accountants and other experts selected by it, and shall not be liable for any action taken or not taken by it in accordance with the advice of any such counsel, accountants or experts.</w:t>
      </w:r>
    </w:p>
    <w:p>
      <w:pPr>
        <w:spacing w:after="0" w:line="17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010000"/>
        </w:rPr>
        <w:t xml:space="preserve">9.05 </w:t>
      </w:r>
      <w:r>
        <w:rPr>
          <w:rFonts w:ascii="Arial" w:cs="Arial" w:eastAsia="Arial" w:hAnsi="Arial"/>
          <w:sz w:val="20"/>
          <w:szCs w:val="20"/>
          <w:color w:val="000000"/>
        </w:rPr>
        <w:t>Delegation of Duties. The Administrative Agent may perform any and all of its duties and exercise its rights and powers</w:t>
      </w:r>
      <w:r>
        <w:rPr>
          <w:rFonts w:ascii="Arial" w:cs="Arial" w:eastAsia="Arial" w:hAnsi="Arial"/>
          <w:sz w:val="20"/>
          <w:szCs w:val="20"/>
          <w:color w:val="010000"/>
        </w:rPr>
        <w:t xml:space="preserve"> </w:t>
      </w:r>
      <w:r>
        <w:rPr>
          <w:rFonts w:ascii="Arial" w:cs="Arial" w:eastAsia="Arial" w:hAnsi="Arial"/>
          <w:sz w:val="20"/>
          <w:szCs w:val="20"/>
          <w:color w:val="000000"/>
        </w:rPr>
        <w:t>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Facility as well as activities as Administrative Agent.</w:t>
      </w:r>
    </w:p>
    <w:p>
      <w:pPr>
        <w:spacing w:after="0" w:line="19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010000"/>
        </w:rPr>
        <w:t xml:space="preserve">9.06 </w:t>
      </w:r>
      <w:r>
        <w:rPr>
          <w:rFonts w:ascii="Arial" w:cs="Arial" w:eastAsia="Arial" w:hAnsi="Arial"/>
          <w:sz w:val="18"/>
          <w:szCs w:val="18"/>
          <w:color w:val="000000"/>
        </w:rPr>
        <w:t>Resignation of Administrative Agent. The Administrative Agent may at any time give notice of its resignation to the Lenders,</w:t>
      </w:r>
      <w:r>
        <w:rPr>
          <w:rFonts w:ascii="Arial" w:cs="Arial" w:eastAsia="Arial" w:hAnsi="Arial"/>
          <w:sz w:val="18"/>
          <w:szCs w:val="18"/>
          <w:color w:val="010000"/>
        </w:rPr>
        <w:t xml:space="preserve"> </w:t>
      </w:r>
      <w:r>
        <w:rPr>
          <w:rFonts w:ascii="Arial" w:cs="Arial" w:eastAsia="Arial" w:hAnsi="Arial"/>
          <w:sz w:val="18"/>
          <w:szCs w:val="18"/>
          <w:color w:val="000000"/>
        </w:rPr>
        <w:t xml:space="preserve">the Issuing Lender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(but shall not be obligated to) on behalf of the Lenders and the Issuing Lender, appoint, in consultation with the Company, a successor Administrative Agent meeting the qualifications set forth above;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if the Administrative Agent shall notify the Company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(except that in the case of any Cash Collateral held by the Administrative Agent on behalf of the Lenders or the Issuing Lenders under any of the Loan Documents, the retiring Administrative Agent may (but shall not be obligated to) continue to hold such Cash Collateral until such time as a successor Administrative Agent is appointed) and (2) all payments, communications and determinations provided to be made by, to or through the Administrative Agent shall instead be made by or to each Lender and the Issuing Lender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Company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3" w:name="page174"/>
    <w:bookmarkEnd w:id="173"/>
    <w:p>
      <w:pPr>
        <w:jc w:val="both"/>
        <w:spacing w:after="0" w:line="244" w:lineRule="auto"/>
        <w:rPr>
          <w:sz w:val="20"/>
          <w:szCs w:val="20"/>
          <w:color w:val="auto"/>
        </w:rPr>
      </w:pPr>
      <w:r>
        <w:rPr>
          <w:rFonts w:ascii="Arial" w:cs="Arial" w:eastAsia="Arial" w:hAnsi="Arial"/>
          <w:sz w:val="20"/>
          <w:szCs w:val="20"/>
          <w:color w:val="auto"/>
        </w:rPr>
        <w:t xml:space="preserve">a successor Administrative Agent shall be the same as those payable to its predecessor unless otherwise agreed between the Company and such successor. After the retiring Administrative Agent’s resignation hereunder and under the other Loan Documents, the provisions of this Article and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Any resignation by Barclays as Administrative Agent pursuant to this </w:t>
      </w:r>
      <w:r>
        <w:rPr>
          <w:rFonts w:ascii="Arial" w:cs="Arial" w:eastAsia="Arial" w:hAnsi="Arial"/>
          <w:sz w:val="19"/>
          <w:szCs w:val="19"/>
          <w:u w:val="single" w:color="auto"/>
          <w:color w:val="auto"/>
        </w:rPr>
        <w:t>Section 9.06</w:t>
      </w:r>
      <w:r>
        <w:rPr>
          <w:rFonts w:ascii="Arial" w:cs="Arial" w:eastAsia="Arial" w:hAnsi="Arial"/>
          <w:sz w:val="19"/>
          <w:szCs w:val="19"/>
          <w:color w:val="auto"/>
        </w:rPr>
        <w:t xml:space="preserve"> shall also constitute its resignation as Swing Line Lender, L/C Administrator and Issuing Lender. Upon the acceptance of a successor’s appointment as Administrative Agent hereunder, (a) such successor shall succeed to and become vested with all of the rights, powers, privileges and duties of the retiring Swing Line Lender and/or Issuing Lender and/or L/C Administrator, (b) the retiring Swing Line Lender and/or Issuing Lender and/or L/C Administrator shall be discharged from all of its duties and obligations hereunder or under the other Loan Documents and (c) the successor Issuing Lender and L/C Administrator shall issue Letters of Credit in substitution for the Letters of Credit, if any, outstanding at the time of such succession and issued by Barclays or make other arrangements satisfactory to the retiring Issuing Lender and L/C Administrator to effectively assume the obligations of the retiring Issuing Lender or L/C Administrator with respect to such Letters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Barclays shall retain all the rights, powers, privileges and duties with respect to all Letters of Credit and all Swing Line Loans outstanding as of the effective date of its resignation pursuant to </w:t>
      </w:r>
      <w:r>
        <w:rPr>
          <w:rFonts w:ascii="Arial" w:cs="Arial" w:eastAsia="Arial" w:hAnsi="Arial"/>
          <w:sz w:val="19"/>
          <w:szCs w:val="19"/>
          <w:u w:val="single" w:color="auto"/>
          <w:color w:val="auto"/>
        </w:rPr>
        <w:t>Section 10.06(i)</w:t>
      </w:r>
      <w:r>
        <w:rPr>
          <w:rFonts w:ascii="Arial" w:cs="Arial" w:eastAsia="Arial" w:hAnsi="Arial"/>
          <w:sz w:val="19"/>
          <w:szCs w:val="19"/>
          <w:color w:val="auto"/>
        </w:rPr>
        <w:t>.</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Notwithstanding anything to the contrary (but without limiting the right of Barclays to resign acting as Administrative Agent at any time pursuant to this Section 9.06) in this </w:t>
      </w:r>
      <w:r>
        <w:rPr>
          <w:rFonts w:ascii="Arial" w:cs="Arial" w:eastAsia="Arial" w:hAnsi="Arial"/>
          <w:sz w:val="20"/>
          <w:szCs w:val="20"/>
          <w:u w:val="single" w:color="auto"/>
          <w:color w:val="auto"/>
        </w:rPr>
        <w:t>Section 9.06</w:t>
      </w:r>
      <w:r>
        <w:rPr>
          <w:rFonts w:ascii="Arial" w:cs="Arial" w:eastAsia="Arial" w:hAnsi="Arial"/>
          <w:sz w:val="20"/>
          <w:szCs w:val="20"/>
          <w:color w:val="auto"/>
        </w:rPr>
        <w:t xml:space="preserve">, so long as no Event of Default under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(g)</w:t>
      </w:r>
      <w:r>
        <w:rPr>
          <w:rFonts w:ascii="Arial" w:cs="Arial" w:eastAsia="Arial" w:hAnsi="Arial"/>
          <w:sz w:val="20"/>
          <w:szCs w:val="20"/>
          <w:color w:val="auto"/>
        </w:rPr>
        <w:t xml:space="preserve"> has occurred and is continuing each such successor Administrative Agent shall be subject to the approval of the Company (which approval shall not be unreasonably withheld or delayed).</w:t>
      </w:r>
    </w:p>
    <w:p>
      <w:pPr>
        <w:spacing w:after="0" w:line="19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010000"/>
        </w:rPr>
        <w:t xml:space="preserve">9.07 </w:t>
      </w:r>
      <w:r>
        <w:rPr>
          <w:rFonts w:ascii="Arial" w:cs="Arial" w:eastAsia="Arial" w:hAnsi="Arial"/>
          <w:sz w:val="19"/>
          <w:szCs w:val="19"/>
          <w:color w:val="000000"/>
        </w:rPr>
        <w:t>Non-Reliance on Administrative Agent and Other Lenders. Each Lender and each Issuing Lender acknowledges that it has,</w:t>
      </w:r>
      <w:r>
        <w:rPr>
          <w:rFonts w:ascii="Arial" w:cs="Arial" w:eastAsia="Arial" w:hAnsi="Arial"/>
          <w:sz w:val="19"/>
          <w:szCs w:val="19"/>
          <w:color w:val="010000"/>
        </w:rPr>
        <w:t xml:space="preserve"> </w:t>
      </w:r>
      <w:r>
        <w:rPr>
          <w:rFonts w:ascii="Arial" w:cs="Arial" w:eastAsia="Arial" w:hAnsi="Arial"/>
          <w:sz w:val="19"/>
          <w:szCs w:val="19"/>
          <w:color w:val="000000"/>
        </w:rPr>
        <w:t>independently and without reliance upon any Agent-Related Person or any other Lender or any of their Related Parties and based on such documents and information as it has deemed appropriate, made its own credit analysis and decision to enter into this Agreement. Each Lender and each Issuing Lender also acknowledges that it will, independently and without reliance upon any Agent-Related Person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010000"/>
        </w:rPr>
        <w:t xml:space="preserve">9.08 </w:t>
      </w:r>
      <w:r>
        <w:rPr>
          <w:rFonts w:ascii="Arial" w:cs="Arial" w:eastAsia="Arial" w:hAnsi="Arial"/>
          <w:sz w:val="20"/>
          <w:szCs w:val="20"/>
          <w:color w:val="000000"/>
        </w:rPr>
        <w:t>Duties of Other Agents. None of the Agents (other than the Administrative Agent) shall have any rights, powers, obligations,</w:t>
      </w:r>
      <w:r>
        <w:rPr>
          <w:rFonts w:ascii="Arial" w:cs="Arial" w:eastAsia="Arial" w:hAnsi="Arial"/>
          <w:sz w:val="20"/>
          <w:szCs w:val="20"/>
          <w:color w:val="010000"/>
        </w:rPr>
        <w:t xml:space="preserve"> </w:t>
      </w:r>
      <w:r>
        <w:rPr>
          <w:rFonts w:ascii="Arial" w:cs="Arial" w:eastAsia="Arial" w:hAnsi="Arial"/>
          <w:sz w:val="20"/>
          <w:szCs w:val="20"/>
          <w:color w:val="000000"/>
        </w:rPr>
        <w:t>liabilities, responsibilities or duties under this Agreement or any of the other Loan Documents, except in its capacity, as applicable, as a Lender, the Swing Line Lender, L/C Administrator or Issuing Lender hereunder (as applicable).</w:t>
      </w:r>
    </w:p>
    <w:p>
      <w:pPr>
        <w:spacing w:after="0" w:line="18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010000"/>
        </w:rPr>
        <w:t xml:space="preserve">9.09 </w:t>
      </w:r>
      <w:r>
        <w:rPr>
          <w:rFonts w:ascii="Arial" w:cs="Arial" w:eastAsia="Arial" w:hAnsi="Arial"/>
          <w:sz w:val="20"/>
          <w:szCs w:val="20"/>
          <w:color w:val="000000"/>
        </w:rPr>
        <w:t>Administrative Agent May File Proofs of Claim. In case of the pendency of any proceeding under any Debtor Relief Law or</w:t>
      </w:r>
      <w:r>
        <w:rPr>
          <w:rFonts w:ascii="Arial" w:cs="Arial" w:eastAsia="Arial" w:hAnsi="Arial"/>
          <w:sz w:val="20"/>
          <w:szCs w:val="20"/>
          <w:color w:val="010000"/>
        </w:rPr>
        <w:t xml:space="preserve"> </w:t>
      </w:r>
      <w:r>
        <w:rPr>
          <w:rFonts w:ascii="Arial" w:cs="Arial" w:eastAsia="Arial" w:hAnsi="Arial"/>
          <w:sz w:val="20"/>
          <w:szCs w:val="20"/>
          <w:color w:val="000000"/>
        </w:rPr>
        <w:t>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Borrowers) shall be entitled and empowered (but not obligated) by intervention in such proceeding or otherwise:</w:t>
      </w:r>
    </w:p>
    <w:p>
      <w:pPr>
        <w:spacing w:after="0" w:line="194" w:lineRule="exact"/>
        <w:rPr>
          <w:sz w:val="20"/>
          <w:szCs w:val="20"/>
          <w:color w:val="auto"/>
        </w:rPr>
      </w:pPr>
    </w:p>
    <w:p>
      <w:pPr>
        <w:ind w:left="760" w:firstLine="1494"/>
        <w:spacing w:after="0" w:line="260" w:lineRule="auto"/>
        <w:tabs>
          <w:tab w:leader="none" w:pos="2744" w:val="left"/>
        </w:tabs>
        <w:numPr>
          <w:ilvl w:val="0"/>
          <w:numId w:val="171"/>
        </w:numPr>
        <w:rPr>
          <w:rFonts w:ascii="Arial" w:cs="Arial" w:eastAsia="Arial" w:hAnsi="Arial"/>
          <w:sz w:val="20"/>
          <w:szCs w:val="20"/>
          <w:color w:val="010000"/>
        </w:rPr>
      </w:pPr>
      <w:r>
        <w:rPr>
          <w:rFonts w:ascii="Arial" w:cs="Arial" w:eastAsia="Arial" w:hAnsi="Arial"/>
          <w:sz w:val="20"/>
          <w:szCs w:val="20"/>
          <w:color w:val="auto"/>
        </w:rPr>
        <w:t>to file and prove a claim for the whole amount of the principal and interest owing and unpaid in respect of the Loans, all L/C Obligations and all other Obligations that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4" w:name="page175"/>
    <w:bookmarkEnd w:id="174"/>
    <w:p>
      <w:pPr>
        <w:jc w:val="both"/>
        <w:ind w:left="760"/>
        <w:spacing w:after="0" w:line="244" w:lineRule="auto"/>
        <w:rPr>
          <w:sz w:val="20"/>
          <w:szCs w:val="20"/>
          <w:color w:val="auto"/>
        </w:rPr>
      </w:pPr>
      <w:r>
        <w:rPr>
          <w:rFonts w:ascii="Arial" w:cs="Arial" w:eastAsia="Arial" w:hAnsi="Arial"/>
          <w:sz w:val="20"/>
          <w:szCs w:val="20"/>
          <w:color w:val="auto"/>
        </w:rPr>
        <w:t xml:space="preserve">owing and unpaid and to file such other documents as may be necessary or advisable in order to have the claims of the Lenders, each Issuing Lender and the Administrative Agent (including any claim for the reasonable compensation, expenses, disbursements and advances of the Lenders, the Issuing Lenders and the Administrative Agent and their respective agents and counsel and all other amounts due to the Lenders, the Issuing Lenders and the Administrative Agent under </w:t>
      </w:r>
      <w:r>
        <w:rPr>
          <w:rFonts w:ascii="Arial" w:cs="Arial" w:eastAsia="Arial" w:hAnsi="Arial"/>
          <w:sz w:val="20"/>
          <w:szCs w:val="20"/>
          <w:u w:val="single" w:color="auto"/>
          <w:color w:val="auto"/>
        </w:rPr>
        <w:t>Sections 2.03(h)</w:t>
      </w:r>
      <w:r>
        <w:rPr>
          <w:rFonts w:ascii="Arial" w:cs="Arial" w:eastAsia="Arial" w:hAnsi="Arial"/>
          <w:sz w:val="20"/>
          <w:szCs w:val="20"/>
          <w:color w:val="auto"/>
        </w:rPr>
        <w:t xml:space="preserve">, </w:t>
      </w:r>
      <w:r>
        <w:rPr>
          <w:rFonts w:ascii="Arial" w:cs="Arial" w:eastAsia="Arial" w:hAnsi="Arial"/>
          <w:sz w:val="20"/>
          <w:szCs w:val="20"/>
          <w:u w:val="single" w:color="auto"/>
          <w:color w:val="auto"/>
        </w:rPr>
        <w:t>2.03(i)</w:t>
      </w:r>
      <w:r>
        <w:rPr>
          <w:rFonts w:ascii="Arial" w:cs="Arial" w:eastAsia="Arial" w:hAnsi="Arial"/>
          <w:sz w:val="20"/>
          <w:szCs w:val="20"/>
          <w:color w:val="auto"/>
        </w:rPr>
        <w:t xml:space="preserve">, </w:t>
      </w:r>
      <w:r>
        <w:rPr>
          <w:rFonts w:ascii="Arial" w:cs="Arial" w:eastAsia="Arial" w:hAnsi="Arial"/>
          <w:sz w:val="20"/>
          <w:szCs w:val="20"/>
          <w:u w:val="single" w:color="auto"/>
          <w:color w:val="auto"/>
        </w:rPr>
        <w:t>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10.04</w:t>
      </w:r>
      <w:r>
        <w:rPr>
          <w:rFonts w:ascii="Arial" w:cs="Arial" w:eastAsia="Arial" w:hAnsi="Arial"/>
          <w:sz w:val="20"/>
          <w:szCs w:val="20"/>
          <w:color w:val="auto"/>
        </w:rPr>
        <w:t>) allowed in such judicial proceeding; and</w:t>
      </w:r>
    </w:p>
    <w:p>
      <w:pPr>
        <w:spacing w:after="0" w:line="194" w:lineRule="exact"/>
        <w:rPr>
          <w:sz w:val="20"/>
          <w:szCs w:val="20"/>
          <w:color w:val="auto"/>
        </w:rPr>
      </w:pPr>
    </w:p>
    <w:p>
      <w:pPr>
        <w:ind w:left="2760" w:hanging="506"/>
        <w:spacing w:after="0"/>
        <w:tabs>
          <w:tab w:leader="none" w:pos="2760" w:val="left"/>
        </w:tabs>
        <w:numPr>
          <w:ilvl w:val="0"/>
          <w:numId w:val="172"/>
        </w:numPr>
        <w:rPr>
          <w:rFonts w:ascii="Arial" w:cs="Arial" w:eastAsia="Arial" w:hAnsi="Arial"/>
          <w:sz w:val="19"/>
          <w:szCs w:val="19"/>
          <w:color w:val="010000"/>
        </w:rPr>
      </w:pPr>
      <w:r>
        <w:rPr>
          <w:rFonts w:ascii="Arial" w:cs="Arial" w:eastAsia="Arial" w:hAnsi="Arial"/>
          <w:sz w:val="19"/>
          <w:szCs w:val="19"/>
          <w:color w:val="auto"/>
        </w:rPr>
        <w:t>to collect and receive any monies or other property payable or deliverable on any such claims and to</w:t>
      </w:r>
    </w:p>
    <w:p>
      <w:pPr>
        <w:spacing w:after="0" w:line="27" w:lineRule="exact"/>
        <w:rPr>
          <w:rFonts w:ascii="Arial" w:cs="Arial" w:eastAsia="Arial" w:hAnsi="Arial"/>
          <w:sz w:val="19"/>
          <w:szCs w:val="19"/>
          <w:color w:val="010000"/>
        </w:rPr>
      </w:pPr>
    </w:p>
    <w:p>
      <w:pPr>
        <w:ind w:left="760"/>
        <w:spacing w:after="0"/>
        <w:rPr>
          <w:rFonts w:ascii="Arial" w:cs="Arial" w:eastAsia="Arial" w:hAnsi="Arial"/>
          <w:sz w:val="19"/>
          <w:szCs w:val="19"/>
          <w:color w:val="010000"/>
        </w:rPr>
      </w:pPr>
      <w:r>
        <w:rPr>
          <w:rFonts w:ascii="Arial" w:cs="Arial" w:eastAsia="Arial" w:hAnsi="Arial"/>
          <w:sz w:val="20"/>
          <w:szCs w:val="20"/>
          <w:color w:val="auto"/>
        </w:rPr>
        <w:t>distribute the same;</w:t>
      </w:r>
    </w:p>
    <w:p>
      <w:pPr>
        <w:spacing w:after="0" w:line="20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2.03(h)</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2.03(i)</w:t>
      </w:r>
      <w:r>
        <w:rPr>
          <w:rFonts w:ascii="Arial" w:cs="Arial" w:eastAsia="Arial" w:hAnsi="Arial"/>
          <w:sz w:val="18"/>
          <w:szCs w:val="18"/>
          <w:color w:val="auto"/>
        </w:rPr>
        <w:t xml:space="preserve">, </w:t>
      </w:r>
      <w:r>
        <w:rPr>
          <w:rFonts w:ascii="Arial" w:cs="Arial" w:eastAsia="Arial" w:hAnsi="Arial"/>
          <w:sz w:val="18"/>
          <w:szCs w:val="18"/>
          <w:u w:val="single" w:color="auto"/>
          <w:color w:val="auto"/>
        </w:rPr>
        <w:t>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Nothing contained herein shall be deemed to authorize the Administrative Agent to authorize or consent to or accept or adopt on behalf of any Lender or the Issuing Lender any plan of reorganization, arrangement, adjustment or composition affecting the Obligations or the rights of any Lender or the Issuing Lender to authorize the Administrative Agent to vote in respect of the claim of any Lender or the Issuing Lender in any such proceeding.</w:t>
      </w:r>
    </w:p>
    <w:p>
      <w:pPr>
        <w:spacing w:after="0" w:line="191"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color w:val="010000"/>
        </w:rPr>
        <w:t xml:space="preserve">9.10 </w:t>
      </w:r>
      <w:r>
        <w:rPr>
          <w:rFonts w:ascii="Arial" w:cs="Arial" w:eastAsia="Arial" w:hAnsi="Arial"/>
          <w:sz w:val="19"/>
          <w:szCs w:val="19"/>
          <w:color w:val="000000"/>
        </w:rPr>
        <w:t>Withholding. To the extent required by any applicable Law, the Administrative Agent may withhold from any payment to any</w:t>
      </w:r>
      <w:r>
        <w:rPr>
          <w:rFonts w:ascii="Arial" w:cs="Arial" w:eastAsia="Arial" w:hAnsi="Arial"/>
          <w:sz w:val="19"/>
          <w:szCs w:val="19"/>
          <w:color w:val="010000"/>
        </w:rPr>
        <w:t xml:space="preserve"> </w:t>
      </w:r>
      <w:r>
        <w:rPr>
          <w:rFonts w:ascii="Arial" w:cs="Arial" w:eastAsia="Arial" w:hAnsi="Arial"/>
          <w:sz w:val="19"/>
          <w:szCs w:val="19"/>
          <w:color w:val="000000"/>
        </w:rPr>
        <w:t>Lender an amount equivalent to any Tax. If the IRS or any other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 which rendered the exemption from, or reduction of, Tax ineffective or for any other reason, or if the Administrative Agent reasonably determines that a payment was made to a Lender pursuant to this Agreement without deduction of applicable withholding tax from such payment, such Lender shall indemnify the Administrative Agent fully for all amounts paid, directly or indirectly, by the Administrative Agent as Tax or otherwise, including any penalties or interest and together with all reasonable costs and out-of-pocket expenses (including reasonable fees and expenses of counsel) incurred in connection therewith.</w:t>
      </w:r>
    </w:p>
    <w:p>
      <w:pPr>
        <w:spacing w:after="0" w:line="18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010000"/>
        </w:rPr>
        <w:t xml:space="preserve">9.11 </w:t>
      </w:r>
      <w:r>
        <w:rPr>
          <w:rFonts w:ascii="Arial" w:cs="Arial" w:eastAsia="Arial" w:hAnsi="Arial"/>
          <w:sz w:val="20"/>
          <w:szCs w:val="20"/>
          <w:color w:val="000000"/>
        </w:rPr>
        <w:t>Guaranty Matters. The Lenders and Issuing Lenders irrevocably authorize the Administrative Agent, at its option and in its</w:t>
      </w:r>
      <w:r>
        <w:rPr>
          <w:rFonts w:ascii="Arial" w:cs="Arial" w:eastAsia="Arial" w:hAnsi="Arial"/>
          <w:sz w:val="20"/>
          <w:szCs w:val="20"/>
          <w:color w:val="010000"/>
        </w:rPr>
        <w:t xml:space="preserve"> </w:t>
      </w:r>
      <w:r>
        <w:rPr>
          <w:rFonts w:ascii="Arial" w:cs="Arial" w:eastAsia="Arial" w:hAnsi="Arial"/>
          <w:sz w:val="20"/>
          <w:szCs w:val="20"/>
          <w:color w:val="000000"/>
        </w:rPr>
        <w:t xml:space="preserve">discretion, to release any Guarantor from its obligations under the Guaranty Agreement if such Person ceases to be a Subsidiary of the Parent as a result of a transaction not restricted hereunder. Upon request by the Administrative Agent at any time, the Required Lenders will confirm in writing the Administrative Agent’s authority to release any Guarantor from its obligations under the Guaranty Agreement pursuant to this </w:t>
      </w:r>
      <w:r>
        <w:rPr>
          <w:rFonts w:ascii="Arial" w:cs="Arial" w:eastAsia="Arial" w:hAnsi="Arial"/>
          <w:sz w:val="20"/>
          <w:szCs w:val="20"/>
          <w:u w:val="single" w:color="auto"/>
          <w:color w:val="000000"/>
        </w:rPr>
        <w:t>Section 9.11</w:t>
      </w:r>
      <w:r>
        <w:rPr>
          <w:rFonts w:ascii="Arial" w:cs="Arial" w:eastAsia="Arial" w:hAnsi="Arial"/>
          <w:sz w:val="20"/>
          <w:szCs w:val="20"/>
          <w:color w:val="000000"/>
        </w:rPr>
        <w:t>.</w:t>
      </w:r>
    </w:p>
    <w:p>
      <w:pPr>
        <w:spacing w:after="0" w:line="19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010000"/>
        </w:rPr>
        <w:t xml:space="preserve">9.12 </w:t>
      </w:r>
      <w:r>
        <w:rPr>
          <w:rFonts w:ascii="Arial" w:cs="Arial" w:eastAsia="Arial" w:hAnsi="Arial"/>
          <w:sz w:val="20"/>
          <w:szCs w:val="20"/>
          <w:color w:val="000000"/>
        </w:rPr>
        <w:t>Survival. All provisions of this</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Article IX</w:t>
      </w:r>
      <w:r>
        <w:rPr>
          <w:rFonts w:ascii="Arial" w:cs="Arial" w:eastAsia="Arial" w:hAnsi="Arial"/>
          <w:sz w:val="20"/>
          <w:szCs w:val="20"/>
          <w:color w:val="010000"/>
        </w:rPr>
        <w:t xml:space="preserve"> </w:t>
      </w:r>
      <w:r>
        <w:rPr>
          <w:rFonts w:ascii="Arial" w:cs="Arial" w:eastAsia="Arial" w:hAnsi="Arial"/>
          <w:sz w:val="20"/>
          <w:szCs w:val="20"/>
          <w:color w:val="000000"/>
        </w:rPr>
        <w:t>shall survive termination of the Aggregate Commitments and the repayment,</w:t>
      </w:r>
      <w:r>
        <w:rPr>
          <w:rFonts w:ascii="Arial" w:cs="Arial" w:eastAsia="Arial" w:hAnsi="Arial"/>
          <w:sz w:val="20"/>
          <w:szCs w:val="20"/>
          <w:color w:val="010000"/>
        </w:rPr>
        <w:t xml:space="preserve"> </w:t>
      </w:r>
      <w:r>
        <w:rPr>
          <w:rFonts w:ascii="Arial" w:cs="Arial" w:eastAsia="Arial" w:hAnsi="Arial"/>
          <w:sz w:val="20"/>
          <w:szCs w:val="20"/>
          <w:color w:val="000000"/>
        </w:rPr>
        <w:t>satisfaction or discharge of all other Obligations hereunder.</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9.13 </w:t>
      </w:r>
      <w:r>
        <w:rPr>
          <w:rFonts w:ascii="Arial" w:cs="Arial" w:eastAsia="Arial" w:hAnsi="Arial"/>
          <w:sz w:val="20"/>
          <w:szCs w:val="20"/>
          <w:color w:val="000000"/>
        </w:rPr>
        <w:t>Erroneous Payment</w:t>
      </w:r>
      <w:r>
        <w:rPr>
          <w:rFonts w:ascii="Arial" w:cs="Arial" w:eastAsia="Arial" w:hAnsi="Arial"/>
          <w:sz w:val="20"/>
          <w:szCs w:val="20"/>
          <w:u w:val="single" w:color="auto"/>
          <w:color w:val="000000"/>
        </w:rPr>
        <w:t>.</w:t>
      </w:r>
    </w:p>
    <w:p>
      <w:pPr>
        <w:spacing w:after="0" w:line="216" w:lineRule="exact"/>
        <w:rPr>
          <w:sz w:val="20"/>
          <w:szCs w:val="20"/>
          <w:color w:val="auto"/>
        </w:rPr>
      </w:pPr>
    </w:p>
    <w:p>
      <w:pPr>
        <w:ind w:firstLine="757"/>
        <w:spacing w:after="0" w:line="260" w:lineRule="auto"/>
        <w:tabs>
          <w:tab w:leader="none" w:pos="1202" w:val="left"/>
        </w:tabs>
        <w:numPr>
          <w:ilvl w:val="0"/>
          <w:numId w:val="173"/>
        </w:numPr>
        <w:rPr>
          <w:rFonts w:ascii="Arial" w:cs="Arial" w:eastAsia="Arial" w:hAnsi="Arial"/>
          <w:sz w:val="20"/>
          <w:szCs w:val="20"/>
          <w:color w:val="auto"/>
        </w:rPr>
      </w:pPr>
      <w:r>
        <w:rPr>
          <w:rFonts w:ascii="Arial" w:cs="Arial" w:eastAsia="Arial" w:hAnsi="Arial"/>
          <w:sz w:val="20"/>
          <w:szCs w:val="20"/>
          <w:color w:val="auto"/>
        </w:rPr>
        <w:t>Each Lender and each L/C Issuer (and each Participant of any of the foregoing, by its acceptance of a participation) hereby acknowledges and agrees that if the Administrative Agent notifies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5" w:name="page176"/>
    <w:bookmarkEnd w:id="175"/>
    <w:p>
      <w:pPr>
        <w:jc w:val="both"/>
        <w:spacing w:after="0" w:line="257" w:lineRule="auto"/>
        <w:rPr>
          <w:sz w:val="20"/>
          <w:szCs w:val="20"/>
          <w:color w:val="auto"/>
        </w:rPr>
      </w:pPr>
      <w:r>
        <w:rPr>
          <w:rFonts w:ascii="Arial" w:cs="Arial" w:eastAsia="Arial" w:hAnsi="Arial"/>
          <w:sz w:val="19"/>
          <w:szCs w:val="19"/>
          <w:color w:val="auto"/>
        </w:rPr>
        <w:t>or L/C Issuer that the Administrative Agent has determined in its sole discretion that any funds (or any portion thereof) received by such Lender or L/C Issuer (any of the foregoing, a “</w:t>
      </w:r>
      <w:r>
        <w:rPr>
          <w:rFonts w:ascii="Arial" w:cs="Arial" w:eastAsia="Arial" w:hAnsi="Arial"/>
          <w:sz w:val="19"/>
          <w:szCs w:val="19"/>
          <w:u w:val="single" w:color="auto"/>
          <w:color w:val="auto"/>
        </w:rPr>
        <w:t>Payment Recipient</w:t>
      </w:r>
      <w:r>
        <w:rPr>
          <w:rFonts w:ascii="Arial" w:cs="Arial" w:eastAsia="Arial" w:hAnsi="Arial"/>
          <w:sz w:val="19"/>
          <w:szCs w:val="19"/>
          <w:color w:val="auto"/>
        </w:rPr>
        <w:t>”) from the Administrative Agent (or any of its Affiliates) were erroneously transmitted to, or otherwise erroneously or mistakenly received by, such Payment Recipient (whether or not known to such Payment Recipient) (whether as a payment, prepayment or repayment of principal, interest, fees or otherwise; individually and collectively, a “</w:t>
      </w:r>
      <w:r>
        <w:rPr>
          <w:rFonts w:ascii="Arial" w:cs="Arial" w:eastAsia="Arial" w:hAnsi="Arial"/>
          <w:sz w:val="19"/>
          <w:szCs w:val="19"/>
          <w:u w:val="single" w:color="auto"/>
          <w:color w:val="auto"/>
        </w:rPr>
        <w:t>Payment</w:t>
      </w:r>
      <w:r>
        <w:rPr>
          <w:rFonts w:ascii="Arial" w:cs="Arial" w:eastAsia="Arial" w:hAnsi="Arial"/>
          <w:sz w:val="19"/>
          <w:szCs w:val="19"/>
          <w:color w:val="auto"/>
        </w:rPr>
        <w:t>”) and demands the return of such Payment, such Payment Recipient shall promptly, but in no event later than one Business Day thereafter, return to the Administrative Agent the amount of any such Payment as to which such a demand was made. A notice of the Administrative Agent to any Payment Recipient under this Section shall be conclusive, absent manifest error.</w:t>
      </w:r>
    </w:p>
    <w:p>
      <w:pPr>
        <w:spacing w:after="0" w:line="185" w:lineRule="exact"/>
        <w:rPr>
          <w:sz w:val="20"/>
          <w:szCs w:val="20"/>
          <w:color w:val="auto"/>
        </w:rPr>
      </w:pPr>
    </w:p>
    <w:p>
      <w:pPr>
        <w:jc w:val="both"/>
        <w:ind w:firstLine="757"/>
        <w:spacing w:after="0" w:line="272" w:lineRule="auto"/>
        <w:tabs>
          <w:tab w:leader="none" w:pos="122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Without limitation of clause (a) above, each Payment Recipient further acknowledges and agrees that if such Payment Recipient receives a Payment from the Administrative Agent (or any of its Affiliates) (x) that is in an amount, or on a date different from the amount and/or date specified in a notice of payment sent by the Administrative Agent (or any of its Affiliates) with respect to such Payment (a “</w:t>
      </w:r>
      <w:r>
        <w:rPr>
          <w:rFonts w:ascii="Arial" w:cs="Arial" w:eastAsia="Arial" w:hAnsi="Arial"/>
          <w:sz w:val="18"/>
          <w:szCs w:val="18"/>
          <w:u w:val="single" w:color="auto"/>
          <w:color w:val="auto"/>
        </w:rPr>
        <w:t>Payment Notice</w:t>
      </w:r>
      <w:r>
        <w:rPr>
          <w:rFonts w:ascii="Arial" w:cs="Arial" w:eastAsia="Arial" w:hAnsi="Arial"/>
          <w:sz w:val="18"/>
          <w:szCs w:val="18"/>
          <w:color w:val="auto"/>
        </w:rPr>
        <w:t>”), (y) that was not preceded or accompanied by a Payment Notice, or (z) that such Payment Recipient otherwise becomes aware was transmitted, or received, in error or by mistake (in whole or in part), in each case, it understands and agrees at the time of receipt of such Payment that an error has been made (and that it is deemed to have knowledge of such error) with respect to such Payment. Each Payment Recipient agrees that, in each such case, it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w:t>
      </w:r>
    </w:p>
    <w:p>
      <w:pPr>
        <w:spacing w:after="0" w:line="170" w:lineRule="exact"/>
        <w:rPr>
          <w:rFonts w:ascii="Arial" w:cs="Arial" w:eastAsia="Arial" w:hAnsi="Arial"/>
          <w:sz w:val="18"/>
          <w:szCs w:val="18"/>
          <w:color w:val="auto"/>
        </w:rPr>
      </w:pPr>
    </w:p>
    <w:p>
      <w:pPr>
        <w:jc w:val="both"/>
        <w:ind w:firstLine="757"/>
        <w:spacing w:after="0" w:line="242" w:lineRule="auto"/>
        <w:tabs>
          <w:tab w:leader="none" w:pos="1208" w:val="left"/>
        </w:tabs>
        <w:numPr>
          <w:ilvl w:val="0"/>
          <w:numId w:val="174"/>
        </w:numPr>
        <w:rPr>
          <w:rFonts w:ascii="Arial" w:cs="Arial" w:eastAsia="Arial" w:hAnsi="Arial"/>
          <w:sz w:val="20"/>
          <w:szCs w:val="20"/>
          <w:color w:val="auto"/>
        </w:rPr>
      </w:pPr>
      <w:r>
        <w:rPr>
          <w:rFonts w:ascii="Arial" w:cs="Arial" w:eastAsia="Arial" w:hAnsi="Arial"/>
          <w:sz w:val="20"/>
          <w:szCs w:val="20"/>
          <w:color w:val="auto"/>
        </w:rPr>
        <w:t>Any Payment required to be returned by a Payment Recipient under this Section shall be made in Same Day Funds in the currency so received, together with interest thereon in respect of each day from and including the date such Payment (or portion thereof) was received by such Payment Recipient to the date such amount is repaid to the Administrative Agent at the greater of the Federal Funds Effective Rate and a rate determined by the Administrative Agent in accordance with banking industry rules on interbank compensation from time to time in effect. Each Payment Recipient hereby agrees that it shall not assert and, to the fullest extent permitted by applicable law, hereby waives, any right to retain such Payment, and any claim, counterclaim, defense or right of set-off or recoupment or similar right to any demand by the Administrative Agent for the return of any Payment received, including without limitation any defense based on “discharge for value” or any similar doctrine.</w:t>
      </w:r>
    </w:p>
    <w:p>
      <w:pPr>
        <w:spacing w:after="0" w:line="196" w:lineRule="exact"/>
        <w:rPr>
          <w:rFonts w:ascii="Arial" w:cs="Arial" w:eastAsia="Arial" w:hAnsi="Arial"/>
          <w:sz w:val="20"/>
          <w:szCs w:val="20"/>
          <w:color w:val="auto"/>
        </w:rPr>
      </w:pPr>
    </w:p>
    <w:p>
      <w:pPr>
        <w:ind w:firstLine="757"/>
        <w:spacing w:after="0" w:line="278" w:lineRule="auto"/>
        <w:tabs>
          <w:tab w:leader="none" w:pos="1187" w:val="left"/>
        </w:tabs>
        <w:numPr>
          <w:ilvl w:val="0"/>
          <w:numId w:val="17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The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 except, in each case, to the extent such erroneous Payment is, and with respect to the amount of such erroneous Payment that is, comprised of funds of the Borrower or any other Loan Party.</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color w:val="010000"/>
        </w:rPr>
        <w:t xml:space="preserve">9.14 </w:t>
      </w:r>
      <w:r>
        <w:rPr>
          <w:rFonts w:ascii="Arial" w:cs="Arial" w:eastAsia="Arial" w:hAnsi="Arial"/>
          <w:sz w:val="20"/>
          <w:szCs w:val="20"/>
          <w:color w:val="000000"/>
        </w:rPr>
        <w:t>Certain ERISA Matters</w:t>
      </w:r>
      <w:r>
        <w:rPr>
          <w:rFonts w:ascii="Arial" w:cs="Arial" w:eastAsia="Arial" w:hAnsi="Arial"/>
          <w:sz w:val="20"/>
          <w:szCs w:val="20"/>
          <w:u w:val="single" w:color="auto"/>
          <w:color w:val="000000"/>
        </w:rPr>
        <w:t>.</w:t>
      </w:r>
    </w:p>
    <w:p>
      <w:pPr>
        <w:spacing w:after="0" w:line="216" w:lineRule="exact"/>
        <w:rPr>
          <w:sz w:val="20"/>
          <w:szCs w:val="20"/>
          <w:color w:val="auto"/>
        </w:rPr>
      </w:pPr>
    </w:p>
    <w:p>
      <w:pPr>
        <w:jc w:val="both"/>
        <w:ind w:firstLine="757"/>
        <w:spacing w:after="0" w:line="246" w:lineRule="auto"/>
        <w:tabs>
          <w:tab w:leader="none" w:pos="1190" w:val="left"/>
        </w:tabs>
        <w:numPr>
          <w:ilvl w:val="0"/>
          <w:numId w:val="17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6" w:name="page177"/>
    <w:bookmarkEnd w:id="176"/>
    <w:p>
      <w:pPr>
        <w:jc w:val="both"/>
        <w:ind w:left="760" w:firstLine="1494"/>
        <w:spacing w:after="0" w:line="250" w:lineRule="auto"/>
        <w:tabs>
          <w:tab w:leader="none" w:pos="2741" w:val="left"/>
        </w:tabs>
        <w:numPr>
          <w:ilvl w:val="1"/>
          <w:numId w:val="176"/>
        </w:numPr>
        <w:rPr>
          <w:rFonts w:ascii="Arial" w:cs="Arial" w:eastAsia="Arial" w:hAnsi="Arial"/>
          <w:sz w:val="20"/>
          <w:szCs w:val="20"/>
          <w:color w:val="010000"/>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5" w:lineRule="exact"/>
        <w:rPr>
          <w:rFonts w:ascii="Arial" w:cs="Arial" w:eastAsia="Arial" w:hAnsi="Arial"/>
          <w:sz w:val="20"/>
          <w:szCs w:val="20"/>
          <w:color w:val="010000"/>
        </w:rPr>
      </w:pPr>
    </w:p>
    <w:p>
      <w:pPr>
        <w:jc w:val="both"/>
        <w:ind w:left="760" w:firstLine="1494"/>
        <w:spacing w:after="0" w:line="274" w:lineRule="auto"/>
        <w:tabs>
          <w:tab w:leader="none" w:pos="2743" w:val="left"/>
        </w:tabs>
        <w:numPr>
          <w:ilvl w:val="1"/>
          <w:numId w:val="176"/>
        </w:numPr>
        <w:rPr>
          <w:rFonts w:ascii="Arial" w:cs="Arial" w:eastAsia="Arial" w:hAnsi="Arial"/>
          <w:sz w:val="18"/>
          <w:szCs w:val="18"/>
          <w:color w:val="010000"/>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and all of the conditions for exemptive relief are and will continue to be satisfied in connection with, such Lender’s entrance into, participation in, administration of and performance of the Loans, the Commitments and this Agreement,</w:t>
      </w:r>
    </w:p>
    <w:p>
      <w:pPr>
        <w:spacing w:after="0" w:line="168" w:lineRule="exact"/>
        <w:rPr>
          <w:rFonts w:ascii="Arial" w:cs="Arial" w:eastAsia="Arial" w:hAnsi="Arial"/>
          <w:sz w:val="18"/>
          <w:szCs w:val="18"/>
          <w:color w:val="010000"/>
        </w:rPr>
      </w:pPr>
    </w:p>
    <w:p>
      <w:pPr>
        <w:jc w:val="both"/>
        <w:ind w:left="760" w:firstLine="1494"/>
        <w:spacing w:after="0" w:line="269" w:lineRule="auto"/>
        <w:tabs>
          <w:tab w:leader="none" w:pos="2749" w:val="left"/>
        </w:tabs>
        <w:numPr>
          <w:ilvl w:val="1"/>
          <w:numId w:val="176"/>
        </w:numPr>
        <w:rPr>
          <w:rFonts w:ascii="Arial" w:cs="Arial" w:eastAsia="Arial" w:hAnsi="Arial"/>
          <w:sz w:val="18"/>
          <w:szCs w:val="18"/>
          <w:color w:val="010000"/>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w:t>
      </w:r>
    </w:p>
    <w:p>
      <w:pPr>
        <w:spacing w:after="0" w:line="3" w:lineRule="exact"/>
        <w:rPr>
          <w:rFonts w:ascii="Arial" w:cs="Arial" w:eastAsia="Arial" w:hAnsi="Arial"/>
          <w:sz w:val="18"/>
          <w:szCs w:val="18"/>
          <w:color w:val="010000"/>
        </w:rPr>
      </w:pPr>
    </w:p>
    <w:p>
      <w:pPr>
        <w:ind w:left="760" w:hanging="3"/>
        <w:spacing w:after="0" w:line="244" w:lineRule="auto"/>
        <w:tabs>
          <w:tab w:leader="none" w:pos="1032" w:val="left"/>
        </w:tabs>
        <w:numPr>
          <w:ilvl w:val="0"/>
          <w:numId w:val="177"/>
        </w:numPr>
        <w:rPr>
          <w:rFonts w:ascii="Arial" w:cs="Arial" w:eastAsia="Arial" w:hAnsi="Arial"/>
          <w:sz w:val="20"/>
          <w:szCs w:val="20"/>
          <w:color w:val="auto"/>
        </w:rPr>
      </w:pPr>
      <w:r>
        <w:rPr>
          <w:rFonts w:ascii="Arial" w:cs="Arial" w:eastAsia="Arial" w:hAnsi="Arial"/>
          <w:sz w:val="20"/>
          <w:szCs w:val="20"/>
          <w:color w:val="auto"/>
        </w:rPr>
        <w:t>of Part I of PTE 84-14 are satisfied and will continue to be satisfied with respect to such Lender’s entrance into, participation in, administration of and performance of the Loans, the Commitments and this Agreement, or</w:t>
      </w:r>
    </w:p>
    <w:p>
      <w:pPr>
        <w:spacing w:after="0" w:line="191" w:lineRule="exact"/>
        <w:rPr>
          <w:rFonts w:ascii="Arial" w:cs="Arial" w:eastAsia="Arial" w:hAnsi="Arial"/>
          <w:sz w:val="20"/>
          <w:szCs w:val="20"/>
          <w:color w:val="auto"/>
        </w:rPr>
      </w:pPr>
    </w:p>
    <w:p>
      <w:pPr>
        <w:ind w:left="760" w:firstLine="1494"/>
        <w:spacing w:after="0" w:line="260" w:lineRule="auto"/>
        <w:tabs>
          <w:tab w:leader="none" w:pos="2749" w:val="left"/>
        </w:tabs>
        <w:numPr>
          <w:ilvl w:val="1"/>
          <w:numId w:val="177"/>
        </w:numPr>
        <w:rPr>
          <w:rFonts w:ascii="Arial" w:cs="Arial" w:eastAsia="Arial" w:hAnsi="Arial"/>
          <w:sz w:val="20"/>
          <w:szCs w:val="20"/>
          <w:color w:val="010000"/>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6" w:lineRule="exact"/>
        <w:rPr>
          <w:rFonts w:ascii="Arial" w:cs="Arial" w:eastAsia="Arial" w:hAnsi="Arial"/>
          <w:sz w:val="20"/>
          <w:szCs w:val="20"/>
          <w:color w:val="010000"/>
        </w:rPr>
      </w:pPr>
    </w:p>
    <w:p>
      <w:pPr>
        <w:jc w:val="both"/>
        <w:ind w:firstLine="757"/>
        <w:spacing w:after="0" w:line="273" w:lineRule="auto"/>
        <w:tabs>
          <w:tab w:leader="none" w:pos="1204" w:val="left"/>
        </w:tabs>
        <w:numPr>
          <w:ilvl w:val="0"/>
          <w:numId w:val="17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of exercise or any rights by the Administrative Agent under this Agreement, any Loan Document or any documents related hereto or thereto).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X</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MISCELLANEOUS</w:t>
      </w:r>
    </w:p>
    <w:p>
      <w:pPr>
        <w:spacing w:after="0" w:line="200"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010000"/>
        </w:rPr>
        <w:t xml:space="preserve">10.01 </w:t>
      </w:r>
      <w:r>
        <w:rPr>
          <w:rFonts w:ascii="Arial" w:cs="Arial" w:eastAsia="Arial" w:hAnsi="Arial"/>
          <w:sz w:val="18"/>
          <w:szCs w:val="18"/>
          <w:color w:val="000000"/>
        </w:rPr>
        <w:t>Amendments, Etc. Except or otherwise provided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2.14</w:t>
      </w:r>
      <w:r>
        <w:rPr>
          <w:rFonts w:ascii="Arial" w:cs="Arial" w:eastAsia="Arial" w:hAnsi="Arial"/>
          <w:sz w:val="18"/>
          <w:szCs w:val="18"/>
          <w:color w:val="010000"/>
        </w:rPr>
        <w:t xml:space="preserve"> </w:t>
      </w:r>
      <w:r>
        <w:rPr>
          <w:rFonts w:ascii="Arial" w:cs="Arial" w:eastAsia="Arial" w:hAnsi="Arial"/>
          <w:sz w:val="18"/>
          <w:szCs w:val="18"/>
          <w:color w:val="000000"/>
        </w:rPr>
        <w:t>and</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2.17</w:t>
      </w:r>
      <w:r>
        <w:rPr>
          <w:rFonts w:ascii="Arial" w:cs="Arial" w:eastAsia="Arial" w:hAnsi="Arial"/>
          <w:sz w:val="18"/>
          <w:szCs w:val="18"/>
          <w:color w:val="000000"/>
        </w:rPr>
        <w:t>, no amendment or waiver of any</w:t>
      </w:r>
      <w:r>
        <w:rPr>
          <w:rFonts w:ascii="Arial" w:cs="Arial" w:eastAsia="Arial" w:hAnsi="Arial"/>
          <w:sz w:val="18"/>
          <w:szCs w:val="18"/>
          <w:color w:val="010000"/>
        </w:rPr>
        <w:t xml:space="preserve"> </w:t>
      </w:r>
      <w:r>
        <w:rPr>
          <w:rFonts w:ascii="Arial" w:cs="Arial" w:eastAsia="Arial" w:hAnsi="Arial"/>
          <w:sz w:val="18"/>
          <w:szCs w:val="18"/>
          <w:color w:val="000000"/>
        </w:rPr>
        <w:t>provision of this Agreement or any other Loan Document, and no consent to any departure by the Company or any other Loan Party therefrom, shall be effective unless in writing signed by the Required Lenders (or the Administrative Agent with the consent of the Required Lenders) and the Company or the applicable Loan Party, as the case may be, and acknowledged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7" w:name="page178"/>
    <w:bookmarkEnd w:id="177"/>
    <w:p>
      <w:pPr>
        <w:spacing w:after="0" w:line="260" w:lineRule="auto"/>
        <w:rPr>
          <w:sz w:val="20"/>
          <w:szCs w:val="20"/>
          <w:color w:val="auto"/>
        </w:rPr>
      </w:pPr>
      <w:r>
        <w:rPr>
          <w:rFonts w:ascii="Arial" w:cs="Arial" w:eastAsia="Arial" w:hAnsi="Arial"/>
          <w:sz w:val="20"/>
          <w:szCs w:val="20"/>
          <w:color w:val="auto"/>
        </w:rPr>
        <w:t xml:space="preserve">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amendment, waiver or consent shall:</w:t>
      </w:r>
    </w:p>
    <w:p>
      <w:pPr>
        <w:spacing w:after="0" w:line="177" w:lineRule="exact"/>
        <w:rPr>
          <w:sz w:val="20"/>
          <w:szCs w:val="20"/>
          <w:color w:val="auto"/>
        </w:rPr>
      </w:pPr>
    </w:p>
    <w:p>
      <w:pPr>
        <w:ind w:firstLine="1505"/>
        <w:spacing w:after="0" w:line="260" w:lineRule="auto"/>
        <w:tabs>
          <w:tab w:leader="none" w:pos="1991"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waive any condition set forth in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 4.01(b)(i)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which may be waived solely by the Person to whom any such amounts are due) without the written consent of each Lender;</w:t>
      </w:r>
    </w:p>
    <w:p>
      <w:pPr>
        <w:spacing w:after="0" w:line="176" w:lineRule="exact"/>
        <w:rPr>
          <w:rFonts w:ascii="Arial" w:cs="Arial" w:eastAsia="Arial" w:hAnsi="Arial"/>
          <w:sz w:val="20"/>
          <w:szCs w:val="20"/>
          <w:color w:val="auto"/>
        </w:rPr>
      </w:pPr>
    </w:p>
    <w:p>
      <w:pPr>
        <w:jc w:val="both"/>
        <w:ind w:firstLine="1505"/>
        <w:spacing w:after="0" w:line="246" w:lineRule="auto"/>
        <w:tabs>
          <w:tab w:leader="none" w:pos="2002"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extend or increase the Commitment of any Lender (or reinstate any Commitment terminated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8.02</w:t>
      </w:r>
      <w:r>
        <w:rPr>
          <w:rFonts w:ascii="Arial" w:cs="Arial" w:eastAsia="Arial" w:hAnsi="Arial"/>
          <w:sz w:val="20"/>
          <w:szCs w:val="20"/>
          <w:color w:val="auto"/>
        </w:rPr>
        <w:t xml:space="preserve">) without the written consent of such Lender (it being understood that a waiver of any condition precedent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or the waiver of any Default, Event of Default or mandatory prepayment of the Commitments shall not constitute an extension or increase of any Commitment of any Lender);</w:t>
      </w:r>
    </w:p>
    <w:p>
      <w:pPr>
        <w:spacing w:after="0" w:line="191" w:lineRule="exact"/>
        <w:rPr>
          <w:rFonts w:ascii="Arial" w:cs="Arial" w:eastAsia="Arial" w:hAnsi="Arial"/>
          <w:sz w:val="20"/>
          <w:szCs w:val="20"/>
          <w:color w:val="auto"/>
        </w:rPr>
      </w:pPr>
    </w:p>
    <w:p>
      <w:pPr>
        <w:jc w:val="both"/>
        <w:ind w:firstLine="1505"/>
        <w:spacing w:after="0" w:line="270" w:lineRule="auto"/>
        <w:tabs>
          <w:tab w:leader="none" w:pos="198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postpone any date fixed by this Agreement or any other Loan Document for any payment of principal, interest, fees or other amounts due to the Lenders (or any of them) hereunder or under any other Loan Document without the written consent of each Lender directly affected thereby (other than as contemplated by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(i) to amend the definition of “Default Rate” or to waive any obligation of the Borrowers to pay interest at the Default Rate or</w:t>
      </w:r>
    </w:p>
    <w:p>
      <w:pPr>
        <w:spacing w:after="0" w:line="2" w:lineRule="exact"/>
        <w:rPr>
          <w:rFonts w:ascii="Arial" w:cs="Arial" w:eastAsia="Arial" w:hAnsi="Arial"/>
          <w:sz w:val="18"/>
          <w:szCs w:val="18"/>
          <w:color w:val="auto"/>
        </w:rPr>
      </w:pPr>
    </w:p>
    <w:p>
      <w:pPr>
        <w:ind w:left="300" w:hanging="292"/>
        <w:spacing w:after="0"/>
        <w:tabs>
          <w:tab w:leader="none" w:pos="30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to waive any obligation of the Borrowers to pay Letter of Credit Fees at the Default Rate;</w:t>
      </w:r>
    </w:p>
    <w:p>
      <w:pPr>
        <w:spacing w:after="0" w:line="199" w:lineRule="exact"/>
        <w:rPr>
          <w:rFonts w:ascii="Arial" w:cs="Arial" w:eastAsia="Arial" w:hAnsi="Arial"/>
          <w:sz w:val="20"/>
          <w:szCs w:val="20"/>
          <w:color w:val="auto"/>
        </w:rPr>
      </w:pPr>
    </w:p>
    <w:p>
      <w:pPr>
        <w:ind w:left="2000" w:hanging="495"/>
        <w:spacing w:after="0"/>
        <w:tabs>
          <w:tab w:leader="none" w:pos="20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reduce the principal of, or the rate of interest specified herein on, any Loan or L/C Borrowing, or (subject to clause</w:t>
      </w:r>
    </w:p>
    <w:p>
      <w:pPr>
        <w:spacing w:after="0" w:line="38" w:lineRule="exact"/>
        <w:rPr>
          <w:rFonts w:ascii="Arial" w:cs="Arial" w:eastAsia="Arial" w:hAnsi="Arial"/>
          <w:sz w:val="18"/>
          <w:szCs w:val="18"/>
          <w:color w:val="auto"/>
        </w:rPr>
      </w:pPr>
    </w:p>
    <w:p>
      <w:pPr>
        <w:jc w:val="both"/>
        <w:ind w:firstLine="8"/>
        <w:spacing w:after="0" w:line="272" w:lineRule="auto"/>
        <w:tabs>
          <w:tab w:leader="none" w:pos="28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of the second proviso to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any fees or other amounts payable hereunder or under any other Loan Document without the written consent of each Lender directly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(i) to amend the definition of “Default Rate” or to waive any obligation of the Borrowers to pay interest at the Default Rate or (ii) to amend any financial covenant hereunder (or any defined term used therein) even if the effect of such amendment would be to reduce the rate of interest on any Loan or L/C Borrowing or to reduce any fee payable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only the consent of the Required Lenders shall be necessary to waive any obligation of the Borrowers to pay Letter of Credit Fees at the Default Rate;</w:t>
      </w:r>
    </w:p>
    <w:p>
      <w:pPr>
        <w:spacing w:after="0" w:line="169" w:lineRule="exact"/>
        <w:rPr>
          <w:rFonts w:ascii="Arial" w:cs="Arial" w:eastAsia="Arial" w:hAnsi="Arial"/>
          <w:sz w:val="18"/>
          <w:szCs w:val="18"/>
          <w:color w:val="auto"/>
        </w:rPr>
      </w:pPr>
    </w:p>
    <w:p>
      <w:pPr>
        <w:ind w:firstLine="1505"/>
        <w:spacing w:after="0" w:line="260" w:lineRule="auto"/>
        <w:tabs>
          <w:tab w:leader="none" w:pos="1985" w:val="left"/>
        </w:tabs>
        <w:numPr>
          <w:ilvl w:val="1"/>
          <w:numId w:val="180"/>
        </w:numPr>
        <w:rPr>
          <w:rFonts w:ascii="Arial" w:cs="Arial" w:eastAsia="Arial" w:hAnsi="Arial"/>
          <w:sz w:val="20"/>
          <w:szCs w:val="20"/>
          <w:color w:val="auto"/>
        </w:rPr>
      </w:pPr>
      <w:r>
        <w:rPr>
          <w:rFonts w:ascii="Arial" w:cs="Arial" w:eastAsia="Arial" w:hAnsi="Arial"/>
          <w:sz w:val="20"/>
          <w:szCs w:val="20"/>
          <w:color w:val="auto"/>
        </w:rPr>
        <w:t xml:space="preserve">change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in a manner that would alter the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sharing of payments required thereby without the written consent of each Lender;</w:t>
      </w:r>
    </w:p>
    <w:p>
      <w:pPr>
        <w:spacing w:after="0" w:line="176" w:lineRule="exact"/>
        <w:rPr>
          <w:rFonts w:ascii="Arial" w:cs="Arial" w:eastAsia="Arial" w:hAnsi="Arial"/>
          <w:sz w:val="20"/>
          <w:szCs w:val="20"/>
          <w:color w:val="auto"/>
        </w:rPr>
      </w:pPr>
    </w:p>
    <w:p>
      <w:pPr>
        <w:ind w:left="2020" w:hanging="515"/>
        <w:spacing w:after="0"/>
        <w:tabs>
          <w:tab w:leader="none" w:pos="2020" w:val="left"/>
        </w:tabs>
        <w:numPr>
          <w:ilvl w:val="1"/>
          <w:numId w:val="180"/>
        </w:numPr>
        <w:rPr>
          <w:rFonts w:ascii="Arial" w:cs="Arial" w:eastAsia="Arial" w:hAnsi="Arial"/>
          <w:sz w:val="19"/>
          <w:szCs w:val="19"/>
          <w:color w:val="auto"/>
        </w:rPr>
      </w:pPr>
      <w:r>
        <w:rPr>
          <w:rFonts w:ascii="Arial" w:cs="Arial" w:eastAsia="Arial" w:hAnsi="Arial"/>
          <w:sz w:val="19"/>
          <w:szCs w:val="19"/>
          <w:color w:val="auto"/>
        </w:rPr>
        <w:t xml:space="preserve">amend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or the definition of “Alternative Currency” without the written consent of each Revolving</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Credit Lender;</w:t>
      </w:r>
    </w:p>
    <w:p>
      <w:pPr>
        <w:spacing w:after="0" w:line="199" w:lineRule="exact"/>
        <w:rPr>
          <w:rFonts w:ascii="Arial" w:cs="Arial" w:eastAsia="Arial" w:hAnsi="Arial"/>
          <w:sz w:val="19"/>
          <w:szCs w:val="19"/>
          <w:color w:val="auto"/>
        </w:rPr>
      </w:pPr>
    </w:p>
    <w:p>
      <w:pPr>
        <w:jc w:val="both"/>
        <w:ind w:firstLine="1505"/>
        <w:spacing w:after="0" w:line="250" w:lineRule="auto"/>
        <w:tabs>
          <w:tab w:leader="none" w:pos="1998" w:val="left"/>
        </w:tabs>
        <w:numPr>
          <w:ilvl w:val="1"/>
          <w:numId w:val="180"/>
        </w:numPr>
        <w:rPr>
          <w:rFonts w:ascii="Arial" w:cs="Arial" w:eastAsia="Arial" w:hAnsi="Arial"/>
          <w:sz w:val="20"/>
          <w:szCs w:val="20"/>
          <w:color w:val="auto"/>
        </w:rPr>
      </w:pPr>
      <w:r>
        <w:rPr>
          <w:rFonts w:ascii="Arial" w:cs="Arial" w:eastAsia="Arial" w:hAnsi="Arial"/>
          <w:sz w:val="20"/>
          <w:szCs w:val="20"/>
          <w:color w:val="auto"/>
        </w:rPr>
        <w:t xml:space="preserve">change any provision of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185" w:lineRule="exact"/>
        <w:rPr>
          <w:rFonts w:ascii="Arial" w:cs="Arial" w:eastAsia="Arial" w:hAnsi="Arial"/>
          <w:sz w:val="20"/>
          <w:szCs w:val="20"/>
          <w:color w:val="auto"/>
        </w:rPr>
      </w:pPr>
    </w:p>
    <w:p>
      <w:pPr>
        <w:jc w:val="both"/>
        <w:ind w:firstLine="1505"/>
        <w:spacing w:after="0" w:line="250" w:lineRule="auto"/>
        <w:tabs>
          <w:tab w:leader="none" w:pos="1993" w:val="left"/>
        </w:tabs>
        <w:numPr>
          <w:ilvl w:val="1"/>
          <w:numId w:val="180"/>
        </w:numPr>
        <w:rPr>
          <w:rFonts w:ascii="Arial" w:cs="Arial" w:eastAsia="Arial" w:hAnsi="Arial"/>
          <w:sz w:val="20"/>
          <w:szCs w:val="20"/>
          <w:color w:val="auto"/>
        </w:rPr>
      </w:pPr>
      <w:r>
        <w:rPr>
          <w:rFonts w:ascii="Arial" w:cs="Arial" w:eastAsia="Arial" w:hAnsi="Arial"/>
          <w:sz w:val="20"/>
          <w:szCs w:val="20"/>
          <w:color w:val="auto"/>
        </w:rPr>
        <w:t xml:space="preserve">release all or substantially all of the value of the Guaranty Agreement without the written consent of each Lender, except to the extent the release of any Guarantor is permitted pursuant to </w:t>
      </w:r>
      <w:r>
        <w:rPr>
          <w:rFonts w:ascii="Arial" w:cs="Arial" w:eastAsia="Arial" w:hAnsi="Arial"/>
          <w:sz w:val="20"/>
          <w:szCs w:val="20"/>
          <w:u w:val="single" w:color="auto"/>
          <w:color w:val="auto"/>
        </w:rPr>
        <w:t>Section 9.11</w:t>
      </w:r>
      <w:r>
        <w:rPr>
          <w:rFonts w:ascii="Arial" w:cs="Arial" w:eastAsia="Arial" w:hAnsi="Arial"/>
          <w:sz w:val="20"/>
          <w:szCs w:val="20"/>
          <w:color w:val="auto"/>
        </w:rPr>
        <w:t xml:space="preserve"> (in which case such release may be made by the Administrative Agent acting alone);</w:t>
      </w:r>
    </w:p>
    <w:p>
      <w:pPr>
        <w:spacing w:after="0" w:line="185" w:lineRule="exact"/>
        <w:rPr>
          <w:rFonts w:ascii="Arial" w:cs="Arial" w:eastAsia="Arial" w:hAnsi="Arial"/>
          <w:sz w:val="20"/>
          <w:szCs w:val="20"/>
          <w:color w:val="auto"/>
        </w:rPr>
      </w:pPr>
    </w:p>
    <w:p>
      <w:pPr>
        <w:ind w:firstLine="1505"/>
        <w:spacing w:after="0" w:line="260" w:lineRule="auto"/>
        <w:tabs>
          <w:tab w:leader="none" w:pos="2012" w:val="left"/>
        </w:tabs>
        <w:numPr>
          <w:ilvl w:val="1"/>
          <w:numId w:val="180"/>
        </w:numPr>
        <w:rPr>
          <w:rFonts w:ascii="Arial" w:cs="Arial" w:eastAsia="Arial" w:hAnsi="Arial"/>
          <w:sz w:val="20"/>
          <w:szCs w:val="20"/>
          <w:color w:val="auto"/>
        </w:rPr>
      </w:pPr>
      <w:r>
        <w:rPr>
          <w:rFonts w:ascii="Arial" w:cs="Arial" w:eastAsia="Arial" w:hAnsi="Arial"/>
          <w:sz w:val="20"/>
          <w:szCs w:val="20"/>
          <w:color w:val="auto"/>
        </w:rPr>
        <w:t>impose any greater restriction on the ability of any Lender to assign any of its rights or obligations hereunder without the written consent of the Required Lenders; or</w:t>
      </w:r>
    </w:p>
    <w:p>
      <w:pPr>
        <w:spacing w:after="0" w:line="176" w:lineRule="exact"/>
        <w:rPr>
          <w:rFonts w:ascii="Arial" w:cs="Arial" w:eastAsia="Arial" w:hAnsi="Arial"/>
          <w:sz w:val="20"/>
          <w:szCs w:val="20"/>
          <w:color w:val="auto"/>
        </w:rPr>
      </w:pPr>
    </w:p>
    <w:p>
      <w:pPr>
        <w:ind w:firstLine="1505"/>
        <w:spacing w:after="0" w:line="260" w:lineRule="auto"/>
        <w:tabs>
          <w:tab w:leader="none" w:pos="1979" w:val="left"/>
        </w:tabs>
        <w:numPr>
          <w:ilvl w:val="1"/>
          <w:numId w:val="180"/>
        </w:numPr>
        <w:rPr>
          <w:rFonts w:ascii="Arial" w:cs="Arial" w:eastAsia="Arial" w:hAnsi="Arial"/>
          <w:sz w:val="20"/>
          <w:szCs w:val="20"/>
          <w:color w:val="auto"/>
        </w:rPr>
      </w:pPr>
      <w:r>
        <w:rPr>
          <w:rFonts w:ascii="Arial" w:cs="Arial" w:eastAsia="Arial" w:hAnsi="Arial"/>
          <w:sz w:val="20"/>
          <w:szCs w:val="20"/>
          <w:color w:val="auto"/>
        </w:rPr>
        <w:t xml:space="preserve">waive any condition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as to any Credit Extension after the Initial Credit Extension without the written consent of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8" w:name="page179"/>
    <w:bookmarkEnd w:id="178"/>
    <w:p>
      <w:pPr>
        <w:jc w:val="both"/>
        <w:spacing w:after="0" w:line="268"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 no amendment, waiver or consent shall, unless in writing and signed by the applicable Issuing Lender in addition to the Lenders required above, affect the rights or duties of such Issuing Lender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L/C Administrator in addition to the Lenders required above, affect the rights or duties of such L/C Administrator under this Agreement or any Issuer Document relating to any Letter of Credit issued or to be issued by it; (iv) no amendment, waiver or consent shall, unless in writing and signed by the Administrative Agent in addition to the Lenders required above, affect the rights or duties of the Administrative Agent under this Agreement or any other Loan Document; (v) </w:t>
      </w:r>
      <w:r>
        <w:rPr>
          <w:rFonts w:ascii="Arial" w:cs="Arial" w:eastAsia="Arial" w:hAnsi="Arial"/>
          <w:sz w:val="18"/>
          <w:szCs w:val="18"/>
          <w:u w:val="single" w:color="auto"/>
          <w:color w:val="auto"/>
        </w:rPr>
        <w:t>Section 10.06(h)</w:t>
      </w:r>
      <w:r>
        <w:rPr>
          <w:rFonts w:ascii="Arial" w:cs="Arial" w:eastAsia="Arial" w:hAnsi="Arial"/>
          <w:sz w:val="18"/>
          <w:szCs w:val="18"/>
          <w:color w:val="auto"/>
        </w:rPr>
        <w:t xml:space="preserve"> may not be amended, waived or otherwise modified without the consent of each Granting Lender all or any part of whose Loans are being funded by an SPC at the time of such amendment, waiver or other modification; and (vi) each Issuer Document (to the extent otherwise permitted by the terms of this Agreement) and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the maturity of any of its Loans may not be extended, the rate of interest on any of its Loans may not be reduced and the principal amount of any of its Loans may not be forgiven, in each case,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If any Lender does not consent to a proposed amendment, waiver, consent or release with respect to any Loan Document that requires the consent of each similarly situated Lender or such Lender and that has been approved by the Required Lenders, the Company may replace such non-consenting Lender in accordance with </w:t>
      </w:r>
      <w:r>
        <w:rPr>
          <w:rFonts w:ascii="Arial" w:cs="Arial" w:eastAsia="Arial" w:hAnsi="Arial"/>
          <w:sz w:val="20"/>
          <w:szCs w:val="20"/>
          <w:u w:val="single" w:color="auto"/>
          <w:color w:val="auto"/>
        </w:rPr>
        <w:t>Section 10.13</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amendment, waiver, consent or release can be effected as a result of the assignment contemplated by such Section (together with all other such assignments required by the Company to be made pursuant to this paragraph).</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addition, notwithstanding anything in this Section to the contrary, if the Administrative Agent and the Company shall have jointly identified an obvious error or any error or omission of a technical nature, in each case, in any provision of any Loan Document, then the Administrative Agent and the Company shall be permitted to amend such provision, and, in each case, such amendment shall become effective without any further action or consent of any other party to any Loan Document if the same is not objected to in writing by the Required Lenders to the Administrative Agent within 10 Business Days following receipt of notice thereof.</w:t>
      </w:r>
    </w:p>
    <w:p>
      <w:pPr>
        <w:spacing w:after="0" w:line="180" w:lineRule="exact"/>
        <w:rPr>
          <w:sz w:val="20"/>
          <w:szCs w:val="20"/>
          <w:color w:val="auto"/>
        </w:rPr>
      </w:pPr>
    </w:p>
    <w:p>
      <w:pPr>
        <w:ind w:left="760"/>
        <w:spacing w:after="0"/>
        <w:tabs>
          <w:tab w:leader="none" w:pos="1580" w:val="left"/>
        </w:tabs>
        <w:rPr>
          <w:sz w:val="20"/>
          <w:szCs w:val="20"/>
          <w:color w:val="auto"/>
        </w:rPr>
      </w:pPr>
      <w:r>
        <w:rPr>
          <w:rFonts w:ascii="Arial" w:cs="Arial" w:eastAsia="Arial" w:hAnsi="Arial"/>
          <w:sz w:val="20"/>
          <w:szCs w:val="20"/>
          <w:color w:val="010000"/>
        </w:rPr>
        <w:t>10.02</w:t>
      </w:r>
      <w:r>
        <w:rPr>
          <w:sz w:val="20"/>
          <w:szCs w:val="20"/>
          <w:color w:val="auto"/>
        </w:rPr>
        <w:tab/>
      </w:r>
      <w:r>
        <w:rPr>
          <w:rFonts w:ascii="Arial" w:cs="Arial" w:eastAsia="Arial" w:hAnsi="Arial"/>
          <w:sz w:val="18"/>
          <w:szCs w:val="18"/>
          <w:color w:val="auto"/>
        </w:rPr>
        <w:t>Notices; Effectiveness; Electronic Communications.</w:t>
      </w:r>
    </w:p>
    <w:p>
      <w:pPr>
        <w:spacing w:after="0" w:line="216" w:lineRule="exact"/>
        <w:rPr>
          <w:sz w:val="20"/>
          <w:szCs w:val="20"/>
          <w:color w:val="auto"/>
        </w:rPr>
      </w:pPr>
    </w:p>
    <w:p>
      <w:pPr>
        <w:jc w:val="both"/>
        <w:ind w:firstLine="1505"/>
        <w:spacing w:after="0" w:line="244" w:lineRule="auto"/>
        <w:tabs>
          <w:tab w:leader="none" w:pos="2006" w:val="left"/>
        </w:tabs>
        <w:numPr>
          <w:ilvl w:val="0"/>
          <w:numId w:val="181"/>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(subject to subsection (b) below) email as follows, and all notices and other communications expressly permitted hereunder to be given by telephone shall be made to the applicable telephone number,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9" w:name="page180"/>
    <w:bookmarkEnd w:id="179"/>
    <w:p>
      <w:pPr>
        <w:jc w:val="both"/>
        <w:ind w:left="760" w:firstLine="1494"/>
        <w:spacing w:after="0" w:line="250" w:lineRule="auto"/>
        <w:tabs>
          <w:tab w:leader="none" w:pos="2744" w:val="left"/>
        </w:tabs>
        <w:numPr>
          <w:ilvl w:val="0"/>
          <w:numId w:val="182"/>
        </w:numPr>
        <w:rPr>
          <w:rFonts w:ascii="Arial" w:cs="Arial" w:eastAsia="Arial" w:hAnsi="Arial"/>
          <w:sz w:val="20"/>
          <w:szCs w:val="20"/>
          <w:color w:val="010000"/>
        </w:rPr>
      </w:pPr>
      <w:r>
        <w:rPr>
          <w:rFonts w:ascii="Arial" w:cs="Arial" w:eastAsia="Arial" w:hAnsi="Arial"/>
          <w:sz w:val="20"/>
          <w:szCs w:val="20"/>
          <w:color w:val="auto"/>
        </w:rPr>
        <w:t xml:space="preserve">if to the Parent, any Borrower, the Administrative Agent, the Swing Line Lender, the L/C Administrator or any Issuing Lender, to the address, facsimile number, electronic mail address or telephone number specified for such Person on </w:t>
      </w:r>
      <w:r>
        <w:rPr>
          <w:rFonts w:ascii="Arial" w:cs="Arial" w:eastAsia="Arial" w:hAnsi="Arial"/>
          <w:sz w:val="20"/>
          <w:szCs w:val="20"/>
          <w:u w:val="single" w:color="auto"/>
          <w:color w:val="auto"/>
        </w:rPr>
        <w:t>Schedule 10.02</w:t>
      </w:r>
      <w:r>
        <w:rPr>
          <w:rFonts w:ascii="Arial" w:cs="Arial" w:eastAsia="Arial" w:hAnsi="Arial"/>
          <w:sz w:val="20"/>
          <w:szCs w:val="20"/>
          <w:color w:val="auto"/>
        </w:rPr>
        <w:t>; and</w:t>
      </w:r>
    </w:p>
    <w:p>
      <w:pPr>
        <w:spacing w:after="0" w:line="185" w:lineRule="exact"/>
        <w:rPr>
          <w:rFonts w:ascii="Arial" w:cs="Arial" w:eastAsia="Arial" w:hAnsi="Arial"/>
          <w:sz w:val="20"/>
          <w:szCs w:val="20"/>
          <w:color w:val="010000"/>
        </w:rPr>
      </w:pPr>
    </w:p>
    <w:p>
      <w:pPr>
        <w:ind w:left="760" w:firstLine="1494"/>
        <w:spacing w:after="0" w:line="260" w:lineRule="auto"/>
        <w:tabs>
          <w:tab w:leader="none" w:pos="2771" w:val="left"/>
        </w:tabs>
        <w:numPr>
          <w:ilvl w:val="0"/>
          <w:numId w:val="182"/>
        </w:numPr>
        <w:rPr>
          <w:rFonts w:ascii="Arial" w:cs="Arial" w:eastAsia="Arial" w:hAnsi="Arial"/>
          <w:sz w:val="20"/>
          <w:szCs w:val="20"/>
          <w:color w:val="010000"/>
        </w:rPr>
      </w:pPr>
      <w:r>
        <w:rPr>
          <w:rFonts w:ascii="Arial" w:cs="Arial" w:eastAsia="Arial" w:hAnsi="Arial"/>
          <w:sz w:val="20"/>
          <w:szCs w:val="20"/>
          <w:color w:val="auto"/>
        </w:rPr>
        <w:t>if to any other Lender, to the address, facsimile number, electronic mail address or telephone number specified in its Administrative Questionnaire.</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94" w:lineRule="exact"/>
        <w:rPr>
          <w:sz w:val="20"/>
          <w:szCs w:val="20"/>
          <w:color w:val="auto"/>
        </w:rPr>
      </w:pPr>
    </w:p>
    <w:p>
      <w:pPr>
        <w:jc w:val="both"/>
        <w:ind w:firstLine="1505"/>
        <w:spacing w:after="0" w:line="257" w:lineRule="auto"/>
        <w:tabs>
          <w:tab w:leader="none" w:pos="1984"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xml:space="preserve">. Notices and other communications to the Lenders and Issuing Lenders hereunder may be delivered or furnished by electronic communication (including e-mail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any Issuing Lender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or such Issuing Lender, as applicable, has notified the Administrative Agent that it is incapable of receiving notices under such Article by electronic communication. The Administrative Agent or the Borrowers may, in their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8" w:lineRule="exact"/>
        <w:rPr>
          <w:sz w:val="20"/>
          <w:szCs w:val="20"/>
          <w:color w:val="auto"/>
        </w:rPr>
      </w:pPr>
    </w:p>
    <w:p>
      <w:pPr>
        <w:jc w:val="both"/>
        <w:ind w:firstLine="1505"/>
        <w:spacing w:after="0" w:line="270" w:lineRule="auto"/>
        <w:tabs>
          <w:tab w:leader="none" w:pos="2004"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xml:space="preserve">. THE PLATFORM IS PROVIDED “AS IS” AND “AS AVAILABLE.” THE AGENT-RELATED PERSONS DO NOT WARRANT THE ACCURACY OR COMPLETENESS OF THE PARENT AND BORROWER MATERIALS OR THE ADEQUACY OF THE PLATFORM, AND EXPRESSLY DISCLAIM LIABILITY FOR ERRORS IN OR OMISSIONS FROM THE PARENT AND BORROWER MATERIALS. NO WARRANTY OF ANY KIND, EXPRESS, IMPLIED OR STATUTORY, INCLUDING ANY WARRANTY OF MERCHANTABILITY, FITNESS FOR A PARTICULAR PURPOSE, NON-INFRINGEMENT OF THIRD PARTY RIGHTS OR FREEDOM FROM VIRUSES OR OTHER CODE DEFECTS, IS MADE BY ANY AGENT-RELATED PERSON IN CONNECTION WITH THE PARENT AND BORROWER MATERIALS OR THE PLATFORM. In no event shall any Agent-Related Person have any liability to the Parent, any Borrower, any Lender, any Issuing Lender or any other Person for losses, claims, damages, liabilities or expenses of any kind (whether in tort, contract or otherwise) arising out of the Parent’s, any Borrower’s or the Administrative Agent’s transmission of Parent and Borrower Materials through the Internet (including the Platform), except to the extent that such losses, claims, damages, liabilities or expenses are determined by a court of competent jurisdiction by a final and nonappealable judgment to have resulted from the gross negligence or willful misconduct of such Agent-Related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Agent-Related Person have any liability to the Parent, any Borrower, any Lender, any Issuing Lender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80" w:name="page181"/>
    <w:bookmarkEnd w:id="180"/>
    <w:p>
      <w:pPr>
        <w:spacing w:after="0"/>
        <w:rPr>
          <w:sz w:val="20"/>
          <w:szCs w:val="20"/>
          <w:color w:val="auto"/>
        </w:rPr>
      </w:pPr>
      <w:r>
        <w:rPr>
          <w:rFonts w:ascii="Arial" w:cs="Arial" w:eastAsia="Arial" w:hAnsi="Arial"/>
          <w:sz w:val="20"/>
          <w:szCs w:val="20"/>
          <w:color w:val="auto"/>
        </w:rPr>
        <w:t>Person for indirect, special, incidental, consequential or punitive damages (as opposed to direct or actual damages).</w:t>
      </w:r>
    </w:p>
    <w:p>
      <w:pPr>
        <w:spacing w:after="0" w:line="216" w:lineRule="exact"/>
        <w:rPr>
          <w:sz w:val="20"/>
          <w:szCs w:val="20"/>
          <w:color w:val="auto"/>
        </w:rPr>
      </w:pPr>
    </w:p>
    <w:p>
      <w:pPr>
        <w:jc w:val="both"/>
        <w:ind w:firstLine="1505"/>
        <w:spacing w:after="0" w:line="255" w:lineRule="auto"/>
        <w:tabs>
          <w:tab w:leader="none" w:pos="1988"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Each of the Parent, each Borrower, the Administrative Agent, the Swing Line Lender, the L/C Administrator and each Issuing Lender may change its address, facsimile, e-mail or telephone number for notices and other communications hereunder by notice to the other parties hereto. Each other Lender may change its address, facsimile, e-mail or telephone number for notices and other communications hereunder by notice to the Borrowers, the Administrative Agent, Swing Line Lender, the L/C Administrator and the Issuing Lenders. In addition, each Lender agrees to notify the Administrative Agent from time to time to ensure that the Administrative Agent has on record (i) an effective address, contact name, telephone number, facsimile number and e-mail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Parent and Borrower Materials that are not made available through the “Public Side Information” portion of the Platform and that may contain material non-public information with respect to the Parent or the Borrowers or their respective securities for purposes of United States Federal or state securities laws.</w:t>
      </w:r>
    </w:p>
    <w:p>
      <w:pPr>
        <w:spacing w:after="0" w:line="181" w:lineRule="exact"/>
        <w:rPr>
          <w:rFonts w:ascii="Arial" w:cs="Arial" w:eastAsia="Arial" w:hAnsi="Arial"/>
          <w:sz w:val="19"/>
          <w:szCs w:val="19"/>
          <w:color w:val="auto"/>
        </w:rPr>
      </w:pPr>
    </w:p>
    <w:p>
      <w:pPr>
        <w:jc w:val="both"/>
        <w:ind w:firstLine="1505"/>
        <w:spacing w:after="0" w:line="272" w:lineRule="auto"/>
        <w:tabs>
          <w:tab w:leader="none" w:pos="1985"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Issuing Lenders and Lenders</w:t>
      </w:r>
      <w:r>
        <w:rPr>
          <w:rFonts w:ascii="Arial" w:cs="Arial" w:eastAsia="Arial" w:hAnsi="Arial"/>
          <w:sz w:val="18"/>
          <w:szCs w:val="18"/>
          <w:color w:val="auto"/>
        </w:rPr>
        <w:t>. The Administrative Agent, the L/C Administrator, the Issuing Lenders and the Lenders shall be entitled to rely and act upon any notices (including telephonic Committed Loan Borrowing Requests and Swing Line Loan Borrowing Requests) purportedly given by or on behalf of the Parent or the Borrowers even if (i) such notices were not made in a manner specified herein, were incomplete or were not preceded or followed by any other form of notice specified herein, or (ii) the terms thereof, as understood by the recipient, varied from any confirmation thereof. The Parent and each Borrower shall each indemnify the Administrative Agent, the L/C Administrator, each Issuing Lender, each Lender and the Related Parties of each of them from all losses, costs, expenses and liabilities resulting from the reliance by such Person on each notice purportedly given by or on behalf of the Parent or the Borrowers. All telephonic notices to and other telephonic communications with the Administrative Agent may be recorded by the Administrative Agent, and each of the parties hereto hereby consents to such recording.</w:t>
      </w:r>
    </w:p>
    <w:p>
      <w:pPr>
        <w:spacing w:after="0" w:line="17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010000"/>
        </w:rPr>
        <w:t xml:space="preserve">10.03 </w:t>
      </w:r>
      <w:r>
        <w:rPr>
          <w:rFonts w:ascii="Arial" w:cs="Arial" w:eastAsia="Arial" w:hAnsi="Arial"/>
          <w:sz w:val="20"/>
          <w:szCs w:val="20"/>
          <w:color w:val="000000"/>
        </w:rPr>
        <w:t>No Waiver; Cumulative Remedies; Enforcement. No failure by any Lender, the L/C Administrator, any Issuing Lender or</w:t>
      </w:r>
      <w:r>
        <w:rPr>
          <w:rFonts w:ascii="Arial" w:cs="Arial" w:eastAsia="Arial" w:hAnsi="Arial"/>
          <w:sz w:val="20"/>
          <w:szCs w:val="20"/>
          <w:color w:val="010000"/>
        </w:rPr>
        <w:t xml:space="preserve"> </w:t>
      </w:r>
      <w:r>
        <w:rPr>
          <w:rFonts w:ascii="Arial" w:cs="Arial" w:eastAsia="Arial" w:hAnsi="Arial"/>
          <w:sz w:val="20"/>
          <w:szCs w:val="20"/>
          <w:color w:val="000000"/>
        </w:rPr>
        <w:t>the Administrative Agent to exercise, and no delay by any such Person in exercising, any right, remedy, power or privilege hereunder or under any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for the benefit of all the Lenders and all Issuing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Swing Line Lender from exercising the rights and remedies that inure to its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81" w:name="page182"/>
    <w:bookmarkEnd w:id="181"/>
    <w:p>
      <w:pPr>
        <w:jc w:val="both"/>
        <w:spacing w:after="0" w:line="256" w:lineRule="auto"/>
        <w:rPr>
          <w:sz w:val="20"/>
          <w:szCs w:val="20"/>
          <w:color w:val="auto"/>
        </w:rPr>
      </w:pPr>
      <w:r>
        <w:rPr>
          <w:rFonts w:ascii="Arial" w:cs="Arial" w:eastAsia="Arial" w:hAnsi="Arial"/>
          <w:sz w:val="19"/>
          <w:szCs w:val="19"/>
          <w:color w:val="auto"/>
        </w:rPr>
        <w:t xml:space="preserve">(solely in its capacity as Swing Line Lender) hereunder and under the other Loan Documents, (c) the L/C Administrator and any Issuing Lender from exercising the rights and remedies that inure to its benefit (solely in its capacity as L/C Administrator or Issuing Lender) hereunder and under the other Loan Documents, (d) any Lender from exercising setoff rights in accordance with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(subject to the terms of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(e) any Lender from filing proofs of claim or appearing and filing pleadings on its own behalf during the pendency of a proceeding relative to any Loan Party under any Debtor Relief Law;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and (ii) in addition to the matters set forth in clauses (b), (c), (d) and (e) of the preceding proviso and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any Lender may, with the consent of the Required Lenders, enforce any rights and remedies available to it and as authorized by the Required Lenders.</w:t>
      </w:r>
    </w:p>
    <w:p>
      <w:pPr>
        <w:spacing w:after="0" w:line="184" w:lineRule="exact"/>
        <w:rPr>
          <w:sz w:val="20"/>
          <w:szCs w:val="20"/>
          <w:color w:val="auto"/>
        </w:rPr>
      </w:pPr>
    </w:p>
    <w:p>
      <w:pPr>
        <w:ind w:left="760"/>
        <w:spacing w:after="0"/>
        <w:tabs>
          <w:tab w:leader="none" w:pos="1580" w:val="left"/>
        </w:tabs>
        <w:rPr>
          <w:sz w:val="20"/>
          <w:szCs w:val="20"/>
          <w:color w:val="auto"/>
        </w:rPr>
      </w:pPr>
      <w:r>
        <w:rPr>
          <w:rFonts w:ascii="Arial" w:cs="Arial" w:eastAsia="Arial" w:hAnsi="Arial"/>
          <w:sz w:val="20"/>
          <w:szCs w:val="20"/>
          <w:color w:val="010000"/>
        </w:rPr>
        <w:t>10.04</w:t>
      </w:r>
      <w:r>
        <w:rPr>
          <w:sz w:val="20"/>
          <w:szCs w:val="20"/>
          <w:color w:val="auto"/>
        </w:rPr>
        <w:tab/>
      </w:r>
      <w:r>
        <w:rPr>
          <w:rFonts w:ascii="Arial" w:cs="Arial" w:eastAsia="Arial" w:hAnsi="Arial"/>
          <w:sz w:val="16"/>
          <w:szCs w:val="16"/>
          <w:color w:val="auto"/>
        </w:rPr>
        <w:t>Expenses; Indemnity; Damage Waiver.</w:t>
      </w:r>
    </w:p>
    <w:p>
      <w:pPr>
        <w:spacing w:after="0" w:line="216" w:lineRule="exact"/>
        <w:rPr>
          <w:sz w:val="20"/>
          <w:szCs w:val="20"/>
          <w:color w:val="auto"/>
        </w:rPr>
      </w:pPr>
    </w:p>
    <w:p>
      <w:pPr>
        <w:jc w:val="both"/>
        <w:ind w:firstLine="1505"/>
        <w:spacing w:after="0" w:line="269" w:lineRule="auto"/>
        <w:tabs>
          <w:tab w:leader="none" w:pos="1983"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Company shall pay (i) all reasonable and documented out-of-pocket expenses incurred by the Agents and each of their respective Affiliates (but limited to, in the case of legal fees and expenses, the actual, reasonable and documented out-of-pocket fees, charges and disbursements of one counsel for the Agents, taken as a whole, and, solely in the case of a conflict of interest, one additional counsel for each group of similarly affected Persons taken as a whole (and, if reasonably necessary, of one local counsel in any relevant material jurisdiction or one special counsel in any relevant area of expertise for all such similarly affected Persons taken as a whole)), in connection with the syndication of the Facility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Applicable Issuing Party in connection with the issuance, amendment, renewal or extension of any Letter of Credit or any demand for payment thereunder, and (iii) all reasonable and documented out-of-pocket expenses incurred by the Administrative Agent, the L/C Administrator, any Lender or any Issuing Lender (but limited to, in the case of legal fees and expenses, the reasonable fees, charges and disbursements of any counsel for the Administrative Agent, any Lender, the L/C Administrator or any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reasonable and documented out-of-pocket expenses incurred during any workout, restructuring or negotiations in respect of such Loans or Letters of Credit.</w:t>
      </w:r>
    </w:p>
    <w:p>
      <w:pPr>
        <w:spacing w:after="0" w:line="176" w:lineRule="exact"/>
        <w:rPr>
          <w:rFonts w:ascii="Arial" w:cs="Arial" w:eastAsia="Arial" w:hAnsi="Arial"/>
          <w:sz w:val="18"/>
          <w:szCs w:val="18"/>
          <w:color w:val="auto"/>
        </w:rPr>
      </w:pPr>
    </w:p>
    <w:p>
      <w:pPr>
        <w:jc w:val="both"/>
        <w:ind w:firstLine="1505"/>
        <w:spacing w:after="0" w:line="270" w:lineRule="auto"/>
        <w:tabs>
          <w:tab w:leader="none" w:pos="1984"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Borrowers</w:t>
      </w:r>
      <w:r>
        <w:rPr>
          <w:rFonts w:ascii="Arial" w:cs="Arial" w:eastAsia="Arial" w:hAnsi="Arial"/>
          <w:sz w:val="18"/>
          <w:szCs w:val="18"/>
          <w:color w:val="auto"/>
        </w:rPr>
        <w:t>. Each of the Parent and each Borrower shall indemnify the Administrative Agent (and any sub-agent thereof), each Lender, the Swing Line Lender, the L/C Administrator and each Issuing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any and all losses, claims, damages, liabilities and related expenses (but limited to, in the case of legal fees and expenses, the actual, reasonable and documented out-of-pocket fees, charges and disbursements of one counsel to the Indemnitees, taken as a whole and, solely in the case of a conflict of interest, one additional counsel to each group of similarly affected Indemnitees, taken as a whole (and, if reasonably necessary, of one local counsel in any relevant material jurisdiction or one special counsel in any relevant area of expertise to each group of similarly affected Indemnitees, taken as a whole) and settlement costs) incurred by any Indemnitee or asserted against any Indemnitee by any third party or by the Company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82" w:name="page183"/>
    <w:bookmarkEnd w:id="182"/>
    <w:p>
      <w:pPr>
        <w:jc w:val="both"/>
        <w:spacing w:after="0" w:line="269" w:lineRule="auto"/>
        <w:rPr>
          <w:sz w:val="20"/>
          <w:szCs w:val="20"/>
          <w:color w:val="auto"/>
        </w:rPr>
      </w:pPr>
      <w:r>
        <w:rPr>
          <w:rFonts w:ascii="Arial" w:cs="Arial" w:eastAsia="Arial" w:hAnsi="Arial"/>
          <w:sz w:val="18"/>
          <w:szCs w:val="18"/>
          <w:color w:val="auto"/>
        </w:rPr>
        <w:t xml:space="preserve">thereof) and its Related Parties only, the administration of this Agreement and the other Loan Documents, (ii) any Loan or any Letter of Credit or the use or proposed use of the proceeds therefrom (including any refusal by any Applicable Issuing Party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Parent or any of its Subsidiaries, or any Environmental Liability related in any way to the Parent or any of its Subsidiaries, or (iv) any actual or prospective claim, litigation, investigation or proceeding relating to any of the foregoing, whether based on contract, tort or any other theory, whether brought by a third party or by the Company or any other Loan Party or any of the Company’s or such Loan Party’s directors, shareholders or creditors,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bad faith or willful misconduct of such Indemnitee, (y) result from a claim brought by the Company or any other Loan Party against an Indemnitee for material breach of such Indemnitee’s obligations hereunder or under any other Loan Document, if the Company or such other Loan Party has obtained a final and nonappealable judgment in its favor on such claim as determined by a court of competent jurisdiction or (z) result from a dispute solely amongst the Indemnitees (other than claims against an Indemnitee in its capacity as Administrative Agent or as an Arranger) not arising out of any act or omission of the Parent, the Borrowers, or any Subsidiary;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shall not apply with respect to Taxes other than any Taxes that represent losses, claims or damages arising from any non-Tax claim.</w:t>
      </w:r>
    </w:p>
    <w:p>
      <w:pPr>
        <w:spacing w:after="0" w:line="176" w:lineRule="exact"/>
        <w:rPr>
          <w:sz w:val="20"/>
          <w:szCs w:val="20"/>
          <w:color w:val="auto"/>
        </w:rPr>
      </w:pPr>
    </w:p>
    <w:p>
      <w:pPr>
        <w:jc w:val="both"/>
        <w:ind w:firstLine="1505"/>
        <w:spacing w:after="0" w:line="269" w:lineRule="auto"/>
        <w:tabs>
          <w:tab w:leader="none" w:pos="1986"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Parent and the Borrowers for any reason fail to indefeasibly pay any amount required under subsection (a) or (b) of this Section to be paid by it to the Administrative Agent (or any sub-agent thereof), L/C Administrator, any Issuing Lender, the Swing Line Lender or any Related Party of any of the foregoing, each Lender severally agrees to pay to the Administrative Agent (or any such sub-agent), such L/C Administrator, Issuing Lender, the Swing Line Lender or such Related Party, as the case may be, such Lender’s Applicable Percentage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such L/C Administrator, Issuing Lender or the Swing Line Lender in its capacity as such, or against any Related Party of any of the foregoing acting for the Administrative Agent (or any such sub-agent), such L/C Administrator, Issuing Lender or the Swing Line Lender in connection with such capacity. To the extent any Issuing Lender or the Swing Line Lender is entitled to indemnification under this Section solely in its capacity and role as Issuing Lender or as the Swing Line Lender, as applicable, only the Revolving Credit Lenders shall be required to indemnify such Issuing Lender or the Swing Line Lender, as the case may be, in accordance with this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(determined as of the time that the applicable payment is sought based on each Revolving Credit Lender’s Revolving Credit Commitment at such time). The obligations of the Lenders under this subsection (c) are subject to the provisions of </w:t>
      </w:r>
      <w:r>
        <w:rPr>
          <w:rFonts w:ascii="Arial" w:cs="Arial" w:eastAsia="Arial" w:hAnsi="Arial"/>
          <w:sz w:val="18"/>
          <w:szCs w:val="18"/>
          <w:u w:val="single" w:color="auto"/>
          <w:color w:val="auto"/>
        </w:rPr>
        <w:t>Section 2.12(e)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505"/>
        <w:spacing w:after="0" w:line="257" w:lineRule="auto"/>
        <w:tabs>
          <w:tab w:leader="none" w:pos="1992"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To the fullest extent permitted by applicable Law, neither the Parent, any Borrower, the Administrative Agent, L/C Administrator, any Lender nor any Issuing Lender shall assert, and each of them hereby waives, any claim against any Person party to this Agreement or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83" w:name="page184"/>
    <w:bookmarkEnd w:id="183"/>
    <w:p>
      <w:pPr>
        <w:jc w:val="both"/>
        <w:spacing w:after="0" w:line="250" w:lineRule="auto"/>
        <w:rPr>
          <w:sz w:val="20"/>
          <w:szCs w:val="20"/>
          <w:color w:val="auto"/>
        </w:rPr>
      </w:pPr>
      <w:r>
        <w:rPr>
          <w:rFonts w:ascii="Arial" w:cs="Arial" w:eastAsia="Arial" w:hAnsi="Arial"/>
          <w:sz w:val="20"/>
          <w:szCs w:val="20"/>
          <w:color w:val="auto"/>
        </w:rPr>
        <w:t>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6" w:lineRule="exact"/>
        <w:rPr>
          <w:sz w:val="20"/>
          <w:szCs w:val="20"/>
          <w:color w:val="auto"/>
        </w:rPr>
      </w:pPr>
    </w:p>
    <w:p>
      <w:pPr>
        <w:ind w:firstLine="1505"/>
        <w:spacing w:after="0" w:line="260" w:lineRule="auto"/>
        <w:tabs>
          <w:tab w:leader="none" w:pos="1984"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All amounts due under this Section shall be payable not later than 30 days after written demand therefor together with reasonable backup documentation supporting such written demand.</w:t>
      </w:r>
    </w:p>
    <w:p>
      <w:pPr>
        <w:spacing w:after="0" w:line="176" w:lineRule="exact"/>
        <w:rPr>
          <w:rFonts w:ascii="Arial" w:cs="Arial" w:eastAsia="Arial" w:hAnsi="Arial"/>
          <w:sz w:val="20"/>
          <w:szCs w:val="20"/>
          <w:color w:val="auto"/>
        </w:rPr>
      </w:pPr>
    </w:p>
    <w:p>
      <w:pPr>
        <w:jc w:val="both"/>
        <w:ind w:firstLine="1505"/>
        <w:spacing w:after="0" w:line="250" w:lineRule="auto"/>
        <w:tabs>
          <w:tab w:leader="none" w:pos="1988"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The agreements in this Section shall survive the resignation of the Administrative Agent, the Swing Line Lender and any Issuing Lender, the replacement of any Lender, the termination of the Aggregate Commitments and the repayment, satisfaction or discharge of all the other Obligations.</w:t>
      </w:r>
    </w:p>
    <w:p>
      <w:pPr>
        <w:spacing w:after="0" w:line="18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010000"/>
        </w:rPr>
        <w:t xml:space="preserve">10.05 </w:t>
      </w:r>
      <w:r>
        <w:rPr>
          <w:rFonts w:ascii="Arial" w:cs="Arial" w:eastAsia="Arial" w:hAnsi="Arial"/>
          <w:sz w:val="19"/>
          <w:szCs w:val="19"/>
          <w:color w:val="000000"/>
        </w:rPr>
        <w:t>Payments Set Aside. To the extent that any payment by or on behalf of the any Borrower is made to the Administrative</w:t>
      </w:r>
      <w:r>
        <w:rPr>
          <w:rFonts w:ascii="Arial" w:cs="Arial" w:eastAsia="Arial" w:hAnsi="Arial"/>
          <w:sz w:val="19"/>
          <w:szCs w:val="19"/>
          <w:color w:val="010000"/>
        </w:rPr>
        <w:t xml:space="preserve"> </w:t>
      </w:r>
      <w:r>
        <w:rPr>
          <w:rFonts w:ascii="Arial" w:cs="Arial" w:eastAsia="Arial" w:hAnsi="Arial"/>
          <w:sz w:val="19"/>
          <w:szCs w:val="19"/>
          <w:color w:val="000000"/>
        </w:rPr>
        <w:t xml:space="preserve">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w:t>
      </w:r>
      <w:r>
        <w:rPr>
          <w:rFonts w:ascii="Arial" w:cs="Arial" w:eastAsia="Arial" w:hAnsi="Arial"/>
          <w:sz w:val="19"/>
          <w:szCs w:val="19"/>
          <w:i w:val="1"/>
          <w:iCs w:val="1"/>
          <w:color w:val="000000"/>
        </w:rPr>
        <w:t>per annum</w:t>
      </w:r>
      <w:r>
        <w:rPr>
          <w:rFonts w:ascii="Arial" w:cs="Arial" w:eastAsia="Arial" w:hAnsi="Arial"/>
          <w:sz w:val="19"/>
          <w:szCs w:val="19"/>
          <w:color w:val="000000"/>
        </w:rPr>
        <w:t xml:space="preserve"> equal to the applicable Overnight Rate from time to time in effect, in the applicable currency of such recovery or payment. The obligations of the Lenders and the L/C Issuers under clause (b) of the preceding sentence shall survive the payment in full of the Obligations and the termination of this Agreement.</w:t>
      </w:r>
    </w:p>
    <w:p>
      <w:pPr>
        <w:spacing w:after="0" w:line="184" w:lineRule="exact"/>
        <w:rPr>
          <w:sz w:val="20"/>
          <w:szCs w:val="20"/>
          <w:color w:val="auto"/>
        </w:rPr>
      </w:pPr>
    </w:p>
    <w:p>
      <w:pPr>
        <w:ind w:left="760"/>
        <w:spacing w:after="0"/>
        <w:tabs>
          <w:tab w:leader="none" w:pos="1580" w:val="left"/>
        </w:tabs>
        <w:rPr>
          <w:sz w:val="20"/>
          <w:szCs w:val="20"/>
          <w:color w:val="auto"/>
        </w:rPr>
      </w:pPr>
      <w:r>
        <w:rPr>
          <w:rFonts w:ascii="Arial" w:cs="Arial" w:eastAsia="Arial" w:hAnsi="Arial"/>
          <w:sz w:val="20"/>
          <w:szCs w:val="20"/>
          <w:color w:val="010000"/>
        </w:rPr>
        <w:t>10.06</w:t>
      </w:r>
      <w:r>
        <w:rPr>
          <w:sz w:val="20"/>
          <w:szCs w:val="20"/>
          <w:color w:val="auto"/>
        </w:rPr>
        <w:tab/>
      </w:r>
      <w:r>
        <w:rPr>
          <w:rFonts w:ascii="Arial" w:cs="Arial" w:eastAsia="Arial" w:hAnsi="Arial"/>
          <w:sz w:val="16"/>
          <w:szCs w:val="16"/>
          <w:color w:val="auto"/>
        </w:rPr>
        <w:t>Successors and Assigns.</w:t>
      </w:r>
    </w:p>
    <w:p>
      <w:pPr>
        <w:spacing w:after="0" w:line="216" w:lineRule="exact"/>
        <w:rPr>
          <w:sz w:val="20"/>
          <w:szCs w:val="20"/>
          <w:color w:val="auto"/>
        </w:rPr>
      </w:pPr>
    </w:p>
    <w:p>
      <w:pPr>
        <w:jc w:val="both"/>
        <w:ind w:firstLine="1505"/>
        <w:spacing w:after="0" w:line="270" w:lineRule="auto"/>
        <w:tabs>
          <w:tab w:leader="none" w:pos="1986"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permitted hereby, except that (x) neither any Borrower nor the Parent may assign or otherwise transfer any of its rights or obligations hereunder without the prior written consent of the Administrative Agent and each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merger or consolidation that complies with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shall not be construed as an assignment or transfer for purposes of this clause (x) and (y) no Lender may assign or otherwise transfer any of its rights or obligations hereunder except (i) to an assignee in accordance with the provisions of subsection (b) of this Section, (ii) by way of participation in accordance with the provisions of subsection (e) of this Section, (iii) by way of pledge or assignment of a security interest subject to the restrictions of subsection (g) of this Section or (iv) to an SPC in accordance with the provisions of subsection (h)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subsections (e) and (f) of this Section and, to the extent expressly contemplated hereby, the Related Parties of each of the Administrative Agent, the Issuing Lenders and the Lenders) any legal or equitable right, remedy or claim under or by reason of this Agreement.</w:t>
      </w:r>
    </w:p>
    <w:p>
      <w:pPr>
        <w:spacing w:after="0" w:line="175" w:lineRule="exact"/>
        <w:rPr>
          <w:rFonts w:ascii="Arial" w:cs="Arial" w:eastAsia="Arial" w:hAnsi="Arial"/>
          <w:sz w:val="18"/>
          <w:szCs w:val="18"/>
          <w:color w:val="auto"/>
        </w:rPr>
      </w:pPr>
    </w:p>
    <w:p>
      <w:pPr>
        <w:ind w:firstLine="1505"/>
        <w:spacing w:after="0" w:line="260" w:lineRule="auto"/>
        <w:tabs>
          <w:tab w:leader="none" w:pos="1986" w:val="left"/>
        </w:tabs>
        <w:numPr>
          <w:ilvl w:val="0"/>
          <w:numId w:val="189"/>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Any Lender may at any time assign to one or more assignees all or a portion of its rights and obligations under this Agreement (including all or a portion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84" w:name="page185"/>
    <w:bookmarkEnd w:id="184"/>
    <w:p>
      <w:pPr>
        <w:spacing w:after="0" w:line="260" w:lineRule="auto"/>
        <w:rPr>
          <w:sz w:val="20"/>
          <w:szCs w:val="20"/>
          <w:color w:val="auto"/>
        </w:rPr>
      </w:pPr>
      <w:r>
        <w:rPr>
          <w:rFonts w:ascii="Arial" w:cs="Arial" w:eastAsia="Arial" w:hAnsi="Arial"/>
          <w:sz w:val="20"/>
          <w:szCs w:val="20"/>
          <w:color w:val="auto"/>
        </w:rPr>
        <w:t xml:space="preserve">Commitments and the Loans (including for purposes of this subsection (b), participations in Swing Line Loans and L/C Obligations)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177" w:lineRule="exact"/>
        <w:rPr>
          <w:sz w:val="20"/>
          <w:szCs w:val="20"/>
          <w:color w:val="auto"/>
        </w:rPr>
      </w:pPr>
    </w:p>
    <w:p>
      <w:pPr>
        <w:ind w:left="2740" w:hanging="486"/>
        <w:spacing w:after="0"/>
        <w:tabs>
          <w:tab w:leader="none" w:pos="2740" w:val="left"/>
        </w:tabs>
        <w:numPr>
          <w:ilvl w:val="0"/>
          <w:numId w:val="190"/>
        </w:numPr>
        <w:rPr>
          <w:rFonts w:ascii="Arial" w:cs="Arial" w:eastAsia="Arial" w:hAnsi="Arial"/>
          <w:sz w:val="20"/>
          <w:szCs w:val="20"/>
          <w:color w:val="010000"/>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jc w:val="both"/>
        <w:ind w:left="1500" w:firstLine="1503"/>
        <w:spacing w:after="0" w:line="250" w:lineRule="auto"/>
        <w:tabs>
          <w:tab w:leader="none" w:pos="3544" w:val="left"/>
        </w:tabs>
        <w:numPr>
          <w:ilvl w:val="1"/>
          <w:numId w:val="190"/>
        </w:numPr>
        <w:rPr>
          <w:rFonts w:ascii="Arial" w:cs="Arial" w:eastAsia="Arial" w:hAnsi="Arial"/>
          <w:sz w:val="20"/>
          <w:szCs w:val="20"/>
          <w:color w:val="010000"/>
        </w:rPr>
      </w:pPr>
      <w:r>
        <w:rPr>
          <w:rFonts w:ascii="Arial" w:cs="Arial" w:eastAsia="Arial" w:hAnsi="Arial"/>
          <w:sz w:val="20"/>
          <w:szCs w:val="20"/>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85" w:lineRule="exact"/>
        <w:rPr>
          <w:rFonts w:ascii="Arial" w:cs="Arial" w:eastAsia="Arial" w:hAnsi="Arial"/>
          <w:sz w:val="20"/>
          <w:szCs w:val="20"/>
          <w:color w:val="010000"/>
        </w:rPr>
      </w:pPr>
    </w:p>
    <w:p>
      <w:pPr>
        <w:jc w:val="both"/>
        <w:ind w:left="1500" w:firstLine="1503"/>
        <w:spacing w:after="0" w:line="271" w:lineRule="auto"/>
        <w:tabs>
          <w:tab w:leader="none" w:pos="3506" w:val="left"/>
        </w:tabs>
        <w:numPr>
          <w:ilvl w:val="1"/>
          <w:numId w:val="190"/>
        </w:numPr>
        <w:rPr>
          <w:rFonts w:ascii="Arial" w:cs="Arial" w:eastAsia="Arial" w:hAnsi="Arial"/>
          <w:sz w:val="18"/>
          <w:szCs w:val="18"/>
          <w:color w:val="010000"/>
        </w:rPr>
      </w:pPr>
      <w:r>
        <w:rPr>
          <w:rFonts w:ascii="Arial" w:cs="Arial" w:eastAsia="Arial" w:hAnsi="Arial"/>
          <w:sz w:val="18"/>
          <w:szCs w:val="18"/>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73" w:lineRule="exact"/>
        <w:rPr>
          <w:rFonts w:ascii="Arial" w:cs="Arial" w:eastAsia="Arial" w:hAnsi="Arial"/>
          <w:sz w:val="18"/>
          <w:szCs w:val="18"/>
          <w:color w:val="010000"/>
        </w:rPr>
      </w:pPr>
    </w:p>
    <w:p>
      <w:pPr>
        <w:jc w:val="both"/>
        <w:ind w:left="760" w:firstLine="1494"/>
        <w:spacing w:after="0" w:line="291" w:lineRule="auto"/>
        <w:tabs>
          <w:tab w:leader="none" w:pos="2742" w:val="left"/>
        </w:tabs>
        <w:numPr>
          <w:ilvl w:val="0"/>
          <w:numId w:val="190"/>
        </w:numPr>
        <w:rPr>
          <w:rFonts w:ascii="Arial" w:cs="Arial" w:eastAsia="Arial" w:hAnsi="Arial"/>
          <w:sz w:val="18"/>
          <w:szCs w:val="18"/>
          <w:color w:val="010000"/>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or the Commitment assigned, except that this clause (ii) shall not apply to the Swing Line Lender’s rights and obligations in respect of Swing Line Loans.</w:t>
      </w:r>
    </w:p>
    <w:p>
      <w:pPr>
        <w:spacing w:after="0" w:line="151" w:lineRule="exact"/>
        <w:rPr>
          <w:rFonts w:ascii="Arial" w:cs="Arial" w:eastAsia="Arial" w:hAnsi="Arial"/>
          <w:sz w:val="18"/>
          <w:szCs w:val="18"/>
          <w:color w:val="010000"/>
        </w:rPr>
      </w:pPr>
    </w:p>
    <w:p>
      <w:pPr>
        <w:ind w:left="760" w:firstLine="1494"/>
        <w:spacing w:after="0" w:line="260" w:lineRule="auto"/>
        <w:tabs>
          <w:tab w:leader="none" w:pos="2767" w:val="left"/>
        </w:tabs>
        <w:numPr>
          <w:ilvl w:val="0"/>
          <w:numId w:val="190"/>
        </w:numPr>
        <w:rPr>
          <w:rFonts w:ascii="Arial" w:cs="Arial" w:eastAsia="Arial" w:hAnsi="Arial"/>
          <w:sz w:val="20"/>
          <w:szCs w:val="20"/>
          <w:color w:val="010000"/>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subsection (b)(i)(B) of this Section and, in addition:</w:t>
      </w:r>
    </w:p>
    <w:p>
      <w:pPr>
        <w:spacing w:after="0" w:line="176" w:lineRule="exact"/>
        <w:rPr>
          <w:rFonts w:ascii="Arial" w:cs="Arial" w:eastAsia="Arial" w:hAnsi="Arial"/>
          <w:sz w:val="20"/>
          <w:szCs w:val="20"/>
          <w:color w:val="010000"/>
        </w:rPr>
      </w:pPr>
    </w:p>
    <w:p>
      <w:pPr>
        <w:jc w:val="both"/>
        <w:ind w:left="1500" w:firstLine="1503"/>
        <w:spacing w:after="0" w:line="260" w:lineRule="auto"/>
        <w:tabs>
          <w:tab w:leader="none" w:pos="3487" w:val="left"/>
        </w:tabs>
        <w:numPr>
          <w:ilvl w:val="1"/>
          <w:numId w:val="190"/>
        </w:numPr>
        <w:rPr>
          <w:rFonts w:ascii="Arial" w:cs="Arial" w:eastAsia="Arial" w:hAnsi="Arial"/>
          <w:sz w:val="19"/>
          <w:szCs w:val="19"/>
          <w:color w:val="010000"/>
        </w:rPr>
      </w:pPr>
      <w:r>
        <w:rPr>
          <w:rFonts w:ascii="Arial" w:cs="Arial" w:eastAsia="Arial" w:hAnsi="Arial"/>
          <w:sz w:val="19"/>
          <w:szCs w:val="19"/>
          <w:color w:val="auto"/>
        </w:rPr>
        <w:t xml:space="preserve">the consent of the Company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will be deemed to have consented to such assignment if its response is not received by the Administrative Agent within five Business Days of its receipt of notice of such assignment) shall be required unless (1) an Event of Default under </w:t>
      </w:r>
      <w:r>
        <w:rPr>
          <w:rFonts w:ascii="Arial" w:cs="Arial" w:eastAsia="Arial" w:hAnsi="Arial"/>
          <w:sz w:val="19"/>
          <w:szCs w:val="19"/>
          <w:u w:val="single" w:color="auto"/>
          <w:color w:val="auto"/>
        </w:rPr>
        <w:t>Sections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has occurred and is continuing at the time of such assignment or (2) such assignment is to a Lender, an Affiliate of a Lender or an Approved Fund;</w:t>
      </w:r>
    </w:p>
    <w:p>
      <w:pPr>
        <w:spacing w:after="0" w:line="180" w:lineRule="exact"/>
        <w:rPr>
          <w:rFonts w:ascii="Arial" w:cs="Arial" w:eastAsia="Arial" w:hAnsi="Arial"/>
          <w:sz w:val="19"/>
          <w:szCs w:val="19"/>
          <w:color w:val="010000"/>
        </w:rPr>
      </w:pPr>
    </w:p>
    <w:p>
      <w:pPr>
        <w:jc w:val="both"/>
        <w:ind w:left="1500" w:firstLine="1503"/>
        <w:spacing w:after="0" w:line="250" w:lineRule="auto"/>
        <w:tabs>
          <w:tab w:leader="none" w:pos="3527" w:val="left"/>
        </w:tabs>
        <w:numPr>
          <w:ilvl w:val="1"/>
          <w:numId w:val="190"/>
        </w:numPr>
        <w:rPr>
          <w:rFonts w:ascii="Arial" w:cs="Arial" w:eastAsia="Arial" w:hAnsi="Arial"/>
          <w:sz w:val="20"/>
          <w:szCs w:val="20"/>
          <w:color w:val="010000"/>
        </w:rPr>
      </w:pPr>
      <w:r>
        <w:rPr>
          <w:rFonts w:ascii="Arial" w:cs="Arial" w:eastAsia="Arial" w:hAnsi="Arial"/>
          <w:sz w:val="20"/>
          <w:szCs w:val="20"/>
          <w:color w:val="auto"/>
        </w:rPr>
        <w:t>the consent of the Administrative Agent (such consent not to be unreasonably withheld or delayed) shall be required for any assignment under the Facility to a Person that is not a Lender, an Affiliate of a Lender or an Approved Fund; and</w:t>
      </w:r>
    </w:p>
    <w:p>
      <w:pPr>
        <w:spacing w:after="0" w:line="185" w:lineRule="exact"/>
        <w:rPr>
          <w:rFonts w:ascii="Arial" w:cs="Arial" w:eastAsia="Arial" w:hAnsi="Arial"/>
          <w:sz w:val="20"/>
          <w:szCs w:val="20"/>
          <w:color w:val="010000"/>
        </w:rPr>
      </w:pPr>
    </w:p>
    <w:p>
      <w:pPr>
        <w:jc w:val="both"/>
        <w:ind w:left="1500" w:firstLine="1503"/>
        <w:spacing w:after="0" w:line="246" w:lineRule="auto"/>
        <w:tabs>
          <w:tab w:leader="none" w:pos="3537" w:val="left"/>
        </w:tabs>
        <w:numPr>
          <w:ilvl w:val="1"/>
          <w:numId w:val="190"/>
        </w:numPr>
        <w:rPr>
          <w:rFonts w:ascii="Arial" w:cs="Arial" w:eastAsia="Arial" w:hAnsi="Arial"/>
          <w:sz w:val="20"/>
          <w:szCs w:val="20"/>
          <w:color w:val="010000"/>
        </w:rPr>
      </w:pPr>
      <w:r>
        <w:rPr>
          <w:rFonts w:ascii="Arial" w:cs="Arial" w:eastAsia="Arial" w:hAnsi="Arial"/>
          <w:sz w:val="20"/>
          <w:szCs w:val="20"/>
          <w:color w:val="auto"/>
        </w:rPr>
        <w:t>the consent of the Swing Line Lender and each Issuing Lender (such consent not to be unreasonably withheld or delayed) shall be required for any assignment under the Facility that increases the obligation of the assignee to participate in (i) Swing Line Loans and/or (ii) exposure under one or more Letters of Credit, as applicable (whether or not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1816100</wp:posOffset>
            </wp:positionH>
            <wp:positionV relativeFrom="paragraph">
              <wp:posOffset>-1470660</wp:posOffset>
            </wp:positionV>
            <wp:extent cx="431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85" w:name="page186"/>
    <w:bookmarkEnd w:id="185"/>
    <w:p>
      <w:pPr>
        <w:jc w:val="both"/>
        <w:ind w:left="760" w:firstLine="1494"/>
        <w:spacing w:after="0" w:line="259" w:lineRule="auto"/>
        <w:tabs>
          <w:tab w:leader="none" w:pos="2815" w:val="left"/>
        </w:tabs>
        <w:numPr>
          <w:ilvl w:val="0"/>
          <w:numId w:val="191"/>
        </w:numPr>
        <w:rPr>
          <w:rFonts w:ascii="Arial" w:cs="Arial" w:eastAsia="Arial" w:hAnsi="Arial"/>
          <w:sz w:val="19"/>
          <w:szCs w:val="19"/>
          <w:color w:val="010000"/>
        </w:rPr>
      </w:pP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 Following receipt by it of an Assignment and Assumption, the Administrative Agent shall promptly, and in any event within 10 days of receipt, deliver to the Company a fully executed copy of such Assignment and Assumption.</w:t>
      </w:r>
    </w:p>
    <w:p>
      <w:pPr>
        <w:spacing w:after="0" w:line="178" w:lineRule="exact"/>
        <w:rPr>
          <w:rFonts w:ascii="Arial" w:cs="Arial" w:eastAsia="Arial" w:hAnsi="Arial"/>
          <w:sz w:val="19"/>
          <w:szCs w:val="19"/>
          <w:color w:val="010000"/>
        </w:rPr>
      </w:pPr>
    </w:p>
    <w:p>
      <w:pPr>
        <w:jc w:val="both"/>
        <w:ind w:left="760" w:firstLine="1494"/>
        <w:spacing w:after="0" w:line="278" w:lineRule="auto"/>
        <w:tabs>
          <w:tab w:leader="none" w:pos="2747" w:val="left"/>
        </w:tabs>
        <w:numPr>
          <w:ilvl w:val="0"/>
          <w:numId w:val="191"/>
        </w:numPr>
        <w:rPr>
          <w:rFonts w:ascii="Arial" w:cs="Arial" w:eastAsia="Arial" w:hAnsi="Arial"/>
          <w:sz w:val="18"/>
          <w:szCs w:val="18"/>
          <w:color w:val="010000"/>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No such assignment shall be made (A) to the Parent, the Company or any of the Parent’s or Company’s Affiliates or Subsidiaries, (B) to any Defaulting Lender or any of its Subsidiaries, (C) at any time there are Several Letters of Credit, to a Non-SLC Bank (unless such Non-SLC Bank shall have in effect a Limited Fronting Lender Agreement with a Revolving Credit Lender which is not a Non-SLC Bank) or any Person who, upon becoming a Lender hereunder, would constitute any of the foregoing Persons described in this clause (B), (C) or (D) to a natural person.</w:t>
      </w:r>
    </w:p>
    <w:p>
      <w:pPr>
        <w:spacing w:after="0" w:line="164" w:lineRule="exact"/>
        <w:rPr>
          <w:rFonts w:ascii="Arial" w:cs="Arial" w:eastAsia="Arial" w:hAnsi="Arial"/>
          <w:sz w:val="18"/>
          <w:szCs w:val="18"/>
          <w:color w:val="010000"/>
        </w:rPr>
      </w:pPr>
    </w:p>
    <w:p>
      <w:pPr>
        <w:jc w:val="both"/>
        <w:ind w:left="760" w:firstLine="1494"/>
        <w:spacing w:after="0" w:line="270" w:lineRule="auto"/>
        <w:tabs>
          <w:tab w:leader="none" w:pos="2791" w:val="left"/>
        </w:tabs>
        <w:numPr>
          <w:ilvl w:val="0"/>
          <w:numId w:val="191"/>
        </w:numPr>
        <w:rPr>
          <w:rFonts w:ascii="Arial" w:cs="Arial" w:eastAsia="Arial" w:hAnsi="Arial"/>
          <w:sz w:val="18"/>
          <w:szCs w:val="18"/>
          <w:color w:val="010000"/>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L/C Administrator, each Issuing Lender, the Swing Line Lender and each other Lender hereunder (and interest accrued thereon) and (y) acquire (and fund as appropriate) its full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2" w:lineRule="exact"/>
        <w:rPr>
          <w:rFonts w:ascii="Arial" w:cs="Arial" w:eastAsia="Arial" w:hAnsi="Arial"/>
          <w:sz w:val="18"/>
          <w:szCs w:val="18"/>
          <w:color w:val="010000"/>
        </w:rPr>
      </w:pPr>
    </w:p>
    <w:p>
      <w:pPr>
        <w:jc w:val="both"/>
        <w:ind w:left="760" w:firstLine="1494"/>
        <w:spacing w:after="0" w:line="246" w:lineRule="auto"/>
        <w:tabs>
          <w:tab w:leader="none" w:pos="2763" w:val="left"/>
        </w:tabs>
        <w:numPr>
          <w:ilvl w:val="0"/>
          <w:numId w:val="191"/>
        </w:numPr>
        <w:rPr>
          <w:rFonts w:ascii="Arial" w:cs="Arial" w:eastAsia="Arial" w:hAnsi="Arial"/>
          <w:sz w:val="20"/>
          <w:szCs w:val="20"/>
          <w:color w:val="010000"/>
        </w:rPr>
      </w:pPr>
      <w:r>
        <w:rPr>
          <w:rFonts w:ascii="Arial" w:cs="Arial" w:eastAsia="Arial" w:hAnsi="Arial"/>
          <w:sz w:val="20"/>
          <w:szCs w:val="20"/>
          <w:u w:val="single" w:color="auto"/>
          <w:color w:val="auto"/>
        </w:rPr>
        <w:t>Several Letters of Credit</w:t>
      </w:r>
      <w:r>
        <w:rPr>
          <w:rFonts w:ascii="Arial" w:cs="Arial" w:eastAsia="Arial" w:hAnsi="Arial"/>
          <w:sz w:val="20"/>
          <w:szCs w:val="20"/>
          <w:color w:val="auto"/>
        </w:rPr>
        <w:t>. At any time there are any Several Letters of Credit outstanding, concurrently with the effectiveness of such assignment the Several Letters of Credit then outstanding shall be amended (with the consent of the beneficiary thereof) to (i) remove the assigning Lender’s liability thereunder, if any, as L/C Issuer and (ii) include the assignee Lender as an L/C Issuer thereunder with respect to its Commitment Share.</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subsection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 xml:space="preserve"> with respect to facts and circumstances occurring prior to the effective date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86" w:name="page187"/>
    <w:bookmarkEnd w:id="186"/>
    <w:p>
      <w:pPr>
        <w:jc w:val="both"/>
        <w:spacing w:after="0" w:line="278" w:lineRule="auto"/>
        <w:rPr>
          <w:sz w:val="20"/>
          <w:szCs w:val="20"/>
          <w:color w:val="auto"/>
        </w:rPr>
      </w:pPr>
      <w:r>
        <w:rPr>
          <w:rFonts w:ascii="Arial" w:cs="Arial" w:eastAsia="Arial" w:hAnsi="Arial"/>
          <w:sz w:val="18"/>
          <w:szCs w:val="18"/>
          <w:color w:val="auto"/>
        </w:rPr>
        <w:t xml:space="preserve">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to the extent otherwise expressly agreed by the affected parties, no assignment by a Defaulting Lender will constitute a waiver or release of any claim of any party hereunder arising from such Lender having been a Defaulting Lender. Upon request, each Borrower (at its expense) shall execute and deliver a Revolving Credit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65" w:lineRule="exact"/>
        <w:rPr>
          <w:sz w:val="20"/>
          <w:szCs w:val="20"/>
          <w:color w:val="auto"/>
        </w:rPr>
      </w:pPr>
    </w:p>
    <w:p>
      <w:pPr>
        <w:jc w:val="both"/>
        <w:ind w:firstLine="1505"/>
        <w:spacing w:after="0" w:line="271" w:lineRule="auto"/>
        <w:tabs>
          <w:tab w:leader="none" w:pos="1994"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Limitations on Rights of Eligible Assignees</w:t>
      </w:r>
      <w:r>
        <w:rPr>
          <w:rFonts w:ascii="Arial" w:cs="Arial" w:eastAsia="Arial" w:hAnsi="Arial"/>
          <w:sz w:val="18"/>
          <w:szCs w:val="18"/>
          <w:color w:val="auto"/>
        </w:rPr>
        <w:t xml:space="preserve">. If (i) a Lender assigns or transfers or participates or sub-participates any of its rights or obligations under this Agreement or under any other Loan Document or changes its applicable Lending Office and (ii) as a result of circumstances existing at the date of the assignment, transfer, participation, sub-participation or change, a Borrower or a Guarantor would be obliged to make a payment to the relevant assignee, transferee, participant, sub-participant or Lender acting through its new Lending Office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then the relevant assignee, transferee, participant, sub-participant or Lender acting through its new Lending Office is only entitled to receive payment under those Sections as a result of those circumstances to the same extent as the assignor, transferor, participant, sub-participant or Lender acting through its previous Lending Office would have been if the assignment, transfer, participation, sub-participation or change had not occurred. For the avoidance of doubt, this subsection (c) shall not (except to the extent of any subsequent assignment, transfer, participation, sub-participation or change in applicable Lending Office) limit each Borrower’s obligations to make payments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in respect of Taxes or a Tax Deduction arising as a result of a Change in Law after the date of the relevant assignment, transfer or change in applicable Lending Office.</w:t>
      </w:r>
    </w:p>
    <w:p>
      <w:pPr>
        <w:spacing w:after="0" w:line="169" w:lineRule="exact"/>
        <w:rPr>
          <w:rFonts w:ascii="Arial" w:cs="Arial" w:eastAsia="Arial" w:hAnsi="Arial"/>
          <w:sz w:val="18"/>
          <w:szCs w:val="18"/>
          <w:color w:val="auto"/>
        </w:rPr>
      </w:pPr>
    </w:p>
    <w:p>
      <w:pPr>
        <w:jc w:val="both"/>
        <w:ind w:firstLine="1505"/>
        <w:spacing w:after="0" w:line="308" w:lineRule="auto"/>
        <w:tabs>
          <w:tab w:leader="none" w:pos="1989"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The Administrative Agent, acting solely for this purpose as a non-fiduciary agent of the Borrowers, shall maintain at one of the offices of the Administrative Agent outside of the United Kingdom a copy of each Assignment and Assumption delivered to it and a register for the recordation of the names and addresses of the Lenders, and the Commitments of, and principal amounts and stated interest of the Loans and L/C Obligations (specifying Unreimbursed Amounts), L/C Borrowings and other amounts due under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Parent, each Borrower, the Agents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Parent, the Company and any Lender (but only, in the case of a Lender, at the relevant office of the Administrative Agent and with respect to any entry relating to such Lender’s Commitments, Loans, L/C Obligations and other Obligations), at any reasonable time and from time to time upon reasonable prior notice.</w:t>
      </w:r>
    </w:p>
    <w:p>
      <w:pPr>
        <w:spacing w:after="0" w:line="379" w:lineRule="exact"/>
        <w:rPr>
          <w:rFonts w:ascii="Arial" w:cs="Arial" w:eastAsia="Arial" w:hAnsi="Arial"/>
          <w:sz w:val="16"/>
          <w:szCs w:val="16"/>
          <w:color w:val="auto"/>
        </w:rPr>
      </w:pPr>
    </w:p>
    <w:p>
      <w:pPr>
        <w:jc w:val="both"/>
        <w:ind w:firstLine="1505"/>
        <w:spacing w:after="0" w:line="256" w:lineRule="auto"/>
        <w:tabs>
          <w:tab w:leader="none" w:pos="1991"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Parent, the Borrowers or the Administrative Agent, sell participations to any Person (other than a natural person, or the Parent, any Borrower or any of the Parent’s or any Borrower’s Affiliates or Subsidiaries, or a Person that the Administrative Agent has identified in a notice to the Lenders as a Defaulting Lender)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(including such Lender’s participations in Swing Line Loans and L/C Obligations)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Parent, the Borrowers, the Administrative Agent, the Lenders and the Issuing Lenders shall continue to deal solely and directly with such Lender in connection with such Lender’s rights and obligations under this Agreement. Each Lender that sells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87" w:name="page188"/>
    <w:bookmarkEnd w:id="187"/>
    <w:p>
      <w:pPr>
        <w:jc w:val="both"/>
        <w:spacing w:after="0" w:line="271" w:lineRule="auto"/>
        <w:rPr>
          <w:sz w:val="20"/>
          <w:szCs w:val="20"/>
          <w:color w:val="auto"/>
        </w:rPr>
      </w:pPr>
      <w:r>
        <w:rPr>
          <w:rFonts w:ascii="Arial" w:cs="Arial" w:eastAsia="Arial" w:hAnsi="Arial"/>
          <w:sz w:val="18"/>
          <w:szCs w:val="18"/>
          <w:color w:val="auto"/>
        </w:rPr>
        <w:t>participation shall, acting solely for this purpose as a non-fiduciary agent of the Borrowers, maintain outside of the United Kingdom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that no Lender shall have any obligation to disclose all or any portion of the Participant Register (including the identity of any Participant or any information relating to a Participant’s interest in any Commitments, Loans, L/C Obligations or its other obligations under any Loan Document) to any Person except to the extent that such disclosure is necessary to establish that such Commitment, Loan, L/C Obligation or other obligation is in registered form under Section 5f.103-1(c) of the U.S. Treasury regulations. The entries in each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Any agreement or instrument pursuant to which a Lender sells such a participation shall provide that such Lender shall retain the sole right to enforce this Agreement and to approve any amendment, modification, consent or waiver in respect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consent, waiver or other modification requiring the consent of each Lender or the consent of each Lender affected thereby that affects such Participant. Subject to subsection (c) of this Section, each Borrower agrees that each Participant shall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to the same extent as if it were a Lender and had acquired its interest by assignment pursuant to subsection (b) of this Section (and subject always to the limitations set out in subsection (c) of this section). To the extent permitted by law, each Participant also shall be entitled to the benefits of </w:t>
      </w:r>
      <w:r>
        <w:rPr>
          <w:rFonts w:ascii="Arial" w:cs="Arial" w:eastAsia="Arial" w:hAnsi="Arial"/>
          <w:sz w:val="19"/>
          <w:szCs w:val="19"/>
          <w:u w:val="single" w:color="auto"/>
          <w:color w:val="auto"/>
        </w:rPr>
        <w:t>Section 10.08</w:t>
      </w:r>
      <w:r>
        <w:rPr>
          <w:rFonts w:ascii="Arial" w:cs="Arial" w:eastAsia="Arial" w:hAnsi="Arial"/>
          <w:sz w:val="19"/>
          <w:szCs w:val="19"/>
          <w:color w:val="auto"/>
        </w:rPr>
        <w:t xml:space="preserve">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Participant agrees to be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as though it were a Lender.</w:t>
      </w:r>
    </w:p>
    <w:p>
      <w:pPr>
        <w:spacing w:after="0" w:line="184" w:lineRule="exact"/>
        <w:rPr>
          <w:sz w:val="20"/>
          <w:szCs w:val="20"/>
          <w:color w:val="auto"/>
        </w:rPr>
      </w:pPr>
    </w:p>
    <w:p>
      <w:pPr>
        <w:jc w:val="both"/>
        <w:ind w:firstLine="1505"/>
        <w:spacing w:after="0" w:line="278" w:lineRule="auto"/>
        <w:tabs>
          <w:tab w:leader="none" w:pos="1979"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Company’s prior written consent. A Participant shall not be entitled to the benefits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unless the Company is notified of the participation sold to such Participant and such Participant agrees, for the benefit of the Borrowers,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if applicable, </w:t>
      </w:r>
      <w:r>
        <w:rPr>
          <w:rFonts w:ascii="Arial" w:cs="Arial" w:eastAsia="Arial" w:hAnsi="Arial"/>
          <w:sz w:val="18"/>
          <w:szCs w:val="18"/>
          <w:u w:val="single" w:color="auto"/>
          <w:color w:val="auto"/>
        </w:rPr>
        <w:t>Section 3.01(i)</w:t>
      </w:r>
      <w:r>
        <w:rPr>
          <w:rFonts w:ascii="Arial" w:cs="Arial" w:eastAsia="Arial" w:hAnsi="Arial"/>
          <w:sz w:val="18"/>
          <w:szCs w:val="18"/>
          <w:color w:val="auto"/>
        </w:rPr>
        <w:t xml:space="preserve"> as though it were a Lender.</w:t>
      </w:r>
    </w:p>
    <w:p>
      <w:pPr>
        <w:spacing w:after="0" w:line="164" w:lineRule="exact"/>
        <w:rPr>
          <w:rFonts w:ascii="Arial" w:cs="Arial" w:eastAsia="Arial" w:hAnsi="Arial"/>
          <w:sz w:val="18"/>
          <w:szCs w:val="18"/>
          <w:color w:val="auto"/>
        </w:rPr>
      </w:pPr>
    </w:p>
    <w:p>
      <w:pPr>
        <w:jc w:val="both"/>
        <w:ind w:firstLine="1505"/>
        <w:spacing w:after="0" w:line="244" w:lineRule="auto"/>
        <w:tabs>
          <w:tab w:leader="none" w:pos="1989"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(including under its Revolving Credit Note(s), if any) to secure obligations of such Lender, including any pledge or assignment to secure obligations to a Federal Reserve Bank or any central bank having jurisdiction over such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94" w:lineRule="exact"/>
        <w:rPr>
          <w:rFonts w:ascii="Arial" w:cs="Arial" w:eastAsia="Arial" w:hAnsi="Arial"/>
          <w:sz w:val="20"/>
          <w:szCs w:val="20"/>
          <w:color w:val="auto"/>
        </w:rPr>
      </w:pPr>
    </w:p>
    <w:p>
      <w:pPr>
        <w:jc w:val="both"/>
        <w:ind w:firstLine="1505"/>
        <w:spacing w:after="0" w:line="257" w:lineRule="auto"/>
        <w:tabs>
          <w:tab w:leader="none" w:pos="2018"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Special Purpose Funding Vehicles</w:t>
      </w:r>
      <w:r>
        <w:rPr>
          <w:rFonts w:ascii="Arial" w:cs="Arial" w:eastAsia="Arial" w:hAnsi="Arial"/>
          <w:sz w:val="19"/>
          <w:szCs w:val="19"/>
          <w:color w:val="auto"/>
        </w:rPr>
        <w:t>. Notwithstanding anything to the contrary contained herein, any Lender (a “</w:t>
      </w:r>
      <w:r>
        <w:rPr>
          <w:rFonts w:ascii="Arial" w:cs="Arial" w:eastAsia="Arial" w:hAnsi="Arial"/>
          <w:sz w:val="19"/>
          <w:szCs w:val="19"/>
          <w:u w:val="single" w:color="auto"/>
          <w:color w:val="auto"/>
        </w:rPr>
        <w:t>Granting Lender</w:t>
      </w:r>
      <w:r>
        <w:rPr>
          <w:rFonts w:ascii="Arial" w:cs="Arial" w:eastAsia="Arial" w:hAnsi="Arial"/>
          <w:sz w:val="19"/>
          <w:szCs w:val="19"/>
          <w:color w:val="auto"/>
        </w:rPr>
        <w:t>”) may grant to a special purpose funding vehicle identified as such in writing from time to time by the Granting Lender to the Administrative Agent and the Company (an “</w:t>
      </w:r>
      <w:r>
        <w:rPr>
          <w:rFonts w:ascii="Arial" w:cs="Arial" w:eastAsia="Arial" w:hAnsi="Arial"/>
          <w:sz w:val="19"/>
          <w:szCs w:val="19"/>
          <w:u w:val="single" w:color="auto"/>
          <w:color w:val="auto"/>
        </w:rPr>
        <w:t>SPC</w:t>
      </w:r>
      <w:r>
        <w:rPr>
          <w:rFonts w:ascii="Arial" w:cs="Arial" w:eastAsia="Arial" w:hAnsi="Arial"/>
          <w:sz w:val="19"/>
          <w:szCs w:val="19"/>
          <w:color w:val="auto"/>
        </w:rPr>
        <w:t xml:space="preserve">”) the option to provide all or any part of any Loan that such Granting Lender would otherwise be obligated to make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or, if it fails to do so, to make such payment to the Administrative Agent as is required under </w:t>
      </w:r>
      <w:r>
        <w:rPr>
          <w:rFonts w:ascii="Arial" w:cs="Arial" w:eastAsia="Arial" w:hAnsi="Arial"/>
          <w:sz w:val="19"/>
          <w:szCs w:val="19"/>
          <w:u w:val="single" w:color="auto"/>
          <w:color w:val="auto"/>
        </w:rPr>
        <w:t>Section 2.12(c)</w:t>
      </w:r>
      <w:r>
        <w:rPr>
          <w:rFonts w:ascii="Arial" w:cs="Arial" w:eastAsia="Arial" w:hAnsi="Arial"/>
          <w:sz w:val="19"/>
          <w:szCs w:val="19"/>
          <w:color w:val="auto"/>
        </w:rPr>
        <w:t>. Each party hereto hereby agrees that (i) neither the grant to any SPC nor the exercise by any SPC of such option shall increase the costs or expenses or otherwise increase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88" w:name="page189"/>
    <w:bookmarkEnd w:id="188"/>
    <w:p>
      <w:pPr>
        <w:jc w:val="both"/>
        <w:spacing w:after="0" w:line="270" w:lineRule="auto"/>
        <w:rPr>
          <w:sz w:val="20"/>
          <w:szCs w:val="20"/>
          <w:color w:val="auto"/>
        </w:rPr>
      </w:pPr>
      <w:r>
        <w:rPr>
          <w:rFonts w:ascii="Arial" w:cs="Arial" w:eastAsia="Arial" w:hAnsi="Arial"/>
          <w:sz w:val="18"/>
          <w:szCs w:val="18"/>
          <w:color w:val="auto"/>
        </w:rPr>
        <w:t xml:space="preserve">change the obligations of the Borrowers under this Agreement (including its obligations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3.04</w:t>
      </w:r>
      <w:r>
        <w:rPr>
          <w:rFonts w:ascii="Arial" w:cs="Arial" w:eastAsia="Arial" w:hAnsi="Arial"/>
          <w:sz w:val="18"/>
          <w:szCs w:val="18"/>
          <w:color w:val="auto"/>
        </w:rPr>
        <w:t>),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Company and the Administrative Agent and with the payment of a processing fee in the amount of $3,500 (which processing fee may be waived by the Administrative Agent in its sole discretion),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spacing w:after="0" w:line="172" w:lineRule="exact"/>
        <w:rPr>
          <w:sz w:val="20"/>
          <w:szCs w:val="20"/>
          <w:color w:val="auto"/>
        </w:rPr>
      </w:pPr>
    </w:p>
    <w:p>
      <w:pPr>
        <w:jc w:val="both"/>
        <w:ind w:firstLine="1505"/>
        <w:spacing w:after="0" w:line="268" w:lineRule="auto"/>
        <w:tabs>
          <w:tab w:leader="none" w:pos="1995"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Resignation as Swing Line Lender or Issuing Lender after Assignment</w:t>
      </w:r>
      <w:r>
        <w:rPr>
          <w:rFonts w:ascii="Arial" w:cs="Arial" w:eastAsia="Arial" w:hAnsi="Arial"/>
          <w:sz w:val="18"/>
          <w:szCs w:val="18"/>
          <w:color w:val="auto"/>
        </w:rPr>
        <w:t xml:space="preserve">. Notwithstanding anything to the contrary contained herein, if at any time any Issuing Lender or the Swing Line Lender assigns all of its Revolving Credit Commitments (and all Committed Loans outstanding thereunder) pursuant to subsection (b) above, such Issuing Lender or the Swing Line Lender may, upon 30 days’ notice to the Company, resign as the Swing Line Lender or as Issuing Lender. In the event of any such resignation as the Swing Line Lender or as Issuing Lender, the Company shall be entitled to appoint from among the Revolving Credit Lenders a successor Swing Line Lender or Issuing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 failure by the Company to appoint any such successor shall affect the resignation of the Swing Line Lender or such Issuing Lender and (b) no Lender shall become the Swing Line Lender or Issuing Lender without such Lender’s consent thereto. If any Issuing Lender resigns as an Issuing Lender, it shall retain all the rights, powers, privileges and duties of an Issuing Lender hereunder with respect to all Letters of Credit outstanding as of the effective date of its resignation as Issuing Lender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If the Swing Line Lender resigns as the Swing Line Lender, it shall retain all the rights, powers, privileges and duties of the Swing Line Lender provided for hereunder with respect to the Swing Line Loans made by it and outstanding as of the effective date of its resignation as the Swing Line Lender (including the right to require the Lenders to make Base Rate Loans or fund risk participations in outstanding Swing 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of a successor Swing Line Lender and/or Issuing Lender, (a) such successor shall succeed to and become vested with all of the rights, powers, privileges and duties of the retiring Swing Line Lender and/or Issuing Lender, as the case may be, (b) the retiring Swing Line Lender and/or Issuing Lender shall be discharged from all of its duties and obligations hereunder or under the other Loan Documents and (c) the successor Issuing Lender shall issue Letters of Credit in substitution for the Letters of Credit, if any, outstanding at the time of such succession and issued by the retiring Issuing Lender or make other arrangements satisfactory to the retiring Issuing Lender to effectively assume the obligations of the retiring Issuing Lender with respect to such Letters of Credit.</w:t>
      </w:r>
    </w:p>
    <w:p>
      <w:pPr>
        <w:spacing w:after="0" w:line="183"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010000"/>
        </w:rPr>
        <w:t xml:space="preserve">10.07 </w:t>
      </w:r>
      <w:r>
        <w:rPr>
          <w:rFonts w:ascii="Arial" w:cs="Arial" w:eastAsia="Arial" w:hAnsi="Arial"/>
          <w:sz w:val="19"/>
          <w:szCs w:val="19"/>
          <w:color w:val="000000"/>
        </w:rPr>
        <w:t>Treatment of Certain Information; Confidentiality. Each of the Administrative Agent, the Lenders and each Issuing</w:t>
      </w:r>
      <w:r>
        <w:rPr>
          <w:rFonts w:ascii="Arial" w:cs="Arial" w:eastAsia="Arial" w:hAnsi="Arial"/>
          <w:sz w:val="19"/>
          <w:szCs w:val="19"/>
          <w:color w:val="010000"/>
        </w:rPr>
        <w:t xml:space="preserve"> </w:t>
      </w:r>
      <w:r>
        <w:rPr>
          <w:rFonts w:ascii="Arial" w:cs="Arial" w:eastAsia="Arial" w:hAnsi="Arial"/>
          <w:sz w:val="19"/>
          <w:szCs w:val="19"/>
          <w:color w:val="000000"/>
        </w:rPr>
        <w:t>Lender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89" w:name="page190"/>
    <w:bookmarkEnd w:id="189"/>
    <w:p>
      <w:pPr>
        <w:jc w:val="both"/>
        <w:spacing w:after="0" w:line="270" w:lineRule="auto"/>
        <w:rPr>
          <w:sz w:val="20"/>
          <w:szCs w:val="20"/>
          <w:color w:val="auto"/>
        </w:rPr>
      </w:pPr>
      <w:r>
        <w:rPr>
          <w:rFonts w:ascii="Arial" w:cs="Arial" w:eastAsia="Arial" w:hAnsi="Arial"/>
          <w:sz w:val="18"/>
          <w:szCs w:val="18"/>
          <w:color w:val="auto"/>
        </w:rPr>
        <w:t xml:space="preserve">Information and instructed to keep such Information confidential), (b) to the extent requested by any regulatory or tax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or (ii) any actual or prospective counterparty (or its advisors) to any swap or derivative transaction relating to any Borrower and its obligations, (g) on a confidential basis to (i) any rating agency in connection with rating the Parent or its Subsidiaries or the Facility, (ii) the CUSIP Service Bureau or any similar agency in connection with the issuance and monitoring of CUSIP numbers with respect to the Facility or (iii) any credit insurance provider, (h) with the consent of the Company or the Parent or (i) to the extent such Information (x) becomes publicly available other than as a result of a breach of this Section or (y) becomes available to the Administrative Agent, any Lender, any Issuing Lender or any of their respective Affiliates on a non-confidential basis from a source other than the Company or the Parent.</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Parent, the Company or any Subsidiary relating to the Parent, the Company or any Subsidiary or any of their respective businesses, other than any such information that is available to the Administrative Agent, any Lender or any Issuing Lender on a non-confidential basis prior to disclosure by the Parent, the Company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Parent, the Company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Each of the Administrative Agent, the Lenders and the Issuing Lenders acknowledges that (a) the Information may include material non-public information concerning the Parent,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91"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010000"/>
        </w:rPr>
        <w:t xml:space="preserve">10.08 </w:t>
      </w:r>
      <w:r>
        <w:rPr>
          <w:rFonts w:ascii="Arial" w:cs="Arial" w:eastAsia="Arial" w:hAnsi="Arial"/>
          <w:sz w:val="19"/>
          <w:szCs w:val="19"/>
          <w:color w:val="000000"/>
        </w:rPr>
        <w:t>Right of Setoff. If an Event of Default shall have occurred and be continuing, each Lender, each L/C Issuer and each of</w:t>
      </w:r>
      <w:r>
        <w:rPr>
          <w:rFonts w:ascii="Arial" w:cs="Arial" w:eastAsia="Arial" w:hAnsi="Arial"/>
          <w:sz w:val="19"/>
          <w:szCs w:val="19"/>
          <w:color w:val="010000"/>
        </w:rPr>
        <w:t xml:space="preserve"> </w:t>
      </w:r>
      <w:r>
        <w:rPr>
          <w:rFonts w:ascii="Arial" w:cs="Arial" w:eastAsia="Arial" w:hAnsi="Arial"/>
          <w:sz w:val="19"/>
          <w:szCs w:val="19"/>
          <w:color w:val="000000"/>
        </w:rPr>
        <w:t xml:space="preserve">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Company or any other Loan Party against any and all of the obligations of the Company or such Loan Party now or hereafter existing under this Agreement or any other Loan Document to such Lender or such L/C Issuer, irrespective of whether or not such Lender or such L/C Issuer shall have made any demand under this Agreement or any other Loan Document and although such obligations of the Company or such Loan Party may be contingent or unmatured or are owed to a branch or office of such Lender or such L/C Issuer different from the branch or office holding such deposit or obligated on such indebtedness;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9"/>
          <w:szCs w:val="19"/>
          <w:u w:val="single" w:color="auto"/>
          <w:color w:val="000000"/>
        </w:rPr>
        <w:t>Section 2.16</w:t>
      </w:r>
      <w:r>
        <w:rPr>
          <w:rFonts w:ascii="Arial" w:cs="Arial" w:eastAsia="Arial" w:hAnsi="Arial"/>
          <w:sz w:val="19"/>
          <w:szCs w:val="19"/>
          <w:color w:val="000000"/>
        </w:rPr>
        <w:t xml:space="preserve"> and, pending such payment, shall be segregated by such Defaulting Lender from its other funds and deemed held in trust for the benefit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90" w:name="page191"/>
    <w:bookmarkEnd w:id="190"/>
    <w:p>
      <w:pPr>
        <w:jc w:val="both"/>
        <w:spacing w:after="0" w:line="243" w:lineRule="auto"/>
        <w:rPr>
          <w:sz w:val="20"/>
          <w:szCs w:val="20"/>
          <w:color w:val="auto"/>
        </w:rPr>
      </w:pPr>
      <w:r>
        <w:rPr>
          <w:rFonts w:ascii="Arial" w:cs="Arial" w:eastAsia="Arial" w:hAnsi="Arial"/>
          <w:sz w:val="20"/>
          <w:szCs w:val="20"/>
          <w:color w:val="auto"/>
        </w:rPr>
        <w:t xml:space="preserve">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to give such notice shall not affect the validity of such setoff and application.</w:t>
      </w:r>
    </w:p>
    <w:p>
      <w:pPr>
        <w:spacing w:after="0" w:line="19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color w:val="010000"/>
        </w:rPr>
        <w:t xml:space="preserve">10.09 </w:t>
      </w:r>
      <w:r>
        <w:rPr>
          <w:rFonts w:ascii="Arial" w:cs="Arial" w:eastAsia="Arial" w:hAnsi="Arial"/>
          <w:sz w:val="18"/>
          <w:szCs w:val="18"/>
          <w:color w:val="000000"/>
        </w:rPr>
        <w:t>Interest Rate Limitation. Notwithstanding anything to the contrary contained in any Loan Document, the interest paid or</w:t>
      </w:r>
      <w:r>
        <w:rPr>
          <w:rFonts w:ascii="Arial" w:cs="Arial" w:eastAsia="Arial" w:hAnsi="Arial"/>
          <w:sz w:val="18"/>
          <w:szCs w:val="18"/>
          <w:color w:val="010000"/>
        </w:rPr>
        <w:t xml:space="preserve"> </w:t>
      </w:r>
      <w:r>
        <w:rPr>
          <w:rFonts w:ascii="Arial" w:cs="Arial" w:eastAsia="Arial" w:hAnsi="Arial"/>
          <w:sz w:val="18"/>
          <w:szCs w:val="18"/>
          <w:color w:val="000000"/>
        </w:rPr>
        <w:t>agreed to be paid under the Loan Documents shall not exceed the maximum rate of non-usurious interest permitted by applicable Law (the “</w:t>
      </w:r>
      <w:r>
        <w:rPr>
          <w:rFonts w:ascii="Arial" w:cs="Arial" w:eastAsia="Arial" w:hAnsi="Arial"/>
          <w:sz w:val="18"/>
          <w:szCs w:val="18"/>
          <w:u w:val="single" w:color="auto"/>
          <w:color w:val="000000"/>
        </w:rPr>
        <w:t>Maximum Rate</w:t>
      </w:r>
      <w:r>
        <w:rPr>
          <w:rFonts w:ascii="Arial" w:cs="Arial" w:eastAsia="Arial" w:hAnsi="Arial"/>
          <w:sz w:val="18"/>
          <w:szCs w:val="18"/>
          <w:color w:val="000000"/>
        </w:rPr>
        <w:t xml:space="preserve"> ”).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010000"/>
        </w:rPr>
        <w:t xml:space="preserve">10.10 </w:t>
      </w:r>
      <w:r>
        <w:rPr>
          <w:rFonts w:ascii="Arial" w:cs="Arial" w:eastAsia="Arial" w:hAnsi="Arial"/>
          <w:sz w:val="19"/>
          <w:szCs w:val="19"/>
          <w:color w:val="000000"/>
        </w:rPr>
        <w:t>Counterparts; Integration; Effectiveness. This Agreement may be executed in counterparts (and by different parties</w:t>
      </w:r>
      <w:r>
        <w:rPr>
          <w:rFonts w:ascii="Arial" w:cs="Arial" w:eastAsia="Arial" w:hAnsi="Arial"/>
          <w:sz w:val="19"/>
          <w:szCs w:val="19"/>
          <w:color w:val="010000"/>
        </w:rPr>
        <w:t xml:space="preserve"> </w:t>
      </w:r>
      <w:r>
        <w:rPr>
          <w:rFonts w:ascii="Arial" w:cs="Arial" w:eastAsia="Arial" w:hAnsi="Arial"/>
          <w:sz w:val="19"/>
          <w:szCs w:val="19"/>
          <w:color w:val="000000"/>
        </w:rPr>
        <w:t>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w:t>
      </w:r>
    </w:p>
    <w:p>
      <w:pPr>
        <w:spacing w:after="0" w:line="18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010000"/>
        </w:rPr>
        <w:t xml:space="preserve">10.11 </w:t>
      </w:r>
      <w:r>
        <w:rPr>
          <w:rFonts w:ascii="Arial" w:cs="Arial" w:eastAsia="Arial" w:hAnsi="Arial"/>
          <w:sz w:val="20"/>
          <w:szCs w:val="20"/>
          <w:color w:val="000000"/>
        </w:rPr>
        <w:t>Survival of Representations and Warranties. All representations and warranties made hereunder and in any other Loan</w:t>
      </w:r>
      <w:r>
        <w:rPr>
          <w:rFonts w:ascii="Arial" w:cs="Arial" w:eastAsia="Arial" w:hAnsi="Arial"/>
          <w:sz w:val="20"/>
          <w:szCs w:val="20"/>
          <w:color w:val="010000"/>
        </w:rPr>
        <w:t xml:space="preserve"> </w:t>
      </w:r>
      <w:r>
        <w:rPr>
          <w:rFonts w:ascii="Arial" w:cs="Arial" w:eastAsia="Arial" w:hAnsi="Arial"/>
          <w:sz w:val="20"/>
          <w:szCs w:val="20"/>
          <w:color w:val="000000"/>
        </w:rPr>
        <w:t>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93"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010000"/>
        </w:rPr>
        <w:t xml:space="preserve">10.12 </w:t>
      </w:r>
      <w:r>
        <w:rPr>
          <w:rFonts w:ascii="Arial" w:cs="Arial" w:eastAsia="Arial" w:hAnsi="Arial"/>
          <w:sz w:val="18"/>
          <w:szCs w:val="18"/>
          <w:color w:val="000000"/>
        </w:rPr>
        <w:t>Severability. If any provision of this Agreement or the other Loan Documents is held to be illegal, invalid or</w:t>
      </w:r>
      <w:r>
        <w:rPr>
          <w:rFonts w:ascii="Arial" w:cs="Arial" w:eastAsia="Arial" w:hAnsi="Arial"/>
          <w:sz w:val="18"/>
          <w:szCs w:val="18"/>
          <w:color w:val="010000"/>
        </w:rPr>
        <w:t xml:space="preserve"> </w:t>
      </w:r>
      <w:r>
        <w:rPr>
          <w:rFonts w:ascii="Arial" w:cs="Arial" w:eastAsia="Arial" w:hAnsi="Arial"/>
          <w:sz w:val="18"/>
          <w:szCs w:val="18"/>
          <w:color w:val="000000"/>
        </w:rPr>
        <w:t xml:space="preserve">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000000"/>
        </w:rPr>
        <w:t>Section 10.12</w:t>
      </w:r>
      <w:r>
        <w:rPr>
          <w:rFonts w:ascii="Arial" w:cs="Arial" w:eastAsia="Arial" w:hAnsi="Arial"/>
          <w:sz w:val="18"/>
          <w:szCs w:val="18"/>
          <w:color w:val="000000"/>
        </w:rPr>
        <w:t>, if and to the extent that the enforceability of any provisions in this Agreement relating to Defaulting Lenders shall be limited by Debtor Relief Laws, as determined in good faith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t>Administrative Agent or any L/C Issuer, as applicable, then such provisions shall be deemed to be in effect only to the extent not so limited.</w:t>
      </w:r>
    </w:p>
    <w:p>
      <w:pPr>
        <w:spacing w:after="0" w:line="23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8"/>
          <w:szCs w:val="18"/>
          <w:color w:val="010000"/>
        </w:rPr>
        <w:t xml:space="preserve">10.13 </w:t>
      </w:r>
      <w:r>
        <w:rPr>
          <w:rFonts w:ascii="Arial" w:cs="Arial" w:eastAsia="Arial" w:hAnsi="Arial"/>
          <w:sz w:val="18"/>
          <w:szCs w:val="18"/>
          <w:color w:val="000000"/>
        </w:rPr>
        <w:t>Replacement of Lenders. If any Lender requests compensation under</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3.04</w:t>
      </w:r>
      <w:r>
        <w:rPr>
          <w:rFonts w:ascii="Arial" w:cs="Arial" w:eastAsia="Arial" w:hAnsi="Arial"/>
          <w:sz w:val="18"/>
          <w:szCs w:val="18"/>
          <w:color w:val="000000"/>
        </w:rPr>
        <w:t>, or if any Borrower is required to pay</w:t>
      </w:r>
      <w:r>
        <w:rPr>
          <w:rFonts w:ascii="Arial" w:cs="Arial" w:eastAsia="Arial" w:hAnsi="Arial"/>
          <w:sz w:val="18"/>
          <w:szCs w:val="18"/>
          <w:color w:val="010000"/>
        </w:rPr>
        <w:t xml:space="preserve"> </w:t>
      </w:r>
      <w:r>
        <w:rPr>
          <w:rFonts w:ascii="Arial" w:cs="Arial" w:eastAsia="Arial" w:hAnsi="Arial"/>
          <w:sz w:val="18"/>
          <w:szCs w:val="18"/>
          <w:color w:val="000000"/>
        </w:rPr>
        <w:t xml:space="preserve">any additional amount to any Lender or any Governmental Authority for the account of any Lender pursuant to </w:t>
      </w:r>
      <w:r>
        <w:rPr>
          <w:rFonts w:ascii="Arial" w:cs="Arial" w:eastAsia="Arial" w:hAnsi="Arial"/>
          <w:sz w:val="18"/>
          <w:szCs w:val="18"/>
          <w:u w:val="single" w:color="auto"/>
          <w:color w:val="000000"/>
        </w:rPr>
        <w:t>Section 3.01</w:t>
      </w:r>
      <w:r>
        <w:rPr>
          <w:rFonts w:ascii="Arial" w:cs="Arial" w:eastAsia="Arial" w:hAnsi="Arial"/>
          <w:sz w:val="18"/>
          <w:szCs w:val="18"/>
          <w:color w:val="000000"/>
        </w:rPr>
        <w:t xml:space="preserve">, or if any Lender is a Defaulting Lender, or if any Lender declines to become an Extending Lender pursuant to </w:t>
      </w:r>
      <w:r>
        <w:rPr>
          <w:rFonts w:ascii="Arial" w:cs="Arial" w:eastAsia="Arial" w:hAnsi="Arial"/>
          <w:sz w:val="18"/>
          <w:szCs w:val="18"/>
          <w:u w:val="single" w:color="auto"/>
          <w:color w:val="000000"/>
        </w:rPr>
        <w:t>Section 2.17</w:t>
      </w:r>
      <w:r>
        <w:rPr>
          <w:rFonts w:ascii="Arial" w:cs="Arial" w:eastAsia="Arial" w:hAnsi="Arial"/>
          <w:sz w:val="18"/>
          <w:szCs w:val="18"/>
          <w:color w:val="000000"/>
        </w:rPr>
        <w:t xml:space="preserve">, or if any circumstance exists under the penultimate of </w:t>
      </w:r>
      <w:r>
        <w:rPr>
          <w:rFonts w:ascii="Arial" w:cs="Arial" w:eastAsia="Arial" w:hAnsi="Arial"/>
          <w:sz w:val="18"/>
          <w:szCs w:val="18"/>
          <w:u w:val="single" w:color="auto"/>
          <w:color w:val="000000"/>
        </w:rPr>
        <w:t>Section 10.01</w:t>
      </w:r>
      <w:r>
        <w:rPr>
          <w:rFonts w:ascii="Arial" w:cs="Arial" w:eastAsia="Arial" w:hAnsi="Arial"/>
          <w:sz w:val="18"/>
          <w:szCs w:val="18"/>
          <w:color w:val="000000"/>
        </w:rPr>
        <w:t xml:space="preserve"> that gives the Company the right to replace a Lender as a party hereto,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000000"/>
        </w:rPr>
        <w:t>Section 10.06</w:t>
      </w:r>
      <w:r>
        <w:rPr>
          <w:rFonts w:ascii="Arial" w:cs="Arial" w:eastAsia="Arial" w:hAnsi="Arial"/>
          <w:sz w:val="18"/>
          <w:szCs w:val="18"/>
          <w:color w:val="000000"/>
        </w:rPr>
        <w:t xml:space="preserve">), all of its interests, rights and obligations under this Agreement and the related Loan Documents to an Eligible Assignee that shall assume such obligations (which Eligible Assignee may be another Lender, if a Lender accepts such assignment);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w:t>
      </w:r>
    </w:p>
    <w:p>
      <w:pPr>
        <w:spacing w:after="0" w:line="168" w:lineRule="exact"/>
        <w:rPr>
          <w:sz w:val="20"/>
          <w:szCs w:val="20"/>
          <w:color w:val="auto"/>
        </w:rPr>
      </w:pPr>
    </w:p>
    <w:p>
      <w:pPr>
        <w:ind w:left="1980" w:hanging="475"/>
        <w:spacing w:after="0"/>
        <w:tabs>
          <w:tab w:leader="none" w:pos="198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the Company shall have paid to the Administrative Agent the assignment fee specified in </w:t>
      </w:r>
      <w:r>
        <w:rPr>
          <w:rFonts w:ascii="Arial" w:cs="Arial" w:eastAsia="Arial" w:hAnsi="Arial"/>
          <w:sz w:val="19"/>
          <w:szCs w:val="19"/>
          <w:u w:val="single" w:color="auto"/>
          <w:color w:val="auto"/>
        </w:rPr>
        <w:t>Section 10.06(b)</w:t>
      </w:r>
      <w:r>
        <w:rPr>
          <w:rFonts w:ascii="Arial" w:cs="Arial" w:eastAsia="Arial" w:hAnsi="Arial"/>
          <w:sz w:val="19"/>
          <w:szCs w:val="19"/>
          <w:color w:val="auto"/>
        </w:rPr>
        <w:t>;</w:t>
      </w:r>
    </w:p>
    <w:p>
      <w:pPr>
        <w:spacing w:after="0" w:line="227" w:lineRule="exact"/>
        <w:rPr>
          <w:rFonts w:ascii="Arial" w:cs="Arial" w:eastAsia="Arial" w:hAnsi="Arial"/>
          <w:sz w:val="19"/>
          <w:szCs w:val="19"/>
          <w:color w:val="auto"/>
        </w:rPr>
      </w:pPr>
    </w:p>
    <w:p>
      <w:pPr>
        <w:jc w:val="both"/>
        <w:ind w:firstLine="1505"/>
        <w:spacing w:after="0" w:line="246" w:lineRule="auto"/>
        <w:tabs>
          <w:tab w:leader="none" w:pos="1986"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20"/>
          <w:szCs w:val="20"/>
          <w:u w:val="single" w:color="auto"/>
          <w:color w:val="auto"/>
        </w:rPr>
        <w:t>Section 3.05</w:t>
      </w:r>
      <w:r>
        <w:rPr>
          <w:rFonts w:ascii="Arial" w:cs="Arial" w:eastAsia="Arial" w:hAnsi="Arial"/>
          <w:sz w:val="20"/>
          <w:szCs w:val="20"/>
          <w:color w:val="auto"/>
        </w:rPr>
        <w:t>) from the assignee (to the extent of such outstanding principal and accrued interest and fees) or the Company (in the case of all other amounts);</w:t>
      </w:r>
    </w:p>
    <w:p>
      <w:pPr>
        <w:spacing w:after="0" w:line="191" w:lineRule="exact"/>
        <w:rPr>
          <w:rFonts w:ascii="Arial" w:cs="Arial" w:eastAsia="Arial" w:hAnsi="Arial"/>
          <w:sz w:val="20"/>
          <w:szCs w:val="20"/>
          <w:color w:val="auto"/>
        </w:rPr>
      </w:pPr>
    </w:p>
    <w:p>
      <w:pPr>
        <w:ind w:firstLine="1505"/>
        <w:spacing w:after="0" w:line="316" w:lineRule="auto"/>
        <w:tabs>
          <w:tab w:leader="none" w:pos="19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129" w:lineRule="exact"/>
        <w:rPr>
          <w:rFonts w:ascii="Arial" w:cs="Arial" w:eastAsia="Arial" w:hAnsi="Arial"/>
          <w:sz w:val="18"/>
          <w:szCs w:val="18"/>
          <w:color w:val="auto"/>
        </w:rPr>
      </w:pPr>
    </w:p>
    <w:p>
      <w:pPr>
        <w:jc w:val="both"/>
        <w:ind w:firstLine="1505"/>
        <w:spacing w:after="0" w:line="250" w:lineRule="auto"/>
        <w:tabs>
          <w:tab w:leader="none" w:pos="1987"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the Company or such Eligible Assignee shall have received all consents required in accordance with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consents will not be required in the case of any assignment resulting from a Lender declining to become an Extending Lender pursuant to </w:t>
      </w:r>
      <w:r>
        <w:rPr>
          <w:rFonts w:ascii="Arial" w:cs="Arial" w:eastAsia="Arial" w:hAnsi="Arial"/>
          <w:sz w:val="20"/>
          <w:szCs w:val="20"/>
          <w:u w:val="single" w:color="auto"/>
          <w:color w:val="auto"/>
        </w:rPr>
        <w:t>Section 2.17</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firstLine="1505"/>
        <w:spacing w:after="0" w:line="260" w:lineRule="auto"/>
        <w:tabs>
          <w:tab w:leader="none" w:pos="1993" w:val="left"/>
        </w:tabs>
        <w:numPr>
          <w:ilvl w:val="0"/>
          <w:numId w:val="195"/>
        </w:numPr>
        <w:rPr>
          <w:rFonts w:ascii="Arial" w:cs="Arial" w:eastAsia="Arial" w:hAnsi="Arial"/>
          <w:sz w:val="20"/>
          <w:szCs w:val="20"/>
          <w:color w:val="auto"/>
        </w:rPr>
      </w:pPr>
      <w:r>
        <w:rPr>
          <w:rFonts w:ascii="Arial" w:cs="Arial" w:eastAsia="Arial" w:hAnsi="Arial"/>
          <w:sz w:val="20"/>
          <w:szCs w:val="20"/>
          <w:color w:val="auto"/>
        </w:rPr>
        <w:t>if applicable, the replacement Eligible Assignee or Eligible Assignees shall consent to such amendment or waiver, and such amendment or waiver shall, after giving effect to such consent(s), be consummated; and</w:t>
      </w:r>
    </w:p>
    <w:p>
      <w:pPr>
        <w:spacing w:after="0" w:line="176" w:lineRule="exact"/>
        <w:rPr>
          <w:rFonts w:ascii="Arial" w:cs="Arial" w:eastAsia="Arial" w:hAnsi="Arial"/>
          <w:sz w:val="20"/>
          <w:szCs w:val="20"/>
          <w:color w:val="auto"/>
        </w:rPr>
      </w:pPr>
    </w:p>
    <w:p>
      <w:pPr>
        <w:ind w:left="1980" w:hanging="475"/>
        <w:spacing w:after="0"/>
        <w:tabs>
          <w:tab w:leader="none" w:pos="198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Notwithstanding anything in this Section to the contrary, (i) no Revolving Credit Lender that acts as an Issuing Lender may be replaced hereunder at any time it has any Letter of Credit outstanding hereunder unless arrangements satisfactory to such Lender (including the furnishing of a back-up standby letter of credit in form and substance, and issued by an issuer, reasonably satisfactory to such Issuing Lender or the depositing of Cash Collateral into a cash collateral account in amounts and pursuant to arrangements reasonably satisfactory to such Issuing Lender) have been made with respect to such outstanding Letter of Credit and (ii) the Lender that acts as the Administrative Agent may not be replaced hereunder except in accordance with the terms of </w:t>
      </w:r>
      <w:r>
        <w:rPr>
          <w:rFonts w:ascii="Arial" w:cs="Arial" w:eastAsia="Arial" w:hAnsi="Arial"/>
          <w:sz w:val="19"/>
          <w:szCs w:val="19"/>
          <w:u w:val="single" w:color="auto"/>
          <w:color w:val="auto"/>
        </w:rPr>
        <w:t>Section 9.06</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92" w:name="page193"/>
    <w:bookmarkEnd w:id="192"/>
    <w:p>
      <w:pPr>
        <w:jc w:val="both"/>
        <w:spacing w:after="0" w:line="250" w:lineRule="auto"/>
        <w:rPr>
          <w:sz w:val="20"/>
          <w:szCs w:val="20"/>
          <w:color w:val="auto"/>
        </w:rPr>
      </w:pPr>
      <w:r>
        <w:rPr>
          <w:rFonts w:ascii="Arial" w:cs="Arial" w:eastAsia="Arial" w:hAnsi="Arial"/>
          <w:sz w:val="20"/>
          <w:szCs w:val="20"/>
          <w:color w:val="auto"/>
        </w:rPr>
        <w:t xml:space="preserve">Each Lender hereby grants to the Administrative Agent an irrevocable power of attorney (which power is coupled with an interest) to execute and deliver, on behalf of such Lender as assignor, any Assignment and Assumption necessary to effectuate any assignment of such Lender’s interests hereunder in the circumstances contemplated by this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86" w:lineRule="exact"/>
        <w:rPr>
          <w:sz w:val="20"/>
          <w:szCs w:val="20"/>
          <w:color w:val="auto"/>
        </w:rPr>
      </w:pPr>
    </w:p>
    <w:p>
      <w:pPr>
        <w:ind w:left="760"/>
        <w:spacing w:after="0"/>
        <w:tabs>
          <w:tab w:leader="none" w:pos="1580" w:val="left"/>
        </w:tabs>
        <w:rPr>
          <w:sz w:val="20"/>
          <w:szCs w:val="20"/>
          <w:color w:val="auto"/>
        </w:rPr>
      </w:pPr>
      <w:r>
        <w:rPr>
          <w:rFonts w:ascii="Arial" w:cs="Arial" w:eastAsia="Arial" w:hAnsi="Arial"/>
          <w:sz w:val="20"/>
          <w:szCs w:val="20"/>
          <w:color w:val="010000"/>
        </w:rPr>
        <w:t>10.14</w:t>
      </w:r>
      <w:r>
        <w:rPr>
          <w:sz w:val="20"/>
          <w:szCs w:val="20"/>
          <w:color w:val="auto"/>
        </w:rPr>
        <w:tab/>
      </w:r>
      <w:r>
        <w:rPr>
          <w:rFonts w:ascii="Arial" w:cs="Arial" w:eastAsia="Arial" w:hAnsi="Arial"/>
          <w:sz w:val="18"/>
          <w:szCs w:val="18"/>
          <w:color w:val="auto"/>
        </w:rPr>
        <w:t>Governing Law; Jurisdiction; Etc.</w:t>
      </w:r>
    </w:p>
    <w:p>
      <w:pPr>
        <w:spacing w:after="0" w:line="216" w:lineRule="exact"/>
        <w:rPr>
          <w:sz w:val="20"/>
          <w:szCs w:val="20"/>
          <w:color w:val="auto"/>
        </w:rPr>
      </w:pPr>
    </w:p>
    <w:p>
      <w:pPr>
        <w:jc w:val="both"/>
        <w:ind w:firstLine="1505"/>
        <w:spacing w:after="0" w:line="269" w:lineRule="auto"/>
        <w:tabs>
          <w:tab w:leader="none" w:pos="2091" w:val="left"/>
        </w:tabs>
        <w:numPr>
          <w:ilvl w:val="0"/>
          <w:numId w:val="196"/>
        </w:numPr>
        <w:rPr>
          <w:rFonts w:ascii="Arial" w:cs="Arial" w:eastAsia="Arial" w:hAnsi="Arial"/>
          <w:sz w:val="19"/>
          <w:szCs w:val="19"/>
          <w:color w:val="auto"/>
        </w:rPr>
      </w:pPr>
      <w:r>
        <w:rPr>
          <w:rFonts w:ascii="Arial" w:cs="Arial" w:eastAsia="Arial" w:hAnsi="Arial"/>
          <w:sz w:val="19"/>
          <w:szCs w:val="19"/>
          <w:color w:val="auto"/>
        </w:rPr>
        <w:t>GOVERNING LAW. THIS AGREEMENT SHALL BE GOVERNED BY, AND CONSTRUED IN ACCORDANCE WITH, THE LAW OF THE STATE OF NEW YORK WITHOUT REGARD TO PRINCIPLES OF CONFLICTS OF LAW THAT WOULD RESULT IN THE APPLICATION OF ANY LAW OTHER THAN THE LAW OF THE STATE OF NEW YORK.</w:t>
      </w:r>
    </w:p>
    <w:p>
      <w:pPr>
        <w:spacing w:after="0" w:line="169" w:lineRule="exact"/>
        <w:rPr>
          <w:rFonts w:ascii="Arial" w:cs="Arial" w:eastAsia="Arial" w:hAnsi="Arial"/>
          <w:sz w:val="19"/>
          <w:szCs w:val="19"/>
          <w:color w:val="auto"/>
        </w:rPr>
      </w:pPr>
    </w:p>
    <w:p>
      <w:pPr>
        <w:jc w:val="both"/>
        <w:ind w:firstLine="1505"/>
        <w:spacing w:after="0" w:line="241" w:lineRule="auto"/>
        <w:tabs>
          <w:tab w:leader="none" w:pos="2105" w:val="left"/>
        </w:tabs>
        <w:numPr>
          <w:ilvl w:val="0"/>
          <w:numId w:val="196"/>
        </w:numPr>
        <w:rPr>
          <w:rFonts w:ascii="Arial" w:cs="Arial" w:eastAsia="Arial" w:hAnsi="Arial"/>
          <w:sz w:val="20"/>
          <w:szCs w:val="20"/>
          <w:color w:val="auto"/>
        </w:rPr>
      </w:pPr>
      <w:r>
        <w:rPr>
          <w:rFonts w:ascii="Arial" w:cs="Arial" w:eastAsia="Arial" w:hAnsi="Arial"/>
          <w:sz w:val="20"/>
          <w:szCs w:val="20"/>
          <w:color w:val="auto"/>
        </w:rPr>
        <w:t>SUBMISSION TO JURISDICTION. EACH OF THE PARTIES HERETO IRREVOCABLY AND UNCONDITIONALLY SUBMITS, FOR ITSELF AND ITS PROPERTY, TO THE 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w:t>
      </w:r>
    </w:p>
    <w:p>
      <w:pPr>
        <w:spacing w:after="0" w:line="200" w:lineRule="exact"/>
        <w:rPr>
          <w:rFonts w:ascii="Arial" w:cs="Arial" w:eastAsia="Arial" w:hAnsi="Arial"/>
          <w:sz w:val="20"/>
          <w:szCs w:val="20"/>
          <w:color w:val="auto"/>
        </w:rPr>
      </w:pPr>
    </w:p>
    <w:p>
      <w:pPr>
        <w:jc w:val="both"/>
        <w:ind w:firstLine="1505"/>
        <w:spacing w:after="0" w:line="243" w:lineRule="auto"/>
        <w:tabs>
          <w:tab w:leader="none" w:pos="2025" w:val="left"/>
        </w:tabs>
        <w:numPr>
          <w:ilvl w:val="0"/>
          <w:numId w:val="196"/>
        </w:numPr>
        <w:rPr>
          <w:rFonts w:ascii="Arial" w:cs="Arial" w:eastAsia="Arial" w:hAnsi="Arial"/>
          <w:sz w:val="20"/>
          <w:szCs w:val="20"/>
          <w:color w:val="auto"/>
        </w:rPr>
      </w:pPr>
      <w:r>
        <w:rPr>
          <w:rFonts w:ascii="Arial" w:cs="Arial" w:eastAsia="Arial" w:hAnsi="Arial"/>
          <w:sz w:val="20"/>
          <w:szCs w:val="20"/>
          <w:color w:val="auto"/>
        </w:rPr>
        <w:t>WAIVER OF VENUE. EACH OF THE PARTIES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2" w:lineRule="exact"/>
        <w:rPr>
          <w:rFonts w:ascii="Arial" w:cs="Arial" w:eastAsia="Arial" w:hAnsi="Arial"/>
          <w:sz w:val="20"/>
          <w:szCs w:val="20"/>
          <w:color w:val="auto"/>
        </w:rPr>
      </w:pPr>
    </w:p>
    <w:p>
      <w:pPr>
        <w:jc w:val="both"/>
        <w:ind w:firstLine="1505"/>
        <w:spacing w:after="0" w:line="269" w:lineRule="auto"/>
        <w:tabs>
          <w:tab w:leader="none" w:pos="1993"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SERVICE OF PROCESS. EACH PARTY HERETO IRREVOCABLY CONSENTS TO SERVICE OF PROCESS IN THE MANNER PROVIDED FOR NOTICES IN </w:t>
      </w:r>
      <w:r>
        <w:rPr>
          <w:rFonts w:ascii="Arial" w:cs="Arial" w:eastAsia="Arial" w:hAnsi="Arial"/>
          <w:sz w:val="19"/>
          <w:szCs w:val="19"/>
          <w:u w:val="single" w:color="auto"/>
          <w:color w:val="auto"/>
        </w:rPr>
        <w:t>SECTION 10.02</w:t>
      </w:r>
      <w:r>
        <w:rPr>
          <w:rFonts w:ascii="Arial" w:cs="Arial" w:eastAsia="Arial" w:hAnsi="Arial"/>
          <w:sz w:val="19"/>
          <w:szCs w:val="19"/>
          <w:color w:val="auto"/>
        </w:rPr>
        <w:t>. NOTHING IN THIS AGREEMENT WILL AFFECT THE RIGHT OF ANY PARTY HERETO TO SERVE PROCESS IN ANY OTHER MANNER PERMITTED BY APPLICABLE LAW.</w:t>
      </w:r>
    </w:p>
    <w:p>
      <w:pPr>
        <w:spacing w:after="0" w:line="17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9"/>
          <w:szCs w:val="19"/>
          <w:color w:val="010000"/>
        </w:rPr>
        <w:t xml:space="preserve">10.15 </w:t>
      </w:r>
      <w:r>
        <w:rPr>
          <w:rFonts w:ascii="Arial" w:cs="Arial" w:eastAsia="Arial" w:hAnsi="Arial"/>
          <w:sz w:val="19"/>
          <w:szCs w:val="19"/>
          <w:color w:val="000000"/>
        </w:rPr>
        <w:t>Waiver of Jury Trial. EACH PARTY HERETO HEREBY IRREVOCABLY WAIVES, TO THE FULLEST EXTENT</w:t>
      </w:r>
      <w:r>
        <w:rPr>
          <w:rFonts w:ascii="Arial" w:cs="Arial" w:eastAsia="Arial" w:hAnsi="Arial"/>
          <w:sz w:val="19"/>
          <w:szCs w:val="19"/>
          <w:color w:val="010000"/>
        </w:rPr>
        <w:t xml:space="preserve"> </w:t>
      </w:r>
      <w:r>
        <w:rPr>
          <w:rFonts w:ascii="Arial" w:cs="Arial" w:eastAsia="Arial" w:hAnsi="Arial"/>
          <w:sz w:val="19"/>
          <w:szCs w:val="19"/>
          <w:color w:val="000000"/>
        </w:rPr>
        <w:t>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93" w:name="page194"/>
    <w:bookmarkEnd w:id="193"/>
    <w:p>
      <w:pPr>
        <w:jc w:val="both"/>
        <w:spacing w:after="0" w:line="260" w:lineRule="auto"/>
        <w:rPr>
          <w:sz w:val="20"/>
          <w:szCs w:val="20"/>
          <w:color w:val="auto"/>
        </w:rPr>
      </w:pPr>
      <w:r>
        <w:rPr>
          <w:rFonts w:ascii="Arial" w:cs="Arial" w:eastAsia="Arial" w:hAnsi="Arial"/>
          <w:sz w:val="20"/>
          <w:szCs w:val="20"/>
          <w:color w:val="auto"/>
        </w:rPr>
        <w:t>IT AND THE OTHER PARTIES HERETO HAVE BEEN INDUCED TO ENTER INTO THIS AGREEMENT AND THE OTHER LOAN DOCUMENTS BY, AMONG OTHER THINGS, THE MUTUAL WAIVERS AND CERTIFICATIONS IN THIS SECTION.</w:t>
      </w:r>
    </w:p>
    <w:p>
      <w:pPr>
        <w:spacing w:after="0" w:line="177"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010000"/>
        </w:rPr>
        <w:t xml:space="preserve">10.16 </w:t>
      </w:r>
      <w:r>
        <w:rPr>
          <w:rFonts w:ascii="Arial" w:cs="Arial" w:eastAsia="Arial" w:hAnsi="Arial"/>
          <w:sz w:val="18"/>
          <w:szCs w:val="18"/>
          <w:color w:val="000000"/>
        </w:rPr>
        <w:t>No Advisory or Fiduciary Responsibility. In connection with all aspects of each transaction contemplated hereby</w:t>
      </w:r>
      <w:r>
        <w:rPr>
          <w:rFonts w:ascii="Arial" w:cs="Arial" w:eastAsia="Arial" w:hAnsi="Arial"/>
          <w:sz w:val="18"/>
          <w:szCs w:val="18"/>
          <w:color w:val="010000"/>
        </w:rPr>
        <w:t xml:space="preserve"> </w:t>
      </w:r>
      <w:r>
        <w:rPr>
          <w:rFonts w:ascii="Arial" w:cs="Arial" w:eastAsia="Arial" w:hAnsi="Arial"/>
          <w:sz w:val="18"/>
          <w:szCs w:val="18"/>
          <w:color w:val="000000"/>
        </w:rPr>
        <w:t>(including in connection with any amendment, waiver or other modification hereof or of any other Loan Document), each of the Company and the Parent acknowledges and agrees, and acknowledges its Affiliates’ understanding, that: (i) (A) the arranging and other services regarding this Agreement provided by the Agents and the Lenders are arm’s-length commercial transactions between the Parent, the Company and their respective Affiliates, on the one hand, and the Agents and the Lenders, on the other hand, (B) each of the Company and the Parent has consulted its own legal, accounting, regulatory and tax advisors to the extent it has deemed appropriate, and (C) each of the Company and the Parent is capable of evaluating, and understands and accepts, the terms, risks and conditions of the transactions contemplated hereby and by the other Loan Documents; (ii) (A) each of the Agents and the Lenders is and has been acting solely as a principal and, except as expressly agreed in writing by the relevant parties, has not been, is not, and will not be acting as an advisor, agent or fiduciary for the Company, the Parent or any of their respective Affiliates, or any other Person and (B) none of the Agents nor the Lenders has any obligation to the Company, the Parent or any of their respective Affiliates with respect to the transactions contemplated hereby except those obligations expressly set forth herein and in the other Loan Documents; and (iii) the Agents and the Lenders and their respective Affiliates may be engaged in a broad range of transactions that involve interests that differ from those of the Company, the Parent and their respective Affiliates, and none of the Agents nor the Lenders has any obligation to disclose any of such interests to the Company, the Parent or any of their respective Affiliates. To the fullest extent permitted by Law, each of the Company and the Parent hereby waives and releases any claims that it may have against each Agent and each Lender with respect to any breach or alleged breach of agency or fiduciary duty in connection with any aspect of any transaction contemplated hereby.</w:t>
      </w:r>
    </w:p>
    <w:p>
      <w:pPr>
        <w:spacing w:after="0" w:line="17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010000"/>
        </w:rPr>
        <w:t xml:space="preserve">10.17 </w:t>
      </w:r>
      <w:r>
        <w:rPr>
          <w:rFonts w:ascii="Arial" w:cs="Arial" w:eastAsia="Arial" w:hAnsi="Arial"/>
          <w:sz w:val="18"/>
          <w:szCs w:val="18"/>
          <w:color w:val="000000"/>
        </w:rPr>
        <w:t>Electronic Execution of Assignments and Certain Other Documents. The words “execution,” “signed,” “signature,” and</w:t>
      </w:r>
      <w:r>
        <w:rPr>
          <w:rFonts w:ascii="Arial" w:cs="Arial" w:eastAsia="Arial" w:hAnsi="Arial"/>
          <w:sz w:val="18"/>
          <w:szCs w:val="18"/>
          <w:color w:val="010000"/>
        </w:rPr>
        <w:t xml:space="preserve"> </w:t>
      </w:r>
      <w:r>
        <w:rPr>
          <w:rFonts w:ascii="Arial" w:cs="Arial" w:eastAsia="Arial" w:hAnsi="Arial"/>
          <w:sz w:val="18"/>
          <w:szCs w:val="18"/>
          <w:color w:val="000000"/>
        </w:rPr>
        <w:t>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010000"/>
        </w:rPr>
        <w:t xml:space="preserve">10.18 </w:t>
      </w:r>
      <w:r>
        <w:rPr>
          <w:rFonts w:ascii="Arial" w:cs="Arial" w:eastAsia="Arial" w:hAnsi="Arial"/>
          <w:sz w:val="19"/>
          <w:szCs w:val="19"/>
          <w:color w:val="000000"/>
        </w:rPr>
        <w:t>USA PATRIOT Act. Each Lender that is subject to the Act (as hereinafter defined) and the Administrative Agent (for</w:t>
      </w:r>
      <w:r>
        <w:rPr>
          <w:rFonts w:ascii="Arial" w:cs="Arial" w:eastAsia="Arial" w:hAnsi="Arial"/>
          <w:sz w:val="19"/>
          <w:szCs w:val="19"/>
          <w:color w:val="010000"/>
        </w:rPr>
        <w:t xml:space="preserve"> </w:t>
      </w:r>
      <w:r>
        <w:rPr>
          <w:rFonts w:ascii="Arial" w:cs="Arial" w:eastAsia="Arial" w:hAnsi="Arial"/>
          <w:sz w:val="19"/>
          <w:szCs w:val="19"/>
          <w:color w:val="000000"/>
        </w:rPr>
        <w:t>itself and not on behalf of any Lender) hereby notifies each Borrower, the Parent and each Guarantor that pursuant to the requirements of the USA PATRIOT Act (Title III of Pub. L. 107-56 (signed into law October 26, 2001)) (the “</w:t>
      </w:r>
      <w:r>
        <w:rPr>
          <w:rFonts w:ascii="Arial" w:cs="Arial" w:eastAsia="Arial" w:hAnsi="Arial"/>
          <w:sz w:val="19"/>
          <w:szCs w:val="19"/>
          <w:u w:val="single" w:color="auto"/>
          <w:color w:val="000000"/>
        </w:rPr>
        <w:t>USA Patriot Act</w:t>
      </w:r>
      <w:r>
        <w:rPr>
          <w:rFonts w:ascii="Arial" w:cs="Arial" w:eastAsia="Arial" w:hAnsi="Arial"/>
          <w:sz w:val="19"/>
          <w:szCs w:val="19"/>
          <w:color w:val="000000"/>
        </w:rPr>
        <w:t>”), it is required to obtain, verify and record information that identifies each Borrower, the Parent and each Guarantor, which information includes the name and address of each Borrower, the Parent and each Guarantor, and other information that will allow such Lender or the Administrative Agent, as applicable, to identify each Borrower, the Parent or any Guarantor, as applicable, in accordance with the USA Patriot Act. Each of the Borrowers and the Parent and each Guarantor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 and the Beneficial Ownership Regulation.</w:t>
      </w:r>
    </w:p>
    <w:p>
      <w:pPr>
        <w:spacing w:after="0" w:line="19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010000"/>
        </w:rPr>
        <w:t xml:space="preserve">10.19 </w:t>
      </w:r>
      <w:r>
        <w:rPr>
          <w:rFonts w:ascii="Arial" w:cs="Arial" w:eastAsia="Arial" w:hAnsi="Arial"/>
          <w:sz w:val="20"/>
          <w:szCs w:val="20"/>
          <w:color w:val="000000"/>
        </w:rPr>
        <w:t>Judgment Currency. If, for the purposes of obtaining judgment in any court, it is necessary to convert a sum due</w:t>
      </w:r>
      <w:r>
        <w:rPr>
          <w:rFonts w:ascii="Arial" w:cs="Arial" w:eastAsia="Arial" w:hAnsi="Arial"/>
          <w:sz w:val="20"/>
          <w:szCs w:val="20"/>
          <w:color w:val="010000"/>
        </w:rPr>
        <w:t xml:space="preserve"> </w:t>
      </w:r>
      <w:r>
        <w:rPr>
          <w:rFonts w:ascii="Arial" w:cs="Arial" w:eastAsia="Arial" w:hAnsi="Arial"/>
          <w:sz w:val="20"/>
          <w:szCs w:val="20"/>
          <w:color w:val="000000"/>
        </w:rPr>
        <w:t>hereunder or any other Loan Document in one currency into another currency, the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94" w:name="page195"/>
    <w:bookmarkEnd w:id="194"/>
    <w:p>
      <w:pPr>
        <w:jc w:val="both"/>
        <w:spacing w:after="0" w:line="254" w:lineRule="auto"/>
        <w:rPr>
          <w:sz w:val="20"/>
          <w:szCs w:val="20"/>
          <w:color w:val="auto"/>
        </w:rPr>
      </w:pPr>
      <w:r>
        <w:rPr>
          <w:rFonts w:ascii="Arial" w:cs="Arial" w:eastAsia="Arial" w:hAnsi="Arial"/>
          <w:sz w:val="19"/>
          <w:szCs w:val="19"/>
          <w:color w:val="auto"/>
        </w:rPr>
        <w:t>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or any L/C Issuer hereunder or under the other Loan Documents shall, notwithstanding any judgment in a currency (the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other than that in which such sum is denominated in accordance with the applicable provisions of this Agreement (the “</w:t>
      </w:r>
      <w:r>
        <w:rPr>
          <w:rFonts w:ascii="Arial" w:cs="Arial" w:eastAsia="Arial" w:hAnsi="Arial"/>
          <w:sz w:val="19"/>
          <w:szCs w:val="19"/>
          <w:u w:val="single" w:color="auto"/>
          <w:color w:val="auto"/>
        </w:rPr>
        <w:t>Agreement Currency</w:t>
      </w:r>
      <w:r>
        <w:rPr>
          <w:rFonts w:ascii="Arial" w:cs="Arial" w:eastAsia="Arial" w:hAnsi="Arial"/>
          <w:sz w:val="19"/>
          <w:szCs w:val="19"/>
          <w:color w:val="auto"/>
        </w:rPr>
        <w:t>”), be discharged only to the extent that on the Business Day following receipt by the Administrative Agent, such Lender or such L/C Issuer, as the case may be, of any sum adjudged to be so due in the Judgment Currency, the Administrative Agent, such Lender or such L/C Issuer, as the case may be, may in accordance with normal banking procedures purchase the Agreement Currency with the Judgment Currency. If the amount of the Agreement Currency so purchased is less than the sum originally due to the Administrative Agent, any Lender or any L/C Issuer from the Borrowers in the Agreement Currency, each Borrower agrees, as a separate obligation and notwithstanding any such judgment, to indemnify the Administrative Agent, such Lender or such L/C Issuer, as the case may be, against such loss. If the amount of the Agreement Currency so purchased is greater than the sum originally due to the Administrative Agent, any Lender or any L/C Issuer in such currency, the Administrative Agent, such Lender or such L/C Issuer, as the case may be, agrees to return the amount of any excess to the relevant Borrower (or to any other Person who may be entitled thereto under applicable Law).</w:t>
      </w:r>
    </w:p>
    <w:p>
      <w:pPr>
        <w:spacing w:after="0" w:line="19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010000"/>
        </w:rPr>
        <w:t xml:space="preserve">10.20 </w:t>
      </w:r>
      <w:r>
        <w:rPr>
          <w:rFonts w:ascii="Arial" w:cs="Arial" w:eastAsia="Arial" w:hAnsi="Arial"/>
          <w:sz w:val="18"/>
          <w:szCs w:val="18"/>
          <w:color w:val="000000"/>
        </w:rPr>
        <w:t>Acknowledgement and Consent to Bail-In of Affected Financial Institutions. Notwithstanding anything to the contrary in</w:t>
      </w:r>
      <w:r>
        <w:rPr>
          <w:rFonts w:ascii="Arial" w:cs="Arial" w:eastAsia="Arial" w:hAnsi="Arial"/>
          <w:sz w:val="18"/>
          <w:szCs w:val="18"/>
          <w:color w:val="010000"/>
        </w:rPr>
        <w:t xml:space="preserve"> </w:t>
      </w:r>
      <w:r>
        <w:rPr>
          <w:rFonts w:ascii="Arial" w:cs="Arial" w:eastAsia="Arial" w:hAnsi="Arial"/>
          <w:sz w:val="18"/>
          <w:szCs w:val="18"/>
          <w:color w:val="000000"/>
        </w:rPr>
        <w:t>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61" w:lineRule="exact"/>
        <w:rPr>
          <w:sz w:val="20"/>
          <w:szCs w:val="20"/>
          <w:color w:val="auto"/>
        </w:rPr>
      </w:pPr>
    </w:p>
    <w:p>
      <w:pPr>
        <w:ind w:firstLine="1505"/>
        <w:spacing w:after="0" w:line="287" w:lineRule="auto"/>
        <w:tabs>
          <w:tab w:leader="none" w:pos="1994"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the applicable Resolution Authority to any such liabilities arising hereunder which may be payable to it by any party hereto that is an Affected Financial Institution; and</w:t>
      </w:r>
    </w:p>
    <w:p>
      <w:pPr>
        <w:spacing w:after="0" w:line="152" w:lineRule="exact"/>
        <w:rPr>
          <w:rFonts w:ascii="Arial" w:cs="Arial" w:eastAsia="Arial" w:hAnsi="Arial"/>
          <w:sz w:val="19"/>
          <w:szCs w:val="19"/>
          <w:color w:val="auto"/>
        </w:rPr>
      </w:pPr>
    </w:p>
    <w:p>
      <w:pPr>
        <w:ind w:left="1980" w:hanging="475"/>
        <w:spacing w:after="0"/>
        <w:tabs>
          <w:tab w:leader="none" w:pos="198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2740" w:hanging="486"/>
        <w:spacing w:after="0"/>
        <w:tabs>
          <w:tab w:leader="none" w:pos="2740" w:val="left"/>
        </w:tabs>
        <w:numPr>
          <w:ilvl w:val="1"/>
          <w:numId w:val="197"/>
        </w:numPr>
        <w:rPr>
          <w:rFonts w:ascii="Arial" w:cs="Arial" w:eastAsia="Arial" w:hAnsi="Arial"/>
          <w:sz w:val="20"/>
          <w:szCs w:val="20"/>
          <w:color w:val="010000"/>
        </w:rPr>
      </w:pPr>
      <w:r>
        <w:rPr>
          <w:rFonts w:ascii="Arial" w:cs="Arial" w:eastAsia="Arial" w:hAnsi="Arial"/>
          <w:sz w:val="20"/>
          <w:szCs w:val="20"/>
          <w:color w:val="auto"/>
        </w:rPr>
        <w:t>the a reduction in full or in part or cancellation of any such liability;</w:t>
      </w:r>
    </w:p>
    <w:p>
      <w:pPr>
        <w:spacing w:after="0" w:line="215" w:lineRule="exact"/>
        <w:rPr>
          <w:rFonts w:ascii="Arial" w:cs="Arial" w:eastAsia="Arial" w:hAnsi="Arial"/>
          <w:sz w:val="20"/>
          <w:szCs w:val="20"/>
          <w:color w:val="010000"/>
        </w:rPr>
      </w:pPr>
    </w:p>
    <w:p>
      <w:pPr>
        <w:jc w:val="both"/>
        <w:ind w:left="760" w:firstLine="1494"/>
        <w:spacing w:after="0" w:line="246" w:lineRule="auto"/>
        <w:tabs>
          <w:tab w:leader="none" w:pos="2761" w:val="left"/>
        </w:tabs>
        <w:numPr>
          <w:ilvl w:val="1"/>
          <w:numId w:val="197"/>
        </w:numPr>
        <w:rPr>
          <w:rFonts w:ascii="Arial" w:cs="Arial" w:eastAsia="Arial" w:hAnsi="Arial"/>
          <w:sz w:val="20"/>
          <w:szCs w:val="20"/>
          <w:color w:val="010000"/>
        </w:rPr>
      </w:pPr>
      <w:r>
        <w:rPr>
          <w:rFonts w:ascii="Arial" w:cs="Arial" w:eastAsia="Arial" w:hAnsi="Arial"/>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010000"/>
        </w:rPr>
      </w:pPr>
    </w:p>
    <w:p>
      <w:pPr>
        <w:ind w:left="760" w:firstLine="1494"/>
        <w:spacing w:after="0" w:line="260" w:lineRule="auto"/>
        <w:tabs>
          <w:tab w:leader="none" w:pos="2788" w:val="left"/>
        </w:tabs>
        <w:numPr>
          <w:ilvl w:val="1"/>
          <w:numId w:val="197"/>
        </w:numPr>
        <w:rPr>
          <w:rFonts w:ascii="Arial" w:cs="Arial" w:eastAsia="Arial" w:hAnsi="Arial"/>
          <w:sz w:val="20"/>
          <w:szCs w:val="20"/>
          <w:color w:val="010000"/>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010000"/>
        </w:rPr>
        <w:t xml:space="preserve">10.21 </w:t>
      </w:r>
      <w:r>
        <w:rPr>
          <w:rFonts w:ascii="Arial" w:cs="Arial" w:eastAsia="Arial" w:hAnsi="Arial"/>
          <w:sz w:val="20"/>
          <w:szCs w:val="20"/>
          <w:color w:val="000000"/>
        </w:rPr>
        <w:t>Power of Attorney</w:t>
      </w:r>
      <w:r>
        <w:rPr>
          <w:rFonts w:ascii="Arial" w:cs="Arial" w:eastAsia="Arial" w:hAnsi="Arial"/>
          <w:sz w:val="20"/>
          <w:szCs w:val="20"/>
          <w:u w:val="single" w:color="auto"/>
          <w:color w:val="000000"/>
        </w:rPr>
        <w:t>. If a party is represented by one or more attorneys in connection with the execution of this Agreement</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or any other Loan Document, and the relevant power of attorney is expressed to be governed by the laws of the Netherlands or any other law, that choice of law is hereby accepted by each other party to this Agreement, in accordance with Article 14 of the Hague Convention on the Law Applicable to Agency of 14 March 1978.</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pages 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20"/>
          <w:szCs w:val="20"/>
          <w:b w:val="1"/>
          <w:bCs w:val="1"/>
          <w:color w:val="auto"/>
        </w:rPr>
        <w:t>Annex B</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A-1</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COMMITTED LOAN BORROWING REQUEST]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COMMITTED LOAN BORROWING REQUEST</w:t>
      </w:r>
    </w:p>
    <w:p>
      <w:pPr>
        <w:spacing w:after="0" w:line="200" w:lineRule="exact"/>
        <w:rPr>
          <w:sz w:val="20"/>
          <w:szCs w:val="20"/>
          <w:color w:val="auto"/>
        </w:rPr>
      </w:pPr>
    </w:p>
    <w:p>
      <w:pPr>
        <w:spacing w:after="0" w:line="230" w:lineRule="exact"/>
        <w:rPr>
          <w:sz w:val="20"/>
          <w:szCs w:val="20"/>
          <w:color w:val="auto"/>
        </w:rPr>
      </w:pPr>
    </w:p>
    <w:p>
      <w:pPr>
        <w:ind w:left="9500"/>
        <w:spacing w:after="0"/>
        <w:rPr>
          <w:sz w:val="20"/>
          <w:szCs w:val="20"/>
          <w:color w:val="auto"/>
        </w:rPr>
      </w:pPr>
      <w:r>
        <w:rPr>
          <w:rFonts w:ascii="Arial" w:cs="Arial" w:eastAsia="Arial" w:hAnsi="Arial"/>
          <w:sz w:val="17"/>
          <w:szCs w:val="17"/>
          <w:color w:val="auto"/>
        </w:rPr>
        <w:t>Date: ________, ____</w:t>
      </w:r>
    </w:p>
    <w:p>
      <w:pPr>
        <w:sectPr>
          <w:pgSz w:w="11900" w:h="16838" w:orient="portrait"/>
          <w:cols w:equalWidth="0" w:num="1">
            <w:col w:w="11240"/>
          </w:cols>
          <w:pgMar w:left="320" w:top="346" w:right="33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Barclays Bank PLC,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as Administrative Agent</w:t>
      </w:r>
    </w:p>
    <w:p>
      <w:pPr>
        <w:spacing w:after="0" w:line="29" w:lineRule="exact"/>
        <w:rPr>
          <w:sz w:val="20"/>
          <w:szCs w:val="20"/>
          <w:color w:val="auto"/>
        </w:rPr>
      </w:pPr>
    </w:p>
    <w:p>
      <w:pPr>
        <w:sectPr>
          <w:pgSz w:w="11900" w:h="16838" w:orient="portrait"/>
          <w:cols w:equalWidth="0" w:num="2">
            <w:col w:w="260" w:space="500"/>
            <w:col w:w="10480"/>
          </w:cols>
          <w:pgMar w:left="320" w:top="346" w:right="339" w:bottom="1440" w:gutter="0" w:footer="0" w:header="0"/>
          <w:type w:val="continuous"/>
        </w:sectPr>
      </w:pPr>
    </w:p>
    <w:p>
      <w:pPr>
        <w:ind w:left="760" w:right="8520" w:hanging="3"/>
        <w:spacing w:after="0" w:line="263" w:lineRule="auto"/>
        <w:tabs>
          <w:tab w:leader="none" w:pos="1091" w:val="left"/>
        </w:tabs>
        <w:numPr>
          <w:ilvl w:val="1"/>
          <w:numId w:val="198"/>
        </w:numPr>
        <w:rPr>
          <w:rFonts w:ascii="Arial" w:cs="Arial" w:eastAsia="Arial" w:hAnsi="Arial"/>
          <w:sz w:val="17"/>
          <w:szCs w:val="17"/>
          <w:color w:val="auto"/>
        </w:rPr>
      </w:pPr>
      <w:r>
        <w:rPr>
          <w:rFonts w:ascii="Arial" w:cs="Arial" w:eastAsia="Arial" w:hAnsi="Arial"/>
          <w:sz w:val="17"/>
          <w:szCs w:val="17"/>
          <w:color w:val="auto"/>
        </w:rPr>
        <w:t>Seventh Avenue New York, NY 10019 Attention: Nick Sibayan Facsimile: 212-526-5115 Telephone: 212-526-9531</w:t>
      </w:r>
    </w:p>
    <w:p>
      <w:pPr>
        <w:ind w:left="760"/>
        <w:spacing w:after="0"/>
        <w:rPr>
          <w:rFonts w:ascii="Arial" w:cs="Arial" w:eastAsia="Arial" w:hAnsi="Arial"/>
          <w:sz w:val="17"/>
          <w:szCs w:val="17"/>
          <w:color w:val="auto"/>
        </w:rPr>
      </w:pPr>
      <w:r>
        <w:rPr>
          <w:rFonts w:ascii="Arial" w:cs="Arial" w:eastAsia="Arial" w:hAnsi="Arial"/>
          <w:sz w:val="19"/>
          <w:szCs w:val="19"/>
          <w:color w:val="auto"/>
        </w:rPr>
        <w:t>Email: Nicholas.sibayan@barclays.com</w:t>
      </w:r>
    </w:p>
    <w:p>
      <w:pPr>
        <w:spacing w:after="0" w:line="197" w:lineRule="exact"/>
        <w:rPr>
          <w:rFonts w:ascii="Arial" w:cs="Arial" w:eastAsia="Arial" w:hAnsi="Arial"/>
          <w:sz w:val="17"/>
          <w:szCs w:val="17"/>
          <w:color w:val="auto"/>
        </w:rPr>
      </w:pPr>
    </w:p>
    <w:p>
      <w:pPr>
        <w:ind w:left="380" w:hanging="372"/>
        <w:spacing w:after="0"/>
        <w:tabs>
          <w:tab w:leader="none" w:pos="38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Barclays Bank PLC</w:t>
      </w:r>
    </w:p>
    <w:p>
      <w:pPr>
        <w:spacing w:after="0" w:line="13" w:lineRule="exact"/>
        <w:rPr>
          <w:rFonts w:ascii="Arial" w:cs="Arial" w:eastAsia="Arial" w:hAnsi="Arial"/>
          <w:sz w:val="19"/>
          <w:szCs w:val="19"/>
          <w:color w:val="auto"/>
        </w:rPr>
      </w:pPr>
    </w:p>
    <w:p>
      <w:pPr>
        <w:ind w:left="1080" w:hanging="323"/>
        <w:spacing w:after="0" w:line="237" w:lineRule="auto"/>
        <w:tabs>
          <w:tab w:leader="none" w:pos="1080" w:val="left"/>
        </w:tabs>
        <w:numPr>
          <w:ilvl w:val="1"/>
          <w:numId w:val="199"/>
        </w:numPr>
        <w:rPr>
          <w:rFonts w:ascii="Arial" w:cs="Arial" w:eastAsia="Arial" w:hAnsi="Arial"/>
          <w:sz w:val="19"/>
          <w:szCs w:val="19"/>
          <w:color w:val="auto"/>
        </w:rPr>
      </w:pPr>
      <w:r>
        <w:rPr>
          <w:rFonts w:ascii="Arial" w:cs="Arial" w:eastAsia="Arial" w:hAnsi="Arial"/>
          <w:sz w:val="19"/>
          <w:szCs w:val="19"/>
          <w:color w:val="auto"/>
        </w:rPr>
        <w:t>Jefferson Park</w:t>
      </w:r>
    </w:p>
    <w:p>
      <w:pPr>
        <w:ind w:left="760"/>
        <w:spacing w:after="0" w:line="237" w:lineRule="auto"/>
        <w:rPr>
          <w:sz w:val="20"/>
          <w:szCs w:val="20"/>
          <w:color w:val="auto"/>
        </w:rPr>
      </w:pPr>
      <w:r>
        <w:rPr>
          <w:rFonts w:ascii="Arial" w:cs="Arial" w:eastAsia="Arial" w:hAnsi="Arial"/>
          <w:sz w:val="19"/>
          <w:szCs w:val="19"/>
          <w:color w:val="auto"/>
        </w:rPr>
        <w:t>Whippany, NJ 07981</w:t>
      </w:r>
    </w:p>
    <w:p>
      <w:pPr>
        <w:ind w:left="760"/>
        <w:spacing w:after="0" w:line="237" w:lineRule="auto"/>
        <w:rPr>
          <w:sz w:val="20"/>
          <w:szCs w:val="20"/>
          <w:color w:val="auto"/>
        </w:rPr>
      </w:pPr>
      <w:r>
        <w:rPr>
          <w:rFonts w:ascii="Arial" w:cs="Arial" w:eastAsia="Arial" w:hAnsi="Arial"/>
          <w:sz w:val="19"/>
          <w:szCs w:val="19"/>
          <w:color w:val="auto"/>
        </w:rPr>
        <w:t>Attention: Jenny Lim</w:t>
      </w:r>
    </w:p>
    <w:p>
      <w:pPr>
        <w:ind w:left="760"/>
        <w:spacing w:after="0" w:line="238" w:lineRule="auto"/>
        <w:rPr>
          <w:sz w:val="20"/>
          <w:szCs w:val="20"/>
          <w:color w:val="auto"/>
        </w:rPr>
      </w:pPr>
      <w:r>
        <w:rPr>
          <w:rFonts w:ascii="Arial" w:cs="Arial" w:eastAsia="Arial" w:hAnsi="Arial"/>
          <w:sz w:val="19"/>
          <w:szCs w:val="19"/>
          <w:color w:val="auto"/>
        </w:rPr>
        <w:t>Facsimile: 917-522-0569</w:t>
      </w:r>
    </w:p>
    <w:p>
      <w:pPr>
        <w:ind w:left="760"/>
        <w:spacing w:after="0" w:line="237" w:lineRule="auto"/>
        <w:rPr>
          <w:sz w:val="20"/>
          <w:szCs w:val="20"/>
          <w:color w:val="auto"/>
        </w:rPr>
      </w:pPr>
      <w:r>
        <w:rPr>
          <w:rFonts w:ascii="Arial" w:cs="Arial" w:eastAsia="Arial" w:hAnsi="Arial"/>
          <w:sz w:val="19"/>
          <w:szCs w:val="19"/>
          <w:color w:val="auto"/>
        </w:rPr>
        <w:t>Telephone: 201-499-3438</w:t>
      </w:r>
    </w:p>
    <w:p>
      <w:pPr>
        <w:ind w:left="760"/>
        <w:spacing w:after="0"/>
        <w:rPr>
          <w:sz w:val="20"/>
          <w:szCs w:val="20"/>
          <w:color w:val="auto"/>
        </w:rPr>
      </w:pPr>
      <w:r>
        <w:rPr>
          <w:rFonts w:ascii="Arial" w:cs="Arial" w:eastAsia="Arial" w:hAnsi="Arial"/>
          <w:sz w:val="19"/>
          <w:szCs w:val="19"/>
          <w:color w:val="auto"/>
        </w:rPr>
        <w:t>Email: Jennifer.lim@barclays.com / 12145455230@TLS.LDSPROD.com</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14"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18"/>
          <w:szCs w:val="18"/>
          <w:color w:val="auto"/>
        </w:rPr>
        <w:t xml:space="preserve">Reference is made to that certain Second Amended and Restated Credit Agreement dated as of October 6, 2021 (as the same may be amended, restated, amended and restated, extended, supplemented or otherwise modified in writing from time to time in accordance with its terms, the “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Trinity Acquisition plc, a company formed under the laws of England and Wales having company number 03588435 (the “</w:t>
      </w:r>
      <w:r>
        <w:rPr>
          <w:rFonts w:ascii="Arial" w:cs="Arial" w:eastAsia="Arial" w:hAnsi="Arial"/>
          <w:sz w:val="18"/>
          <w:szCs w:val="18"/>
          <w:u w:val="single" w:color="auto"/>
          <w:color w:val="auto"/>
        </w:rPr>
        <w:t>Company</w:t>
      </w:r>
      <w:r>
        <w:rPr>
          <w:rFonts w:ascii="Arial" w:cs="Arial" w:eastAsia="Arial" w:hAnsi="Arial"/>
          <w:sz w:val="18"/>
          <w:szCs w:val="18"/>
          <w:color w:val="auto"/>
        </w:rPr>
        <w:t>”), the Designated Borrowers party thereto (together with the Company, each a “</w:t>
      </w:r>
      <w:r>
        <w:rPr>
          <w:rFonts w:ascii="Arial" w:cs="Arial" w:eastAsia="Arial" w:hAnsi="Arial"/>
          <w:sz w:val="18"/>
          <w:szCs w:val="18"/>
          <w:u w:val="single" w:color="auto"/>
          <w:color w:val="auto"/>
        </w:rPr>
        <w:t>Borrower</w:t>
      </w:r>
      <w:r>
        <w:rPr>
          <w:rFonts w:ascii="Arial" w:cs="Arial" w:eastAsia="Arial" w:hAnsi="Arial"/>
          <w:sz w:val="18"/>
          <w:szCs w:val="18"/>
          <w:color w:val="auto"/>
        </w:rPr>
        <w:t>”), Willis Towers Watson Public Limited Company, a company incorporated under the laws of Ireland having company number 475616 (the “</w:t>
      </w:r>
      <w:r>
        <w:rPr>
          <w:rFonts w:ascii="Arial" w:cs="Arial" w:eastAsia="Arial" w:hAnsi="Arial"/>
          <w:sz w:val="18"/>
          <w:szCs w:val="18"/>
          <w:u w:val="single" w:color="auto"/>
          <w:color w:val="auto"/>
        </w:rPr>
        <w:t>Parent</w:t>
      </w:r>
      <w:r>
        <w:rPr>
          <w:rFonts w:ascii="Arial" w:cs="Arial" w:eastAsia="Arial" w:hAnsi="Arial"/>
          <w:sz w:val="18"/>
          <w:szCs w:val="18"/>
          <w:color w:val="auto"/>
        </w:rPr>
        <w:t>”), each lender from time to time party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Barclays Bank PLC, as Administrative Agent, and the other parties thereto.</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[___], a Borrower hereby requests a:</w:t>
      </w:r>
    </w:p>
    <w:p>
      <w:pPr>
        <w:spacing w:after="0" w:line="214" w:lineRule="exact"/>
        <w:rPr>
          <w:sz w:val="20"/>
          <w:szCs w:val="20"/>
          <w:color w:val="auto"/>
        </w:rPr>
      </w:pPr>
    </w:p>
    <w:p>
      <w:pPr>
        <w:ind w:left="2260" w:hanging="754"/>
        <w:spacing w:after="0"/>
        <w:tabs>
          <w:tab w:leader="none" w:pos="226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Select one:</w:t>
      </w:r>
    </w:p>
    <w:p>
      <w:pPr>
        <w:spacing w:after="0" w:line="214" w:lineRule="exact"/>
        <w:rPr>
          <w:sz w:val="20"/>
          <w:szCs w:val="20"/>
          <w:color w:val="auto"/>
        </w:rPr>
      </w:pPr>
    </w:p>
    <w:tbl>
      <w:tblPr>
        <w:tblLayout w:type="fixed"/>
        <w:tblInd w:w="1500" w:type="dxa"/>
        <w:tblCellMar>
          <w:top w:w="0" w:type="dxa"/>
          <w:left w:w="0" w:type="dxa"/>
          <w:bottom w:w="0" w:type="dxa"/>
          <w:right w:w="0" w:type="dxa"/>
        </w:tblCellMar>
      </w:tblPr>
      <w:tr>
        <w:trPr>
          <w:trHeight w:val="240"/>
        </w:trPr>
        <w:tc>
          <w:tcPr>
            <w:tcW w:w="480" w:type="dxa"/>
            <w:vAlign w:val="bottom"/>
          </w:tcPr>
          <w:p>
            <w:pPr>
              <w:spacing w:after="0"/>
              <w:rPr>
                <w:sz w:val="20"/>
                <w:szCs w:val="20"/>
                <w:color w:val="auto"/>
              </w:rPr>
            </w:pPr>
          </w:p>
        </w:tc>
        <w:tc>
          <w:tcPr>
            <w:tcW w:w="1980" w:type="dxa"/>
            <w:vAlign w:val="bottom"/>
          </w:tcPr>
          <w:p>
            <w:pPr>
              <w:ind w:left="320"/>
              <w:spacing w:after="0"/>
              <w:rPr>
                <w:sz w:val="20"/>
                <w:szCs w:val="20"/>
                <w:color w:val="auto"/>
              </w:rPr>
            </w:pPr>
            <w:r>
              <w:rPr>
                <w:rFonts w:ascii="Arial" w:cs="Arial" w:eastAsia="Arial" w:hAnsi="Arial"/>
                <w:sz w:val="19"/>
                <w:szCs w:val="19"/>
                <w:color w:val="auto"/>
              </w:rPr>
              <w:t>FORMCHECKBOX</w:t>
            </w:r>
          </w:p>
        </w:tc>
        <w:tc>
          <w:tcPr>
            <w:tcW w:w="7280" w:type="dxa"/>
            <w:vAlign w:val="bottom"/>
          </w:tcPr>
          <w:p>
            <w:pPr>
              <w:ind w:left="100"/>
              <w:spacing w:after="0"/>
              <w:rPr>
                <w:sz w:val="20"/>
                <w:szCs w:val="20"/>
                <w:color w:val="auto"/>
              </w:rPr>
            </w:pPr>
            <w:r>
              <w:rPr>
                <w:rFonts w:ascii="Arial" w:cs="Arial" w:eastAsia="Arial" w:hAnsi="Arial"/>
                <w:sz w:val="19"/>
                <w:szCs w:val="19"/>
                <w:color w:val="auto"/>
              </w:rPr>
              <w:t>Committed Borrowing</w:t>
            </w:r>
          </w:p>
        </w:tc>
      </w:tr>
      <w:tr>
        <w:trPr>
          <w:trHeight w:val="432"/>
        </w:trPr>
        <w:tc>
          <w:tcPr>
            <w:tcW w:w="480" w:type="dxa"/>
            <w:vAlign w:val="bottom"/>
          </w:tcPr>
          <w:p>
            <w:pPr>
              <w:spacing w:after="0"/>
              <w:rPr>
                <w:sz w:val="24"/>
                <w:szCs w:val="24"/>
                <w:color w:val="auto"/>
              </w:rPr>
            </w:pPr>
          </w:p>
        </w:tc>
        <w:tc>
          <w:tcPr>
            <w:tcW w:w="1980" w:type="dxa"/>
            <w:vAlign w:val="bottom"/>
          </w:tcPr>
          <w:p>
            <w:pPr>
              <w:ind w:left="320"/>
              <w:spacing w:after="0"/>
              <w:rPr>
                <w:sz w:val="20"/>
                <w:szCs w:val="20"/>
                <w:color w:val="auto"/>
              </w:rPr>
            </w:pPr>
            <w:r>
              <w:rPr>
                <w:rFonts w:ascii="Arial" w:cs="Arial" w:eastAsia="Arial" w:hAnsi="Arial"/>
                <w:sz w:val="19"/>
                <w:szCs w:val="19"/>
                <w:color w:val="auto"/>
              </w:rPr>
              <w:t>FORMCHECKBOX</w:t>
            </w:r>
          </w:p>
        </w:tc>
        <w:tc>
          <w:tcPr>
            <w:tcW w:w="7280" w:type="dxa"/>
            <w:vAlign w:val="bottom"/>
          </w:tcPr>
          <w:p>
            <w:pPr>
              <w:ind w:left="100"/>
              <w:spacing w:after="0"/>
              <w:rPr>
                <w:sz w:val="20"/>
                <w:szCs w:val="20"/>
                <w:color w:val="auto"/>
              </w:rPr>
            </w:pPr>
            <w:r>
              <w:rPr>
                <w:rFonts w:ascii="Arial" w:cs="Arial" w:eastAsia="Arial" w:hAnsi="Arial"/>
                <w:sz w:val="19"/>
                <w:szCs w:val="19"/>
                <w:color w:val="auto"/>
              </w:rPr>
              <w:t>Conversion or continuation of Committed Loans</w:t>
            </w:r>
          </w:p>
        </w:tc>
      </w:tr>
      <w:tr>
        <w:trPr>
          <w:trHeight w:val="432"/>
        </w:trPr>
        <w:tc>
          <w:tcPr>
            <w:tcW w:w="480" w:type="dxa"/>
            <w:vAlign w:val="bottom"/>
          </w:tcPr>
          <w:p>
            <w:pPr>
              <w:jc w:val="right"/>
              <w:ind w:right="166"/>
              <w:spacing w:after="0"/>
              <w:rPr>
                <w:sz w:val="20"/>
                <w:szCs w:val="20"/>
                <w:color w:val="auto"/>
              </w:rPr>
            </w:pPr>
            <w:r>
              <w:rPr>
                <w:rFonts w:ascii="Arial" w:cs="Arial" w:eastAsia="Arial" w:hAnsi="Arial"/>
                <w:sz w:val="19"/>
                <w:szCs w:val="19"/>
                <w:color w:val="auto"/>
                <w:w w:val="94"/>
              </w:rPr>
              <w:t>[2.</w:t>
            </w:r>
          </w:p>
        </w:tc>
        <w:tc>
          <w:tcPr>
            <w:tcW w:w="1980" w:type="dxa"/>
            <w:vAlign w:val="bottom"/>
          </w:tcPr>
          <w:p>
            <w:pPr>
              <w:ind w:left="280"/>
              <w:spacing w:after="0"/>
              <w:rPr>
                <w:sz w:val="20"/>
                <w:szCs w:val="20"/>
                <w:color w:val="auto"/>
              </w:rPr>
            </w:pPr>
            <w:r>
              <w:rPr>
                <w:rFonts w:ascii="Arial" w:cs="Arial" w:eastAsia="Arial" w:hAnsi="Arial"/>
                <w:sz w:val="19"/>
                <w:szCs w:val="19"/>
                <w:color w:val="auto"/>
              </w:rPr>
              <w:t>Select One:</w:t>
            </w:r>
          </w:p>
        </w:tc>
        <w:tc>
          <w:tcPr>
            <w:tcW w:w="7280" w:type="dxa"/>
            <w:vAlign w:val="bottom"/>
          </w:tcPr>
          <w:p>
            <w:pPr>
              <w:spacing w:after="0"/>
              <w:rPr>
                <w:sz w:val="24"/>
                <w:szCs w:val="24"/>
                <w:color w:val="auto"/>
              </w:rPr>
            </w:pPr>
          </w:p>
        </w:tc>
      </w:tr>
      <w:tr>
        <w:trPr>
          <w:trHeight w:val="424"/>
        </w:trPr>
        <w:tc>
          <w:tcPr>
            <w:tcW w:w="480" w:type="dxa"/>
            <w:vAlign w:val="bottom"/>
          </w:tcPr>
          <w:p>
            <w:pPr>
              <w:spacing w:after="0"/>
              <w:rPr>
                <w:sz w:val="24"/>
                <w:szCs w:val="24"/>
                <w:color w:val="auto"/>
              </w:rPr>
            </w:pPr>
          </w:p>
        </w:tc>
        <w:tc>
          <w:tcPr>
            <w:tcW w:w="1980" w:type="dxa"/>
            <w:vAlign w:val="bottom"/>
          </w:tcPr>
          <w:p>
            <w:pPr>
              <w:ind w:left="320"/>
              <w:spacing w:after="0"/>
              <w:rPr>
                <w:sz w:val="20"/>
                <w:szCs w:val="20"/>
                <w:color w:val="auto"/>
              </w:rPr>
            </w:pPr>
            <w:r>
              <w:rPr>
                <w:rFonts w:ascii="Arial" w:cs="Arial" w:eastAsia="Arial" w:hAnsi="Arial"/>
                <w:sz w:val="19"/>
                <w:szCs w:val="19"/>
                <w:color w:val="auto"/>
              </w:rPr>
              <w:t>FORMCHECKBOX</w:t>
            </w:r>
          </w:p>
        </w:tc>
        <w:tc>
          <w:tcPr>
            <w:tcW w:w="7280" w:type="dxa"/>
            <w:vAlign w:val="bottom"/>
          </w:tcPr>
          <w:p>
            <w:pPr>
              <w:ind w:left="60"/>
              <w:spacing w:after="0"/>
              <w:rPr>
                <w:sz w:val="20"/>
                <w:szCs w:val="20"/>
                <w:color w:val="auto"/>
              </w:rPr>
            </w:pPr>
            <w:r>
              <w:rPr>
                <w:rFonts w:ascii="Arial" w:cs="Arial" w:eastAsia="Arial" w:hAnsi="Arial"/>
                <w:sz w:val="19"/>
                <w:szCs w:val="19"/>
                <w:color w:val="auto"/>
                <w:w w:val="91"/>
              </w:rPr>
              <w:t>If such Committed Borrowing consists of Term Benchmark Loans, such Committed Borrowing</w:t>
            </w:r>
          </w:p>
        </w:tc>
      </w:tr>
    </w:tbl>
    <w:p>
      <w:pPr>
        <w:ind w:left="2260"/>
        <w:spacing w:after="0"/>
        <w:rPr>
          <w:sz w:val="20"/>
          <w:szCs w:val="20"/>
          <w:color w:val="auto"/>
        </w:rPr>
      </w:pPr>
      <w:r>
        <w:rPr>
          <w:rFonts w:ascii="Arial" w:cs="Arial" w:eastAsia="Arial" w:hAnsi="Arial"/>
          <w:sz w:val="19"/>
          <w:szCs w:val="19"/>
          <w:color w:val="auto"/>
        </w:rPr>
        <w:t>shall continue to consist of a Term Benchmark Loans having an Interest Period of [__]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type w:val="continuous"/>
        </w:sectPr>
      </w:pPr>
    </w:p>
    <w:bookmarkStart w:id="196" w:name="page197"/>
    <w:bookmarkEnd w:id="196"/>
    <w:tbl>
      <w:tblPr>
        <w:tblLayout w:type="fixed"/>
        <w:tblInd w:w="1500" w:type="dxa"/>
        <w:tblCellMar>
          <w:top w:w="0" w:type="dxa"/>
          <w:left w:w="0" w:type="dxa"/>
          <w:bottom w:w="0" w:type="dxa"/>
          <w:right w:w="0" w:type="dxa"/>
        </w:tblCellMar>
      </w:tblPr>
      <w:tr>
        <w:trPr>
          <w:trHeight w:val="218"/>
        </w:trPr>
        <w:tc>
          <w:tcPr>
            <w:tcW w:w="480" w:type="dxa"/>
            <w:vAlign w:val="bottom"/>
          </w:tcPr>
          <w:p>
            <w:pPr>
              <w:spacing w:after="0"/>
              <w:rPr>
                <w:sz w:val="18"/>
                <w:szCs w:val="18"/>
                <w:color w:val="auto"/>
              </w:rPr>
            </w:pPr>
          </w:p>
        </w:tc>
        <w:tc>
          <w:tcPr>
            <w:tcW w:w="1980" w:type="dxa"/>
            <w:vAlign w:val="bottom"/>
          </w:tcPr>
          <w:p>
            <w:pPr>
              <w:ind w:left="320"/>
              <w:spacing w:after="0"/>
              <w:rPr>
                <w:sz w:val="20"/>
                <w:szCs w:val="20"/>
                <w:color w:val="auto"/>
              </w:rPr>
            </w:pPr>
            <w:r>
              <w:rPr>
                <w:rFonts w:ascii="Arial" w:cs="Arial" w:eastAsia="Arial" w:hAnsi="Arial"/>
                <w:sz w:val="19"/>
                <w:szCs w:val="19"/>
                <w:color w:val="auto"/>
              </w:rPr>
              <w:t>FORMCHECKBOX</w:t>
            </w:r>
          </w:p>
        </w:tc>
        <w:tc>
          <w:tcPr>
            <w:tcW w:w="7280" w:type="dxa"/>
            <w:vAlign w:val="bottom"/>
          </w:tcPr>
          <w:p>
            <w:pPr>
              <w:jc w:val="right"/>
              <w:spacing w:after="0"/>
              <w:rPr>
                <w:sz w:val="20"/>
                <w:szCs w:val="20"/>
                <w:color w:val="auto"/>
              </w:rPr>
            </w:pPr>
            <w:r>
              <w:rPr>
                <w:rFonts w:ascii="Arial" w:cs="Arial" w:eastAsia="Arial" w:hAnsi="Arial"/>
                <w:sz w:val="19"/>
                <w:szCs w:val="19"/>
                <w:color w:val="auto"/>
                <w:w w:val="92"/>
              </w:rPr>
              <w:t>If such Committed Borrowing consists of Term Benchmark Loans, such Committed Borrowing</w:t>
            </w:r>
          </w:p>
        </w:tc>
      </w:tr>
      <w:tr>
        <w:trPr>
          <w:trHeight w:val="240"/>
        </w:trPr>
        <w:tc>
          <w:tcPr>
            <w:tcW w:w="480" w:type="dxa"/>
            <w:vAlign w:val="bottom"/>
          </w:tcPr>
          <w:p>
            <w:pPr>
              <w:spacing w:after="0"/>
              <w:rPr>
                <w:sz w:val="20"/>
                <w:szCs w:val="20"/>
                <w:color w:val="auto"/>
              </w:rPr>
            </w:pPr>
          </w:p>
        </w:tc>
        <w:tc>
          <w:tcPr>
            <w:tcW w:w="9260" w:type="dxa"/>
            <w:vAlign w:val="bottom"/>
            <w:gridSpan w:val="2"/>
          </w:tcPr>
          <w:p>
            <w:pPr>
              <w:ind w:left="280"/>
              <w:spacing w:after="0"/>
              <w:rPr>
                <w:sz w:val="20"/>
                <w:szCs w:val="20"/>
                <w:color w:val="auto"/>
              </w:rPr>
            </w:pPr>
            <w:r>
              <w:rPr>
                <w:rFonts w:ascii="Arial" w:cs="Arial" w:eastAsia="Arial" w:hAnsi="Arial"/>
                <w:sz w:val="19"/>
                <w:szCs w:val="19"/>
                <w:color w:val="auto"/>
              </w:rPr>
              <w:t>shall be converted to Base Rate Loans.</w:t>
            </w:r>
          </w:p>
        </w:tc>
      </w:tr>
      <w:tr>
        <w:trPr>
          <w:trHeight w:val="408"/>
        </w:trPr>
        <w:tc>
          <w:tcPr>
            <w:tcW w:w="480" w:type="dxa"/>
            <w:vAlign w:val="bottom"/>
          </w:tcPr>
          <w:p>
            <w:pPr>
              <w:spacing w:after="0"/>
              <w:rPr>
                <w:sz w:val="24"/>
                <w:szCs w:val="24"/>
                <w:color w:val="auto"/>
              </w:rPr>
            </w:pPr>
          </w:p>
        </w:tc>
        <w:tc>
          <w:tcPr>
            <w:tcW w:w="1980" w:type="dxa"/>
            <w:vAlign w:val="bottom"/>
          </w:tcPr>
          <w:p>
            <w:pPr>
              <w:ind w:left="340"/>
              <w:spacing w:after="0"/>
              <w:rPr>
                <w:sz w:val="20"/>
                <w:szCs w:val="20"/>
                <w:color w:val="auto"/>
              </w:rPr>
            </w:pPr>
            <w:r>
              <w:rPr>
                <w:rFonts w:ascii="Arial" w:cs="Arial" w:eastAsia="Arial" w:hAnsi="Arial"/>
                <w:sz w:val="19"/>
                <w:szCs w:val="19"/>
                <w:color w:val="auto"/>
                <w:w w:val="99"/>
              </w:rPr>
              <w:t>FORMCHECKBOX</w:t>
            </w:r>
          </w:p>
        </w:tc>
        <w:tc>
          <w:tcPr>
            <w:tcW w:w="7280" w:type="dxa"/>
            <w:vAlign w:val="bottom"/>
          </w:tcPr>
          <w:p>
            <w:pPr>
              <w:jc w:val="right"/>
              <w:spacing w:after="0"/>
              <w:rPr>
                <w:sz w:val="20"/>
                <w:szCs w:val="20"/>
                <w:color w:val="auto"/>
              </w:rPr>
            </w:pPr>
            <w:r>
              <w:rPr>
                <w:rFonts w:ascii="Arial" w:cs="Arial" w:eastAsia="Arial" w:hAnsi="Arial"/>
                <w:sz w:val="19"/>
                <w:szCs w:val="19"/>
                <w:color w:val="auto"/>
                <w:w w:val="93"/>
              </w:rPr>
              <w:t>If such Committed Borrowing consists of Base Rate Loans, such Committed Borrowing shall</w:t>
            </w:r>
          </w:p>
        </w:tc>
      </w:tr>
      <w:tr>
        <w:trPr>
          <w:trHeight w:val="240"/>
        </w:trPr>
        <w:tc>
          <w:tcPr>
            <w:tcW w:w="480" w:type="dxa"/>
            <w:vAlign w:val="bottom"/>
          </w:tcPr>
          <w:p>
            <w:pPr>
              <w:spacing w:after="0"/>
              <w:rPr>
                <w:sz w:val="20"/>
                <w:szCs w:val="20"/>
                <w:color w:val="auto"/>
              </w:rPr>
            </w:pPr>
          </w:p>
        </w:tc>
        <w:tc>
          <w:tcPr>
            <w:tcW w:w="9260" w:type="dxa"/>
            <w:vAlign w:val="bottom"/>
            <w:gridSpan w:val="2"/>
          </w:tcPr>
          <w:p>
            <w:pPr>
              <w:ind w:left="280"/>
              <w:spacing w:after="0"/>
              <w:rPr>
                <w:sz w:val="20"/>
                <w:szCs w:val="20"/>
                <w:color w:val="auto"/>
              </w:rPr>
            </w:pPr>
            <w:r>
              <w:rPr>
                <w:rFonts w:ascii="Arial" w:cs="Arial" w:eastAsia="Arial" w:hAnsi="Arial"/>
                <w:sz w:val="19"/>
                <w:szCs w:val="19"/>
                <w:color w:val="auto"/>
              </w:rPr>
              <w:t>be converted to Term Benchmark Loans having an Interest Period of [__] months.]</w:t>
            </w:r>
          </w:p>
        </w:tc>
      </w:tr>
      <w:tr>
        <w:trPr>
          <w:trHeight w:val="432"/>
        </w:trPr>
        <w:tc>
          <w:tcPr>
            <w:tcW w:w="480" w:type="dxa"/>
            <w:vAlign w:val="bottom"/>
          </w:tcPr>
          <w:p>
            <w:pPr>
              <w:jc w:val="right"/>
              <w:ind w:right="166"/>
              <w:spacing w:after="0"/>
              <w:rPr>
                <w:sz w:val="20"/>
                <w:szCs w:val="20"/>
                <w:color w:val="auto"/>
              </w:rPr>
            </w:pPr>
            <w:r>
              <w:rPr>
                <w:rFonts w:ascii="Arial" w:cs="Arial" w:eastAsia="Arial" w:hAnsi="Arial"/>
                <w:sz w:val="19"/>
                <w:szCs w:val="19"/>
                <w:color w:val="auto"/>
                <w:w w:val="94"/>
              </w:rPr>
              <w:t>[2.</w:t>
            </w:r>
          </w:p>
        </w:tc>
        <w:tc>
          <w:tcPr>
            <w:tcW w:w="9260" w:type="dxa"/>
            <w:vAlign w:val="bottom"/>
            <w:gridSpan w:val="2"/>
          </w:tcPr>
          <w:p>
            <w:pPr>
              <w:ind w:left="280"/>
              <w:spacing w:after="0"/>
              <w:rPr>
                <w:sz w:val="20"/>
                <w:szCs w:val="20"/>
                <w:color w:val="auto"/>
              </w:rPr>
            </w:pPr>
            <w:r>
              <w:rPr>
                <w:rFonts w:ascii="Arial" w:cs="Arial" w:eastAsia="Arial" w:hAnsi="Arial"/>
                <w:sz w:val="19"/>
                <w:szCs w:val="19"/>
                <w:color w:val="auto"/>
              </w:rPr>
              <w:t>In the aggregate amount of $________.</w:t>
            </w:r>
          </w:p>
        </w:tc>
      </w:tr>
    </w:tbl>
    <w:p>
      <w:pPr>
        <w:spacing w:after="0" w:line="192" w:lineRule="exact"/>
        <w:rPr>
          <w:sz w:val="20"/>
          <w:szCs w:val="20"/>
          <w:color w:val="auto"/>
        </w:rPr>
      </w:pPr>
    </w:p>
    <w:p>
      <w:pPr>
        <w:ind w:left="2260" w:hanging="754"/>
        <w:spacing w:after="0"/>
        <w:tabs>
          <w:tab w:leader="none" w:pos="226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Comprised of [Base Rate] [Term Benchmark] [RFR] Loans.</w:t>
      </w:r>
    </w:p>
    <w:p>
      <w:pPr>
        <w:spacing w:after="0" w:line="213" w:lineRule="exact"/>
        <w:rPr>
          <w:rFonts w:ascii="Arial" w:cs="Arial" w:eastAsia="Arial" w:hAnsi="Arial"/>
          <w:sz w:val="19"/>
          <w:szCs w:val="19"/>
          <w:color w:val="auto"/>
        </w:rPr>
      </w:pPr>
    </w:p>
    <w:p>
      <w:pPr>
        <w:ind w:left="1500"/>
        <w:spacing w:after="0"/>
        <w:rPr>
          <w:rFonts w:ascii="Arial" w:cs="Arial" w:eastAsia="Arial" w:hAnsi="Arial"/>
          <w:sz w:val="19"/>
          <w:szCs w:val="19"/>
          <w:color w:val="auto"/>
        </w:rPr>
      </w:pPr>
      <w:r>
        <w:rPr>
          <w:rFonts w:ascii="Arial" w:cs="Arial" w:eastAsia="Arial" w:hAnsi="Arial"/>
          <w:sz w:val="19"/>
          <w:szCs w:val="19"/>
          <w:color w:val="auto"/>
        </w:rPr>
        <w:t>[4.</w:t>
      </w:r>
      <w:r>
        <w:rPr>
          <w:rFonts w:ascii="Arial" w:cs="Arial" w:eastAsia="Arial" w:hAnsi="Arial"/>
          <w:sz w:val="17"/>
          <w:szCs w:val="17"/>
          <w:color w:val="auto"/>
        </w:rPr>
        <w:t>With an Interest Period of ___ months.]</w:t>
      </w:r>
    </w:p>
    <w:p>
      <w:pPr>
        <w:spacing w:after="0" w:line="214" w:lineRule="exact"/>
        <w:rPr>
          <w:sz w:val="20"/>
          <w:szCs w:val="20"/>
          <w:color w:val="auto"/>
        </w:rPr>
      </w:pPr>
    </w:p>
    <w:p>
      <w:pPr>
        <w:ind w:left="2260" w:hanging="754"/>
        <w:spacing w:after="0"/>
        <w:tabs>
          <w:tab w:leader="none" w:pos="226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In the following currency: _________________]</w:t>
      </w:r>
    </w:p>
    <w:p>
      <w:pPr>
        <w:spacing w:after="0" w:line="213" w:lineRule="exact"/>
        <w:rPr>
          <w:rFonts w:ascii="Arial" w:cs="Arial" w:eastAsia="Arial" w:hAnsi="Arial"/>
          <w:sz w:val="19"/>
          <w:szCs w:val="19"/>
          <w:color w:val="auto"/>
        </w:rPr>
      </w:pPr>
    </w:p>
    <w:p>
      <w:pPr>
        <w:ind w:left="1500"/>
        <w:spacing w:after="0"/>
        <w:rPr>
          <w:rFonts w:ascii="Arial" w:cs="Arial" w:eastAsia="Arial" w:hAnsi="Arial"/>
          <w:sz w:val="19"/>
          <w:szCs w:val="19"/>
          <w:color w:val="auto"/>
        </w:rPr>
      </w:pPr>
      <w:r>
        <w:rPr>
          <w:rFonts w:ascii="Arial" w:cs="Arial" w:eastAsia="Arial" w:hAnsi="Arial"/>
          <w:sz w:val="19"/>
          <w:szCs w:val="19"/>
          <w:color w:val="auto"/>
        </w:rPr>
        <w:t>[3][6].</w:t>
      </w:r>
      <w:r>
        <w:rPr>
          <w:rFonts w:ascii="Arial" w:cs="Arial" w:eastAsia="Arial" w:hAnsi="Arial"/>
          <w:sz w:val="16"/>
          <w:szCs w:val="16"/>
          <w:color w:val="auto"/>
        </w:rPr>
        <w:t>On ____________, 201_ (a Business Day).</w:t>
      </w:r>
    </w:p>
    <w:p>
      <w:pPr>
        <w:spacing w:after="0" w:line="213" w:lineRule="exact"/>
        <w:rPr>
          <w:rFonts w:ascii="Arial" w:cs="Arial" w:eastAsia="Arial" w:hAnsi="Arial"/>
          <w:sz w:val="19"/>
          <w:szCs w:val="19"/>
          <w:color w:val="auto"/>
        </w:rPr>
      </w:pPr>
    </w:p>
    <w:p>
      <w:pPr>
        <w:ind w:left="1500"/>
        <w:spacing w:after="0"/>
        <w:rPr>
          <w:rFonts w:ascii="Arial" w:cs="Arial" w:eastAsia="Arial" w:hAnsi="Arial"/>
          <w:sz w:val="19"/>
          <w:szCs w:val="19"/>
          <w:color w:val="auto"/>
        </w:rPr>
      </w:pPr>
      <w:r>
        <w:rPr>
          <w:rFonts w:ascii="Arial" w:cs="Arial" w:eastAsia="Arial" w:hAnsi="Arial"/>
          <w:sz w:val="19"/>
          <w:szCs w:val="19"/>
          <w:color w:val="auto"/>
        </w:rPr>
        <w:t>[4][7].</w:t>
      </w:r>
      <w:r>
        <w:rPr>
          <w:rFonts w:ascii="Arial" w:cs="Arial" w:eastAsia="Arial" w:hAnsi="Arial"/>
          <w:sz w:val="17"/>
          <w:szCs w:val="17"/>
          <w:color w:val="auto"/>
        </w:rPr>
        <w:t>The Borrower’s account to which funds are to be disbursed is:</w:t>
      </w:r>
    </w:p>
    <w:p>
      <w:pPr>
        <w:spacing w:after="0" w:line="214"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Account Number: ___________________</w:t>
      </w:r>
    </w:p>
    <w:p>
      <w:pPr>
        <w:spacing w:after="0" w:line="14"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Location:__________________________</w:t>
      </w:r>
    </w:p>
    <w:p>
      <w:pPr>
        <w:spacing w:after="0" w:line="198" w:lineRule="exact"/>
        <w:rPr>
          <w:sz w:val="20"/>
          <w:szCs w:val="20"/>
          <w:color w:val="auto"/>
        </w:rPr>
      </w:pPr>
    </w:p>
    <w:p>
      <w:pPr>
        <w:ind w:left="1500"/>
        <w:spacing w:after="0"/>
        <w:tabs>
          <w:tab w:leader="none" w:pos="2620" w:val="left"/>
        </w:tabs>
        <w:rPr>
          <w:sz w:val="20"/>
          <w:szCs w:val="20"/>
          <w:color w:val="auto"/>
        </w:rPr>
      </w:pPr>
      <w:r>
        <w:rPr>
          <w:rFonts w:ascii="Arial" w:cs="Arial" w:eastAsia="Arial" w:hAnsi="Arial"/>
          <w:sz w:val="19"/>
          <w:szCs w:val="19"/>
          <w:color w:val="auto"/>
        </w:rPr>
        <w:t>[5][8].</w:t>
      </w:r>
      <w:r>
        <w:rPr>
          <w:sz w:val="20"/>
          <w:szCs w:val="20"/>
          <w:color w:val="auto"/>
        </w:rPr>
        <w:tab/>
      </w:r>
      <w:r>
        <w:rPr>
          <w:rFonts w:ascii="Arial" w:cs="Arial" w:eastAsia="Arial" w:hAnsi="Arial"/>
          <w:sz w:val="19"/>
          <w:szCs w:val="19"/>
          <w:color w:val="auto"/>
        </w:rPr>
        <w:t>The Debt Rating of the Parent on the date hereof is ________.</w:t>
      </w:r>
    </w:p>
    <w:p>
      <w:pPr>
        <w:spacing w:after="0" w:line="214" w:lineRule="exact"/>
        <w:rPr>
          <w:sz w:val="20"/>
          <w:szCs w:val="20"/>
          <w:color w:val="auto"/>
        </w:rPr>
      </w:pPr>
    </w:p>
    <w:p>
      <w:pPr>
        <w:ind w:firstLine="1497"/>
        <w:spacing w:after="0" w:line="261" w:lineRule="auto"/>
        <w:rPr>
          <w:sz w:val="20"/>
          <w:szCs w:val="20"/>
          <w:color w:val="auto"/>
        </w:rPr>
      </w:pPr>
      <w:r>
        <w:rPr>
          <w:rFonts w:ascii="Arial" w:cs="Arial" w:eastAsia="Arial" w:hAnsi="Arial"/>
          <w:sz w:val="19"/>
          <w:szCs w:val="19"/>
          <w:color w:val="auto"/>
        </w:rPr>
        <w:t>This Committed Loan Borrowing Request and the Committed Borrowing requested herein comply with Sections 2.01(b), 2.02, and 4.02 of the Agreement.</w:t>
      </w:r>
    </w:p>
    <w:p>
      <w:pPr>
        <w:spacing w:after="0" w:line="173"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[_____]</w:t>
      </w:r>
    </w:p>
    <w:p>
      <w:pPr>
        <w:spacing w:after="0" w:line="200" w:lineRule="exact"/>
        <w:rPr>
          <w:sz w:val="20"/>
          <w:szCs w:val="20"/>
          <w:color w:val="auto"/>
        </w:rPr>
      </w:pPr>
    </w:p>
    <w:p>
      <w:pPr>
        <w:spacing w:after="0" w:line="230"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By: ___________________________</w:t>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Name:</w:t>
      </w:r>
    </w:p>
    <w:p>
      <w:pPr>
        <w:ind w:left="450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20"/>
          <w:szCs w:val="20"/>
          <w:b w:val="1"/>
          <w:bCs w:val="1"/>
          <w:color w:val="auto"/>
        </w:rPr>
        <w:t>Annex C</w:t>
      </w:r>
    </w:p>
    <w:p>
      <w:pPr>
        <w:spacing w:after="0" w:line="200" w:lineRule="exact"/>
        <w:rPr>
          <w:sz w:val="20"/>
          <w:szCs w:val="20"/>
          <w:color w:val="auto"/>
        </w:rPr>
      </w:pPr>
    </w:p>
    <w:p>
      <w:pPr>
        <w:spacing w:after="0" w:line="226" w:lineRule="exact"/>
        <w:rPr>
          <w:sz w:val="20"/>
          <w:szCs w:val="20"/>
          <w:color w:val="auto"/>
        </w:rPr>
      </w:pPr>
    </w:p>
    <w:p>
      <w:pPr>
        <w:ind w:left="10240"/>
        <w:spacing w:after="0"/>
        <w:rPr>
          <w:sz w:val="20"/>
          <w:szCs w:val="20"/>
          <w:color w:val="auto"/>
        </w:rPr>
      </w:pPr>
      <w:r>
        <w:rPr>
          <w:rFonts w:ascii="Arial" w:cs="Arial" w:eastAsia="Arial" w:hAnsi="Arial"/>
          <w:sz w:val="19"/>
          <w:szCs w:val="19"/>
          <w:b w:val="1"/>
          <w:bCs w:val="1"/>
          <w:color w:val="auto"/>
        </w:rPr>
        <w:t>EXHIBIT 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 JOINDER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JOINDER AGREEMENT</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This Joinder Agreement, dated as of __________ __, 202_ (this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w:t>
      </w:r>
      <w:r>
        <w:rPr>
          <w:rFonts w:ascii="Arial" w:cs="Arial" w:eastAsia="Arial" w:hAnsi="Arial"/>
          <w:sz w:val="17"/>
          <w:szCs w:val="17"/>
          <w:i w:val="1"/>
          <w:iCs w:val="1"/>
          <w:color w:val="auto"/>
        </w:rPr>
        <w:t>New Lenders</w:t>
      </w:r>
      <w:r>
        <w:rPr>
          <w:rFonts w:ascii="Arial" w:cs="Arial" w:eastAsia="Arial" w:hAnsi="Arial"/>
          <w:sz w:val="17"/>
          <w:szCs w:val="17"/>
          <w:color w:val="auto"/>
        </w:rPr>
        <w:t>] (each a “</w:t>
      </w:r>
      <w:r>
        <w:rPr>
          <w:rFonts w:ascii="Arial" w:cs="Arial" w:eastAsia="Arial" w:hAnsi="Arial"/>
          <w:sz w:val="17"/>
          <w:szCs w:val="17"/>
          <w:u w:val="single" w:color="auto"/>
          <w:color w:val="auto"/>
        </w:rPr>
        <w:t>New Lender</w:t>
      </w:r>
      <w:r>
        <w:rPr>
          <w:rFonts w:ascii="Arial" w:cs="Arial" w:eastAsia="Arial" w:hAnsi="Arial"/>
          <w:sz w:val="17"/>
          <w:szCs w:val="17"/>
          <w:color w:val="auto"/>
        </w:rPr>
        <w:t>” and</w:t>
      </w:r>
    </w:p>
    <w:p>
      <w:pPr>
        <w:spacing w:after="0" w:line="3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collectively the “</w:t>
      </w:r>
      <w:r>
        <w:rPr>
          <w:rFonts w:ascii="Arial" w:cs="Arial" w:eastAsia="Arial" w:hAnsi="Arial"/>
          <w:sz w:val="19"/>
          <w:szCs w:val="19"/>
          <w:u w:val="single" w:color="auto"/>
          <w:color w:val="auto"/>
        </w:rPr>
        <w:t>New Lenders</w:t>
      </w:r>
      <w:r>
        <w:rPr>
          <w:rFonts w:ascii="Arial" w:cs="Arial" w:eastAsia="Arial" w:hAnsi="Arial"/>
          <w:sz w:val="19"/>
          <w:szCs w:val="19"/>
          <w:color w:val="auto"/>
        </w:rPr>
        <w:t>”), Trinity Acquisition plc, a company formed under the laws of England and Wales having company number 03588435 (the “</w:t>
      </w:r>
      <w:r>
        <w:rPr>
          <w:rFonts w:ascii="Arial" w:cs="Arial" w:eastAsia="Arial" w:hAnsi="Arial"/>
          <w:sz w:val="19"/>
          <w:szCs w:val="19"/>
          <w:u w:val="single" w:color="auto"/>
          <w:color w:val="auto"/>
        </w:rPr>
        <w:t>Company</w:t>
      </w:r>
      <w:r>
        <w:rPr>
          <w:rFonts w:ascii="Arial" w:cs="Arial" w:eastAsia="Arial" w:hAnsi="Arial"/>
          <w:sz w:val="19"/>
          <w:szCs w:val="19"/>
          <w:color w:val="auto"/>
        </w:rPr>
        <w:t>”), the Designated Borrowers party thereto (together with the Company, each a “</w:t>
      </w:r>
      <w:r>
        <w:rPr>
          <w:rFonts w:ascii="Arial" w:cs="Arial" w:eastAsia="Arial" w:hAnsi="Arial"/>
          <w:sz w:val="19"/>
          <w:szCs w:val="19"/>
          <w:u w:val="single" w:color="auto"/>
          <w:color w:val="auto"/>
        </w:rPr>
        <w:t>Borrower</w:t>
      </w:r>
      <w:r>
        <w:rPr>
          <w:rFonts w:ascii="Arial" w:cs="Arial" w:eastAsia="Arial" w:hAnsi="Arial"/>
          <w:sz w:val="19"/>
          <w:szCs w:val="19"/>
          <w:color w:val="auto"/>
        </w:rPr>
        <w:t>”), Willis Towers Watson Public Limited Company, a company incorporated under the laws of Ireland having company number 475616 (the “Parent”), each other lender from time to time party hereto, and Barclays Bank PLC, as Administrative Agent.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RECITALS:</w:t>
      </w:r>
    </w:p>
    <w:p>
      <w:pPr>
        <w:spacing w:after="0" w:line="214"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7"/>
          <w:szCs w:val="17"/>
          <w:color w:val="auto"/>
        </w:rPr>
        <w:t>WHEREAS, reference is hereby made to the Second Amended and Restated Credit Agreement, dated as of October 6, 2021 (as may be amended, restated, amended and restated, extended, supplemented or otherwise modified in writing from time to time in accordance with its terms,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the terms defined therein being used herein as therein defined), by and among the Company, the Parent, the Designated Borrowers party thereto, the Lenders party thereto from time to time and Barclays Bank PLC, as Administrative Agent; and</w:t>
      </w:r>
    </w:p>
    <w:p>
      <w:pPr>
        <w:spacing w:after="0" w:line="15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9"/>
          <w:szCs w:val="19"/>
          <w:color w:val="auto"/>
        </w:rPr>
        <w:t>WHEREAS, subject to the terms and conditions of the Credit Agreement, Company may increase the Revolving Credit Commitments by entering into one or more Joinder Agreements with the New Lenders.</w:t>
      </w:r>
    </w:p>
    <w:p>
      <w:pPr>
        <w:spacing w:after="0" w:line="173"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9"/>
          <w:szCs w:val="19"/>
          <w:color w:val="auto"/>
        </w:rPr>
        <w:t>NOW, THEREFORE, in consideration of the premises and agreements, provisions and covenants herein contained, the parties hereto agree as follows:</w:t>
      </w:r>
    </w:p>
    <w:p>
      <w:pPr>
        <w:spacing w:after="0" w:line="173"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9"/>
          <w:szCs w:val="19"/>
          <w:color w:val="auto"/>
        </w:rPr>
        <w:t>Each New Lender party hereto hereby agrees to commit to provide its respective New Loan Commitment as set forth on Schedule A annexed hereto, on the terms and subject to the conditions set forth below:</w:t>
      </w:r>
    </w:p>
    <w:p>
      <w:pPr>
        <w:spacing w:after="0" w:line="17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Each New Lender (i) confirms that it has received a copy of the Credit Agreement and the other Loan Documents, together with copies of the financial statements referred to therein and such other documents and information as it has deemed appropriate to make its own credit analysis and decision to enter into this Joinder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and it is sophisticated with respect to decisions to make loans similar to those contemplated to be made hereunder and it is experienced in making loans of such type; (ii) agrees that it will, independently and without reliance upon Administrative Agent or any other Lender or Agent and based on such documents and information as it shall deem appropriate at the time, continue to make its own credit decisions in taking or not taking action under the Credit Agreement; (iii) appoints and authorizes the Administrative Agent to take such action as agent on its behalf and to exercise such powers under the Credit Agreement and the other Loan Documents as are delegated to the Administrative Agent by the terms thereof, together with such powers as are reasonably incidental thereto and (iv) agrees that it will perform in accordance with their terms all of the obligations which by the terms of the Credit Agreement are required to be performed by it as a Lender.</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Each New Lender hereby agrees to make its New Loan Commitment on the following terms and conditions:</w:t>
      </w:r>
    </w:p>
    <w:p>
      <w:pPr>
        <w:spacing w:after="0" w:line="214" w:lineRule="exact"/>
        <w:rPr>
          <w:sz w:val="20"/>
          <w:szCs w:val="20"/>
          <w:color w:val="auto"/>
        </w:rPr>
      </w:pPr>
    </w:p>
    <w:p>
      <w:pPr>
        <w:ind w:left="760" w:hanging="752"/>
        <w:spacing w:after="0"/>
        <w:tabs>
          <w:tab w:leader="none" w:pos="7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Fees. The Company agrees to pay each New Lender its pro rata share of an aggregate fee equal to [________ __, ____] on [_________</w:t>
      </w:r>
    </w:p>
    <w:p>
      <w:pPr>
        <w:spacing w:after="0" w:line="36"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9"/>
          <w:szCs w:val="19"/>
          <w:color w:val="auto"/>
        </w:rPr>
        <w:t>__,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98" w:name="page199"/>
    <w:bookmarkEnd w:id="198"/>
    <w:p>
      <w:pPr>
        <w:ind w:left="752" w:hanging="752"/>
        <w:spacing w:after="0" w:line="261" w:lineRule="auto"/>
        <w:tabs>
          <w:tab w:leader="none" w:pos="767" w:val="left"/>
        </w:tabs>
        <w:numPr>
          <w:ilvl w:val="0"/>
          <w:numId w:val="204"/>
        </w:numPr>
        <w:rPr>
          <w:rFonts w:ascii="Arial" w:cs="Arial" w:eastAsia="Arial" w:hAnsi="Arial"/>
          <w:sz w:val="19"/>
          <w:szCs w:val="19"/>
          <w:color w:val="auto"/>
        </w:rPr>
      </w:pPr>
      <w:r>
        <w:rPr>
          <w:rFonts w:ascii="Arial" w:cs="Arial" w:eastAsia="Arial" w:hAnsi="Arial"/>
          <w:sz w:val="19"/>
          <w:szCs w:val="19"/>
          <w:color w:val="auto"/>
        </w:rPr>
        <w:t>[Proposed Borrowing. This Agreement represents the Company’s request to borrow New Loans from the New Lenders as follows (the “</w:t>
      </w:r>
      <w:r>
        <w:rPr>
          <w:rFonts w:ascii="Arial" w:cs="Arial" w:eastAsia="Arial" w:hAnsi="Arial"/>
          <w:sz w:val="19"/>
          <w:szCs w:val="19"/>
          <w:u w:val="single" w:color="auto"/>
          <w:color w:val="auto"/>
        </w:rPr>
        <w:t>Proposed Borrowing</w:t>
      </w:r>
      <w:r>
        <w:rPr>
          <w:rFonts w:ascii="Arial" w:cs="Arial" w:eastAsia="Arial" w:hAnsi="Arial"/>
          <w:sz w:val="19"/>
          <w:szCs w:val="19"/>
          <w:color w:val="auto"/>
        </w:rPr>
        <w:t>”):</w:t>
      </w:r>
    </w:p>
    <w:p>
      <w:pPr>
        <w:spacing w:after="0" w:line="172" w:lineRule="exact"/>
        <w:rPr>
          <w:rFonts w:ascii="Arial" w:cs="Arial" w:eastAsia="Arial" w:hAnsi="Arial"/>
          <w:sz w:val="19"/>
          <w:szCs w:val="19"/>
          <w:color w:val="auto"/>
        </w:rPr>
      </w:pPr>
    </w:p>
    <w:p>
      <w:pPr>
        <w:ind w:left="1132" w:hanging="383"/>
        <w:spacing w:after="0"/>
        <w:tabs>
          <w:tab w:leader="none" w:pos="1132" w:val="left"/>
        </w:tabs>
        <w:numPr>
          <w:ilvl w:val="1"/>
          <w:numId w:val="204"/>
        </w:numPr>
        <w:rPr>
          <w:rFonts w:ascii="Arial" w:cs="Arial" w:eastAsia="Arial" w:hAnsi="Arial"/>
          <w:sz w:val="19"/>
          <w:szCs w:val="19"/>
          <w:color w:val="auto"/>
        </w:rPr>
      </w:pPr>
      <w:r>
        <w:rPr>
          <w:rFonts w:ascii="Arial" w:cs="Arial" w:eastAsia="Arial" w:hAnsi="Arial"/>
          <w:sz w:val="19"/>
          <w:szCs w:val="19"/>
          <w:color w:val="auto"/>
        </w:rPr>
        <w:t>Increase Effective Date for Proposed Borrowing: ___________, ____</w:t>
      </w:r>
    </w:p>
    <w:p>
      <w:pPr>
        <w:spacing w:after="0" w:line="213" w:lineRule="exact"/>
        <w:rPr>
          <w:rFonts w:ascii="Arial" w:cs="Arial" w:eastAsia="Arial" w:hAnsi="Arial"/>
          <w:sz w:val="19"/>
          <w:szCs w:val="19"/>
          <w:color w:val="auto"/>
        </w:rPr>
      </w:pPr>
    </w:p>
    <w:p>
      <w:pPr>
        <w:ind w:left="1132" w:hanging="383"/>
        <w:spacing w:after="0"/>
        <w:tabs>
          <w:tab w:leader="none" w:pos="1132" w:val="left"/>
        </w:tabs>
        <w:numPr>
          <w:ilvl w:val="1"/>
          <w:numId w:val="204"/>
        </w:numPr>
        <w:rPr>
          <w:rFonts w:ascii="Arial" w:cs="Arial" w:eastAsia="Arial" w:hAnsi="Arial"/>
          <w:sz w:val="19"/>
          <w:szCs w:val="19"/>
          <w:color w:val="auto"/>
        </w:rPr>
      </w:pPr>
      <w:r>
        <w:rPr>
          <w:rFonts w:ascii="Arial" w:cs="Arial" w:eastAsia="Arial" w:hAnsi="Arial"/>
          <w:sz w:val="19"/>
          <w:szCs w:val="19"/>
          <w:color w:val="auto"/>
        </w:rPr>
        <w:t>Amount of Proposed Borrowing: $___________________</w:t>
      </w:r>
    </w:p>
    <w:p>
      <w:pPr>
        <w:sectPr>
          <w:pgSz w:w="11900" w:h="16838" w:orient="portrait"/>
          <w:cols w:equalWidth="0" w:num="1">
            <w:col w:w="11232"/>
          </w:cols>
          <w:pgMar w:left="328" w:top="347" w:right="339" w:bottom="1440" w:gutter="0" w:footer="0" w:header="0"/>
        </w:sectPr>
      </w:pPr>
    </w:p>
    <w:p>
      <w:pPr>
        <w:spacing w:after="0" w:line="214" w:lineRule="exact"/>
        <w:rPr>
          <w:sz w:val="20"/>
          <w:szCs w:val="20"/>
          <w:color w:val="auto"/>
        </w:rPr>
      </w:pPr>
    </w:p>
    <w:p>
      <w:pPr>
        <w:ind w:left="752"/>
        <w:spacing w:after="0"/>
        <w:tabs>
          <w:tab w:leader="none" w:pos="1111"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Type: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tabs>
          <w:tab w:leader="none" w:pos="1820" w:val="left"/>
        </w:tabs>
        <w:rPr>
          <w:sz w:val="20"/>
          <w:szCs w:val="20"/>
          <w:color w:val="auto"/>
        </w:rPr>
      </w:pPr>
      <w:r>
        <w:rPr>
          <w:rFonts w:ascii="Arial" w:cs="Arial" w:eastAsia="Arial" w:hAnsi="Arial"/>
          <w:sz w:val="19"/>
          <w:szCs w:val="19"/>
          <w:color w:val="auto"/>
        </w:rPr>
        <w:t>FORMCHECKBOX</w:t>
        <w:tab/>
        <w:t>a. Base Rate Loan(s)</w:t>
      </w:r>
    </w:p>
    <w:p>
      <w:pPr>
        <w:spacing w:after="0" w:line="14" w:lineRule="exact"/>
        <w:rPr>
          <w:sz w:val="20"/>
          <w:szCs w:val="20"/>
          <w:color w:val="auto"/>
        </w:rPr>
      </w:pPr>
    </w:p>
    <w:p>
      <w:pPr>
        <w:ind w:left="1100"/>
        <w:spacing w:after="0"/>
        <w:tabs>
          <w:tab w:leader="none" w:pos="2920" w:val="left"/>
        </w:tabs>
        <w:rPr>
          <w:sz w:val="20"/>
          <w:szCs w:val="20"/>
          <w:color w:val="auto"/>
        </w:rPr>
      </w:pPr>
      <w:r>
        <w:rPr>
          <w:rFonts w:ascii="Arial" w:cs="Arial" w:eastAsia="Arial" w:hAnsi="Arial"/>
          <w:sz w:val="17"/>
          <w:szCs w:val="17"/>
          <w:color w:val="auto"/>
        </w:rPr>
        <w:t>FORMCHECKBOX</w:t>
      </w:r>
      <w:r>
        <w:rPr>
          <w:sz w:val="20"/>
          <w:szCs w:val="20"/>
          <w:color w:val="auto"/>
        </w:rPr>
        <w:tab/>
      </w:r>
      <w:r>
        <w:rPr>
          <w:rFonts w:ascii="Arial" w:cs="Arial" w:eastAsia="Arial" w:hAnsi="Arial"/>
          <w:sz w:val="17"/>
          <w:szCs w:val="17"/>
          <w:color w:val="auto"/>
        </w:rPr>
        <w:t>b. Term Benchmark Loan(s)</w:t>
      </w:r>
    </w:p>
    <w:p>
      <w:pPr>
        <w:spacing w:after="0" w:line="18" w:lineRule="exact"/>
        <w:rPr>
          <w:sz w:val="20"/>
          <w:szCs w:val="20"/>
          <w:color w:val="auto"/>
        </w:rPr>
      </w:pPr>
    </w:p>
    <w:p>
      <w:pPr>
        <w:ind w:left="2120"/>
        <w:spacing w:after="0"/>
        <w:rPr>
          <w:sz w:val="20"/>
          <w:szCs w:val="20"/>
          <w:color w:val="auto"/>
        </w:rPr>
      </w:pPr>
      <w:r>
        <w:rPr>
          <w:rFonts w:ascii="Arial" w:cs="Arial" w:eastAsia="Arial" w:hAnsi="Arial"/>
          <w:sz w:val="19"/>
          <w:szCs w:val="19"/>
          <w:color w:val="auto"/>
        </w:rPr>
        <w:t>with an initial Interest</w:t>
      </w:r>
    </w:p>
    <w:p>
      <w:pPr>
        <w:ind w:left="2120"/>
        <w:spacing w:after="0"/>
        <w:rPr>
          <w:sz w:val="20"/>
          <w:szCs w:val="20"/>
          <w:color w:val="auto"/>
        </w:rPr>
      </w:pPr>
      <w:r>
        <w:rPr>
          <w:rFonts w:ascii="Arial" w:cs="Arial" w:eastAsia="Arial" w:hAnsi="Arial"/>
          <w:sz w:val="19"/>
          <w:szCs w:val="19"/>
          <w:color w:val="auto"/>
        </w:rPr>
        <w:t>Period of ____ month(s)</w:t>
      </w:r>
    </w:p>
    <w:p>
      <w:pPr>
        <w:spacing w:after="0" w:line="90" w:lineRule="exact"/>
        <w:rPr>
          <w:sz w:val="20"/>
          <w:szCs w:val="20"/>
          <w:color w:val="auto"/>
        </w:rPr>
      </w:pPr>
    </w:p>
    <w:p>
      <w:pPr>
        <w:sectPr>
          <w:pgSz w:w="11900" w:h="16838" w:orient="portrait"/>
          <w:cols w:equalWidth="0" w:num="2">
            <w:col w:w="1972" w:space="720"/>
            <w:col w:w="8540"/>
          </w:cols>
          <w:pgMar w:left="328" w:top="347" w:right="339" w:bottom="1440" w:gutter="0" w:footer="0" w:header="0"/>
          <w:type w:val="continuous"/>
        </w:sectPr>
      </w:pPr>
    </w:p>
    <w:p>
      <w:pPr>
        <w:ind w:left="3792"/>
        <w:spacing w:after="0"/>
        <w:rPr>
          <w:sz w:val="20"/>
          <w:szCs w:val="20"/>
          <w:color w:val="auto"/>
        </w:rPr>
      </w:pPr>
      <w:r>
        <w:rPr>
          <w:rFonts w:ascii="Arial" w:cs="Arial" w:eastAsia="Arial" w:hAnsi="Arial"/>
          <w:sz w:val="18"/>
          <w:szCs w:val="18"/>
          <w:color w:val="auto"/>
        </w:rPr>
        <w:t>FORMCHECKBOX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 RFR Loan(s)]</w:t>
      </w:r>
    </w:p>
    <w:p>
      <w:pPr>
        <w:spacing w:after="0" w:line="200" w:lineRule="exact"/>
        <w:rPr>
          <w:sz w:val="20"/>
          <w:szCs w:val="20"/>
          <w:color w:val="auto"/>
        </w:rPr>
      </w:pPr>
    </w:p>
    <w:p>
      <w:pPr>
        <w:sectPr>
          <w:pgSz w:w="11900" w:h="16838" w:orient="portrait"/>
          <w:cols w:equalWidth="0" w:num="2">
            <w:col w:w="5372" w:space="260"/>
            <w:col w:w="5600"/>
          </w:cols>
          <w:pgMar w:left="328" w:top="347" w:right="339" w:bottom="1440" w:gutter="0" w:footer="0" w:header="0"/>
          <w:type w:val="continuous"/>
        </w:sectPr>
      </w:pPr>
    </w:p>
    <w:p>
      <w:pPr>
        <w:spacing w:after="0" w:line="25" w:lineRule="exact"/>
        <w:rPr>
          <w:sz w:val="20"/>
          <w:szCs w:val="20"/>
          <w:color w:val="auto"/>
        </w:rPr>
      </w:pPr>
    </w:p>
    <w:p>
      <w:pPr>
        <w:ind w:left="752"/>
        <w:spacing w:after="0"/>
        <w:rPr>
          <w:sz w:val="20"/>
          <w:szCs w:val="20"/>
          <w:color w:val="auto"/>
        </w:rPr>
      </w:pPr>
      <w:r>
        <w:rPr>
          <w:rFonts w:ascii="Arial" w:cs="Arial" w:eastAsia="Arial" w:hAnsi="Arial"/>
          <w:sz w:val="19"/>
          <w:szCs w:val="19"/>
          <w:color w:val="auto"/>
        </w:rPr>
        <w:t>d.   Applicable Maturity Date: ____________________</w:t>
      </w:r>
    </w:p>
    <w:p>
      <w:pPr>
        <w:spacing w:after="0" w:line="213" w:lineRule="exact"/>
        <w:rPr>
          <w:sz w:val="20"/>
          <w:szCs w:val="20"/>
          <w:color w:val="auto"/>
        </w:rPr>
      </w:pPr>
    </w:p>
    <w:p>
      <w:pPr>
        <w:jc w:val="both"/>
        <w:ind w:left="752" w:hanging="752"/>
        <w:spacing w:after="0" w:line="245" w:lineRule="auto"/>
        <w:tabs>
          <w:tab w:leader="none" w:pos="766" w:val="left"/>
        </w:tabs>
        <w:numPr>
          <w:ilvl w:val="0"/>
          <w:numId w:val="205"/>
        </w:numPr>
        <w:rPr>
          <w:rFonts w:ascii="Arial" w:cs="Arial" w:eastAsia="Arial" w:hAnsi="Arial"/>
          <w:sz w:val="19"/>
          <w:szCs w:val="19"/>
          <w:color w:val="auto"/>
        </w:rPr>
      </w:pPr>
      <w:r>
        <w:rPr>
          <w:rFonts w:ascii="Arial" w:cs="Arial" w:eastAsia="Arial" w:hAnsi="Arial"/>
          <w:sz w:val="19"/>
          <w:szCs w:val="19"/>
          <w:color w:val="auto"/>
        </w:rPr>
        <w:t>[New Lenders. Each New Lender acknowledges and agrees that upon its execution of this Agreement [and the making of New Loans] that such New Lender shall become a “Lender” under, and for all purposes of, the Credit Agreement and the other Loan Documents, and shall be subject to and bound by the terms thereof, and shall perform all the obligations of and shall have all rights of a Lender thereunder.]</w:t>
      </w:r>
    </w:p>
    <w:p>
      <w:pPr>
        <w:spacing w:after="0" w:line="187" w:lineRule="exact"/>
        <w:rPr>
          <w:rFonts w:ascii="Arial" w:cs="Arial" w:eastAsia="Arial" w:hAnsi="Arial"/>
          <w:sz w:val="19"/>
          <w:szCs w:val="19"/>
          <w:color w:val="auto"/>
        </w:rPr>
      </w:pPr>
    </w:p>
    <w:p>
      <w:pPr>
        <w:ind w:left="752" w:hanging="752"/>
        <w:spacing w:after="0" w:line="261" w:lineRule="auto"/>
        <w:tabs>
          <w:tab w:leader="none" w:pos="766" w:val="left"/>
        </w:tabs>
        <w:numPr>
          <w:ilvl w:val="0"/>
          <w:numId w:val="205"/>
        </w:numPr>
        <w:rPr>
          <w:rFonts w:ascii="Arial" w:cs="Arial" w:eastAsia="Arial" w:hAnsi="Arial"/>
          <w:sz w:val="19"/>
          <w:szCs w:val="19"/>
          <w:color w:val="auto"/>
        </w:rPr>
      </w:pPr>
      <w:r>
        <w:rPr>
          <w:rFonts w:ascii="Arial" w:cs="Arial" w:eastAsia="Arial" w:hAnsi="Arial"/>
          <w:sz w:val="19"/>
          <w:szCs w:val="19"/>
          <w:color w:val="auto"/>
        </w:rPr>
        <w:t>[Status of New Lender. The New Lender confirms, for the benefit of the Administrative Agent and without liability to any Loan Party, that it is [not a UK Qualifying Lender] [a UK Qualifying Lender (other than a UK Treaty Lender)][a UK Treaty Lender].]</w:t>
      </w:r>
    </w:p>
    <w:p>
      <w:pPr>
        <w:spacing w:after="0" w:line="172" w:lineRule="exact"/>
        <w:rPr>
          <w:rFonts w:ascii="Arial" w:cs="Arial" w:eastAsia="Arial" w:hAnsi="Arial"/>
          <w:sz w:val="19"/>
          <w:szCs w:val="19"/>
          <w:color w:val="auto"/>
        </w:rPr>
      </w:pPr>
    </w:p>
    <w:p>
      <w:pPr>
        <w:jc w:val="both"/>
        <w:ind w:left="752" w:hanging="752"/>
        <w:spacing w:after="0" w:line="273" w:lineRule="auto"/>
        <w:tabs>
          <w:tab w:leader="none" w:pos="75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[UK Tax Confirmation. The New Lender confirms that the person beneficially entitled to interest payable to the New Lender in respect of an advance under the Credit Agreement or under any other Loan Document is either (a) a company resident in the United Kingdom for United Kingdom tax purposes, (b)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65" w:lineRule="exact"/>
        <w:rPr>
          <w:rFonts w:ascii="Arial" w:cs="Arial" w:eastAsia="Arial" w:hAnsi="Arial"/>
          <w:sz w:val="17"/>
          <w:szCs w:val="17"/>
          <w:color w:val="auto"/>
        </w:rPr>
      </w:pPr>
    </w:p>
    <w:p>
      <w:pPr>
        <w:jc w:val="both"/>
        <w:ind w:left="752" w:hanging="752"/>
        <w:spacing w:after="0" w:line="242" w:lineRule="auto"/>
        <w:tabs>
          <w:tab w:leader="none" w:pos="767" w:val="left"/>
        </w:tabs>
        <w:numPr>
          <w:ilvl w:val="0"/>
          <w:numId w:val="205"/>
        </w:numPr>
        <w:rPr>
          <w:rFonts w:ascii="Arial" w:cs="Arial" w:eastAsia="Arial" w:hAnsi="Arial"/>
          <w:sz w:val="19"/>
          <w:szCs w:val="19"/>
          <w:color w:val="auto"/>
        </w:rPr>
      </w:pPr>
      <w:r>
        <w:rPr>
          <w:rFonts w:ascii="Arial" w:cs="Arial" w:eastAsia="Arial" w:hAnsi="Arial"/>
          <w:sz w:val="19"/>
          <w:szCs w:val="19"/>
          <w:color w:val="auto"/>
        </w:rPr>
        <w:t>[HMRC DT Treaty Passport scheme. The New Lender confirms (for the benefit of the Administrative Agent and without liability to any Loan Party) that it is a UK Treaty Lender that holds a passport under the HMRC DT Treaty Passport scheme (reference number [_____]) and is tax resident in [_____], so that interest payable to it by borrowers is generally subject to full exemption from UK withholding tax and notifies the Company that the Company must, to the extent that the New Lender becomes a Lender under a Commitment or Loan which is made available to the Company pursuant to the Credit Agreement, make an application to HMRC under form DTTP2 within 30 days of the Increase Effective Date.]</w:t>
      </w:r>
    </w:p>
    <w:p>
      <w:pPr>
        <w:spacing w:after="0" w:line="190" w:lineRule="exact"/>
        <w:rPr>
          <w:rFonts w:ascii="Arial" w:cs="Arial" w:eastAsia="Arial" w:hAnsi="Arial"/>
          <w:sz w:val="19"/>
          <w:szCs w:val="19"/>
          <w:color w:val="auto"/>
        </w:rPr>
      </w:pPr>
    </w:p>
    <w:p>
      <w:pPr>
        <w:ind w:left="752" w:hanging="752"/>
        <w:spacing w:after="0" w:line="261" w:lineRule="auto"/>
        <w:tabs>
          <w:tab w:leader="none" w:pos="752" w:val="left"/>
        </w:tabs>
        <w:numPr>
          <w:ilvl w:val="0"/>
          <w:numId w:val="205"/>
        </w:numPr>
        <w:rPr>
          <w:rFonts w:ascii="Arial" w:cs="Arial" w:eastAsia="Arial" w:hAnsi="Arial"/>
          <w:sz w:val="19"/>
          <w:szCs w:val="19"/>
          <w:color w:val="auto"/>
        </w:rPr>
      </w:pPr>
      <w:r>
        <w:rPr>
          <w:rFonts w:ascii="Arial" w:cs="Arial" w:eastAsia="Arial" w:hAnsi="Arial"/>
          <w:sz w:val="19"/>
          <w:szCs w:val="19"/>
          <w:color w:val="auto"/>
        </w:rPr>
        <w:t>US Tax Confirmation. The New Lender confirms that it has delivered executed originals of IRS Form W-9 or the applicable IRS Form W-8 (with any required attachments), as required by Section 3.01(e)(iv) of the Credit Agreement.</w:t>
      </w:r>
    </w:p>
    <w:p>
      <w:pPr>
        <w:spacing w:after="0" w:line="172" w:lineRule="exact"/>
        <w:rPr>
          <w:rFonts w:ascii="Arial" w:cs="Arial" w:eastAsia="Arial" w:hAnsi="Arial"/>
          <w:sz w:val="19"/>
          <w:szCs w:val="19"/>
          <w:color w:val="auto"/>
        </w:rPr>
      </w:pPr>
    </w:p>
    <w:p>
      <w:pPr>
        <w:ind w:left="752" w:hanging="752"/>
        <w:spacing w:after="0" w:line="261" w:lineRule="auto"/>
        <w:tabs>
          <w:tab w:leader="none" w:pos="759" w:val="left"/>
        </w:tabs>
        <w:numPr>
          <w:ilvl w:val="0"/>
          <w:numId w:val="205"/>
        </w:numPr>
        <w:rPr>
          <w:rFonts w:ascii="Arial" w:cs="Arial" w:eastAsia="Arial" w:hAnsi="Arial"/>
          <w:sz w:val="19"/>
          <w:szCs w:val="19"/>
          <w:color w:val="auto"/>
        </w:rPr>
      </w:pPr>
      <w:r>
        <w:rPr>
          <w:rFonts w:ascii="Arial" w:cs="Arial" w:eastAsia="Arial" w:hAnsi="Arial"/>
          <w:sz w:val="19"/>
          <w:szCs w:val="19"/>
          <w:color w:val="auto"/>
        </w:rPr>
        <w:t>Credit Agreement Governs. Except as set forth in this Agreement, New Committed Loans shall otherwise be subject to the provisions of the Credit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325755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7" w:right="339" w:bottom="1440" w:gutter="0" w:footer="0" w:header="0"/>
          <w:type w:val="continuous"/>
        </w:sectPr>
      </w:pPr>
    </w:p>
    <w:bookmarkStart w:id="199" w:name="page200"/>
    <w:bookmarkEnd w:id="199"/>
    <w:p>
      <w:pPr>
        <w:ind w:left="752" w:hanging="752"/>
        <w:spacing w:after="0"/>
        <w:tabs>
          <w:tab w:leader="none" w:pos="7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Company’s Certifications. By its execution of this Agreement, the undersigned officer and the Company hereby certify that:</w:t>
      </w:r>
    </w:p>
    <w:p>
      <w:pPr>
        <w:spacing w:after="0" w:line="225" w:lineRule="exact"/>
        <w:rPr>
          <w:rFonts w:ascii="Arial" w:cs="Arial" w:eastAsia="Arial" w:hAnsi="Arial"/>
          <w:sz w:val="18"/>
          <w:szCs w:val="18"/>
          <w:color w:val="auto"/>
        </w:rPr>
      </w:pPr>
    </w:p>
    <w:p>
      <w:pPr>
        <w:jc w:val="both"/>
        <w:ind w:left="2252" w:hanging="754"/>
        <w:spacing w:after="0" w:line="271" w:lineRule="auto"/>
        <w:tabs>
          <w:tab w:leader="none" w:pos="2259" w:val="left"/>
        </w:tabs>
        <w:numPr>
          <w:ilvl w:val="1"/>
          <w:numId w:val="206"/>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(i) the Parent and the Company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 Credit Agreement and (ii) each Loan Party contained in each other Loan Document or in any document furnished at any time under or in connection with the Credit Agreement or any other Loan Document shall be true and correct in all material respects (or, if such representation or warranty is itself modified by materiality or Material Adverse Effect, it shall be true and correct in all respects) on and as of the date hereof except (A) to the extent that such representations and warranties specifically relate to an earlier date, in which case such representations and warranties were true and correct in all material respects (or, with respect to representations and warranties modified by materiality or Material Adverse Effect, in all respects) on and as of such earlier date and (B) the making of the representation and warranty contained in Section 5.04(b) of the Credit Agreement shall only be required as a condition precedent to the Closing Date and the effectiveness of the Commitments on the Closing Date;</w:t>
      </w:r>
    </w:p>
    <w:p>
      <w:pPr>
        <w:spacing w:after="0" w:line="168" w:lineRule="exact"/>
        <w:rPr>
          <w:rFonts w:ascii="Arial" w:cs="Arial" w:eastAsia="Arial" w:hAnsi="Arial"/>
          <w:sz w:val="17"/>
          <w:szCs w:val="17"/>
          <w:color w:val="auto"/>
        </w:rPr>
      </w:pPr>
    </w:p>
    <w:p>
      <w:pPr>
        <w:ind w:left="2252" w:hanging="754"/>
        <w:spacing w:after="0" w:line="261" w:lineRule="auto"/>
        <w:tabs>
          <w:tab w:leader="none" w:pos="2256" w:val="left"/>
        </w:tabs>
        <w:numPr>
          <w:ilvl w:val="1"/>
          <w:numId w:val="206"/>
        </w:numPr>
        <w:rPr>
          <w:rFonts w:ascii="Arial" w:cs="Arial" w:eastAsia="Arial" w:hAnsi="Arial"/>
          <w:sz w:val="19"/>
          <w:szCs w:val="19"/>
          <w:color w:val="auto"/>
        </w:rPr>
      </w:pPr>
      <w:r>
        <w:rPr>
          <w:rFonts w:ascii="Arial" w:cs="Arial" w:eastAsia="Arial" w:hAnsi="Arial"/>
          <w:sz w:val="19"/>
          <w:szCs w:val="19"/>
          <w:color w:val="auto"/>
        </w:rPr>
        <w:t>No Event of Default exists as of the date of the Increase Effective Date or would result from the consummation of the Proposed Borrowing contemplated hereby;</w:t>
      </w:r>
    </w:p>
    <w:p>
      <w:pPr>
        <w:spacing w:after="0" w:line="172" w:lineRule="exact"/>
        <w:rPr>
          <w:rFonts w:ascii="Arial" w:cs="Arial" w:eastAsia="Arial" w:hAnsi="Arial"/>
          <w:sz w:val="19"/>
          <w:szCs w:val="19"/>
          <w:color w:val="auto"/>
        </w:rPr>
      </w:pPr>
    </w:p>
    <w:p>
      <w:pPr>
        <w:ind w:left="2252" w:hanging="754"/>
        <w:spacing w:after="0" w:line="261" w:lineRule="auto"/>
        <w:tabs>
          <w:tab w:leader="none" w:pos="2252" w:val="left"/>
        </w:tabs>
        <w:numPr>
          <w:ilvl w:val="1"/>
          <w:numId w:val="206"/>
        </w:numPr>
        <w:rPr>
          <w:rFonts w:ascii="Arial" w:cs="Arial" w:eastAsia="Arial" w:hAnsi="Arial"/>
          <w:sz w:val="19"/>
          <w:szCs w:val="19"/>
          <w:color w:val="auto"/>
        </w:rPr>
      </w:pPr>
      <w:r>
        <w:rPr>
          <w:rFonts w:ascii="Arial" w:cs="Arial" w:eastAsia="Arial" w:hAnsi="Arial"/>
          <w:sz w:val="19"/>
          <w:szCs w:val="19"/>
          <w:color w:val="auto"/>
        </w:rPr>
        <w:t>All fees and expenses due to the Administrative Agent and any Lender (other than any Defaulting Lender) with respect to the New Loan Commitment and the New Loans have been paid;</w:t>
      </w:r>
    </w:p>
    <w:p>
      <w:pPr>
        <w:spacing w:after="0" w:line="172" w:lineRule="exact"/>
        <w:rPr>
          <w:rFonts w:ascii="Arial" w:cs="Arial" w:eastAsia="Arial" w:hAnsi="Arial"/>
          <w:sz w:val="19"/>
          <w:szCs w:val="19"/>
          <w:color w:val="auto"/>
        </w:rPr>
      </w:pPr>
    </w:p>
    <w:p>
      <w:pPr>
        <w:jc w:val="both"/>
        <w:ind w:left="2252" w:hanging="754"/>
        <w:spacing w:after="0" w:line="249" w:lineRule="auto"/>
        <w:tabs>
          <w:tab w:leader="none" w:pos="2271" w:val="left"/>
        </w:tabs>
        <w:numPr>
          <w:ilvl w:val="1"/>
          <w:numId w:val="206"/>
        </w:numPr>
        <w:rPr>
          <w:rFonts w:ascii="Arial" w:cs="Arial" w:eastAsia="Arial" w:hAnsi="Arial"/>
          <w:sz w:val="19"/>
          <w:szCs w:val="19"/>
          <w:color w:val="auto"/>
        </w:rPr>
      </w:pPr>
      <w:r>
        <w:rPr>
          <w:rFonts w:ascii="Arial" w:cs="Arial" w:eastAsia="Arial" w:hAnsi="Arial"/>
          <w:sz w:val="19"/>
          <w:szCs w:val="19"/>
          <w:color w:val="auto"/>
        </w:rPr>
        <w:t>The Company shall deliver or cause to be delivered the following legal opinions and documents: [_____], together with all other legal opinions and other documents reasonably requested by the Administrative Agent in connection with this Agreement; and</w:t>
      </w:r>
    </w:p>
    <w:p>
      <w:pPr>
        <w:spacing w:after="0" w:line="183" w:lineRule="exact"/>
        <w:rPr>
          <w:rFonts w:ascii="Arial" w:cs="Arial" w:eastAsia="Arial" w:hAnsi="Arial"/>
          <w:sz w:val="19"/>
          <w:szCs w:val="19"/>
          <w:color w:val="auto"/>
        </w:rPr>
      </w:pPr>
    </w:p>
    <w:p>
      <w:pPr>
        <w:ind w:left="2252" w:hanging="754"/>
        <w:spacing w:after="0" w:line="289" w:lineRule="auto"/>
        <w:tabs>
          <w:tab w:leader="none" w:pos="225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New Loans rank pari passu in right of payment with all other Loans and no New Loans are secured by or receive the benefit of any collateral, credit support or security that does not secure or support the existing Loans.</w:t>
      </w:r>
    </w:p>
    <w:p>
      <w:pPr>
        <w:spacing w:after="0" w:line="150" w:lineRule="exact"/>
        <w:rPr>
          <w:sz w:val="20"/>
          <w:szCs w:val="20"/>
          <w:color w:val="auto"/>
        </w:rPr>
      </w:pPr>
    </w:p>
    <w:p>
      <w:pPr>
        <w:ind w:left="752" w:hanging="752"/>
        <w:spacing w:after="0"/>
        <w:tabs>
          <w:tab w:leader="none" w:pos="752" w:val="left"/>
        </w:tabs>
        <w:numPr>
          <w:ilvl w:val="0"/>
          <w:numId w:val="207"/>
        </w:numPr>
        <w:rPr>
          <w:rFonts w:ascii="Arial" w:cs="Arial" w:eastAsia="Arial" w:hAnsi="Arial"/>
          <w:sz w:val="19"/>
          <w:szCs w:val="19"/>
          <w:color w:val="auto"/>
        </w:rPr>
      </w:pPr>
      <w:r>
        <w:rPr>
          <w:rFonts w:ascii="Arial" w:cs="Arial" w:eastAsia="Arial" w:hAnsi="Arial"/>
          <w:sz w:val="19"/>
          <w:szCs w:val="19"/>
          <w:color w:val="auto"/>
        </w:rPr>
        <w:t>Company Covenants. By its execution of this Agreement, the Company hereby covenants that:</w:t>
      </w:r>
    </w:p>
    <w:p>
      <w:pPr>
        <w:spacing w:after="0" w:line="213" w:lineRule="exact"/>
        <w:rPr>
          <w:rFonts w:ascii="Arial" w:cs="Arial" w:eastAsia="Arial" w:hAnsi="Arial"/>
          <w:sz w:val="19"/>
          <w:szCs w:val="19"/>
          <w:color w:val="auto"/>
        </w:rPr>
      </w:pPr>
    </w:p>
    <w:p>
      <w:pPr>
        <w:ind w:left="2252" w:hanging="754"/>
        <w:spacing w:after="0" w:line="261" w:lineRule="auto"/>
        <w:tabs>
          <w:tab w:leader="none" w:pos="2252" w:val="left"/>
        </w:tabs>
        <w:numPr>
          <w:ilvl w:val="1"/>
          <w:numId w:val="207"/>
        </w:numPr>
        <w:rPr>
          <w:rFonts w:ascii="Arial" w:cs="Arial" w:eastAsia="Arial" w:hAnsi="Arial"/>
          <w:sz w:val="19"/>
          <w:szCs w:val="19"/>
          <w:color w:val="auto"/>
        </w:rPr>
      </w:pPr>
      <w:r>
        <w:rPr>
          <w:rFonts w:ascii="Arial" w:cs="Arial" w:eastAsia="Arial" w:hAnsi="Arial"/>
          <w:sz w:val="19"/>
          <w:szCs w:val="19"/>
          <w:color w:val="auto"/>
        </w:rPr>
        <w:t>[The Company shall make any payments required pursuant to Section 2.14 of the Credit Agreement in connection with the New Loan Commitments;];</w:t>
      </w:r>
    </w:p>
    <w:p>
      <w:pPr>
        <w:spacing w:after="0" w:line="172" w:lineRule="exact"/>
        <w:rPr>
          <w:rFonts w:ascii="Arial" w:cs="Arial" w:eastAsia="Arial" w:hAnsi="Arial"/>
          <w:sz w:val="19"/>
          <w:szCs w:val="19"/>
          <w:color w:val="auto"/>
        </w:rPr>
      </w:pPr>
    </w:p>
    <w:p>
      <w:pPr>
        <w:jc w:val="both"/>
        <w:ind w:left="2252" w:hanging="754"/>
        <w:spacing w:after="0" w:line="283" w:lineRule="auto"/>
        <w:tabs>
          <w:tab w:leader="none" w:pos="2272" w:val="left"/>
        </w:tabs>
        <w:numPr>
          <w:ilvl w:val="1"/>
          <w:numId w:val="207"/>
        </w:numPr>
        <w:rPr>
          <w:rFonts w:ascii="Arial" w:cs="Arial" w:eastAsia="Arial" w:hAnsi="Arial"/>
          <w:sz w:val="17"/>
          <w:szCs w:val="17"/>
          <w:color w:val="auto"/>
        </w:rPr>
      </w:pPr>
      <w:r>
        <w:rPr>
          <w:rFonts w:ascii="Arial" w:cs="Arial" w:eastAsia="Arial" w:hAnsi="Arial"/>
          <w:sz w:val="17"/>
          <w:szCs w:val="17"/>
          <w:color w:val="auto"/>
        </w:rPr>
        <w:t>The Officer’s Certificate attached hereto and executed by a Responsible Officer of the Company (A) sets forth the calculations (in reasonable detail) demonstrating compliance with the financial tests described in Section 7.08 of the Credit Agreement as of the date of this Agreement on a pro forma basis and (B) certifies that each of the conditions of Section 4.02 of the Credit Agreement have been met as of the date of the date of this Agreement; and</w:t>
      </w:r>
    </w:p>
    <w:p>
      <w:pPr>
        <w:spacing w:after="0" w:line="158" w:lineRule="exact"/>
        <w:rPr>
          <w:rFonts w:ascii="Arial" w:cs="Arial" w:eastAsia="Arial" w:hAnsi="Arial"/>
          <w:sz w:val="17"/>
          <w:szCs w:val="17"/>
          <w:color w:val="auto"/>
        </w:rPr>
      </w:pPr>
    </w:p>
    <w:p>
      <w:pPr>
        <w:ind w:left="2252" w:hanging="754"/>
        <w:spacing w:after="0"/>
        <w:tabs>
          <w:tab w:leader="none" w:pos="2252" w:val="left"/>
        </w:tabs>
        <w:numPr>
          <w:ilvl w:val="1"/>
          <w:numId w:val="207"/>
        </w:numPr>
        <w:rPr>
          <w:rFonts w:ascii="Arial" w:cs="Arial" w:eastAsia="Arial" w:hAnsi="Arial"/>
          <w:sz w:val="17"/>
          <w:szCs w:val="17"/>
          <w:color w:val="auto"/>
        </w:rPr>
      </w:pPr>
      <w:r>
        <w:rPr>
          <w:rFonts w:ascii="Arial" w:cs="Arial" w:eastAsia="Arial" w:hAnsi="Arial"/>
          <w:sz w:val="17"/>
          <w:szCs w:val="17"/>
          <w:color w:val="auto"/>
        </w:rPr>
        <w:t>The proceeds of the New Loans shall be used for the purposes permitted under Section 6.08 of the Credit Agreement.</w:t>
      </w:r>
    </w:p>
    <w:p>
      <w:pPr>
        <w:spacing w:after="0" w:line="236" w:lineRule="exact"/>
        <w:rPr>
          <w:rFonts w:ascii="Arial" w:cs="Arial" w:eastAsia="Arial" w:hAnsi="Arial"/>
          <w:sz w:val="17"/>
          <w:szCs w:val="17"/>
          <w:color w:val="auto"/>
        </w:rPr>
      </w:pPr>
    </w:p>
    <w:p>
      <w:pPr>
        <w:ind w:left="752" w:hanging="752"/>
        <w:spacing w:after="0"/>
        <w:tabs>
          <w:tab w:leader="none" w:pos="75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Eligible Assignee. By its execution of this Agreement, each New Lender represents and warrants that it is an Eligible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358775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7" w:right="339" w:bottom="1440" w:gutter="0" w:footer="0" w:header="0"/>
        </w:sectPr>
      </w:pPr>
    </w:p>
    <w:bookmarkStart w:id="200" w:name="page201"/>
    <w:bookmarkEnd w:id="200"/>
    <w:p>
      <w:pPr>
        <w:ind w:left="760" w:hanging="752"/>
        <w:spacing w:after="0" w:line="261" w:lineRule="auto"/>
        <w:tabs>
          <w:tab w:leader="none" w:pos="78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Notice. For purposes of the Credit Agreement, the initial notice address of each New Lender shall be as set forth below its signature below.</w:t>
      </w:r>
    </w:p>
    <w:p>
      <w:pPr>
        <w:spacing w:after="0" w:line="172" w:lineRule="exact"/>
        <w:rPr>
          <w:rFonts w:ascii="Arial" w:cs="Arial" w:eastAsia="Arial" w:hAnsi="Arial"/>
          <w:sz w:val="19"/>
          <w:szCs w:val="19"/>
          <w:color w:val="auto"/>
        </w:rPr>
      </w:pPr>
    </w:p>
    <w:p>
      <w:pPr>
        <w:ind w:left="760" w:hanging="752"/>
        <w:spacing w:after="0" w:line="261" w:lineRule="auto"/>
        <w:tabs>
          <w:tab w:leader="none" w:pos="78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Recordation of the New Loans. Upon execution and delivery hereof, Administrative Agent will record the New Loans made by New Lenders in the Register.</w:t>
      </w:r>
    </w:p>
    <w:p>
      <w:pPr>
        <w:spacing w:after="0" w:line="172" w:lineRule="exact"/>
        <w:rPr>
          <w:rFonts w:ascii="Arial" w:cs="Arial" w:eastAsia="Arial" w:hAnsi="Arial"/>
          <w:sz w:val="19"/>
          <w:szCs w:val="19"/>
          <w:color w:val="auto"/>
        </w:rPr>
      </w:pPr>
    </w:p>
    <w:p>
      <w:pPr>
        <w:ind w:left="760" w:hanging="752"/>
        <w:spacing w:after="0" w:line="261" w:lineRule="auto"/>
        <w:tabs>
          <w:tab w:leader="none" w:pos="762" w:val="left"/>
        </w:tabs>
        <w:numPr>
          <w:ilvl w:val="0"/>
          <w:numId w:val="208"/>
        </w:numPr>
        <w:rPr>
          <w:rFonts w:ascii="Arial" w:cs="Arial" w:eastAsia="Arial" w:hAnsi="Arial"/>
          <w:sz w:val="19"/>
          <w:szCs w:val="19"/>
          <w:color w:val="auto"/>
        </w:rPr>
      </w:pPr>
      <w:r>
        <w:rPr>
          <w:rFonts w:ascii="Arial" w:cs="Arial" w:eastAsia="Arial" w:hAnsi="Arial"/>
          <w:sz w:val="19"/>
          <w:szCs w:val="19"/>
          <w:color w:val="auto"/>
        </w:rPr>
        <w:t>Amendment, Modification and Waiver. This Agreement may not be amended, modified or waived except by an instrument or instruments in writing signed and delivered on behalf of each of the parties hereto.</w:t>
      </w:r>
    </w:p>
    <w:p>
      <w:pPr>
        <w:spacing w:after="0" w:line="172" w:lineRule="exact"/>
        <w:rPr>
          <w:rFonts w:ascii="Arial" w:cs="Arial" w:eastAsia="Arial" w:hAnsi="Arial"/>
          <w:sz w:val="19"/>
          <w:szCs w:val="19"/>
          <w:color w:val="auto"/>
        </w:rPr>
      </w:pPr>
    </w:p>
    <w:p>
      <w:pPr>
        <w:jc w:val="both"/>
        <w:ind w:left="760" w:hanging="752"/>
        <w:spacing w:after="0" w:line="249" w:lineRule="auto"/>
        <w:tabs>
          <w:tab w:leader="none" w:pos="786" w:val="left"/>
        </w:tabs>
        <w:numPr>
          <w:ilvl w:val="0"/>
          <w:numId w:val="208"/>
        </w:numPr>
        <w:rPr>
          <w:rFonts w:ascii="Arial" w:cs="Arial" w:eastAsia="Arial" w:hAnsi="Arial"/>
          <w:sz w:val="19"/>
          <w:szCs w:val="19"/>
          <w:color w:val="auto"/>
        </w:rPr>
      </w:pPr>
      <w:r>
        <w:rPr>
          <w:rFonts w:ascii="Arial" w:cs="Arial" w:eastAsia="Arial" w:hAnsi="Arial"/>
          <w:sz w:val="19"/>
          <w:szCs w:val="19"/>
          <w:color w:val="auto"/>
        </w:rPr>
        <w:t>Entire Agreement. This Agreement, the Credit Agreement and the other Loan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183" w:lineRule="exact"/>
        <w:rPr>
          <w:rFonts w:ascii="Arial" w:cs="Arial" w:eastAsia="Arial" w:hAnsi="Arial"/>
          <w:sz w:val="19"/>
          <w:szCs w:val="19"/>
          <w:color w:val="auto"/>
        </w:rPr>
      </w:pPr>
    </w:p>
    <w:p>
      <w:pPr>
        <w:jc w:val="both"/>
        <w:ind w:left="760" w:hanging="752"/>
        <w:spacing w:after="0" w:line="245" w:lineRule="auto"/>
        <w:tabs>
          <w:tab w:leader="none" w:pos="773" w:val="left"/>
        </w:tabs>
        <w:numPr>
          <w:ilvl w:val="0"/>
          <w:numId w:val="208"/>
        </w:numPr>
        <w:rPr>
          <w:rFonts w:ascii="Arial" w:cs="Arial" w:eastAsia="Arial" w:hAnsi="Arial"/>
          <w:sz w:val="19"/>
          <w:szCs w:val="19"/>
          <w:color w:val="auto"/>
        </w:rPr>
      </w:pPr>
      <w:r>
        <w:rPr>
          <w:rFonts w:ascii="Arial" w:cs="Arial" w:eastAsia="Arial" w:hAnsi="Arial"/>
          <w:sz w:val="19"/>
          <w:szCs w:val="19"/>
          <w:color w:val="auto"/>
        </w:rPr>
        <w:t>GOVERNING LAW. THIS AGREEMENT AND THE RIGHTS AND OBLIGATIONS OF THE PARTIES HEREUNDER SHALL BE GOVERNED BY, AND SHALL BE CONSTRUED AND ENFORCED IN ACCORDANCE WITH, THE LAW OF THE STATE OF NEW YORK WITHOUT REGARD TO CONFLICT OF LAWS PRINCIPLES THEREOF THAT WOULD RESULT IN THE APPLICATION OF ANY LAW OTHER THAN THE LAW OF THE STATE OF NEW YORK.</w:t>
      </w:r>
    </w:p>
    <w:p>
      <w:pPr>
        <w:spacing w:after="0" w:line="187" w:lineRule="exact"/>
        <w:rPr>
          <w:rFonts w:ascii="Arial" w:cs="Arial" w:eastAsia="Arial" w:hAnsi="Arial"/>
          <w:sz w:val="19"/>
          <w:szCs w:val="19"/>
          <w:color w:val="auto"/>
        </w:rPr>
      </w:pPr>
    </w:p>
    <w:p>
      <w:pPr>
        <w:jc w:val="both"/>
        <w:ind w:left="760" w:hanging="752"/>
        <w:spacing w:after="0" w:line="243" w:lineRule="auto"/>
        <w:tabs>
          <w:tab w:leader="none" w:pos="76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Severability.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would be enforceable.</w:t>
      </w:r>
    </w:p>
    <w:p>
      <w:pPr>
        <w:spacing w:after="0" w:line="189" w:lineRule="exact"/>
        <w:rPr>
          <w:rFonts w:ascii="Arial" w:cs="Arial" w:eastAsia="Arial" w:hAnsi="Arial"/>
          <w:sz w:val="19"/>
          <w:szCs w:val="19"/>
          <w:color w:val="auto"/>
        </w:rPr>
      </w:pPr>
    </w:p>
    <w:p>
      <w:pPr>
        <w:ind w:left="760" w:hanging="752"/>
        <w:spacing w:after="0" w:line="261" w:lineRule="auto"/>
        <w:tabs>
          <w:tab w:leader="none" w:pos="771" w:val="left"/>
        </w:tabs>
        <w:numPr>
          <w:ilvl w:val="0"/>
          <w:numId w:val="208"/>
        </w:numPr>
        <w:rPr>
          <w:rFonts w:ascii="Arial" w:cs="Arial" w:eastAsia="Arial" w:hAnsi="Arial"/>
          <w:sz w:val="19"/>
          <w:szCs w:val="19"/>
          <w:color w:val="auto"/>
        </w:rPr>
      </w:pPr>
      <w:r>
        <w:rPr>
          <w:rFonts w:ascii="Arial" w:cs="Arial" w:eastAsia="Arial" w:hAnsi="Arial"/>
          <w:sz w:val="19"/>
          <w:szCs w:val="19"/>
          <w:color w:val="auto"/>
        </w:rPr>
        <w:t>Counterparts. This Agreement may be executed in counterparts, each of which shall be deemed to be an original, but all of which shall constitute one and the same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351155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01" w:name="page202"/>
    <w:bookmarkEnd w:id="201"/>
    <w:p>
      <w:pPr>
        <w:ind w:firstLine="749"/>
        <w:spacing w:after="0" w:line="261" w:lineRule="auto"/>
        <w:rPr>
          <w:sz w:val="20"/>
          <w:szCs w:val="20"/>
          <w:color w:val="auto"/>
        </w:rPr>
      </w:pPr>
      <w:r>
        <w:rPr>
          <w:rFonts w:ascii="Arial" w:cs="Arial" w:eastAsia="Arial" w:hAnsi="Arial"/>
          <w:sz w:val="19"/>
          <w:szCs w:val="19"/>
          <w:color w:val="auto"/>
        </w:rPr>
        <w:t>IN WITNESS WHEREOF, each of the undersigned has caused its duly authorized officer to execute and deliver this Joinder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[NAME OF NEW LENDER]</w:t>
      </w:r>
    </w:p>
    <w:p>
      <w:pPr>
        <w:spacing w:after="0" w:line="200" w:lineRule="exact"/>
        <w:rPr>
          <w:sz w:val="20"/>
          <w:szCs w:val="20"/>
          <w:color w:val="auto"/>
        </w:rPr>
      </w:pPr>
    </w:p>
    <w:p>
      <w:pPr>
        <w:spacing w:after="0" w:line="230"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By:______________________________</w:t>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Name:</w:t>
      </w:r>
    </w:p>
    <w:p>
      <w:pPr>
        <w:ind w:left="4500"/>
        <w:spacing w:after="0"/>
        <w:rPr>
          <w:sz w:val="20"/>
          <w:szCs w:val="20"/>
          <w:color w:val="auto"/>
        </w:rPr>
      </w:pPr>
      <w:r>
        <w:rPr>
          <w:rFonts w:ascii="Arial" w:cs="Arial" w:eastAsia="Arial" w:hAnsi="Arial"/>
          <w:sz w:val="19"/>
          <w:szCs w:val="19"/>
          <w:color w:val="auto"/>
        </w:rPr>
        <w:t>Title:</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Notice Address:</w:t>
      </w: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Attention:</w:t>
      </w:r>
    </w:p>
    <w:p>
      <w:pPr>
        <w:spacing w:after="0" w:line="11"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Telephone:</w:t>
      </w:r>
    </w:p>
    <w:p>
      <w:pPr>
        <w:ind w:left="4500"/>
        <w:spacing w:after="0"/>
        <w:rPr>
          <w:sz w:val="20"/>
          <w:szCs w:val="20"/>
          <w:color w:val="auto"/>
        </w:rPr>
      </w:pPr>
      <w:r>
        <w:rPr>
          <w:rFonts w:ascii="Arial" w:cs="Arial" w:eastAsia="Arial" w:hAnsi="Arial"/>
          <w:sz w:val="19"/>
          <w:szCs w:val="19"/>
          <w:color w:val="auto"/>
        </w:rPr>
        <w:t>Facsimile: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TRINITY ACQUISITION PLC</w:t>
      </w:r>
    </w:p>
    <w:p>
      <w:pPr>
        <w:spacing w:after="0" w:line="200" w:lineRule="exact"/>
        <w:rPr>
          <w:sz w:val="20"/>
          <w:szCs w:val="20"/>
          <w:color w:val="auto"/>
        </w:rPr>
      </w:pPr>
    </w:p>
    <w:p>
      <w:pPr>
        <w:spacing w:after="0" w:line="230"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By:</w:t>
      </w:r>
    </w:p>
    <w:p>
      <w:pPr>
        <w:spacing w:after="0" w:line="106"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Name:</w:t>
      </w:r>
    </w:p>
    <w:p>
      <w:pPr>
        <w:spacing w:after="0" w:line="106"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color w:val="auto"/>
        </w:rPr>
        <w:t>Consented to by:</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BARCLAYS BANK PLC,</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as Administrative Agent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18"/>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5980" w:type="dxa"/>
            <w:vAlign w:val="bottom"/>
          </w:tcPr>
          <w:p>
            <w:pPr>
              <w:jc w:val="right"/>
              <w:spacing w:after="0"/>
              <w:rPr>
                <w:sz w:val="20"/>
                <w:szCs w:val="20"/>
                <w:color w:val="auto"/>
              </w:rPr>
            </w:pPr>
            <w:r>
              <w:rPr>
                <w:rFonts w:ascii="Arial" w:cs="Arial" w:eastAsia="Arial" w:hAnsi="Arial"/>
                <w:sz w:val="19"/>
                <w:szCs w:val="19"/>
                <w:color w:val="auto"/>
              </w:rPr>
              <w:t>SCHEDULE A</w:t>
            </w:r>
          </w:p>
        </w:tc>
      </w:tr>
      <w:tr>
        <w:trPr>
          <w:trHeight w:val="240"/>
        </w:trPr>
        <w:tc>
          <w:tcPr>
            <w:tcW w:w="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5980" w:type="dxa"/>
            <w:vAlign w:val="bottom"/>
          </w:tcPr>
          <w:p>
            <w:pPr>
              <w:jc w:val="right"/>
              <w:spacing w:after="0"/>
              <w:rPr>
                <w:sz w:val="20"/>
                <w:szCs w:val="20"/>
                <w:color w:val="auto"/>
              </w:rPr>
            </w:pPr>
            <w:r>
              <w:rPr>
                <w:rFonts w:ascii="Arial" w:cs="Arial" w:eastAsia="Arial" w:hAnsi="Arial"/>
                <w:sz w:val="19"/>
                <w:szCs w:val="19"/>
                <w:color w:val="auto"/>
              </w:rPr>
              <w:t>TO JOINDER AGREEMENT</w:t>
            </w:r>
          </w:p>
        </w:tc>
      </w:tr>
      <w:tr>
        <w:trPr>
          <w:trHeight w:val="281"/>
        </w:trPr>
        <w:tc>
          <w:tcPr>
            <w:tcW w:w="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r>
        <w:trPr>
          <w:trHeight w:val="280"/>
        </w:trPr>
        <w:tc>
          <w:tcPr>
            <w:tcW w:w="40" w:type="dxa"/>
            <w:vAlign w:val="bottom"/>
            <w:tcBorders>
              <w:right w:val="single" w:sz="8" w:color="auto"/>
            </w:tcBorders>
            <w:shd w:val="clear" w:color="auto" w:fill="000000"/>
          </w:tcPr>
          <w:p>
            <w:pPr>
              <w:spacing w:after="0"/>
              <w:rPr>
                <w:sz w:val="24"/>
                <w:szCs w:val="24"/>
                <w:color w:val="auto"/>
              </w:rPr>
            </w:pPr>
          </w:p>
        </w:tc>
        <w:tc>
          <w:tcPr>
            <w:tcW w:w="5220" w:type="dxa"/>
            <w:vAlign w:val="bottom"/>
            <w:tcBorders>
              <w:right w:val="single" w:sz="8" w:color="auto"/>
            </w:tcBorders>
          </w:tcPr>
          <w:p>
            <w:pPr>
              <w:jc w:val="right"/>
              <w:ind w:right="1706"/>
              <w:spacing w:after="0"/>
              <w:rPr>
                <w:sz w:val="20"/>
                <w:szCs w:val="20"/>
                <w:color w:val="auto"/>
              </w:rPr>
            </w:pPr>
            <w:r>
              <w:rPr>
                <w:rFonts w:ascii="Arial" w:cs="Arial" w:eastAsia="Arial" w:hAnsi="Arial"/>
                <w:sz w:val="19"/>
                <w:szCs w:val="19"/>
                <w:color w:val="auto"/>
              </w:rPr>
              <w:t>Name of New Lender</w:t>
            </w:r>
          </w:p>
        </w:tc>
        <w:tc>
          <w:tcPr>
            <w:tcW w:w="5980" w:type="dxa"/>
            <w:vAlign w:val="bottom"/>
            <w:tcBorders>
              <w:right w:val="single" w:sz="8" w:color="auto"/>
            </w:tcBorders>
          </w:tcPr>
          <w:p>
            <w:pPr>
              <w:jc w:val="right"/>
              <w:ind w:right="2086"/>
              <w:spacing w:after="0"/>
              <w:rPr>
                <w:sz w:val="20"/>
                <w:szCs w:val="20"/>
                <w:color w:val="auto"/>
              </w:rPr>
            </w:pPr>
            <w:r>
              <w:rPr>
                <w:rFonts w:ascii="Arial" w:cs="Arial" w:eastAsia="Arial" w:hAnsi="Arial"/>
                <w:sz w:val="19"/>
                <w:szCs w:val="19"/>
                <w:color w:val="auto"/>
              </w:rPr>
              <w:t>Commitment Amount</w:t>
            </w:r>
          </w:p>
        </w:tc>
      </w:tr>
      <w:tr>
        <w:trPr>
          <w:trHeight w:val="93"/>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220" w:type="dxa"/>
            <w:vAlign w:val="bottom"/>
            <w:tcBorders>
              <w:bottom w:val="single" w:sz="8" w:color="auto"/>
              <w:right w:val="single" w:sz="8" w:color="auto"/>
            </w:tcBorders>
          </w:tcPr>
          <w:p>
            <w:pPr>
              <w:spacing w:after="0"/>
              <w:rPr>
                <w:sz w:val="8"/>
                <w:szCs w:val="8"/>
                <w:color w:val="auto"/>
              </w:rPr>
            </w:pPr>
          </w:p>
        </w:tc>
        <w:tc>
          <w:tcPr>
            <w:tcW w:w="5980" w:type="dxa"/>
            <w:vAlign w:val="bottom"/>
            <w:tcBorders>
              <w:bottom w:val="single" w:sz="8" w:color="auto"/>
              <w:right w:val="single" w:sz="8" w:color="auto"/>
            </w:tcBorders>
          </w:tcPr>
          <w:p>
            <w:pPr>
              <w:spacing w:after="0"/>
              <w:rPr>
                <w:sz w:val="8"/>
                <w:szCs w:val="8"/>
                <w:color w:val="auto"/>
              </w:rPr>
            </w:pPr>
          </w:p>
        </w:tc>
      </w:tr>
      <w:tr>
        <w:trPr>
          <w:trHeight w:val="292"/>
        </w:trPr>
        <w:tc>
          <w:tcPr>
            <w:tcW w:w="40" w:type="dxa"/>
            <w:vAlign w:val="bottom"/>
            <w:tcBorders>
              <w:right w:val="single" w:sz="8" w:color="auto"/>
            </w:tcBorders>
            <w:shd w:val="clear" w:color="auto" w:fill="000000"/>
          </w:tcPr>
          <w:p>
            <w:pPr>
              <w:spacing w:after="0"/>
              <w:rPr>
                <w:sz w:val="24"/>
                <w:szCs w:val="24"/>
                <w:color w:val="auto"/>
              </w:rPr>
            </w:pPr>
          </w:p>
        </w:tc>
        <w:tc>
          <w:tcPr>
            <w:tcW w:w="5220" w:type="dxa"/>
            <w:vAlign w:val="bottom"/>
            <w:tcBorders>
              <w:right w:val="single" w:sz="8" w:color="auto"/>
            </w:tcBorders>
          </w:tcPr>
          <w:p>
            <w:pPr>
              <w:jc w:val="right"/>
              <w:ind w:right="3086"/>
              <w:spacing w:after="0"/>
              <w:rPr>
                <w:sz w:val="20"/>
                <w:szCs w:val="20"/>
                <w:color w:val="auto"/>
              </w:rPr>
            </w:pPr>
            <w:r>
              <w:rPr>
                <w:rFonts w:ascii="Arial" w:cs="Arial" w:eastAsia="Arial" w:hAnsi="Arial"/>
                <w:sz w:val="19"/>
                <w:szCs w:val="19"/>
                <w:color w:val="auto"/>
                <w:w w:val="95"/>
              </w:rPr>
              <w:t>[___________________]</w:t>
            </w:r>
          </w:p>
        </w:tc>
        <w:tc>
          <w:tcPr>
            <w:tcW w:w="5980" w:type="dxa"/>
            <w:vAlign w:val="bottom"/>
            <w:tcBorders>
              <w:right w:val="single" w:sz="8" w:color="auto"/>
            </w:tcBorders>
          </w:tcPr>
          <w:p>
            <w:pPr>
              <w:jc w:val="right"/>
              <w:ind w:right="3546"/>
              <w:spacing w:after="0"/>
              <w:rPr>
                <w:sz w:val="20"/>
                <w:szCs w:val="20"/>
                <w:color w:val="auto"/>
              </w:rPr>
            </w:pPr>
            <w:r>
              <w:rPr>
                <w:rFonts w:ascii="Arial" w:cs="Arial" w:eastAsia="Arial" w:hAnsi="Arial"/>
                <w:sz w:val="19"/>
                <w:szCs w:val="19"/>
                <w:color w:val="auto"/>
              </w:rPr>
              <w:t>$________________</w:t>
            </w:r>
          </w:p>
        </w:tc>
      </w:tr>
      <w:tr>
        <w:trPr>
          <w:trHeight w:val="79"/>
        </w:trPr>
        <w:tc>
          <w:tcPr>
            <w:tcW w:w="40" w:type="dxa"/>
            <w:vAlign w:val="bottom"/>
            <w:tcBorders>
              <w:bottom w:val="single" w:sz="8" w:color="auto"/>
              <w:right w:val="single" w:sz="8" w:color="auto"/>
            </w:tcBorders>
            <w:shd w:val="clear" w:color="auto" w:fill="000000"/>
          </w:tcPr>
          <w:p>
            <w:pPr>
              <w:spacing w:after="0"/>
              <w:rPr>
                <w:sz w:val="6"/>
                <w:szCs w:val="6"/>
                <w:color w:val="auto"/>
              </w:rPr>
            </w:pPr>
          </w:p>
        </w:tc>
        <w:tc>
          <w:tcPr>
            <w:tcW w:w="5220" w:type="dxa"/>
            <w:vAlign w:val="bottom"/>
            <w:tcBorders>
              <w:bottom w:val="single" w:sz="8" w:color="auto"/>
              <w:right w:val="single" w:sz="8" w:color="auto"/>
            </w:tcBorders>
          </w:tcPr>
          <w:p>
            <w:pPr>
              <w:spacing w:after="0"/>
              <w:rPr>
                <w:sz w:val="6"/>
                <w:szCs w:val="6"/>
                <w:color w:val="auto"/>
              </w:rPr>
            </w:pPr>
          </w:p>
        </w:tc>
        <w:tc>
          <w:tcPr>
            <w:tcW w:w="5980" w:type="dxa"/>
            <w:vAlign w:val="bottom"/>
            <w:tcBorders>
              <w:bottom w:val="single" w:sz="8" w:color="auto"/>
              <w:right w:val="single" w:sz="8" w:color="auto"/>
            </w:tcBorders>
          </w:tcPr>
          <w:p>
            <w:pPr>
              <w:spacing w:after="0"/>
              <w:rPr>
                <w:sz w:val="6"/>
                <w:szCs w:val="6"/>
                <w:color w:val="auto"/>
              </w:rPr>
            </w:pPr>
          </w:p>
        </w:tc>
      </w:tr>
      <w:tr>
        <w:trPr>
          <w:trHeight w:val="38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52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right w:val="single" w:sz="8" w:color="auto"/>
            </w:tcBorders>
          </w:tcPr>
          <w:p>
            <w:pPr>
              <w:spacing w:after="0"/>
              <w:rPr>
                <w:sz w:val="24"/>
                <w:szCs w:val="24"/>
                <w:color w:val="auto"/>
              </w:rPr>
            </w:pPr>
          </w:p>
        </w:tc>
      </w:tr>
      <w:tr>
        <w:trPr>
          <w:trHeight w:val="293"/>
        </w:trPr>
        <w:tc>
          <w:tcPr>
            <w:tcW w:w="40" w:type="dxa"/>
            <w:vAlign w:val="bottom"/>
            <w:tcBorders>
              <w:right w:val="single" w:sz="8" w:color="auto"/>
            </w:tcBorders>
            <w:shd w:val="clear" w:color="auto" w:fill="000000"/>
          </w:tcPr>
          <w:p>
            <w:pPr>
              <w:spacing w:after="0"/>
              <w:rPr>
                <w:sz w:val="24"/>
                <w:szCs w:val="24"/>
                <w:color w:val="auto"/>
              </w:rPr>
            </w:pPr>
          </w:p>
        </w:tc>
        <w:tc>
          <w:tcPr>
            <w:tcW w:w="5220" w:type="dxa"/>
            <w:vAlign w:val="bottom"/>
            <w:tcBorders>
              <w:right w:val="single" w:sz="8" w:color="auto"/>
            </w:tcBorders>
          </w:tcPr>
          <w:p>
            <w:pPr>
              <w:spacing w:after="0"/>
              <w:rPr>
                <w:sz w:val="24"/>
                <w:szCs w:val="24"/>
                <w:color w:val="auto"/>
              </w:rPr>
            </w:pPr>
          </w:p>
        </w:tc>
        <w:tc>
          <w:tcPr>
            <w:tcW w:w="5980" w:type="dxa"/>
            <w:vAlign w:val="bottom"/>
            <w:tcBorders>
              <w:right w:val="single" w:sz="8" w:color="auto"/>
            </w:tcBorders>
          </w:tcPr>
          <w:p>
            <w:pPr>
              <w:jc w:val="right"/>
              <w:ind w:right="3566"/>
              <w:spacing w:after="0"/>
              <w:rPr>
                <w:sz w:val="20"/>
                <w:szCs w:val="20"/>
                <w:color w:val="auto"/>
              </w:rPr>
            </w:pPr>
            <w:r>
              <w:rPr>
                <w:rFonts w:ascii="Arial" w:cs="Arial" w:eastAsia="Arial" w:hAnsi="Arial"/>
                <w:sz w:val="19"/>
                <w:szCs w:val="19"/>
                <w:color w:val="auto"/>
                <w:w w:val="94"/>
              </w:rPr>
              <w:t>Total: $_________________</w:t>
            </w:r>
          </w:p>
        </w:tc>
      </w:tr>
      <w:tr>
        <w:trPr>
          <w:trHeight w:val="93"/>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220" w:type="dxa"/>
            <w:vAlign w:val="bottom"/>
            <w:tcBorders>
              <w:bottom w:val="single" w:sz="8" w:color="auto"/>
              <w:right w:val="single" w:sz="8" w:color="auto"/>
            </w:tcBorders>
          </w:tcPr>
          <w:p>
            <w:pPr>
              <w:spacing w:after="0"/>
              <w:rPr>
                <w:sz w:val="8"/>
                <w:szCs w:val="8"/>
                <w:color w:val="auto"/>
              </w:rPr>
            </w:pPr>
          </w:p>
        </w:tc>
        <w:tc>
          <w:tcPr>
            <w:tcW w:w="5980" w:type="dxa"/>
            <w:vAlign w:val="bottom"/>
            <w:tcBorders>
              <w:bottom w:val="single" w:sz="8" w:color="auto"/>
              <w:right w:val="single" w:sz="8" w:color="auto"/>
            </w:tcBorders>
          </w:tcPr>
          <w:p>
            <w:pPr>
              <w:spacing w:after="0"/>
              <w:rPr>
                <w:sz w:val="8"/>
                <w:szCs w:val="8"/>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5220" w:type="dxa"/>
            <w:vAlign w:val="bottom"/>
            <w:tcBorders>
              <w:bottom w:val="single" w:sz="8" w:color="auto"/>
              <w:right w:val="single" w:sz="8" w:color="auto"/>
            </w:tcBorders>
          </w:tcPr>
          <w:p>
            <w:pPr>
              <w:spacing w:after="0" w:line="20" w:lineRule="exact"/>
              <w:rPr>
                <w:sz w:val="1"/>
                <w:szCs w:val="1"/>
                <w:color w:val="auto"/>
              </w:rPr>
            </w:pPr>
          </w:p>
        </w:tc>
        <w:tc>
          <w:tcPr>
            <w:tcW w:w="5980" w:type="dxa"/>
            <w:vAlign w:val="bottom"/>
            <w:tcBorders>
              <w:bottom w:val="single" w:sz="8" w:color="auto"/>
              <w:right w:val="single" w:sz="8" w:color="auto"/>
            </w:tcBorders>
          </w:tcPr>
          <w:p>
            <w:pPr>
              <w:spacing w:after="0" w:line="20" w:lineRule="exact"/>
              <w:rPr>
                <w:sz w:val="1"/>
                <w:szCs w:val="1"/>
                <w:color w:val="auto"/>
              </w:rPr>
            </w:pPr>
          </w:p>
        </w:tc>
      </w:tr>
      <w:tr>
        <w:trPr>
          <w:trHeight w:val="2863"/>
        </w:trPr>
        <w:tc>
          <w:tcPr>
            <w:tcW w:w="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203" w:name="page204"/>
    <w:bookmarkEnd w:id="20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4" w:name="page205"/>
    <w:bookmarkEnd w:id="204"/>
    <w:p>
      <w:pPr>
        <w:ind w:left="10320"/>
        <w:spacing w:after="0"/>
        <w:rPr>
          <w:sz w:val="20"/>
          <w:szCs w:val="20"/>
          <w:color w:val="auto"/>
        </w:rPr>
      </w:pPr>
      <w:r>
        <w:rPr>
          <w:rFonts w:ascii="Arial" w:cs="Arial" w:eastAsia="Arial" w:hAnsi="Arial"/>
          <w:sz w:val="16"/>
          <w:szCs w:val="16"/>
          <w:b w:val="1"/>
          <w:bCs w:val="1"/>
          <w:color w:val="auto"/>
        </w:rPr>
        <w:t>Exhibit 22.1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Issuers and Guarantor Subsidiaries</w:t>
      </w:r>
    </w:p>
    <w:p>
      <w:pPr>
        <w:spacing w:after="0" w:line="200" w:lineRule="exact"/>
        <w:rPr>
          <w:sz w:val="20"/>
          <w:szCs w:val="20"/>
          <w:color w:val="auto"/>
        </w:rPr>
      </w:pPr>
    </w:p>
    <w:p>
      <w:pPr>
        <w:spacing w:after="0" w:line="313"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below table sets forth the respective issuers and guarantors of the notes issued or guaranteed by Willis Towers Watson Public Limited Company, Trinity Acquisition plc and Willis North America Inc. and the jurisdiction of incorporation or organization for each such entity.</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56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840" w:type="dxa"/>
            <w:vAlign w:val="bottom"/>
            <w:tcBorders>
              <w:top w:val="single" w:sz="8" w:color="auto"/>
              <w:bottom w:val="single" w:sz="8" w:color="auto"/>
              <w:right w:val="single" w:sz="8" w:color="auto"/>
            </w:tcBorders>
          </w:tcPr>
          <w:p>
            <w:pPr>
              <w:spacing w:after="0"/>
              <w:rPr>
                <w:sz w:val="18"/>
                <w:szCs w:val="18"/>
                <w:color w:val="auto"/>
              </w:rPr>
            </w:pPr>
          </w:p>
        </w:tc>
        <w:tc>
          <w:tcPr>
            <w:tcW w:w="2940" w:type="dxa"/>
            <w:vAlign w:val="bottom"/>
            <w:tcBorders>
              <w:top w:val="single" w:sz="8" w:color="auto"/>
              <w:bottom w:val="single" w:sz="8" w:color="auto"/>
              <w:right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5"/>
              </w:rPr>
              <w:t>Trinity Acquisition plc</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Willis North America Inc.</w:t>
            </w:r>
          </w:p>
        </w:tc>
      </w:tr>
      <w:tr>
        <w:trPr>
          <w:trHeight w:val="126"/>
        </w:trPr>
        <w:tc>
          <w:tcPr>
            <w:tcW w:w="3560" w:type="dxa"/>
            <w:vAlign w:val="bottom"/>
            <w:tcBorders>
              <w:left w:val="single" w:sz="8" w:color="auto"/>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2940" w:type="dxa"/>
            <w:vAlign w:val="bottom"/>
            <w:tcBorders>
              <w:right w:val="single" w:sz="8" w:color="auto"/>
            </w:tcBorders>
          </w:tcPr>
          <w:p>
            <w:pPr>
              <w:spacing w:after="0"/>
              <w:rPr>
                <w:sz w:val="10"/>
                <w:szCs w:val="10"/>
                <w:color w:val="auto"/>
              </w:rPr>
            </w:pPr>
          </w:p>
        </w:tc>
        <w:tc>
          <w:tcPr>
            <w:tcW w:w="290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2"/>
              </w:rPr>
              <w:t>3.600% senior notes due 2024</w:t>
            </w:r>
          </w:p>
        </w:tc>
      </w:tr>
      <w:tr>
        <w:trPr>
          <w:trHeight w:val="149"/>
        </w:trPr>
        <w:tc>
          <w:tcPr>
            <w:tcW w:w="356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4.650% senior notes due 2027</w:t>
            </w:r>
          </w:p>
        </w:tc>
      </w:tr>
      <w:tr>
        <w:trPr>
          <w:trHeight w:val="148"/>
        </w:trPr>
        <w:tc>
          <w:tcPr>
            <w:tcW w:w="356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4.500% senior notes due 2028</w:t>
            </w:r>
          </w:p>
        </w:tc>
      </w:tr>
      <w:tr>
        <w:trPr>
          <w:trHeight w:val="148"/>
        </w:trPr>
        <w:tc>
          <w:tcPr>
            <w:tcW w:w="356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2.950% senior notes due 2029</w:t>
            </w:r>
          </w:p>
        </w:tc>
      </w:tr>
      <w:tr>
        <w:trPr>
          <w:trHeight w:val="148"/>
        </w:trPr>
        <w:tc>
          <w:tcPr>
            <w:tcW w:w="356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3"/>
              </w:rPr>
              <w:t>Jurisdiction of</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4.625% senior notes due 2023</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5.350% senior notes due 2033</w:t>
            </w:r>
          </w:p>
        </w:tc>
      </w:tr>
      <w:tr>
        <w:trPr>
          <w:trHeight w:val="148"/>
        </w:trPr>
        <w:tc>
          <w:tcPr>
            <w:tcW w:w="356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5"/>
              </w:rPr>
              <w:t>Incorporation or</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4.400% senior notes due 2026</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5.050% senior notes due 2048</w:t>
            </w:r>
          </w:p>
        </w:tc>
      </w:tr>
      <w:tr>
        <w:trPr>
          <w:trHeight w:val="175"/>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Entity</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Organization</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6.125% senior notes due 2043</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3.875% senior notes due 2049</w:t>
            </w:r>
          </w:p>
        </w:tc>
      </w:tr>
      <w:tr>
        <w:trPr>
          <w:trHeight w:val="169"/>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Willis Towers Watson Public Limited Company</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Ireland</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Guarantor</w:t>
            </w:r>
          </w:p>
        </w:tc>
      </w:tr>
      <w:tr>
        <w:trPr>
          <w:trHeight w:val="169"/>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Trinity Acquisition plc</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Issuer</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Guarantor</w:t>
            </w:r>
          </w:p>
        </w:tc>
      </w:tr>
      <w:tr>
        <w:trPr>
          <w:trHeight w:val="169"/>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Willis North America Inc.</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Delaware</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Issuer</w:t>
            </w:r>
          </w:p>
        </w:tc>
      </w:tr>
      <w:tr>
        <w:trPr>
          <w:trHeight w:val="169"/>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Willis Netherlands Holdings B.V.</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Netherlands</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Guarantor</w:t>
            </w:r>
          </w:p>
        </w:tc>
      </w:tr>
      <w:tr>
        <w:trPr>
          <w:trHeight w:val="169"/>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Willis Investment UK Holdings Limited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Guarantor</w:t>
            </w:r>
          </w:p>
        </w:tc>
      </w:tr>
      <w:tr>
        <w:trPr>
          <w:trHeight w:val="169"/>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TA I Limited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Guarantor</w:t>
            </w:r>
          </w:p>
        </w:tc>
      </w:tr>
      <w:tr>
        <w:trPr>
          <w:trHeight w:val="169"/>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Willis Group Limited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Guarantor</w:t>
            </w:r>
          </w:p>
        </w:tc>
      </w:tr>
      <w:tr>
        <w:trPr>
          <w:trHeight w:val="169"/>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Willis Towers Watson Sub Holdings Unlimited Company</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Ireland</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Guarantor</w:t>
            </w:r>
          </w:p>
        </w:tc>
      </w:tr>
      <w:tr>
        <w:trPr>
          <w:trHeight w:val="169"/>
        </w:trPr>
        <w:tc>
          <w:tcPr>
            <w:tcW w:w="3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Willis Towers Watson UK Holdings Limited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Guarantor</w:t>
            </w:r>
          </w:p>
        </w:tc>
      </w:tr>
      <w:tr>
        <w:trPr>
          <w:trHeight w:val="325"/>
        </w:trPr>
        <w:tc>
          <w:tcPr>
            <w:tcW w:w="35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Carl A. Hess, certify that:</w:t>
      </w:r>
    </w:p>
    <w:p>
      <w:pPr>
        <w:spacing w:after="0" w:line="117" w:lineRule="exact"/>
        <w:rPr>
          <w:sz w:val="20"/>
          <w:szCs w:val="20"/>
          <w:color w:val="auto"/>
        </w:rPr>
      </w:pPr>
    </w:p>
    <w:p>
      <w:pPr>
        <w:ind w:left="480" w:hanging="472"/>
        <w:spacing w:after="0"/>
        <w:tabs>
          <w:tab w:leader="none" w:pos="4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Willis Towers Watson Public Limited Company;</w:t>
      </w:r>
    </w:p>
    <w:p>
      <w:pPr>
        <w:spacing w:after="0" w:line="117" w:lineRule="exact"/>
        <w:rPr>
          <w:rFonts w:ascii="Arial" w:cs="Arial" w:eastAsia="Arial" w:hAnsi="Arial"/>
          <w:sz w:val="18"/>
          <w:szCs w:val="18"/>
          <w:color w:val="auto"/>
        </w:rPr>
      </w:pPr>
    </w:p>
    <w:p>
      <w:pPr>
        <w:jc w:val="both"/>
        <w:ind w:left="480" w:right="280" w:hanging="472"/>
        <w:spacing w:after="0" w:line="263" w:lineRule="auto"/>
        <w:tabs>
          <w:tab w:leader="none" w:pos="4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80" w:right="240" w:hanging="472"/>
        <w:spacing w:after="0" w:line="308" w:lineRule="auto"/>
        <w:tabs>
          <w:tab w:leader="none" w:pos="4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80" w:right="300" w:hanging="472"/>
        <w:spacing w:after="0" w:line="263" w:lineRule="auto"/>
        <w:tabs>
          <w:tab w:leader="none" w:pos="4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60" w:hanging="473"/>
        <w:spacing w:after="0" w:line="263" w:lineRule="auto"/>
        <w:tabs>
          <w:tab w:leader="none" w:pos="9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60" w:right="380" w:hanging="473"/>
        <w:spacing w:after="0" w:line="263" w:lineRule="auto"/>
        <w:tabs>
          <w:tab w:leader="none" w:pos="9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60" w:right="540" w:hanging="473"/>
        <w:spacing w:after="0" w:line="342" w:lineRule="auto"/>
        <w:tabs>
          <w:tab w:leader="none" w:pos="96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60" w:hanging="473"/>
        <w:spacing w:after="0" w:line="263" w:lineRule="auto"/>
        <w:tabs>
          <w:tab w:leader="none" w:pos="9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80" w:right="180" w:hanging="472"/>
        <w:spacing w:after="0" w:line="308" w:lineRule="auto"/>
        <w:tabs>
          <w:tab w:leader="none" w:pos="4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800" w:hanging="473"/>
        <w:spacing w:after="0" w:line="342" w:lineRule="auto"/>
        <w:tabs>
          <w:tab w:leader="none" w:pos="96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480" w:hanging="473"/>
        <w:spacing w:after="0" w:line="277" w:lineRule="auto"/>
        <w:tabs>
          <w:tab w:leader="none" w:pos="9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27, 2023</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Carl A. Hess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7" w:name="page208"/>
    <w:bookmarkEnd w:id="20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J. Krasner, certify that:</w:t>
      </w:r>
    </w:p>
    <w:p>
      <w:pPr>
        <w:spacing w:after="0" w:line="117" w:lineRule="exact"/>
        <w:rPr>
          <w:sz w:val="20"/>
          <w:szCs w:val="20"/>
          <w:color w:val="auto"/>
        </w:rPr>
      </w:pPr>
    </w:p>
    <w:p>
      <w:pPr>
        <w:ind w:left="480" w:hanging="472"/>
        <w:spacing w:after="0"/>
        <w:tabs>
          <w:tab w:leader="none" w:pos="4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Willis Towers Watson Public Limited Company;</w:t>
      </w:r>
    </w:p>
    <w:p>
      <w:pPr>
        <w:spacing w:after="0" w:line="117" w:lineRule="exact"/>
        <w:rPr>
          <w:rFonts w:ascii="Arial" w:cs="Arial" w:eastAsia="Arial" w:hAnsi="Arial"/>
          <w:sz w:val="18"/>
          <w:szCs w:val="18"/>
          <w:color w:val="auto"/>
        </w:rPr>
      </w:pPr>
    </w:p>
    <w:p>
      <w:pPr>
        <w:jc w:val="both"/>
        <w:ind w:left="480" w:right="280" w:hanging="472"/>
        <w:spacing w:after="0" w:line="263" w:lineRule="auto"/>
        <w:tabs>
          <w:tab w:leader="none" w:pos="4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80" w:right="240" w:hanging="472"/>
        <w:spacing w:after="0" w:line="308" w:lineRule="auto"/>
        <w:tabs>
          <w:tab w:leader="none" w:pos="4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80" w:right="300" w:hanging="472"/>
        <w:spacing w:after="0" w:line="263" w:lineRule="auto"/>
        <w:tabs>
          <w:tab w:leader="none" w:pos="4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60" w:hanging="473"/>
        <w:spacing w:after="0" w:line="263" w:lineRule="auto"/>
        <w:tabs>
          <w:tab w:leader="none" w:pos="9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60" w:right="380" w:hanging="473"/>
        <w:spacing w:after="0" w:line="263" w:lineRule="auto"/>
        <w:tabs>
          <w:tab w:leader="none" w:pos="9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60" w:right="540" w:hanging="473"/>
        <w:spacing w:after="0" w:line="342" w:lineRule="auto"/>
        <w:tabs>
          <w:tab w:leader="none" w:pos="96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60" w:hanging="473"/>
        <w:spacing w:after="0" w:line="263" w:lineRule="auto"/>
        <w:tabs>
          <w:tab w:leader="none" w:pos="9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80" w:right="180" w:hanging="472"/>
        <w:spacing w:after="0" w:line="308" w:lineRule="auto"/>
        <w:tabs>
          <w:tab w:leader="none" w:pos="4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800" w:hanging="473"/>
        <w:spacing w:after="0" w:line="342" w:lineRule="auto"/>
        <w:tabs>
          <w:tab w:leader="none" w:pos="96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480" w:hanging="473"/>
        <w:spacing w:after="0" w:line="277" w:lineRule="auto"/>
        <w:tabs>
          <w:tab w:leader="none" w:pos="9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27, 2023</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Andrew J. Krasner</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9" w:name="page210"/>
    <w:bookmarkEnd w:id="20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Each of the undersigned hereby certifies, in his capacity as an officer of Willis Towers Watson Public Limited Company (the ‘Company’), pursuant to the requirements set forth in Rule 13a-14(b) of the Securities Exchange Act of 1934, as amended (the ‘Exchange Act’) and Section 1350 of Chapter 63 of Title 18 of the United States Code (18 U.S.C. §1350), as adopted pursuant to Section 906 of the Sarbanes-Oxley Act of 2002, that to the best of his knowledge:</w:t>
      </w:r>
    </w:p>
    <w:p>
      <w:pPr>
        <w:spacing w:after="0" w:line="189" w:lineRule="exact"/>
        <w:rPr>
          <w:sz w:val="20"/>
          <w:szCs w:val="20"/>
          <w:color w:val="auto"/>
        </w:rPr>
      </w:pPr>
    </w:p>
    <w:p>
      <w:pPr>
        <w:ind w:left="1040" w:right="80" w:hanging="567"/>
        <w:spacing w:after="0" w:line="277" w:lineRule="auto"/>
        <w:tabs>
          <w:tab w:leader="none" w:pos="10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June 30, 2023 (the ‘Report’) fully complies with the requirements of Section 13(a) or Section 15(d), as applicable, of the Exchange Act; and</w:t>
      </w:r>
    </w:p>
    <w:p>
      <w:pPr>
        <w:spacing w:after="0" w:line="62" w:lineRule="exact"/>
        <w:rPr>
          <w:rFonts w:ascii="Arial" w:cs="Arial" w:eastAsia="Arial" w:hAnsi="Arial"/>
          <w:sz w:val="18"/>
          <w:szCs w:val="18"/>
          <w:color w:val="auto"/>
        </w:rPr>
      </w:pPr>
    </w:p>
    <w:p>
      <w:pPr>
        <w:ind w:left="1040" w:right="540" w:hanging="567"/>
        <w:spacing w:after="0" w:line="277" w:lineRule="auto"/>
        <w:tabs>
          <w:tab w:leader="none" w:pos="10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27, 2023</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Carl A. Hess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Andrew J. Krasner</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1" w:name="page212"/>
    <w:bookmarkEnd w:id="2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BFE8E0"/>
    <w:multiLevelType w:val="hybridMultilevel"/>
    <w:lvl w:ilvl="0">
      <w:lvlJc w:val="left"/>
      <w:lvlText w:val="☒"/>
      <w:numFmt w:val="bullet"/>
      <w:start w:val="1"/>
    </w:lvl>
  </w:abstractNum>
  <w:abstractNum w:abstractNumId="1">
    <w:nsid w:val="5092CA79"/>
    <w:multiLevelType w:val="hybridMultilevel"/>
    <w:lvl w:ilvl="0">
      <w:lvlJc w:val="left"/>
      <w:lvlText w:val="☐"/>
      <w:numFmt w:val="bullet"/>
      <w:start w:val="1"/>
    </w:lvl>
  </w:abstractNum>
  <w:abstractNum w:abstractNumId="2">
    <w:nsid w:val="1D545C4D"/>
    <w:multiLevelType w:val="hybridMultilevel"/>
    <w:lvl w:ilvl="0">
      <w:lvlJc w:val="left"/>
      <w:lvlText w:val="•"/>
      <w:numFmt w:val="bullet"/>
      <w:start w:val="1"/>
    </w:lvl>
  </w:abstractNum>
  <w:abstractNum w:abstractNumId="3">
    <w:nsid w:val="59ADEA3D"/>
    <w:multiLevelType w:val="hybridMultilevel"/>
    <w:lvl w:ilvl="0">
      <w:lvlJc w:val="left"/>
      <w:lvlText w:val="•"/>
      <w:numFmt w:val="bullet"/>
      <w:start w:val="1"/>
    </w:lvl>
  </w:abstractNum>
  <w:abstractNum w:abstractNumId="4">
    <w:nsid w:val="288F1A34"/>
    <w:multiLevelType w:val="hybridMultilevel"/>
    <w:lvl w:ilvl="0">
      <w:lvlJc w:val="left"/>
      <w:lvlText w:val="•"/>
      <w:numFmt w:val="bullet"/>
      <w:start w:val="1"/>
    </w:lvl>
  </w:abstractNum>
  <w:abstractNum w:abstractNumId="5">
    <w:nsid w:val="2A155DBC"/>
    <w:multiLevelType w:val="hybridMultilevel"/>
    <w:lvl w:ilvl="0">
      <w:lvlJc w:val="left"/>
      <w:lvlText w:val="(%1)"/>
      <w:numFmt w:val="lowerRoman"/>
      <w:start w:val="1"/>
    </w:lvl>
  </w:abstractNum>
  <w:abstractNum w:abstractNumId="6">
    <w:nsid w:val="1D9F6E5F"/>
    <w:multiLevelType w:val="hybridMultilevel"/>
    <w:lvl w:ilvl="0">
      <w:lvlJc w:val="left"/>
      <w:lvlText w:val="(%1)"/>
      <w:numFmt w:val="lowerRoman"/>
      <w:start w:val="1"/>
    </w:lvl>
  </w:abstractNum>
  <w:abstractNum w:abstractNumId="7">
    <w:nsid w:val="97E1B4E"/>
    <w:multiLevelType w:val="hybridMultilevel"/>
    <w:lvl w:ilvl="0">
      <w:lvlJc w:val="left"/>
      <w:lvlText w:val="(%1)"/>
      <w:numFmt w:val="lowerRoman"/>
      <w:start w:val="1"/>
    </w:lvl>
  </w:abstractNum>
  <w:abstractNum w:abstractNumId="8">
    <w:nsid w:val="51088277"/>
    <w:multiLevelType w:val="hybridMultilevel"/>
    <w:lvl w:ilvl="0">
      <w:lvlJc w:val="left"/>
      <w:lvlText w:val="(%1)"/>
      <w:numFmt w:val="lowerRoman"/>
      <w:start w:val="1"/>
    </w:lvl>
  </w:abstractNum>
  <w:abstractNum w:abstractNumId="9">
    <w:nsid w:val="1CA0C5FA"/>
    <w:multiLevelType w:val="hybridMultilevel"/>
    <w:lvl w:ilvl="0">
      <w:lvlJc w:val="left"/>
      <w:lvlText w:val="(%1)"/>
      <w:numFmt w:val="lowerRoman"/>
      <w:start w:val="1"/>
    </w:lvl>
  </w:abstractNum>
  <w:abstractNum w:abstractNumId="10">
    <w:nsid w:val="53584BCB"/>
    <w:multiLevelType w:val="hybridMultilevel"/>
    <w:lvl w:ilvl="0">
      <w:lvlJc w:val="left"/>
      <w:lvlText w:val="•"/>
      <w:numFmt w:val="bullet"/>
      <w:start w:val="1"/>
    </w:lvl>
  </w:abstractNum>
  <w:abstractNum w:abstractNumId="11">
    <w:nsid w:val="415E286C"/>
    <w:multiLevelType w:val="hybridMultilevel"/>
    <w:lvl w:ilvl="0">
      <w:lvlJc w:val="left"/>
      <w:lvlText w:val="•"/>
      <w:numFmt w:val="bullet"/>
      <w:start w:val="1"/>
    </w:lvl>
  </w:abstractNum>
  <w:abstractNum w:abstractNumId="12">
    <w:nsid w:val="7C58FD05"/>
    <w:multiLevelType w:val="hybridMultilevel"/>
    <w:lvl w:ilvl="0">
      <w:lvlJc w:val="left"/>
      <w:lvlText w:val="(%1)"/>
      <w:numFmt w:val="lowerRoman"/>
      <w:start w:val="1"/>
    </w:lvl>
  </w:abstractNum>
  <w:abstractNum w:abstractNumId="13">
    <w:nsid w:val="23D86AAC"/>
    <w:multiLevelType w:val="hybridMultilevel"/>
    <w:lvl w:ilvl="0">
      <w:lvlJc w:val="left"/>
      <w:lvlText w:val="•"/>
      <w:numFmt w:val="bullet"/>
      <w:start w:val="1"/>
    </w:lvl>
  </w:abstractNum>
  <w:abstractNum w:abstractNumId="14">
    <w:nsid w:val="45E6D486"/>
    <w:multiLevelType w:val="hybridMultilevel"/>
    <w:lvl w:ilvl="0">
      <w:lvlJc w:val="left"/>
      <w:lvlText w:val="•"/>
      <w:numFmt w:val="bullet"/>
      <w:start w:val="1"/>
    </w:lvl>
  </w:abstractNum>
  <w:abstractNum w:abstractNumId="15">
    <w:nsid w:val="5C10FE21"/>
    <w:multiLevelType w:val="hybridMultilevel"/>
    <w:lvl w:ilvl="0">
      <w:lvlJc w:val="left"/>
      <w:lvlText w:val="•"/>
      <w:numFmt w:val="bullet"/>
      <w:start w:val="1"/>
    </w:lvl>
  </w:abstractNum>
  <w:abstractNum w:abstractNumId="16">
    <w:nsid w:val="E7FFA2B"/>
    <w:multiLevelType w:val="hybridMultilevel"/>
    <w:lvl w:ilvl="0">
      <w:lvlJc w:val="left"/>
      <w:lvlText w:val="•"/>
      <w:numFmt w:val="bullet"/>
      <w:start w:val="1"/>
    </w:lvl>
  </w:abstractNum>
  <w:abstractNum w:abstractNumId="17">
    <w:nsid w:val="3C5991AA"/>
    <w:multiLevelType w:val="hybridMultilevel"/>
    <w:lvl w:ilvl="0">
      <w:lvlJc w:val="left"/>
      <w:lvlText w:val="(%1)"/>
      <w:numFmt w:val="lowerRoman"/>
      <w:start w:val="1"/>
    </w:lvl>
  </w:abstractNum>
  <w:abstractNum w:abstractNumId="18">
    <w:nsid w:val="4BD8591A"/>
    <w:multiLevelType w:val="hybridMultilevel"/>
    <w:lvl w:ilvl="0">
      <w:lvlJc w:val="left"/>
      <w:lvlText w:val="(%1)"/>
      <w:numFmt w:val="lowerRoman"/>
      <w:start w:val="1"/>
    </w:lvl>
  </w:abstractNum>
  <w:abstractNum w:abstractNumId="19">
    <w:nsid w:val="78DF6A55"/>
    <w:multiLevelType w:val="hybridMultilevel"/>
    <w:lvl w:ilvl="0">
      <w:lvlJc w:val="left"/>
      <w:lvlText w:val="(%1)"/>
      <w:numFmt w:val="lowerRoman"/>
      <w:start w:val="1"/>
    </w:lvl>
  </w:abstractNum>
  <w:abstractNum w:abstractNumId="20">
    <w:nsid w:val="39B7AAA2"/>
    <w:multiLevelType w:val="hybridMultilevel"/>
    <w:lvl w:ilvl="0">
      <w:lvlJc w:val="left"/>
      <w:lvlText w:val="(%1)"/>
      <w:numFmt w:val="lowerRoman"/>
      <w:start w:val="1"/>
    </w:lvl>
  </w:abstractNum>
  <w:abstractNum w:abstractNumId="21">
    <w:nsid w:val="2B0D8DBE"/>
    <w:multiLevelType w:val="hybridMultilevel"/>
    <w:lvl w:ilvl="0">
      <w:lvlJc w:val="left"/>
      <w:lvlText w:val="•"/>
      <w:numFmt w:val="bullet"/>
      <w:start w:val="1"/>
    </w:lvl>
  </w:abstractNum>
  <w:abstractNum w:abstractNumId="22">
    <w:nsid w:val="6C80EC70"/>
    <w:multiLevelType w:val="hybridMultilevel"/>
    <w:lvl w:ilvl="0">
      <w:lvlJc w:val="left"/>
      <w:lvlText w:val="(%1)"/>
      <w:numFmt w:val="lowerRoman"/>
      <w:start w:val="1"/>
    </w:lvl>
  </w:abstractNum>
  <w:abstractNum w:abstractNumId="23">
    <w:nsid w:val="379E21B5"/>
    <w:multiLevelType w:val="hybridMultilevel"/>
    <w:lvl w:ilvl="0">
      <w:lvlJc w:val="left"/>
      <w:lvlText w:val="(%1)"/>
      <w:numFmt w:val="lowerRoman"/>
      <w:start w:val="1"/>
    </w:lvl>
  </w:abstractNum>
  <w:abstractNum w:abstractNumId="24">
    <w:nsid w:val="69E373"/>
    <w:multiLevelType w:val="hybridMultilevel"/>
    <w:lvl w:ilvl="0">
      <w:lvlJc w:val="left"/>
      <w:lvlText w:val="%1)"/>
      <w:numFmt w:val="lowerLetter"/>
      <w:start w:val="1"/>
    </w:lvl>
  </w:abstractNum>
  <w:abstractNum w:abstractNumId="25">
    <w:nsid w:val="2C27173B"/>
    <w:multiLevelType w:val="hybridMultilevel"/>
    <w:lvl w:ilvl="0">
      <w:lvlJc w:val="left"/>
      <w:lvlText w:val="•"/>
      <w:numFmt w:val="bullet"/>
      <w:start w:val="1"/>
    </w:lvl>
  </w:abstractNum>
  <w:abstractNum w:abstractNumId="26">
    <w:nsid w:val="4C9B0904"/>
    <w:multiLevelType w:val="hybridMultilevel"/>
    <w:lvl w:ilvl="0">
      <w:lvlJc w:val="left"/>
      <w:lvlText w:val="•"/>
      <w:numFmt w:val="bullet"/>
      <w:start w:val="1"/>
    </w:lvl>
  </w:abstractNum>
  <w:abstractNum w:abstractNumId="27">
    <w:nsid w:val="6AA7B75C"/>
    <w:multiLevelType w:val="hybridMultilevel"/>
    <w:lvl w:ilvl="0">
      <w:lvlJc w:val="left"/>
      <w:lvlText w:val="•"/>
      <w:numFmt w:val="bullet"/>
      <w:start w:val="1"/>
    </w:lvl>
  </w:abstractNum>
  <w:abstractNum w:abstractNumId="28">
    <w:nsid w:val="1DF029D3"/>
    <w:multiLevelType w:val="hybridMultilevel"/>
    <w:lvl w:ilvl="0">
      <w:lvlJc w:val="left"/>
      <w:lvlText w:val="•"/>
      <w:numFmt w:val="bullet"/>
      <w:start w:val="1"/>
    </w:lvl>
  </w:abstractNum>
  <w:abstractNum w:abstractNumId="29">
    <w:nsid w:val="5675FF36"/>
    <w:multiLevelType w:val="hybridMultilevel"/>
    <w:lvl w:ilvl="0">
      <w:lvlJc w:val="left"/>
      <w:lvlText w:val="(%1)"/>
      <w:numFmt w:val="lowerRoman"/>
      <w:start w:val="1"/>
    </w:lvl>
  </w:abstractNum>
  <w:abstractNum w:abstractNumId="30">
    <w:nsid w:val="3DD15094"/>
    <w:multiLevelType w:val="hybridMultilevel"/>
    <w:lvl w:ilvl="0">
      <w:lvlJc w:val="left"/>
      <w:lvlText w:val="(%1)"/>
      <w:numFmt w:val="lowerLetter"/>
      <w:start w:val="1"/>
    </w:lvl>
  </w:abstractNum>
  <w:abstractNum w:abstractNumId="31">
    <w:nsid w:val="3DB012B3"/>
    <w:multiLevelType w:val="hybridMultilevel"/>
    <w:lvl w:ilvl="0">
      <w:lvlJc w:val="left"/>
      <w:lvlText w:val="**"/>
      <w:numFmt w:val="bullet"/>
      <w:start w:val="1"/>
    </w:lvl>
  </w:abstractNum>
  <w:abstractNum w:abstractNumId="32">
    <w:nsid w:val="2708C9AF"/>
    <w:multiLevelType w:val="hybridMultilevel"/>
    <w:lvl w:ilvl="0">
      <w:lvlJc w:val="left"/>
      <w:lvlText w:val="%1."/>
      <w:numFmt w:val="upperLetter"/>
      <w:start w:val="9"/>
    </w:lvl>
  </w:abstractNum>
  <w:abstractNum w:abstractNumId="33">
    <w:nsid w:val="5B25ACE2"/>
    <w:multiLevelType w:val="hybridMultilevel"/>
    <w:lvl w:ilvl="0">
      <w:lvlJc w:val="left"/>
      <w:lvlText w:val="%1."/>
      <w:numFmt w:val="upperLetter"/>
      <w:start w:val="35"/>
    </w:lvl>
  </w:abstractNum>
  <w:abstractNum w:abstractNumId="34">
    <w:nsid w:val="175DFCF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35">
    <w:nsid w:val="4F97E3E4"/>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1"/>
    </w:lvl>
  </w:abstractNum>
  <w:abstractNum w:abstractNumId="36">
    <w:nsid w:val="53B0A9E"/>
    <w:multiLevelType w:val="hybridMultilevel"/>
    <w:lvl w:ilvl="0">
      <w:lvlJc w:val="left"/>
      <w:lvlText w:val="%1."/>
      <w:numFmt w:val="upperLetter"/>
      <w:start w:val="61"/>
    </w:lvl>
    <w:lvl w:ilvl="1">
      <w:lvlJc w:val="left"/>
      <w:lvlText w:val="%2"/>
      <w:numFmt w:val="lowerLetter"/>
      <w:start w:val="1"/>
    </w:lvl>
    <w:lvl w:ilvl="2">
      <w:lvlJc w:val="left"/>
      <w:lvlText w:val="(%3)"/>
      <w:numFmt w:val="lowerLetter"/>
      <w:start w:val="1"/>
    </w:lvl>
  </w:abstractNum>
  <w:abstractNum w:abstractNumId="37">
    <w:nsid w:val="34FD6B4F"/>
    <w:multiLevelType w:val="hybridMultilevel"/>
    <w:lvl w:ilvl="0">
      <w:lvlJc w:val="left"/>
      <w:lvlText w:val="%1."/>
      <w:numFmt w:val="upperLetter"/>
      <w:start w:val="22"/>
    </w:lvl>
    <w:lvl w:ilvl="1">
      <w:lvlJc w:val="left"/>
      <w:lvlText w:val="(%2)"/>
      <w:numFmt w:val="lowerLetter"/>
      <w:start w:val="1"/>
    </w:lvl>
  </w:abstractNum>
  <w:abstractNum w:abstractNumId="38">
    <w:nsid w:val="5915FF32"/>
    <w:multiLevelType w:val="hybridMultilevel"/>
    <w:lvl w:ilvl="0">
      <w:lvlJc w:val="left"/>
      <w:lvlText w:val="B"/>
      <w:numFmt w:val="bullet"/>
      <w:start w:val="1"/>
    </w:lvl>
  </w:abstractNum>
  <w:abstractNum w:abstractNumId="39">
    <w:nsid w:val="56438D15"/>
    <w:multiLevelType w:val="hybridMultilevel"/>
    <w:lvl w:ilvl="0">
      <w:lvlJc w:val="left"/>
      <w:lvlText w:val="E"/>
      <w:numFmt w:val="bullet"/>
      <w:start w:val="1"/>
    </w:lvl>
  </w:abstractNum>
  <w:abstractNum w:abstractNumId="40">
    <w:nsid w:val="519E3149"/>
    <w:multiLevelType w:val="hybridMultilevel"/>
    <w:lvl w:ilvl="0">
      <w:lvlJc w:val="left"/>
      <w:lvlText w:val="(%1)"/>
      <w:numFmt w:val="decimal"/>
      <w:start w:val="1"/>
    </w:lvl>
  </w:abstractNum>
  <w:abstractNum w:abstractNumId="41">
    <w:nsid w:val="2C6E4AFD"/>
    <w:multiLevelType w:val="hybridMultilevel"/>
    <w:lvl w:ilvl="0">
      <w:lvlJc w:val="left"/>
      <w:lvlText w:val="(%1)"/>
      <w:numFmt w:val="lowerRoman"/>
      <w:start w:val="1"/>
    </w:lvl>
  </w:abstractNum>
  <w:abstractNum w:abstractNumId="42">
    <w:nsid w:val="17A1B582"/>
    <w:multiLevelType w:val="hybridMultilevel"/>
    <w:lvl w:ilvl="0">
      <w:lvlJc w:val="left"/>
      <w:lvlText w:val="(%1)"/>
      <w:numFmt w:val="lowerLetter"/>
      <w:start w:val="1"/>
    </w:lvl>
  </w:abstractNum>
  <w:abstractNum w:abstractNumId="43">
    <w:nsid w:val="4DF72E4E"/>
    <w:multiLevelType w:val="hybridMultilevel"/>
    <w:lvl w:ilvl="0">
      <w:lvlJc w:val="left"/>
      <w:lvlText w:val="(%1)"/>
      <w:numFmt w:val="lowerLetter"/>
      <w:start w:val="1"/>
    </w:lvl>
  </w:abstractNum>
  <w:abstractNum w:abstractNumId="44">
    <w:nsid w:val="5046B5A9"/>
    <w:multiLevelType w:val="hybridMultilevel"/>
    <w:lvl w:ilvl="0">
      <w:lvlJc w:val="left"/>
      <w:lvlText w:val="(%1)"/>
      <w:numFmt w:val="lowerLetter"/>
      <w:start w:val="1"/>
    </w:lvl>
  </w:abstractNum>
  <w:abstractNum w:abstractNumId="45">
    <w:nsid w:val="5D888A08"/>
    <w:multiLevelType w:val="hybridMultilevel"/>
    <w:lvl w:ilvl="0">
      <w:lvlJc w:val="left"/>
      <w:lvlText w:val="(%1)"/>
      <w:numFmt w:val="lowerLetter"/>
      <w:start w:val="4"/>
    </w:lvl>
  </w:abstractNum>
  <w:abstractNum w:abstractNumId="46">
    <w:nsid w:val="2A082C70"/>
    <w:multiLevelType w:val="hybridMultilevel"/>
    <w:lvl w:ilvl="0">
      <w:lvlJc w:val="left"/>
      <w:lvlText w:val="(%1)"/>
      <w:numFmt w:val="lowerLetter"/>
      <w:start w:val="1"/>
    </w:lvl>
  </w:abstractNum>
  <w:abstractNum w:abstractNumId="47">
    <w:nsid w:val="5EC6AFD4"/>
    <w:multiLevelType w:val="hybridMultilevel"/>
    <w:lvl w:ilvl="0">
      <w:lvlJc w:val="left"/>
      <w:lvlText w:val="(%1)"/>
      <w:numFmt w:val="lowerRoman"/>
      <w:start w:val="3"/>
    </w:lvl>
  </w:abstractNum>
  <w:abstractNum w:abstractNumId="48">
    <w:nsid w:val="19E21BB2"/>
    <w:multiLevelType w:val="hybridMultilevel"/>
    <w:lvl w:ilvl="0">
      <w:lvlJc w:val="left"/>
      <w:lvlText w:val="(%1)"/>
      <w:numFmt w:val="lowerLetter"/>
      <w:start w:val="1"/>
    </w:lvl>
  </w:abstractNum>
  <w:abstractNum w:abstractNumId="49">
    <w:nsid w:val="75E0858A"/>
    <w:multiLevelType w:val="hybridMultilevel"/>
    <w:lvl w:ilvl="0">
      <w:lvlJc w:val="left"/>
      <w:lvlText w:val="(%1)"/>
      <w:numFmt w:val="lowerLetter"/>
      <w:start w:val="3"/>
    </w:lvl>
  </w:abstractNum>
  <w:abstractNum w:abstractNumId="50">
    <w:nsid w:val="57A61A29"/>
    <w:multiLevelType w:val="hybridMultilevel"/>
    <w:lvl w:ilvl="0">
      <w:lvlJc w:val="left"/>
      <w:lvlText w:val="(%1)"/>
      <w:numFmt w:val="lowerLetter"/>
      <w:start w:val="1"/>
    </w:lvl>
  </w:abstractNum>
  <w:abstractNum w:abstractNumId="51">
    <w:nsid w:val="5399C654"/>
    <w:multiLevelType w:val="hybridMultilevel"/>
    <w:lvl w:ilvl="0">
      <w:lvlJc w:val="left"/>
      <w:lvlText w:val="(%1)"/>
      <w:numFmt w:val="lowerLetter"/>
      <w:start w:val="1"/>
    </w:lvl>
  </w:abstractNum>
  <w:abstractNum w:abstractNumId="52">
    <w:nsid w:val="20EE1348"/>
    <w:multiLevelType w:val="hybridMultilevel"/>
    <w:lvl w:ilvl="0">
      <w:lvlJc w:val="left"/>
      <w:lvlText w:val="(%1)"/>
      <w:numFmt w:val="lowerRoman"/>
      <w:start w:val="1"/>
    </w:lvl>
  </w:abstractNum>
  <w:abstractNum w:abstractNumId="53">
    <w:nsid w:val="4427069A"/>
    <w:multiLevelType w:val="hybridMultilevel"/>
    <w:lvl w:ilvl="0">
      <w:lvlJc w:val="left"/>
      <w:lvlText w:val="(%1)"/>
      <w:numFmt w:val="lowerRoman"/>
      <w:start w:val="2"/>
    </w:lvl>
  </w:abstractNum>
  <w:abstractNum w:abstractNumId="54">
    <w:nsid w:val="B37E80A"/>
    <w:multiLevelType w:val="hybridMultilevel"/>
    <w:lvl w:ilvl="0">
      <w:lvlJc w:val="left"/>
      <w:lvlText w:val="%1"/>
      <w:numFmt w:val="lowerLetter"/>
      <w:start w:val="1"/>
    </w:lvl>
    <w:lvl w:ilvl="1">
      <w:lvlJc w:val="left"/>
      <w:lvlText w:val="(%2)"/>
      <w:numFmt w:val="lowerLetter"/>
      <w:start w:val="1"/>
    </w:lvl>
  </w:abstractNum>
  <w:abstractNum w:abstractNumId="55">
    <w:nsid w:val="2157F6BC"/>
    <w:multiLevelType w:val="hybridMultilevel"/>
    <w:lvl w:ilvl="0">
      <w:lvlJc w:val="left"/>
      <w:lvlText w:val="(%1)"/>
      <w:numFmt w:val="lowerLetter"/>
      <w:start w:val="9"/>
    </w:lvl>
    <w:lvl w:ilvl="1">
      <w:lvlJc w:val="left"/>
      <w:lvlText w:val="%2"/>
      <w:numFmt w:val="lowerLetter"/>
      <w:start w:val="1"/>
    </w:lvl>
  </w:abstractNum>
  <w:abstractNum w:abstractNumId="56">
    <w:nsid w:val="704E1DD5"/>
    <w:multiLevelType w:val="hybridMultilevel"/>
    <w:lvl w:ilvl="0">
      <w:lvlJc w:val="left"/>
      <w:lvlText w:val="(%1)"/>
      <w:numFmt w:val="lowerLetter"/>
      <w:start w:val="2"/>
    </w:lvl>
  </w:abstractNum>
  <w:abstractNum w:abstractNumId="57">
    <w:nsid w:val="57D2F10E"/>
    <w:multiLevelType w:val="hybridMultilevel"/>
    <w:lvl w:ilvl="0">
      <w:lvlJc w:val="left"/>
      <w:lvlText w:val="(%1)"/>
      <w:numFmt w:val="lowerLetter"/>
      <w:start w:val="1"/>
    </w:lvl>
  </w:abstractNum>
  <w:abstractNum w:abstractNumId="58">
    <w:nsid w:val="BFFAE18"/>
    <w:multiLevelType w:val="hybridMultilevel"/>
    <w:lvl w:ilvl="0">
      <w:lvlJc w:val="left"/>
      <w:lvlText w:val="(%1)"/>
      <w:numFmt w:val="lowerLetter"/>
      <w:start w:val="1"/>
    </w:lvl>
  </w:abstractNum>
  <w:abstractNum w:abstractNumId="59">
    <w:nsid w:val="E3E47A8"/>
    <w:multiLevelType w:val="hybridMultilevel"/>
    <w:lvl w:ilvl="0">
      <w:lvlJc w:val="left"/>
      <w:lvlText w:val="(%1)"/>
      <w:numFmt w:val="lowerLetter"/>
      <w:start w:val="1"/>
    </w:lvl>
  </w:abstractNum>
  <w:abstractNum w:abstractNumId="60">
    <w:nsid w:val="2E48F044"/>
    <w:multiLevelType w:val="hybridMultilevel"/>
    <w:lvl w:ilvl="0">
      <w:lvlJc w:val="left"/>
      <w:lvlText w:val="(%1)"/>
      <w:numFmt w:val="lowerLetter"/>
      <w:start w:val="1"/>
    </w:lvl>
  </w:abstractNum>
  <w:abstractNum w:abstractNumId="61">
    <w:nsid w:val="49D0FEAC"/>
    <w:multiLevelType w:val="hybridMultilevel"/>
    <w:lvl w:ilvl="0">
      <w:lvlJc w:val="left"/>
      <w:lvlText w:val="(%1)"/>
      <w:numFmt w:val="lowerRoman"/>
      <w:start w:val="4"/>
    </w:lvl>
    <w:lvl w:ilvl="1">
      <w:lvlJc w:val="left"/>
      <w:lvlText w:val="(%2)"/>
      <w:numFmt w:val="lowerLetter"/>
      <w:start w:val="2"/>
    </w:lvl>
  </w:abstractNum>
  <w:abstractNum w:abstractNumId="62">
    <w:nsid w:val="4BEE5A5B"/>
    <w:multiLevelType w:val="hybridMultilevel"/>
    <w:lvl w:ilvl="0">
      <w:lvlJc w:val="left"/>
      <w:lvlText w:val="(%1)"/>
      <w:numFmt w:val="lowerLetter"/>
      <w:start w:val="3"/>
    </w:lvl>
  </w:abstractNum>
  <w:abstractNum w:abstractNumId="63">
    <w:nsid w:val="5551B9F3"/>
    <w:multiLevelType w:val="hybridMultilevel"/>
    <w:lvl w:ilvl="0">
      <w:lvlJc w:val="left"/>
      <w:lvlText w:val="(%1)"/>
      <w:numFmt w:val="lowerLetter"/>
      <w:start w:val="1"/>
    </w:lvl>
    <w:lvl w:ilvl="1">
      <w:lvlJc w:val="left"/>
      <w:lvlText w:val="(%2)"/>
      <w:numFmt w:val="lowerLetter"/>
      <w:start w:val="9"/>
    </w:lvl>
  </w:abstractNum>
  <w:abstractNum w:abstractNumId="64">
    <w:nsid w:val="24F6AB8E"/>
    <w:multiLevelType w:val="hybridMultilevel"/>
    <w:lvl w:ilvl="0">
      <w:lvlJc w:val="left"/>
      <w:lvlText w:val="(%1)"/>
      <w:numFmt w:val="lowerRoman"/>
      <w:start w:val="2"/>
    </w:lvl>
    <w:lvl w:ilvl="1">
      <w:lvlJc w:val="left"/>
      <w:lvlText w:val="(%2)"/>
      <w:numFmt w:val="upperLetter"/>
      <w:start w:val="1"/>
    </w:lvl>
  </w:abstractNum>
  <w:abstractNum w:abstractNumId="65">
    <w:nsid w:val="634C574C"/>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66">
    <w:nsid w:val="24E99DD7"/>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67">
    <w:nsid w:val="2A31B62D"/>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68">
    <w:nsid w:val="1849C29B"/>
    <w:multiLevelType w:val="hybridMultilevel"/>
    <w:lvl w:ilvl="0">
      <w:lvlJc w:val="left"/>
      <w:lvlText w:val="(%1)"/>
      <w:numFmt w:val="lowerLetter"/>
      <w:start w:val="2"/>
    </w:lvl>
    <w:lvl w:ilvl="1">
      <w:lvlJc w:val="left"/>
      <w:lvlText w:val="(%2)"/>
      <w:numFmt w:val="lowerRoman"/>
      <w:start w:val="1"/>
    </w:lvl>
  </w:abstractNum>
  <w:abstractNum w:abstractNumId="69">
    <w:nsid w:val="7DFF9D09"/>
    <w:multiLevelType w:val="hybridMultilevel"/>
    <w:lvl w:ilvl="0">
      <w:lvlJc w:val="left"/>
      <w:lvlText w:val="%1"/>
      <w:numFmt w:val="lowerLetter"/>
      <w:start w:val="1"/>
    </w:lvl>
    <w:lvl w:ilvl="1">
      <w:lvlJc w:val="left"/>
      <w:lvlText w:val="(%2)"/>
      <w:numFmt w:val="lowerRoman"/>
      <w:start w:val="4"/>
    </w:lvl>
  </w:abstractNum>
  <w:abstractNum w:abstractNumId="70">
    <w:nsid w:val="754342"/>
    <w:multiLevelType w:val="hybridMultilevel"/>
    <w:lvl w:ilvl="0">
      <w:lvlJc w:val="left"/>
      <w:lvlText w:val="(%1)"/>
      <w:numFmt w:val="lowerLetter"/>
      <w:start w:val="3"/>
    </w:lvl>
    <w:lvl w:ilvl="1">
      <w:lvlJc w:val="left"/>
      <w:lvlText w:val="(%2)"/>
      <w:numFmt w:val="lowerRoman"/>
      <w:start w:val="1"/>
    </w:lvl>
  </w:abstractNum>
  <w:abstractNum w:abstractNumId="71">
    <w:nsid w:val="69E7F3E5"/>
    <w:multiLevelType w:val="hybridMultilevel"/>
    <w:lvl w:ilvl="0">
      <w:lvlJc w:val="left"/>
      <w:lvlText w:val="(%1)"/>
      <w:numFmt w:val="lowerRoman"/>
      <w:start w:val="2"/>
    </w:lvl>
  </w:abstractNum>
  <w:abstractNum w:abstractNumId="72">
    <w:nsid w:val="2A6DE806"/>
    <w:multiLevelType w:val="hybridMultilevel"/>
    <w:lvl w:ilvl="0">
      <w:lvlJc w:val="left"/>
      <w:lvlText w:val="%1"/>
      <w:numFmt w:val="lowerLetter"/>
      <w:start w:val="1"/>
    </w:lvl>
    <w:lvl w:ilvl="1">
      <w:lvlJc w:val="left"/>
      <w:lvlText w:val="(%2)"/>
      <w:numFmt w:val="lowerRoman"/>
      <w:start w:val="6"/>
    </w:lvl>
  </w:abstractNum>
  <w:abstractNum w:abstractNumId="73">
    <w:nsid w:val="1816F8C4"/>
    <w:multiLevelType w:val="hybridMultilevel"/>
    <w:lvl w:ilvl="0">
      <w:lvlJc w:val="left"/>
      <w:lvlText w:val="(%1)"/>
      <w:numFmt w:val="lowerLetter"/>
      <w:start w:val="4"/>
    </w:lvl>
    <w:lvl w:ilvl="1">
      <w:lvlJc w:val="left"/>
      <w:lvlText w:val="(%2)"/>
      <w:numFmt w:val="lowerRoman"/>
      <w:start w:val="1"/>
    </w:lvl>
  </w:abstractNum>
  <w:abstractNum w:abstractNumId="74">
    <w:nsid w:val="37DF2233"/>
    <w:multiLevelType w:val="hybridMultilevel"/>
    <w:lvl w:ilvl="0">
      <w:lvlJc w:val="left"/>
      <w:lvlText w:val="(%1)"/>
      <w:numFmt w:val="lowerRoman"/>
      <w:start w:val="3"/>
    </w:lvl>
  </w:abstractNum>
  <w:abstractNum w:abstractNumId="75">
    <w:nsid w:val="7AB49DAF"/>
    <w:multiLevelType w:val="hybridMultilevel"/>
    <w:lvl w:ilvl="0">
      <w:lvlJc w:val="left"/>
      <w:lvlText w:val="(%1)"/>
      <w:numFmt w:val="lowerLetter"/>
      <w:start w:val="6"/>
    </w:lvl>
    <w:lvl w:ilvl="1">
      <w:lvlJc w:val="left"/>
      <w:lvlText w:val="(%2)"/>
      <w:numFmt w:val="lowerLetter"/>
      <w:start w:val="9"/>
    </w:lvl>
  </w:abstractNum>
  <w:abstractNum w:abstractNumId="76">
    <w:nsid w:val="759F82CD"/>
    <w:multiLevelType w:val="hybridMultilevel"/>
    <w:lvl w:ilvl="0">
      <w:lvlJc w:val="left"/>
      <w:lvlText w:val="(%1)"/>
      <w:numFmt w:val="lowerRoman"/>
      <w:start w:val="2"/>
    </w:lvl>
    <w:lvl w:ilvl="1">
      <w:lvlJc w:val="left"/>
      <w:lvlText w:val="(%2)"/>
      <w:numFmt w:val="upperLetter"/>
      <w:start w:val="1"/>
    </w:lvl>
  </w:abstractNum>
  <w:abstractNum w:abstractNumId="77">
    <w:nsid w:val="61E74EA3"/>
    <w:multiLevelType w:val="hybridMultilevel"/>
    <w:lvl w:ilvl="0">
      <w:lvlJc w:val="left"/>
      <w:lvlText w:val="(%1)"/>
      <w:numFmt w:val="upperLetter"/>
      <w:start w:val="2"/>
    </w:lvl>
  </w:abstractNum>
  <w:abstractNum w:abstractNumId="78">
    <w:nsid w:val="597B4D84"/>
    <w:multiLevelType w:val="hybridMultilevel"/>
    <w:lvl w:ilvl="0">
      <w:lvlJc w:val="left"/>
      <w:lvlText w:val="%1"/>
      <w:numFmt w:val="lowerLetter"/>
      <w:start w:val="1"/>
    </w:lvl>
    <w:lvl w:ilvl="1">
      <w:lvlJc w:val="left"/>
      <w:lvlText w:val="(%2)"/>
      <w:numFmt w:val="upperLetter"/>
      <w:start w:val="5"/>
    </w:lvl>
  </w:abstractNum>
  <w:abstractNum w:abstractNumId="79">
    <w:nsid w:val="F819E7F"/>
    <w:multiLevelType w:val="hybridMultilevel"/>
    <w:lvl w:ilvl="0">
      <w:lvlJc w:val="left"/>
      <w:lvlText w:val="(%1)"/>
      <w:numFmt w:val="lowerLetter"/>
      <w:start w:val="7"/>
    </w:lvl>
    <w:lvl w:ilvl="1">
      <w:lvlJc w:val="left"/>
      <w:lvlText w:val="%2"/>
      <w:numFmt w:val="upperLetter"/>
      <w:start w:val="1"/>
    </w:lvl>
  </w:abstractNum>
  <w:abstractNum w:abstractNumId="80">
    <w:nsid w:val="57C7D42D"/>
    <w:multiLevelType w:val="hybridMultilevel"/>
    <w:lvl w:ilvl="0">
      <w:lvlJc w:val="left"/>
      <w:lvlText w:val="(%1)"/>
      <w:numFmt w:val="lowerLetter"/>
      <w:start w:val="9"/>
    </w:lvl>
  </w:abstractNum>
  <w:abstractNum w:abstractNumId="81">
    <w:nsid w:val="312167AD"/>
    <w:multiLevelType w:val="hybridMultilevel"/>
    <w:lvl w:ilvl="0">
      <w:lvlJc w:val="left"/>
      <w:lvlText w:val="(%1)"/>
      <w:numFmt w:val="lowerLetter"/>
      <w:start w:val="13"/>
    </w:lvl>
    <w:lvl w:ilvl="1">
      <w:lvlJc w:val="left"/>
      <w:lvlText w:val="(%2)"/>
      <w:numFmt w:val="lowerRoman"/>
      <w:start w:val="1"/>
    </w:lvl>
  </w:abstractNum>
  <w:abstractNum w:abstractNumId="82">
    <w:nsid w:val="631B64D4"/>
    <w:multiLevelType w:val="hybridMultilevel"/>
    <w:lvl w:ilvl="0">
      <w:lvlJc w:val="left"/>
      <w:lvlText w:val="(%1)"/>
      <w:numFmt w:val="lowerLetter"/>
      <w:start w:val="15"/>
    </w:lvl>
  </w:abstractNum>
  <w:abstractNum w:abstractNumId="83">
    <w:nsid w:val="78B5E776"/>
    <w:multiLevelType w:val="hybridMultilevel"/>
    <w:lvl w:ilvl="0">
      <w:lvlJc w:val="left"/>
      <w:lvlText w:val="(%1)"/>
      <w:numFmt w:val="lowerLetter"/>
      <w:start w:val="1"/>
    </w:lvl>
    <w:lvl w:ilvl="1">
      <w:lvlJc w:val="left"/>
      <w:lvlText w:val="(%2)"/>
      <w:numFmt w:val="lowerLetter"/>
      <w:start w:val="9"/>
    </w:lvl>
  </w:abstractNum>
  <w:abstractNum w:abstractNumId="84">
    <w:nsid w:val="75486E47"/>
    <w:multiLevelType w:val="hybridMultilevel"/>
    <w:lvl w:ilvl="0">
      <w:lvlJc w:val="left"/>
      <w:lvlText w:val="%1"/>
      <w:numFmt w:val="lowerLetter"/>
      <w:start w:val="1"/>
    </w:lvl>
    <w:lvl w:ilvl="1">
      <w:lvlJc w:val="left"/>
      <w:lvlText w:val="(%2)"/>
      <w:numFmt w:val="lowerRoman"/>
      <w:start w:val="2"/>
    </w:lvl>
  </w:abstractNum>
  <w:abstractNum w:abstractNumId="85">
    <w:nsid w:val="6E534CDE"/>
    <w:multiLevelType w:val="hybridMultilevel"/>
    <w:lvl w:ilvl="0">
      <w:lvlJc w:val="left"/>
      <w:lvlText w:val="(%1)"/>
      <w:numFmt w:val="lowerLetter"/>
      <w:start w:val="2"/>
    </w:lvl>
    <w:lvl w:ilvl="1">
      <w:lvlJc w:val="left"/>
      <w:lvlText w:val="(%2)"/>
      <w:numFmt w:val="lowerRoman"/>
      <w:start w:val="1"/>
    </w:lvl>
  </w:abstractNum>
  <w:abstractNum w:abstractNumId="86">
    <w:nsid w:val="1A0DDE32"/>
    <w:multiLevelType w:val="hybridMultilevel"/>
    <w:lvl w:ilvl="0">
      <w:lvlJc w:val="left"/>
      <w:lvlText w:val="%1"/>
      <w:numFmt w:val="lowerLetter"/>
      <w:start w:val="1"/>
    </w:lvl>
    <w:lvl w:ilvl="1">
      <w:lvlJc w:val="left"/>
      <w:lvlText w:val="(%2)"/>
      <w:numFmt w:val="lowerRoman"/>
      <w:start w:val="2"/>
    </w:lvl>
  </w:abstractNum>
  <w:abstractNum w:abstractNumId="87">
    <w:nsid w:val="65968C1C"/>
    <w:multiLevelType w:val="hybridMultilevel"/>
    <w:lvl w:ilvl="0">
      <w:lvlJc w:val="left"/>
      <w:lvlText w:val="(%1)"/>
      <w:numFmt w:val="lowerLetter"/>
      <w:start w:val="4"/>
    </w:lvl>
    <w:lvl w:ilvl="1">
      <w:lvlJc w:val="left"/>
      <w:lvlText w:val="(%2)"/>
      <w:numFmt w:val="lowerRoman"/>
      <w:start w:val="1"/>
    </w:lvl>
  </w:abstractNum>
  <w:abstractNum w:abstractNumId="88">
    <w:nsid w:val="46263DEC"/>
    <w:multiLevelType w:val="hybridMultilevel"/>
    <w:lvl w:ilvl="0">
      <w:lvlJc w:val="left"/>
      <w:lvlText w:val="%1"/>
      <w:numFmt w:val="lowerLetter"/>
      <w:start w:val="1"/>
    </w:lvl>
    <w:lvl w:ilvl="1">
      <w:lvlJc w:val="left"/>
      <w:lvlText w:val="(%2)"/>
      <w:numFmt w:val="lowerLetter"/>
      <w:start w:val="35"/>
    </w:lvl>
  </w:abstractNum>
  <w:abstractNum w:abstractNumId="89">
    <w:nsid w:val="260D8C4A"/>
    <w:multiLevelType w:val="hybridMultilevel"/>
    <w:lvl w:ilvl="0">
      <w:lvlJc w:val="left"/>
      <w:lvlText w:val="(%1)"/>
      <w:numFmt w:val="lowerLetter"/>
      <w:start w:val="5"/>
    </w:lvl>
    <w:lvl w:ilvl="1">
      <w:lvlJc w:val="left"/>
      <w:lvlText w:val="%2"/>
      <w:numFmt w:val="lowerLetter"/>
      <w:start w:val="1"/>
    </w:lvl>
  </w:abstractNum>
  <w:abstractNum w:abstractNumId="90">
    <w:nsid w:val="73D4D3C4"/>
    <w:multiLevelType w:val="hybridMultilevel"/>
    <w:lvl w:ilvl="0">
      <w:lvlJc w:val="left"/>
      <w:lvlText w:val="(%1)"/>
      <w:numFmt w:val="lowerLetter"/>
      <w:start w:val="1"/>
    </w:lvl>
  </w:abstractNum>
  <w:abstractNum w:abstractNumId="91">
    <w:nsid w:val="746F2E30"/>
    <w:multiLevelType w:val="hybridMultilevel"/>
    <w:lvl w:ilvl="0">
      <w:lvlJc w:val="left"/>
      <w:lvlText w:val="(%1)"/>
      <w:numFmt w:val="lowerLetter"/>
      <w:start w:val="1"/>
    </w:lvl>
    <w:lvl w:ilvl="1">
      <w:lvlJc w:val="left"/>
      <w:lvlText w:val="(%2)"/>
      <w:numFmt w:val="lowerLetter"/>
      <w:start w:val="35"/>
    </w:lvl>
  </w:abstractNum>
  <w:abstractNum w:abstractNumId="92">
    <w:nsid w:val="6FDE8AF6"/>
    <w:multiLevelType w:val="hybridMultilevel"/>
    <w:lvl w:ilvl="0">
      <w:lvlJc w:val="left"/>
      <w:lvlText w:val="(%1)"/>
      <w:numFmt w:val="lowerLetter"/>
      <w:start w:val="1"/>
    </w:lvl>
  </w:abstractNum>
  <w:abstractNum w:abstractNumId="93">
    <w:nsid w:val="3FC32E20"/>
    <w:multiLevelType w:val="hybridMultilevel"/>
    <w:lvl w:ilvl="0">
      <w:lvlJc w:val="left"/>
      <w:lvlText w:val="(%1)"/>
      <w:numFmt w:val="lowerLetter"/>
      <w:start w:val="3"/>
    </w:lvl>
  </w:abstractNum>
  <w:abstractNum w:abstractNumId="94">
    <w:nsid w:val="49C0E823"/>
    <w:multiLevelType w:val="hybridMultilevel"/>
    <w:lvl w:ilvl="0">
      <w:lvlJc w:val="left"/>
      <w:lvlText w:val="(%1)"/>
      <w:numFmt w:val="lowerLetter"/>
      <w:start w:val="1"/>
    </w:lvl>
  </w:abstractNum>
  <w:abstractNum w:abstractNumId="95">
    <w:nsid w:val="14D53685"/>
    <w:multiLevelType w:val="hybridMultilevel"/>
    <w:lvl w:ilvl="0">
      <w:lvlJc w:val="left"/>
      <w:lvlText w:val="(%1)"/>
      <w:numFmt w:val="lowerLetter"/>
      <w:start w:val="1"/>
    </w:lvl>
  </w:abstractNum>
  <w:abstractNum w:abstractNumId="96">
    <w:nsid w:val="230F856C"/>
    <w:multiLevelType w:val="hybridMultilevel"/>
    <w:lvl w:ilvl="0">
      <w:lvlJc w:val="left"/>
      <w:lvlText w:val="(%1)"/>
      <w:numFmt w:val="lowerLetter"/>
      <w:start w:val="2"/>
    </w:lvl>
  </w:abstractNum>
  <w:abstractNum w:abstractNumId="97">
    <w:nsid w:val="6EAA85FB"/>
    <w:multiLevelType w:val="hybridMultilevel"/>
    <w:lvl w:ilvl="0">
      <w:lvlJc w:val="left"/>
      <w:lvlText w:val="(%1)"/>
      <w:numFmt w:val="lowerLetter"/>
      <w:start w:val="4"/>
    </w:lvl>
  </w:abstractNum>
  <w:abstractNum w:abstractNumId="98">
    <w:nsid w:val="3F06ECB2"/>
    <w:multiLevelType w:val="hybridMultilevel"/>
    <w:lvl w:ilvl="0">
      <w:lvlJc w:val="left"/>
      <w:lvlText w:val="(%1)"/>
      <w:numFmt w:val="lowerLetter"/>
      <w:start w:val="1"/>
    </w:lvl>
  </w:abstractNum>
  <w:abstractNum w:abstractNumId="99">
    <w:nsid w:val="3B594807"/>
    <w:multiLevelType w:val="hybridMultilevel"/>
    <w:lvl w:ilvl="0">
      <w:lvlJc w:val="left"/>
      <w:lvlText w:val="%1"/>
      <w:numFmt w:val="lowerLetter"/>
      <w:start w:val="1"/>
    </w:lvl>
    <w:lvl w:ilvl="1">
      <w:lvlJc w:val="left"/>
      <w:lvlText w:val="(%2)"/>
      <w:numFmt w:val="lowerRoman"/>
      <w:start w:val="1"/>
    </w:lvl>
  </w:abstractNum>
  <w:abstractNum w:abstractNumId="100">
    <w:nsid w:val="6CAA2304"/>
    <w:multiLevelType w:val="hybridMultilevel"/>
    <w:lvl w:ilvl="0">
      <w:lvlJc w:val="left"/>
      <w:lvlText w:val="(%1)"/>
      <w:numFmt w:val="lowerLetter"/>
      <w:start w:val="2"/>
    </w:lvl>
    <w:lvl w:ilvl="1">
      <w:lvlJc w:val="left"/>
      <w:lvlText w:val="%2"/>
      <w:numFmt w:val="lowerRoman"/>
      <w:start w:val="1"/>
    </w:lvl>
  </w:abstractNum>
  <w:abstractNum w:abstractNumId="101">
    <w:nsid w:val="3F7C2FF4"/>
    <w:multiLevelType w:val="hybridMultilevel"/>
    <w:lvl w:ilvl="0">
      <w:lvlJc w:val="left"/>
      <w:lvlText w:val="(%1)"/>
      <w:numFmt w:val="lowerLetter"/>
      <w:start w:val="1"/>
    </w:lvl>
  </w:abstractNum>
  <w:abstractNum w:abstractNumId="102">
    <w:nsid w:val="25413BEC"/>
    <w:multiLevelType w:val="hybridMultilevel"/>
    <w:lvl w:ilvl="0">
      <w:lvlJc w:val="left"/>
      <w:lvlText w:val="%1"/>
      <w:numFmt w:val="lowerLetter"/>
      <w:start w:val="1"/>
    </w:lvl>
    <w:lvl w:ilvl="1">
      <w:lvlJc w:val="left"/>
      <w:lvlText w:val="(%2)"/>
      <w:numFmt w:val="lowerRoman"/>
      <w:start w:val="1"/>
    </w:lvl>
  </w:abstractNum>
  <w:abstractNum w:abstractNumId="103">
    <w:nsid w:val="17180B0B"/>
    <w:multiLevelType w:val="hybridMultilevel"/>
    <w:lvl w:ilvl="0">
      <w:lvlJc w:val="left"/>
      <w:lvlText w:val="(%1)"/>
      <w:numFmt w:val="lowerLetter"/>
      <w:start w:val="3"/>
    </w:lvl>
    <w:lvl w:ilvl="1">
      <w:lvlJc w:val="left"/>
      <w:lvlText w:val="%2"/>
      <w:numFmt w:val="lowerRoman"/>
      <w:start w:val="1"/>
    </w:lvl>
  </w:abstractNum>
  <w:abstractNum w:abstractNumId="104">
    <w:nsid w:val="579328B9"/>
    <w:multiLevelType w:val="hybridMultilevel"/>
    <w:lvl w:ilvl="0">
      <w:lvlJc w:val="left"/>
      <w:lvlText w:val="(%1)"/>
      <w:numFmt w:val="lowerLetter"/>
      <w:start w:val="5"/>
    </w:lvl>
  </w:abstractNum>
  <w:abstractNum w:abstractNumId="105">
    <w:nsid w:val="5D205E20"/>
    <w:multiLevelType w:val="hybridMultilevel"/>
    <w:lvl w:ilvl="0">
      <w:lvlJc w:val="left"/>
      <w:lvlText w:val="(%1)"/>
      <w:numFmt w:val="lowerLetter"/>
      <w:start w:val="1"/>
    </w:lvl>
  </w:abstractNum>
  <w:abstractNum w:abstractNumId="106">
    <w:nsid w:val="11CCA8BA"/>
    <w:multiLevelType w:val="hybridMultilevel"/>
    <w:lvl w:ilvl="0">
      <w:lvlJc w:val="left"/>
      <w:lvlText w:val="(%1)"/>
      <w:numFmt w:val="lowerLetter"/>
      <w:start w:val="4"/>
    </w:lvl>
  </w:abstractNum>
  <w:abstractNum w:abstractNumId="107">
    <w:nsid w:val="4D32AB86"/>
    <w:multiLevelType w:val="hybridMultilevel"/>
    <w:lvl w:ilvl="0">
      <w:lvlJc w:val="left"/>
      <w:lvlText w:val="(%1)"/>
      <w:numFmt w:val="lowerLetter"/>
      <w:start w:val="1"/>
    </w:lvl>
    <w:lvl w:ilvl="1">
      <w:lvlJc w:val="left"/>
      <w:lvlText w:val="(%2)"/>
      <w:numFmt w:val="lowerRoman"/>
      <w:start w:val="1"/>
    </w:lvl>
  </w:abstractNum>
  <w:abstractNum w:abstractNumId="108">
    <w:nsid w:val="3F07ACC3"/>
    <w:multiLevelType w:val="hybridMultilevel"/>
    <w:lvl w:ilvl="0">
      <w:lvlJc w:val="left"/>
      <w:lvlText w:val="%1"/>
      <w:numFmt w:val="lowerLetter"/>
      <w:start w:val="1"/>
    </w:lvl>
    <w:lvl w:ilvl="1">
      <w:lvlJc w:val="left"/>
      <w:lvlText w:val="(%2)"/>
      <w:numFmt w:val="lowerRoman"/>
      <w:start w:val="3"/>
    </w:lvl>
  </w:abstractNum>
  <w:abstractNum w:abstractNumId="109">
    <w:nsid w:val="6B47F63E"/>
    <w:multiLevelType w:val="hybridMultilevel"/>
    <w:lvl w:ilvl="0">
      <w:lvlJc w:val="left"/>
      <w:lvlText w:val="(%1)"/>
      <w:numFmt w:val="lowerLetter"/>
      <w:start w:val="2"/>
    </w:lvl>
    <w:lvl w:ilvl="1">
      <w:lvlJc w:val="left"/>
      <w:lvlText w:val="%2"/>
      <w:numFmt w:val="lowerRoman"/>
      <w:start w:val="1"/>
    </w:lvl>
  </w:abstractNum>
  <w:abstractNum w:abstractNumId="110">
    <w:nsid w:val="5CB44A05"/>
    <w:multiLevelType w:val="hybridMultilevel"/>
    <w:lvl w:ilvl="0">
      <w:lvlJc w:val="left"/>
      <w:lvlText w:val="(%1)"/>
      <w:numFmt w:val="lowerLetter"/>
      <w:start w:val="1"/>
    </w:lvl>
  </w:abstractNum>
  <w:abstractNum w:abstractNumId="111">
    <w:nsid w:val="16CF80F1"/>
    <w:multiLevelType w:val="hybridMultilevel"/>
    <w:lvl w:ilvl="0">
      <w:lvlJc w:val="left"/>
      <w:lvlText w:val="(%1)"/>
      <w:numFmt w:val="lowerLetter"/>
      <w:start w:val="3"/>
    </w:lvl>
  </w:abstractNum>
  <w:abstractNum w:abstractNumId="112">
    <w:nsid w:val="1C695DEC"/>
    <w:multiLevelType w:val="hybridMultilevel"/>
    <w:lvl w:ilvl="0">
      <w:lvlJc w:val="left"/>
      <w:lvlText w:val="(%1)"/>
      <w:numFmt w:val="lowerLetter"/>
      <w:start w:val="6"/>
    </w:lvl>
  </w:abstractNum>
  <w:abstractNum w:abstractNumId="113">
    <w:nsid w:val="3FCFAED9"/>
    <w:multiLevelType w:val="hybridMultilevel"/>
    <w:lvl w:ilvl="0">
      <w:lvlJc w:val="left"/>
      <w:lvlText w:val="(%1)"/>
      <w:numFmt w:val="lowerLetter"/>
      <w:start w:val="1"/>
    </w:lvl>
  </w:abstractNum>
  <w:abstractNum w:abstractNumId="114">
    <w:nsid w:val="F856867"/>
    <w:multiLevelType w:val="hybridMultilevel"/>
    <w:lvl w:ilvl="0">
      <w:lvlJc w:val="left"/>
      <w:lvlText w:val="(%1)"/>
      <w:numFmt w:val="lowerLetter"/>
      <w:start w:val="2"/>
    </w:lvl>
  </w:abstractNum>
  <w:abstractNum w:abstractNumId="115">
    <w:nsid w:val="11B1CC33"/>
    <w:multiLevelType w:val="hybridMultilevel"/>
    <w:lvl w:ilvl="0">
      <w:lvlJc w:val="left"/>
      <w:lvlText w:val="(%1)"/>
      <w:numFmt w:val="lowerLetter"/>
      <w:start w:val="1"/>
    </w:lvl>
    <w:lvl w:ilvl="1">
      <w:lvlJc w:val="left"/>
      <w:lvlText w:val="(%2)"/>
      <w:numFmt w:val="lowerRoman"/>
      <w:start w:val="1"/>
    </w:lvl>
  </w:abstractNum>
  <w:abstractNum w:abstractNumId="116">
    <w:nsid w:val="2E22FBB7"/>
    <w:multiLevelType w:val="hybridMultilevel"/>
    <w:lvl w:ilvl="0">
      <w:lvlJc w:val="left"/>
      <w:lvlText w:val="(%1)"/>
      <w:numFmt w:val="lowerLetter"/>
      <w:start w:val="2"/>
    </w:lvl>
  </w:abstractNum>
  <w:abstractNum w:abstractNumId="117">
    <w:nsid w:val="29934699"/>
    <w:multiLevelType w:val="hybridMultilevel"/>
    <w:lvl w:ilvl="0">
      <w:lvlJc w:val="left"/>
      <w:lvlText w:val="(%1)"/>
      <w:numFmt w:val="lowerLetter"/>
      <w:start w:val="1"/>
    </w:lvl>
    <w:lvl w:ilvl="1">
      <w:lvlJc w:val="left"/>
      <w:lvlText w:val="(%2)"/>
      <w:numFmt w:val="lowerLetter"/>
      <w:start w:val="35"/>
    </w:lvl>
  </w:abstractNum>
  <w:abstractNum w:abstractNumId="118">
    <w:nsid w:val="7748585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19">
    <w:nsid w:val="744939A3"/>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1"/>
    </w:lvl>
  </w:abstractNum>
  <w:abstractNum w:abstractNumId="120">
    <w:nsid w:val="4FA0D2E3"/>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121">
    <w:nsid w:val="6B1D2C14"/>
    <w:multiLevelType w:val="hybridMultilevel"/>
    <w:lvl w:ilvl="0">
      <w:lvlJc w:val="left"/>
      <w:lvlText w:val="(%1)"/>
      <w:numFmt w:val="lowerRoman"/>
      <w:start w:val="3"/>
    </w:lvl>
  </w:abstractNum>
  <w:abstractNum w:abstractNumId="122">
    <w:nsid w:val="68B867D3"/>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123">
    <w:nsid w:val="3F7F5DD9"/>
    <w:multiLevelType w:val="hybridMultilevel"/>
    <w:lvl w:ilvl="0">
      <w:lvlJc w:val="left"/>
      <w:lvlText w:val="(%1)"/>
      <w:numFmt w:val="upperLetter"/>
      <w:start w:val="61"/>
    </w:lvl>
    <w:lvl w:ilvl="1">
      <w:lvlJc w:val="left"/>
      <w:lvlText w:val="(%2)"/>
      <w:numFmt w:val="lowerRoman"/>
      <w:start w:val="4"/>
    </w:lvl>
    <w:lvl w:ilvl="2">
      <w:lvlJc w:val="left"/>
      <w:lvlText w:val="(%3)"/>
      <w:numFmt w:val="upperLetter"/>
      <w:start w:val="5"/>
    </w:lvl>
  </w:abstractNum>
  <w:abstractNum w:abstractNumId="124">
    <w:nsid w:val="2AE05A34"/>
    <w:multiLevelType w:val="hybridMultilevel"/>
    <w:lvl w:ilvl="0">
      <w:lvlJc w:val="left"/>
      <w:lvlText w:val="(%1)"/>
      <w:numFmt w:val="lowerLetter"/>
      <w:start w:val="6"/>
    </w:lvl>
  </w:abstractNum>
  <w:abstractNum w:abstractNumId="125">
    <w:nsid w:val="32794FF7"/>
    <w:multiLevelType w:val="hybridMultilevel"/>
    <w:lvl w:ilvl="0">
      <w:lvlJc w:val="left"/>
      <w:lvlText w:val="(%1)"/>
      <w:numFmt w:val="lowerLetter"/>
      <w:start w:val="8"/>
    </w:lvl>
    <w:lvl w:ilvl="1">
      <w:lvlJc w:val="left"/>
      <w:lvlText w:val="(%2)"/>
      <w:numFmt w:val="lowerRoman"/>
      <w:start w:val="2"/>
    </w:lvl>
    <w:lvl w:ilvl="2">
      <w:lvlJc w:val="left"/>
      <w:lvlText w:val="(%3)"/>
      <w:numFmt w:val="upperLetter"/>
      <w:start w:val="2"/>
    </w:lvl>
  </w:abstractNum>
  <w:abstractNum w:abstractNumId="126">
    <w:nsid w:val="5454945E"/>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127">
    <w:nsid w:val="4DEFDFA0"/>
    <w:multiLevelType w:val="hybridMultilevel"/>
    <w:lvl w:ilvl="0">
      <w:lvlJc w:val="left"/>
      <w:lvlText w:val="(%1)"/>
      <w:numFmt w:val="upperLetter"/>
      <w:start w:val="1"/>
    </w:lvl>
    <w:lvl w:ilvl="1">
      <w:lvlJc w:val="left"/>
      <w:lvlText w:val="(%2)"/>
      <w:numFmt w:val="lowerRoman"/>
      <w:start w:val="5"/>
    </w:lvl>
    <w:lvl w:ilvl="2">
      <w:lvlJc w:val="left"/>
      <w:lvlText w:val="(%3)"/>
      <w:numFmt w:val="upperLetter"/>
      <w:start w:val="2"/>
    </w:lvl>
  </w:abstractNum>
  <w:abstractNum w:abstractNumId="128">
    <w:nsid w:val="2123D5F2"/>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129">
    <w:nsid w:val="135B8110"/>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130">
    <w:nsid w:val="94927A8"/>
    <w:multiLevelType w:val="hybridMultilevel"/>
    <w:lvl w:ilvl="0">
      <w:lvlJc w:val="left"/>
      <w:lvlText w:val="(%1)"/>
      <w:numFmt w:val="lowerLetter"/>
      <w:start w:val="10"/>
    </w:lvl>
    <w:lvl w:ilvl="1">
      <w:lvlJc w:val="left"/>
      <w:lvlText w:val="(%2)"/>
      <w:numFmt w:val="lowerRoman"/>
      <w:start w:val="2"/>
    </w:lvl>
    <w:lvl w:ilvl="2">
      <w:lvlJc w:val="left"/>
      <w:lvlText w:val="(%3)"/>
      <w:numFmt w:val="upperLetter"/>
      <w:start w:val="1"/>
    </w:lvl>
  </w:abstractNum>
  <w:abstractNum w:abstractNumId="131">
    <w:nsid w:val="DCDF8F6"/>
    <w:multiLevelType w:val="hybridMultilevel"/>
    <w:lvl w:ilvl="0">
      <w:lvlJc w:val="left"/>
      <w:lvlText w:val="(%1)"/>
      <w:numFmt w:val="lowerRoman"/>
      <w:start w:val="3"/>
    </w:lvl>
  </w:abstractNum>
  <w:abstractNum w:abstractNumId="132">
    <w:nsid w:val="52D7B105"/>
    <w:multiLevelType w:val="hybridMultilevel"/>
    <w:lvl w:ilvl="0">
      <w:lvlJc w:val="left"/>
      <w:lvlText w:val="(%1)"/>
      <w:numFmt w:val="lowerLetter"/>
      <w:start w:val="1"/>
    </w:lvl>
    <w:lvl w:ilvl="1">
      <w:lvlJc w:val="left"/>
      <w:lvlText w:val="(%2)"/>
      <w:numFmt w:val="lowerLetter"/>
      <w:start w:val="9"/>
    </w:lvl>
  </w:abstractNum>
  <w:abstractNum w:abstractNumId="133">
    <w:nsid w:val="2E8A6394"/>
    <w:multiLevelType w:val="hybridMultilevel"/>
    <w:lvl w:ilvl="0">
      <w:lvlJc w:val="left"/>
      <w:lvlText w:val="(%1)"/>
      <w:numFmt w:val="lowerRoman"/>
      <w:start w:val="2"/>
    </w:lvl>
  </w:abstractNum>
  <w:abstractNum w:abstractNumId="134">
    <w:nsid w:val="24E60401"/>
    <w:multiLevelType w:val="hybridMultilevel"/>
    <w:lvl w:ilvl="0">
      <w:lvlJc w:val="left"/>
      <w:lvlText w:val="(%1)"/>
      <w:numFmt w:val="lowerLetter"/>
      <w:start w:val="2"/>
    </w:lvl>
    <w:lvl w:ilvl="1">
      <w:lvlJc w:val="left"/>
      <w:lvlText w:val="(%2)"/>
      <w:numFmt w:val="lowerLetter"/>
      <w:start w:val="9"/>
    </w:lvl>
  </w:abstractNum>
  <w:abstractNum w:abstractNumId="135">
    <w:nsid w:val="2A6AD9BE"/>
    <w:multiLevelType w:val="hybridMultilevel"/>
    <w:lvl w:ilvl="0">
      <w:lvlJc w:val="left"/>
      <w:lvlText w:val="%1"/>
      <w:numFmt w:val="lowerRoman"/>
      <w:start w:val="1"/>
    </w:lvl>
    <w:lvl w:ilvl="1">
      <w:lvlJc w:val="left"/>
      <w:lvlText w:val="(%2)"/>
      <w:numFmt w:val="lowerRoman"/>
      <w:start w:val="2"/>
    </w:lvl>
  </w:abstractNum>
  <w:abstractNum w:abstractNumId="136">
    <w:nsid w:val="BAAC1B4"/>
    <w:multiLevelType w:val="hybridMultilevel"/>
    <w:lvl w:ilvl="0">
      <w:lvlJc w:val="left"/>
      <w:lvlText w:val="(%1)"/>
      <w:numFmt w:val="lowerRoman"/>
      <w:start w:val="2"/>
    </w:lvl>
    <w:lvl w:ilvl="1">
      <w:lvlJc w:val="left"/>
      <w:lvlText w:val="(%2)"/>
      <w:numFmt w:val="lowerRoman"/>
      <w:start w:val="5"/>
    </w:lvl>
  </w:abstractNum>
  <w:abstractNum w:abstractNumId="137">
    <w:nsid w:val="36B2ACBC"/>
    <w:multiLevelType w:val="hybridMultilevel"/>
    <w:lvl w:ilvl="0">
      <w:lvlJc w:val="left"/>
      <w:lvlText w:val="(%1)"/>
      <w:numFmt w:val="lowerLetter"/>
      <w:start w:val="3"/>
    </w:lvl>
  </w:abstractNum>
  <w:abstractNum w:abstractNumId="138">
    <w:nsid w:val="779D8544"/>
    <w:multiLevelType w:val="hybridMultilevel"/>
    <w:lvl w:ilvl="0">
      <w:lvlJc w:val="left"/>
      <w:lvlText w:val="(%1)"/>
      <w:numFmt w:val="lowerLetter"/>
      <w:start w:val="1"/>
    </w:lvl>
    <w:lvl w:ilvl="1">
      <w:lvlJc w:val="left"/>
      <w:lvlText w:val="(%2)"/>
      <w:numFmt w:val="lowerRoman"/>
      <w:start w:val="1"/>
    </w:lvl>
  </w:abstractNum>
  <w:abstractNum w:abstractNumId="139">
    <w:nsid w:val="4AB26E78"/>
    <w:multiLevelType w:val="hybridMultilevel"/>
    <w:lvl w:ilvl="0">
      <w:lvlJc w:val="left"/>
      <w:lvlText w:val="(%1)"/>
      <w:numFmt w:val="lowerLetter"/>
      <w:start w:val="2"/>
    </w:lvl>
  </w:abstractNum>
  <w:abstractNum w:abstractNumId="140">
    <w:nsid w:val="21FAA2FA"/>
    <w:multiLevelType w:val="hybridMultilevel"/>
    <w:lvl w:ilvl="0">
      <w:lvlJc w:val="left"/>
      <w:lvlText w:val="(%1)"/>
      <w:numFmt w:val="lowerLetter"/>
      <w:start w:val="1"/>
    </w:lvl>
  </w:abstractNum>
  <w:abstractNum w:abstractNumId="141">
    <w:nsid w:val="5451CF49"/>
    <w:multiLevelType w:val="hybridMultilevel"/>
    <w:lvl w:ilvl="0">
      <w:lvlJc w:val="left"/>
      <w:lvlText w:val="(%1)"/>
      <w:numFmt w:val="lowerLetter"/>
      <w:start w:val="1"/>
    </w:lvl>
  </w:abstractNum>
  <w:abstractNum w:abstractNumId="142">
    <w:nsid w:val="6181EF69"/>
    <w:multiLevelType w:val="hybridMultilevel"/>
    <w:lvl w:ilvl="0">
      <w:lvlJc w:val="left"/>
      <w:lvlText w:val="(%1)"/>
      <w:numFmt w:val="lowerLetter"/>
      <w:start w:val="2"/>
    </w:lvl>
  </w:abstractNum>
  <w:abstractNum w:abstractNumId="143">
    <w:nsid w:val="3E6400E6"/>
    <w:multiLevelType w:val="hybridMultilevel"/>
    <w:lvl w:ilvl="0">
      <w:lvlJc w:val="left"/>
      <w:lvlText w:val="(%1)"/>
      <w:numFmt w:val="lowerLetter"/>
      <w:start w:val="1"/>
    </w:lvl>
    <w:lvl w:ilvl="1">
      <w:lvlJc w:val="left"/>
      <w:lvlText w:val="(%2)"/>
      <w:numFmt w:val="lowerRoman"/>
      <w:start w:val="1"/>
    </w:lvl>
  </w:abstractNum>
  <w:abstractNum w:abstractNumId="144">
    <w:nsid w:val="14217E2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145">
    <w:nsid w:val="710757D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6"/>
    </w:lvl>
  </w:abstractNum>
  <w:abstractNum w:abstractNumId="146">
    <w:nsid w:val="5015CD1A"/>
    <w:multiLevelType w:val="hybridMultilevel"/>
    <w:lvl w:ilvl="0">
      <w:lvlJc w:val="left"/>
      <w:lvlText w:val="(%1)"/>
      <w:numFmt w:val="lowerLetter"/>
      <w:start w:val="1"/>
    </w:lvl>
  </w:abstractNum>
  <w:abstractNum w:abstractNumId="147">
    <w:nsid w:val="424479DA"/>
    <w:multiLevelType w:val="hybridMultilevel"/>
    <w:lvl w:ilvl="0">
      <w:lvlJc w:val="left"/>
      <w:lvlText w:val="(%1)"/>
      <w:numFmt w:val="lowerLetter"/>
      <w:start w:val="2"/>
    </w:lvl>
  </w:abstractNum>
  <w:abstractNum w:abstractNumId="148">
    <w:nsid w:val="1A9A9E69"/>
    <w:multiLevelType w:val="hybridMultilevel"/>
    <w:lvl w:ilvl="0">
      <w:lvlJc w:val="left"/>
      <w:lvlText w:val="(%1)"/>
      <w:numFmt w:val="lowerLetter"/>
      <w:start w:val="1"/>
    </w:lvl>
  </w:abstractNum>
  <w:abstractNum w:abstractNumId="149">
    <w:nsid w:val="475E256A"/>
    <w:multiLevelType w:val="hybridMultilevel"/>
    <w:lvl w:ilvl="0">
      <w:lvlJc w:val="left"/>
      <w:lvlText w:val="(%1)"/>
      <w:numFmt w:val="lowerLetter"/>
      <w:start w:val="1"/>
    </w:lvl>
  </w:abstractNum>
  <w:abstractNum w:abstractNumId="150">
    <w:nsid w:val="368DB37E"/>
    <w:multiLevelType w:val="hybridMultilevel"/>
    <w:lvl w:ilvl="0">
      <w:lvlJc w:val="left"/>
      <w:lvlText w:val="(%1)"/>
      <w:numFmt w:val="lowerLetter"/>
      <w:start w:val="1"/>
    </w:lvl>
  </w:abstractNum>
  <w:abstractNum w:abstractNumId="151">
    <w:nsid w:val="6A3B714C"/>
    <w:multiLevelType w:val="hybridMultilevel"/>
    <w:lvl w:ilvl="0">
      <w:lvlJc w:val="left"/>
      <w:lvlText w:val="(%1)"/>
      <w:numFmt w:val="lowerLetter"/>
      <w:start w:val="1"/>
    </w:lvl>
  </w:abstractNum>
  <w:abstractNum w:abstractNumId="152">
    <w:nsid w:val="327B517E"/>
    <w:multiLevelType w:val="hybridMultilevel"/>
    <w:lvl w:ilvl="0">
      <w:lvlJc w:val="left"/>
      <w:lvlText w:val="(%1)"/>
      <w:numFmt w:val="lowerLetter"/>
      <w:start w:val="1"/>
    </w:lvl>
  </w:abstractNum>
  <w:abstractNum w:abstractNumId="153">
    <w:nsid w:val="1F461B51"/>
    <w:multiLevelType w:val="hybridMultilevel"/>
    <w:lvl w:ilvl="0">
      <w:lvlJc w:val="left"/>
      <w:lvlText w:val="(%1)"/>
      <w:numFmt w:val="lowerLetter"/>
      <w:start w:val="4"/>
    </w:lvl>
  </w:abstractNum>
  <w:abstractNum w:abstractNumId="154">
    <w:nsid w:val="29BACF25"/>
    <w:multiLevelType w:val="hybridMultilevel"/>
    <w:lvl w:ilvl="0">
      <w:lvlJc w:val="left"/>
      <w:lvlText w:val="(%1)"/>
      <w:numFmt w:val="lowerLetter"/>
      <w:start w:val="26"/>
    </w:lvl>
  </w:abstractNum>
  <w:abstractNum w:abstractNumId="155">
    <w:nsid w:val="5D5BABB3"/>
    <w:multiLevelType w:val="hybridMultilevel"/>
    <w:lvl w:ilvl="0">
      <w:lvlJc w:val="left"/>
      <w:lvlText w:val="(%1)"/>
      <w:numFmt w:val="lowerLetter"/>
      <w:start w:val="1"/>
    </w:lvl>
  </w:abstractNum>
  <w:abstractNum w:abstractNumId="156">
    <w:nsid w:val="51BF6B48"/>
    <w:multiLevelType w:val="hybridMultilevel"/>
    <w:lvl w:ilvl="0">
      <w:lvlJc w:val="left"/>
      <w:lvlText w:val="(%1)"/>
      <w:numFmt w:val="lowerLetter"/>
      <w:start w:val="1"/>
    </w:lvl>
  </w:abstractNum>
  <w:abstractNum w:abstractNumId="157">
    <w:nsid w:val="7E0F6384"/>
    <w:multiLevelType w:val="hybridMultilevel"/>
    <w:lvl w:ilvl="0">
      <w:lvlJc w:val="left"/>
      <w:lvlText w:val="(%1)"/>
      <w:numFmt w:val="lowerLetter"/>
      <w:start w:val="1"/>
    </w:lvl>
  </w:abstractNum>
  <w:abstractNum w:abstractNumId="158">
    <w:nsid w:val="2B4B8B53"/>
    <w:multiLevelType w:val="hybridMultilevel"/>
    <w:lvl w:ilvl="0">
      <w:lvlJc w:val="left"/>
      <w:lvlText w:val="(%1)"/>
      <w:numFmt w:val="lowerLetter"/>
      <w:start w:val="8"/>
    </w:lvl>
  </w:abstractNum>
  <w:abstractNum w:abstractNumId="159">
    <w:nsid w:val="72E3413A"/>
    <w:multiLevelType w:val="hybridMultilevel"/>
    <w:lvl w:ilvl="0">
      <w:lvlJc w:val="left"/>
      <w:lvlText w:val="%1"/>
      <w:numFmt w:val="lowerLetter"/>
      <w:start w:val="1"/>
    </w:lvl>
    <w:lvl w:ilvl="1">
      <w:lvlJc w:val="left"/>
      <w:lvlText w:val="(%2)"/>
      <w:numFmt w:val="lowerLetter"/>
      <w:start w:val="1"/>
    </w:lvl>
  </w:abstractNum>
  <w:abstractNum w:abstractNumId="160">
    <w:nsid w:val="116AE494"/>
    <w:multiLevelType w:val="hybridMultilevel"/>
    <w:lvl w:ilvl="0">
      <w:lvlJc w:val="left"/>
      <w:lvlText w:val="(%1)"/>
      <w:numFmt w:val="lowerLetter"/>
      <w:start w:val="61"/>
    </w:lvl>
    <w:lvl w:ilvl="1">
      <w:lvlJc w:val="left"/>
      <w:lvlText w:val="(%2)"/>
      <w:numFmt w:val="lowerLetter"/>
      <w:start w:val="4"/>
    </w:lvl>
  </w:abstractNum>
  <w:abstractNum w:abstractNumId="161">
    <w:nsid w:val="3494B2FB"/>
    <w:multiLevelType w:val="hybridMultilevel"/>
    <w:lvl w:ilvl="0">
      <w:lvlJc w:val="left"/>
      <w:lvlText w:val="(%1)"/>
      <w:numFmt w:val="lowerLetter"/>
      <w:start w:val="8"/>
    </w:lvl>
  </w:abstractNum>
  <w:abstractNum w:abstractNumId="162">
    <w:nsid w:val="B13A31"/>
    <w:multiLevelType w:val="hybridMultilevel"/>
    <w:lvl w:ilvl="0">
      <w:lvlJc w:val="left"/>
      <w:lvlText w:val="(%1)"/>
      <w:numFmt w:val="lowerLetter"/>
      <w:start w:val="1"/>
    </w:lvl>
  </w:abstractNum>
  <w:abstractNum w:abstractNumId="163">
    <w:nsid w:val="64429599"/>
    <w:multiLevelType w:val="hybridMultilevel"/>
    <w:lvl w:ilvl="0">
      <w:lvlJc w:val="left"/>
      <w:lvlText w:val="(%1)"/>
      <w:numFmt w:val="lowerLetter"/>
      <w:start w:val="3"/>
    </w:lvl>
  </w:abstractNum>
  <w:abstractNum w:abstractNumId="164">
    <w:nsid w:val="631F1690"/>
    <w:multiLevelType w:val="hybridMultilevel"/>
    <w:lvl w:ilvl="0">
      <w:lvlJc w:val="left"/>
      <w:lvlText w:val="(%1)"/>
      <w:numFmt w:val="lowerLetter"/>
      <w:start w:val="1"/>
    </w:lvl>
  </w:abstractNum>
  <w:abstractNum w:abstractNumId="165">
    <w:nsid w:val="25973E32"/>
    <w:multiLevelType w:val="hybridMultilevel"/>
    <w:lvl w:ilvl="0">
      <w:lvlJc w:val="left"/>
      <w:lvlText w:val="(%1)"/>
      <w:numFmt w:val="lowerLetter"/>
      <w:start w:val="1"/>
    </w:lvl>
  </w:abstractNum>
  <w:abstractNum w:abstractNumId="166">
    <w:nsid w:val="EAD6F57"/>
    <w:multiLevelType w:val="hybridMultilevel"/>
    <w:lvl w:ilvl="0">
      <w:lvlJc w:val="left"/>
      <w:lvlText w:val="(%1)"/>
      <w:numFmt w:val="lowerLetter"/>
      <w:start w:val="2"/>
    </w:lvl>
  </w:abstractNum>
  <w:abstractNum w:abstractNumId="167">
    <w:nsid w:val="6EC9D844"/>
    <w:multiLevelType w:val="hybridMultilevel"/>
    <w:lvl w:ilvl="0">
      <w:lvlJc w:val="left"/>
      <w:lvlText w:val="(%1)"/>
      <w:numFmt w:val="lowerLetter"/>
      <w:start w:val="8"/>
    </w:lvl>
  </w:abstractNum>
  <w:abstractNum w:abstractNumId="168">
    <w:nsid w:val="5C49EAEE"/>
    <w:multiLevelType w:val="hybridMultilevel"/>
    <w:lvl w:ilvl="0">
      <w:lvlJc w:val="left"/>
      <w:lvlText w:val="(%1)"/>
      <w:numFmt w:val="lowerLetter"/>
      <w:start w:val="1"/>
    </w:lvl>
  </w:abstractNum>
  <w:abstractNum w:abstractNumId="169">
    <w:nsid w:val="64AF49B"/>
    <w:multiLevelType w:val="hybridMultilevel"/>
    <w:lvl w:ilvl="0">
      <w:lvlJc w:val="left"/>
      <w:lvlText w:val="(%1)"/>
      <w:numFmt w:val="lowerLetter"/>
      <w:start w:val="1"/>
    </w:lvl>
  </w:abstractNum>
  <w:abstractNum w:abstractNumId="170">
    <w:nsid w:val="397C46BC"/>
    <w:multiLevelType w:val="hybridMultilevel"/>
    <w:lvl w:ilvl="0">
      <w:lvlJc w:val="left"/>
      <w:lvlText w:val="(%1)"/>
      <w:numFmt w:val="lowerRoman"/>
      <w:start w:val="1"/>
    </w:lvl>
  </w:abstractNum>
  <w:abstractNum w:abstractNumId="171">
    <w:nsid w:val="7E448DE9"/>
    <w:multiLevelType w:val="hybridMultilevel"/>
    <w:lvl w:ilvl="0">
      <w:lvlJc w:val="left"/>
      <w:lvlText w:val="(%1)"/>
      <w:numFmt w:val="lowerRoman"/>
      <w:start w:val="2"/>
    </w:lvl>
  </w:abstractNum>
  <w:abstractNum w:abstractNumId="172">
    <w:nsid w:val="5A9CC3E5"/>
    <w:multiLevelType w:val="hybridMultilevel"/>
    <w:lvl w:ilvl="0">
      <w:lvlJc w:val="left"/>
      <w:lvlText w:val="(%1)"/>
      <w:numFmt w:val="lowerLetter"/>
      <w:start w:val="1"/>
    </w:lvl>
  </w:abstractNum>
  <w:abstractNum w:abstractNumId="173">
    <w:nsid w:val="1AFE3625"/>
    <w:multiLevelType w:val="hybridMultilevel"/>
    <w:lvl w:ilvl="0">
      <w:lvlJc w:val="left"/>
      <w:lvlText w:val="(%1)"/>
      <w:numFmt w:val="lowerLetter"/>
      <w:start w:val="2"/>
    </w:lvl>
  </w:abstractNum>
  <w:abstractNum w:abstractNumId="174">
    <w:nsid w:val="3CA88ECF"/>
    <w:multiLevelType w:val="hybridMultilevel"/>
    <w:lvl w:ilvl="0">
      <w:lvlJc w:val="left"/>
      <w:lvlText w:val="(%1)"/>
      <w:numFmt w:val="lowerLetter"/>
      <w:start w:val="1"/>
    </w:lvl>
  </w:abstractNum>
  <w:abstractNum w:abstractNumId="175">
    <w:nsid w:val="6EBE4208"/>
    <w:multiLevelType w:val="hybridMultilevel"/>
    <w:lvl w:ilvl="0">
      <w:lvlJc w:val="left"/>
      <w:lvlText w:val="%1"/>
      <w:numFmt w:val="lowerLetter"/>
      <w:start w:val="1"/>
    </w:lvl>
    <w:lvl w:ilvl="1">
      <w:lvlJc w:val="left"/>
      <w:lvlText w:val="(%2)"/>
      <w:numFmt w:val="lowerRoman"/>
      <w:start w:val="1"/>
    </w:lvl>
  </w:abstractNum>
  <w:abstractNum w:abstractNumId="176">
    <w:nsid w:val="C058DF5"/>
    <w:multiLevelType w:val="hybridMultilevel"/>
    <w:lvl w:ilvl="0">
      <w:lvlJc w:val="left"/>
      <w:lvlText w:val="(%1)"/>
      <w:numFmt w:val="lowerLetter"/>
      <w:start w:val="1"/>
    </w:lvl>
    <w:lvl w:ilvl="1">
      <w:lvlJc w:val="left"/>
      <w:lvlText w:val="(%2)"/>
      <w:numFmt w:val="lowerRoman"/>
      <w:start w:val="4"/>
    </w:lvl>
  </w:abstractNum>
  <w:abstractNum w:abstractNumId="177">
    <w:nsid w:val="CBE5BE9"/>
    <w:multiLevelType w:val="hybridMultilevel"/>
    <w:lvl w:ilvl="0">
      <w:lvlJc w:val="left"/>
      <w:lvlText w:val="%1"/>
      <w:numFmt w:val="lowerLetter"/>
      <w:start w:val="1"/>
    </w:lvl>
    <w:lvl w:ilvl="1">
      <w:lvlJc w:val="left"/>
      <w:lvlText w:val="(%2)"/>
      <w:numFmt w:val="lowerLetter"/>
      <w:start w:val="1"/>
    </w:lvl>
  </w:abstractNum>
  <w:abstractNum w:abstractNumId="178">
    <w:nsid w:val="3102BBE2"/>
    <w:multiLevelType w:val="hybridMultilevel"/>
    <w:lvl w:ilvl="0">
      <w:lvlJc w:val="left"/>
      <w:lvlText w:val="(%1)"/>
      <w:numFmt w:val="lowerLetter"/>
      <w:start w:val="35"/>
    </w:lvl>
    <w:lvl w:ilvl="1">
      <w:lvlJc w:val="left"/>
      <w:lvlText w:val="(%2)"/>
      <w:numFmt w:val="lowerLetter"/>
      <w:start w:val="4"/>
    </w:lvl>
  </w:abstractNum>
  <w:abstractNum w:abstractNumId="179">
    <w:nsid w:val="26A02C5E"/>
    <w:multiLevelType w:val="hybridMultilevel"/>
    <w:lvl w:ilvl="0">
      <w:lvlJc w:val="left"/>
      <w:lvlText w:val="(%1)"/>
      <w:numFmt w:val="lowerLetter"/>
      <w:start w:val="22"/>
    </w:lvl>
    <w:lvl w:ilvl="1">
      <w:lvlJc w:val="left"/>
      <w:lvlText w:val="(%2)"/>
      <w:numFmt w:val="lowerLetter"/>
      <w:start w:val="5"/>
    </w:lvl>
  </w:abstractNum>
  <w:abstractNum w:abstractNumId="180">
    <w:nsid w:val="541C8153"/>
    <w:multiLevelType w:val="hybridMultilevel"/>
    <w:lvl w:ilvl="0">
      <w:lvlJc w:val="left"/>
      <w:lvlText w:val="(%1)"/>
      <w:numFmt w:val="lowerLetter"/>
      <w:start w:val="1"/>
    </w:lvl>
  </w:abstractNum>
  <w:abstractNum w:abstractNumId="181">
    <w:nsid w:val="67906F60"/>
    <w:multiLevelType w:val="hybridMultilevel"/>
    <w:lvl w:ilvl="0">
      <w:lvlJc w:val="left"/>
      <w:lvlText w:val="(%1)"/>
      <w:numFmt w:val="lowerRoman"/>
      <w:start w:val="1"/>
    </w:lvl>
  </w:abstractNum>
  <w:abstractNum w:abstractNumId="182">
    <w:nsid w:val="10DB9DAA"/>
    <w:multiLevelType w:val="hybridMultilevel"/>
    <w:lvl w:ilvl="0">
      <w:lvlJc w:val="left"/>
      <w:lvlText w:val="(%1)"/>
      <w:numFmt w:val="lowerLetter"/>
      <w:start w:val="2"/>
    </w:lvl>
  </w:abstractNum>
  <w:abstractNum w:abstractNumId="183">
    <w:nsid w:val="697D2D2"/>
    <w:multiLevelType w:val="hybridMultilevel"/>
    <w:lvl w:ilvl="0">
      <w:lvlJc w:val="left"/>
      <w:lvlText w:val="(%1)"/>
      <w:numFmt w:val="lowerLetter"/>
      <w:start w:val="3"/>
    </w:lvl>
  </w:abstractNum>
  <w:abstractNum w:abstractNumId="184">
    <w:nsid w:val="6D68AB2"/>
    <w:multiLevelType w:val="hybridMultilevel"/>
    <w:lvl w:ilvl="0">
      <w:lvlJc w:val="left"/>
      <w:lvlText w:val="(%1)"/>
      <w:numFmt w:val="lowerLetter"/>
      <w:start w:val="4"/>
    </w:lvl>
  </w:abstractNum>
  <w:abstractNum w:abstractNumId="185">
    <w:nsid w:val="3A966CD0"/>
    <w:multiLevelType w:val="hybridMultilevel"/>
    <w:lvl w:ilvl="0">
      <w:lvlJc w:val="left"/>
      <w:lvlText w:val="(%1)"/>
      <w:numFmt w:val="lowerLetter"/>
      <w:start w:val="1"/>
    </w:lvl>
  </w:abstractNum>
  <w:abstractNum w:abstractNumId="186">
    <w:nsid w:val="63F37E85"/>
    <w:multiLevelType w:val="hybridMultilevel"/>
    <w:lvl w:ilvl="0">
      <w:lvlJc w:val="left"/>
      <w:lvlText w:val="(%1)"/>
      <w:numFmt w:val="lowerLetter"/>
      <w:start w:val="3"/>
    </w:lvl>
  </w:abstractNum>
  <w:abstractNum w:abstractNumId="187">
    <w:nsid w:val="5895F5FA"/>
    <w:multiLevelType w:val="hybridMultilevel"/>
    <w:lvl w:ilvl="0">
      <w:lvlJc w:val="left"/>
      <w:lvlText w:val="(%1)"/>
      <w:numFmt w:val="lowerLetter"/>
      <w:start w:val="5"/>
    </w:lvl>
  </w:abstractNum>
  <w:abstractNum w:abstractNumId="188">
    <w:nsid w:val="38A5D054"/>
    <w:multiLevelType w:val="hybridMultilevel"/>
    <w:lvl w:ilvl="0">
      <w:lvlJc w:val="left"/>
      <w:lvlText w:val="(%1)"/>
      <w:numFmt w:val="lowerLetter"/>
      <w:start w:val="1"/>
    </w:lvl>
  </w:abstractNum>
  <w:abstractNum w:abstractNumId="189">
    <w:nsid w:val="F3F09D8"/>
    <w:multiLevelType w:val="hybridMultilevel"/>
    <w:lvl w:ilvl="0">
      <w:lvlJc w:val="left"/>
      <w:lvlText w:val="(%1)"/>
      <w:numFmt w:val="lowerRoman"/>
      <w:start w:val="1"/>
    </w:lvl>
    <w:lvl w:ilvl="1">
      <w:lvlJc w:val="left"/>
      <w:lvlText w:val="(%2)"/>
      <w:numFmt w:val="upperLetter"/>
      <w:start w:val="1"/>
    </w:lvl>
  </w:abstractNum>
  <w:abstractNum w:abstractNumId="190">
    <w:nsid w:val="4B793735"/>
    <w:multiLevelType w:val="hybridMultilevel"/>
    <w:lvl w:ilvl="0">
      <w:lvlJc w:val="left"/>
      <w:lvlText w:val="(%1)"/>
      <w:numFmt w:val="lowerRoman"/>
      <w:start w:val="4"/>
    </w:lvl>
  </w:abstractNum>
  <w:abstractNum w:abstractNumId="191">
    <w:nsid w:val="4A10B4E8"/>
    <w:multiLevelType w:val="hybridMultilevel"/>
    <w:lvl w:ilvl="0">
      <w:lvlJc w:val="left"/>
      <w:lvlText w:val="(%1)"/>
      <w:numFmt w:val="lowerLetter"/>
      <w:start w:val="3"/>
    </w:lvl>
  </w:abstractNum>
  <w:abstractNum w:abstractNumId="192">
    <w:nsid w:val="43D3BCD4"/>
    <w:multiLevelType w:val="hybridMultilevel"/>
    <w:lvl w:ilvl="0">
      <w:lvlJc w:val="left"/>
      <w:lvlText w:val="(%1)"/>
      <w:numFmt w:val="lowerLetter"/>
      <w:start w:val="6"/>
    </w:lvl>
  </w:abstractNum>
  <w:abstractNum w:abstractNumId="193">
    <w:nsid w:val="4C2A7166"/>
    <w:multiLevelType w:val="hybridMultilevel"/>
    <w:lvl w:ilvl="0">
      <w:lvlJc w:val="left"/>
      <w:lvlText w:val="(%1)"/>
      <w:numFmt w:val="lowerRoman"/>
      <w:start w:val="1"/>
    </w:lvl>
  </w:abstractNum>
  <w:abstractNum w:abstractNumId="194">
    <w:nsid w:val="2E534A82"/>
    <w:multiLevelType w:val="hybridMultilevel"/>
    <w:lvl w:ilvl="0">
      <w:lvlJc w:val="left"/>
      <w:lvlText w:val="(%1)"/>
      <w:numFmt w:val="lowerLetter"/>
      <w:start w:val="1"/>
    </w:lvl>
  </w:abstractNum>
  <w:abstractNum w:abstractNumId="195">
    <w:nsid w:val="26F2D364"/>
    <w:multiLevelType w:val="hybridMultilevel"/>
    <w:lvl w:ilvl="0">
      <w:lvlJc w:val="left"/>
      <w:lvlText w:val="(%1)"/>
      <w:numFmt w:val="lowerLetter"/>
      <w:start w:val="1"/>
    </w:lvl>
  </w:abstractNum>
  <w:abstractNum w:abstractNumId="196">
    <w:nsid w:val="71C1AF98"/>
    <w:multiLevelType w:val="hybridMultilevel"/>
    <w:lvl w:ilvl="0">
      <w:lvlJc w:val="left"/>
      <w:lvlText w:val="(%1)"/>
      <w:numFmt w:val="lowerLetter"/>
      <w:start w:val="1"/>
    </w:lvl>
    <w:lvl w:ilvl="1">
      <w:lvlJc w:val="left"/>
      <w:lvlText w:val="(%2)"/>
      <w:numFmt w:val="lowerRoman"/>
      <w:start w:val="1"/>
    </w:lvl>
  </w:abstractNum>
  <w:abstractNum w:abstractNumId="197">
    <w:nsid w:val="3D00B9D9"/>
    <w:multiLevelType w:val="hybridMultilevel"/>
    <w:lvl w:ilvl="0">
      <w:lvlJc w:val="left"/>
      <w:lvlText w:val="%1"/>
      <w:numFmt w:val="lowerLetter"/>
      <w:start w:val="1"/>
    </w:lvl>
    <w:lvl w:ilvl="1">
      <w:lvlJc w:val="left"/>
      <w:lvlText w:val="%2"/>
      <w:numFmt w:val="decimal"/>
      <w:start w:val="745"/>
    </w:lvl>
  </w:abstractNum>
  <w:abstractNum w:abstractNumId="198">
    <w:nsid w:val="15BCABA8"/>
    <w:multiLevelType w:val="hybridMultilevel"/>
    <w:lvl w:ilvl="0">
      <w:lvlJc w:val="left"/>
      <w:lvlText w:val="%1:"/>
      <w:numFmt w:val="lowerLetter"/>
      <w:start w:val="29"/>
    </w:lvl>
    <w:lvl w:ilvl="1">
      <w:lvlJc w:val="left"/>
      <w:lvlText w:val="%2"/>
      <w:numFmt w:val="decimal"/>
      <w:start w:val="400"/>
    </w:lvl>
  </w:abstractNum>
  <w:abstractNum w:abstractNumId="199">
    <w:nsid w:val="4E0B9A87"/>
    <w:multiLevelType w:val="hybridMultilevel"/>
    <w:lvl w:ilvl="0">
      <w:lvlJc w:val="left"/>
      <w:lvlText w:val="%1."/>
      <w:numFmt w:val="decimal"/>
      <w:start w:val="1"/>
    </w:lvl>
  </w:abstractNum>
  <w:abstractNum w:abstractNumId="200">
    <w:nsid w:val="434BAE75"/>
    <w:multiLevelType w:val="hybridMultilevel"/>
    <w:lvl w:ilvl="0">
      <w:lvlJc w:val="left"/>
      <w:lvlText w:val="%1."/>
      <w:numFmt w:val="decimal"/>
      <w:start w:val="3"/>
    </w:lvl>
  </w:abstractNum>
  <w:abstractNum w:abstractNumId="201">
    <w:nsid w:val="4F38F265"/>
    <w:multiLevelType w:val="hybridMultilevel"/>
    <w:lvl w:ilvl="0">
      <w:lvlJc w:val="left"/>
      <w:lvlText w:val="%1."/>
      <w:numFmt w:val="decimal"/>
      <w:start w:val="5"/>
    </w:lvl>
  </w:abstractNum>
  <w:abstractNum w:abstractNumId="202">
    <w:nsid w:val="4C502870"/>
    <w:multiLevelType w:val="hybridMultilevel"/>
    <w:lvl w:ilvl="0">
      <w:lvlJc w:val="left"/>
      <w:lvlText w:val="%1."/>
      <w:numFmt w:val="decimal"/>
      <w:start w:val="1"/>
    </w:lvl>
  </w:abstractNum>
  <w:abstractNum w:abstractNumId="203">
    <w:nsid w:val="1DE8725A"/>
    <w:multiLevelType w:val="hybridMultilevel"/>
    <w:lvl w:ilvl="0">
      <w:lvlJc w:val="left"/>
      <w:lvlText w:val="%1."/>
      <w:numFmt w:val="decimal"/>
      <w:start w:val="2"/>
    </w:lvl>
    <w:lvl w:ilvl="1">
      <w:lvlJc w:val="left"/>
      <w:lvlText w:val="%2."/>
      <w:numFmt w:val="lowerLetter"/>
      <w:start w:val="1"/>
    </w:lvl>
  </w:abstractNum>
  <w:abstractNum w:abstractNumId="204">
    <w:nsid w:val="6A37288A"/>
    <w:multiLevelType w:val="hybridMultilevel"/>
    <w:lvl w:ilvl="0">
      <w:lvlJc w:val="left"/>
      <w:lvlText w:val="%1."/>
      <w:numFmt w:val="decimal"/>
      <w:start w:val="3"/>
    </w:lvl>
  </w:abstractNum>
  <w:abstractNum w:abstractNumId="205">
    <w:nsid w:val="8F8B73F"/>
    <w:multiLevelType w:val="hybridMultilevel"/>
    <w:lvl w:ilvl="0">
      <w:lvlJc w:val="left"/>
      <w:lvlText w:val="%1."/>
      <w:numFmt w:val="decimal"/>
      <w:start w:val="9"/>
    </w:lvl>
    <w:lvl w:ilvl="1">
      <w:lvlJc w:val="left"/>
      <w:lvlText w:val="%2."/>
      <w:numFmt w:val="lowerRoman"/>
      <w:start w:val="1"/>
    </w:lvl>
  </w:abstractNum>
  <w:abstractNum w:abstractNumId="206">
    <w:nsid w:val="CA6B462"/>
    <w:multiLevelType w:val="hybridMultilevel"/>
    <w:lvl w:ilvl="0">
      <w:lvlJc w:val="left"/>
      <w:lvlText w:val="%1."/>
      <w:numFmt w:val="decimal"/>
      <w:start w:val="13"/>
    </w:lvl>
    <w:lvl w:ilvl="1">
      <w:lvlJc w:val="left"/>
      <w:lvlText w:val="%2."/>
      <w:numFmt w:val="lowerRoman"/>
      <w:start w:val="1"/>
    </w:lvl>
  </w:abstractNum>
  <w:abstractNum w:abstractNumId="207">
    <w:nsid w:val="763CB680"/>
    <w:multiLevelType w:val="hybridMultilevel"/>
    <w:lvl w:ilvl="0">
      <w:lvlJc w:val="left"/>
      <w:lvlText w:val="%1."/>
      <w:numFmt w:val="decimal"/>
      <w:start w:val="15"/>
    </w:lvl>
  </w:abstractNum>
  <w:abstractNum w:abstractNumId="208">
    <w:nsid w:val="15B71329"/>
    <w:multiLevelType w:val="hybridMultilevel"/>
    <w:lvl w:ilvl="0">
      <w:lvlJc w:val="left"/>
      <w:lvlText w:val="%1."/>
      <w:numFmt w:val="decimal"/>
      <w:start w:val="1"/>
    </w:lvl>
    <w:lvl w:ilvl="1">
      <w:lvlJc w:val="left"/>
      <w:lvlText w:val="(%2)"/>
      <w:numFmt w:val="lowerLetter"/>
      <w:start w:val="1"/>
    </w:lvl>
  </w:abstractNum>
  <w:abstractNum w:abstractNumId="209">
    <w:nsid w:val="3DA97044"/>
    <w:multiLevelType w:val="hybridMultilevel"/>
    <w:lvl w:ilvl="0">
      <w:lvlJc w:val="left"/>
      <w:lvlText w:val="%1."/>
      <w:numFmt w:val="decimal"/>
      <w:start w:val="1"/>
    </w:lvl>
    <w:lvl w:ilvl="1">
      <w:lvlJc w:val="left"/>
      <w:lvlText w:val="(%2)"/>
      <w:numFmt w:val="lowerLetter"/>
      <w:start w:val="1"/>
    </w:lvl>
  </w:abstractNum>
  <w:abstractNum w:abstractNumId="210">
    <w:nsid w:val="1CDCE2D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png"/><Relationship Id="rId563" Type="http://schemas.openxmlformats.org/officeDocument/2006/relationships/image" Target="media/image555.png"/><Relationship Id="rId564" Type="http://schemas.openxmlformats.org/officeDocument/2006/relationships/image" Target="media/image556.png"/><Relationship Id="rId565" Type="http://schemas.openxmlformats.org/officeDocument/2006/relationships/image" Target="media/image557.png"/><Relationship Id="rId566" Type="http://schemas.openxmlformats.org/officeDocument/2006/relationships/image" Target="media/image558.png"/><Relationship Id="rId567" Type="http://schemas.openxmlformats.org/officeDocument/2006/relationships/image" Target="media/image559.png"/><Relationship Id="rId568" Type="http://schemas.openxmlformats.org/officeDocument/2006/relationships/image" Target="media/image560.pn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pn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png"/><Relationship Id="rId581"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5" Type="http://schemas.openxmlformats.org/officeDocument/2006/relationships/image" Target="media/image577.png"/><Relationship Id="rId586" Type="http://schemas.openxmlformats.org/officeDocument/2006/relationships/image" Target="media/image578.png"/><Relationship Id="rId587" Type="http://schemas.openxmlformats.org/officeDocument/2006/relationships/image" Target="media/image579.png"/><Relationship Id="rId588" Type="http://schemas.openxmlformats.org/officeDocument/2006/relationships/image" Target="media/image580.png"/><Relationship Id="rId589" Type="http://schemas.openxmlformats.org/officeDocument/2006/relationships/image" Target="media/image581.png"/><Relationship Id="rId590" Type="http://schemas.openxmlformats.org/officeDocument/2006/relationships/image" Target="media/image582.png"/><Relationship Id="rId591"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png"/><Relationship Id="rId604" Type="http://schemas.openxmlformats.org/officeDocument/2006/relationships/image" Target="media/image596.png"/><Relationship Id="rId605" Type="http://schemas.openxmlformats.org/officeDocument/2006/relationships/image" Target="media/image597.png"/><Relationship Id="rId606" Type="http://schemas.openxmlformats.org/officeDocument/2006/relationships/image" Target="media/image598.png"/><Relationship Id="rId607" Type="http://schemas.openxmlformats.org/officeDocument/2006/relationships/image" Target="media/image599.png"/><Relationship Id="rId608" Type="http://schemas.openxmlformats.org/officeDocument/2006/relationships/image" Target="media/image600.png"/><Relationship Id="rId609" Type="http://schemas.openxmlformats.org/officeDocument/2006/relationships/image" Target="media/image601.png"/><Relationship Id="rId610" Type="http://schemas.openxmlformats.org/officeDocument/2006/relationships/image" Target="media/image602.png"/><Relationship Id="rId611" Type="http://schemas.openxmlformats.org/officeDocument/2006/relationships/image" Target="media/image603.png"/><Relationship Id="rId612" Type="http://schemas.openxmlformats.org/officeDocument/2006/relationships/image" Target="media/image604.png"/><Relationship Id="rId613" Type="http://schemas.openxmlformats.org/officeDocument/2006/relationships/image" Target="media/image605.png"/><Relationship Id="rId614" Type="http://schemas.openxmlformats.org/officeDocument/2006/relationships/image" Target="media/image606.png"/><Relationship Id="rId615" Type="http://schemas.openxmlformats.org/officeDocument/2006/relationships/image" Target="media/image607.png"/><Relationship Id="rId616" Type="http://schemas.openxmlformats.org/officeDocument/2006/relationships/image" Target="media/image608.png"/><Relationship Id="rId617" Type="http://schemas.openxmlformats.org/officeDocument/2006/relationships/image" Target="media/image609.png"/><Relationship Id="rId618" Type="http://schemas.openxmlformats.org/officeDocument/2006/relationships/image" Target="media/image610.png"/><Relationship Id="rId619" Type="http://schemas.openxmlformats.org/officeDocument/2006/relationships/image" Target="media/image611.png"/><Relationship Id="rId620" Type="http://schemas.openxmlformats.org/officeDocument/2006/relationships/image" Target="media/image612.png"/><Relationship Id="rId621" Type="http://schemas.openxmlformats.org/officeDocument/2006/relationships/image" Target="media/image613.png"/><Relationship Id="rId622" Type="http://schemas.openxmlformats.org/officeDocument/2006/relationships/image" Target="media/image614.png"/><Relationship Id="rId623" Type="http://schemas.openxmlformats.org/officeDocument/2006/relationships/image" Target="media/image615.png"/><Relationship Id="rId624" Type="http://schemas.openxmlformats.org/officeDocument/2006/relationships/image" Target="media/image616.png"/><Relationship Id="rId625" Type="http://schemas.openxmlformats.org/officeDocument/2006/relationships/image" Target="media/image617.png"/><Relationship Id="rId626" Type="http://schemas.openxmlformats.org/officeDocument/2006/relationships/image" Target="media/image618.png"/><Relationship Id="rId627" Type="http://schemas.openxmlformats.org/officeDocument/2006/relationships/image" Target="media/image619.png"/><Relationship Id="rId628" Type="http://schemas.openxmlformats.org/officeDocument/2006/relationships/image" Target="media/image620.png"/><Relationship Id="rId629" Type="http://schemas.openxmlformats.org/officeDocument/2006/relationships/image" Target="media/image621.png"/><Relationship Id="rId630" Type="http://schemas.openxmlformats.org/officeDocument/2006/relationships/image" Target="media/image622.png"/><Relationship Id="rId631" Type="http://schemas.openxmlformats.org/officeDocument/2006/relationships/image" Target="media/image623.png"/><Relationship Id="rId632" Type="http://schemas.openxmlformats.org/officeDocument/2006/relationships/image" Target="media/image624.png"/><Relationship Id="rId633" Type="http://schemas.openxmlformats.org/officeDocument/2006/relationships/image" Target="media/image625.png"/><Relationship Id="rId634" Type="http://schemas.openxmlformats.org/officeDocument/2006/relationships/image" Target="media/image626.png"/><Relationship Id="rId635" Type="http://schemas.openxmlformats.org/officeDocument/2006/relationships/image" Target="media/image627.png"/><Relationship Id="rId636" Type="http://schemas.openxmlformats.org/officeDocument/2006/relationships/image" Target="media/image628.png"/><Relationship Id="rId637" Type="http://schemas.openxmlformats.org/officeDocument/2006/relationships/image" Target="media/image629.png"/><Relationship Id="rId638" Type="http://schemas.openxmlformats.org/officeDocument/2006/relationships/image" Target="media/image630.png"/><Relationship Id="rId639" Type="http://schemas.openxmlformats.org/officeDocument/2006/relationships/image" Target="media/image631.png"/><Relationship Id="rId640" Type="http://schemas.openxmlformats.org/officeDocument/2006/relationships/image" Target="media/image632.png"/><Relationship Id="rId469" Type="http://schemas.openxmlformats.org/officeDocument/2006/relationships/hyperlink" Target="https://www.sec.gov/Archives/edgar/data/1140536/000119312523147140/d24071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2023-07-27T13:16:45Z</dcterms:created>
  <dcterms:modified xsi:type="dcterms:W3CDTF">2023-07-27T13:16:45Z</dcterms:modified>
</cp:coreProperties>
</file>