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796290</wp:posOffset>
            </wp:positionH>
            <wp:positionV relativeFrom="page">
              <wp:posOffset>1901190</wp:posOffset>
            </wp:positionV>
            <wp:extent cx="5967730"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65"/>
        <w:spacing w:after="0"/>
        <w:rPr>
          <w:sz w:val="20"/>
          <w:szCs w:val="20"/>
          <w:color w:val="auto"/>
        </w:rPr>
      </w:pPr>
      <w:r>
        <w:rPr>
          <w:rFonts w:ascii="Arial" w:cs="Arial" w:eastAsia="Arial" w:hAnsi="Arial"/>
          <w:sz w:val="32"/>
          <w:szCs w:val="32"/>
          <w:b w:val="1"/>
          <w:bCs w:val="1"/>
          <w:color w:val="auto"/>
        </w:rPr>
        <w:t>UNITED STATES</w:t>
      </w:r>
    </w:p>
    <w:p>
      <w:pPr>
        <w:spacing w:after="0" w:line="112" w:lineRule="exact"/>
        <w:rPr>
          <w:sz w:val="24"/>
          <w:szCs w:val="24"/>
          <w:color w:val="auto"/>
        </w:rPr>
      </w:pPr>
    </w:p>
    <w:p>
      <w:pPr>
        <w:jc w:val="center"/>
        <w:ind w:right="-65"/>
        <w:spacing w:after="0"/>
        <w:rPr>
          <w:sz w:val="20"/>
          <w:szCs w:val="20"/>
          <w:color w:val="auto"/>
        </w:rPr>
      </w:pPr>
      <w:r>
        <w:rPr>
          <w:rFonts w:ascii="Arial" w:cs="Arial" w:eastAsia="Arial" w:hAnsi="Arial"/>
          <w:sz w:val="32"/>
          <w:szCs w:val="32"/>
          <w:b w:val="1"/>
          <w:bCs w:val="1"/>
          <w:color w:val="auto"/>
        </w:rPr>
        <w:t>SECURITIES AND EXCHANGE COMMISSION</w:t>
      </w:r>
    </w:p>
    <w:p>
      <w:pPr>
        <w:spacing w:after="0" w:line="96" w:lineRule="exact"/>
        <w:rPr>
          <w:sz w:val="24"/>
          <w:szCs w:val="24"/>
          <w:color w:val="auto"/>
        </w:rPr>
      </w:pPr>
    </w:p>
    <w:p>
      <w:pPr>
        <w:jc w:val="center"/>
        <w:ind w:right="-65"/>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2099945</wp:posOffset>
            </wp:positionH>
            <wp:positionV relativeFrom="paragraph">
              <wp:posOffset>231775</wp:posOffset>
            </wp:positionV>
            <wp:extent cx="17678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7840" cy="635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65"/>
        <w:spacing w:after="0"/>
        <w:rPr>
          <w:sz w:val="20"/>
          <w:szCs w:val="20"/>
          <w:color w:val="auto"/>
        </w:rPr>
      </w:pPr>
      <w:r>
        <w:rPr>
          <w:rFonts w:ascii="Arial" w:cs="Arial" w:eastAsia="Arial" w:hAnsi="Arial"/>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2099945</wp:posOffset>
            </wp:positionH>
            <wp:positionV relativeFrom="paragraph">
              <wp:posOffset>241300</wp:posOffset>
            </wp:positionV>
            <wp:extent cx="176784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7840" cy="6350"/>
                    </a:xfrm>
                    <a:prstGeom prst="rect">
                      <a:avLst/>
                    </a:prstGeom>
                    <a:noFill/>
                  </pic:spPr>
                </pic:pic>
              </a:graphicData>
            </a:graphic>
          </wp:anchor>
        </w:drawing>
      </w:r>
    </w:p>
    <w:p>
      <w:pPr>
        <w:spacing w:after="0" w:line="399" w:lineRule="exact"/>
        <w:rPr>
          <w:sz w:val="24"/>
          <w:szCs w:val="24"/>
          <w:color w:val="auto"/>
        </w:rPr>
      </w:pPr>
    </w:p>
    <w:p>
      <w:pPr>
        <w:ind w:left="6"/>
        <w:spacing w:after="0"/>
        <w:rPr>
          <w:sz w:val="20"/>
          <w:szCs w:val="20"/>
          <w:color w:val="auto"/>
        </w:rPr>
      </w:pPr>
      <w:r>
        <w:rPr>
          <w:rFonts w:ascii="Arial" w:cs="Arial" w:eastAsia="Arial" w:hAnsi="Arial"/>
          <w:sz w:val="20"/>
          <w:szCs w:val="20"/>
          <w:b w:val="1"/>
          <w:bCs w:val="1"/>
          <w:color w:val="auto"/>
        </w:rPr>
        <w:t>(Mark one)</w:t>
      </w:r>
    </w:p>
    <w:p>
      <w:pPr>
        <w:spacing w:after="0" w:line="142" w:lineRule="exact"/>
        <w:rPr>
          <w:sz w:val="24"/>
          <w:szCs w:val="24"/>
          <w:color w:val="auto"/>
        </w:rPr>
      </w:pPr>
    </w:p>
    <w:p>
      <w:pPr>
        <w:ind w:left="306" w:right="200" w:hanging="306"/>
        <w:spacing w:after="0" w:line="302" w:lineRule="auto"/>
        <w:tabs>
          <w:tab w:leader="none" w:pos="587" w:val="left"/>
        </w:tabs>
        <w:numPr>
          <w:ilvl w:val="0"/>
          <w:numId w:val="1"/>
        </w:numPr>
        <w:rPr>
          <w:rFonts w:ascii="MS Gothic" w:cs="MS Gothic" w:eastAsia="MS Gothic" w:hAnsi="MS Gothic"/>
          <w:sz w:val="20"/>
          <w:szCs w:val="20"/>
          <w:b w:val="1"/>
          <w:bCs w:val="1"/>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31" w:lineRule="exact"/>
        <w:rPr>
          <w:sz w:val="24"/>
          <w:szCs w:val="24"/>
          <w:color w:val="auto"/>
        </w:rPr>
      </w:pPr>
    </w:p>
    <w:p>
      <w:pPr>
        <w:jc w:val="center"/>
        <w:ind w:right="-65"/>
        <w:spacing w:after="0"/>
        <w:rPr>
          <w:sz w:val="20"/>
          <w:szCs w:val="20"/>
          <w:color w:val="auto"/>
        </w:rPr>
      </w:pPr>
      <w:r>
        <w:rPr>
          <w:rFonts w:ascii="Arial" w:cs="Arial" w:eastAsia="Arial" w:hAnsi="Arial"/>
          <w:sz w:val="20"/>
          <w:szCs w:val="20"/>
          <w:b w:val="1"/>
          <w:bCs w:val="1"/>
          <w:color w:val="auto"/>
        </w:rPr>
        <w:t>For the fiscal year ended December 31, 2025</w:t>
      </w:r>
    </w:p>
    <w:p>
      <w:pPr>
        <w:spacing w:after="0" w:line="70" w:lineRule="exact"/>
        <w:rPr>
          <w:sz w:val="24"/>
          <w:szCs w:val="24"/>
          <w:color w:val="auto"/>
        </w:rPr>
      </w:pPr>
    </w:p>
    <w:p>
      <w:pPr>
        <w:jc w:val="center"/>
        <w:ind w:right="-65"/>
        <w:spacing w:after="0"/>
        <w:rPr>
          <w:sz w:val="20"/>
          <w:szCs w:val="20"/>
          <w:color w:val="auto"/>
        </w:rPr>
      </w:pPr>
      <w:r>
        <w:rPr>
          <w:rFonts w:ascii="Arial" w:cs="Arial" w:eastAsia="Arial" w:hAnsi="Arial"/>
          <w:sz w:val="20"/>
          <w:szCs w:val="20"/>
          <w:b w:val="1"/>
          <w:bCs w:val="1"/>
          <w:color w:val="auto"/>
        </w:rPr>
        <w:t>or</w:t>
      </w:r>
    </w:p>
    <w:p>
      <w:pPr>
        <w:spacing w:after="0" w:line="142" w:lineRule="exact"/>
        <w:rPr>
          <w:sz w:val="24"/>
          <w:szCs w:val="24"/>
          <w:color w:val="auto"/>
        </w:rPr>
      </w:pPr>
    </w:p>
    <w:p>
      <w:pPr>
        <w:ind w:left="306" w:right="1000" w:hanging="306"/>
        <w:spacing w:after="0" w:line="302" w:lineRule="auto"/>
        <w:tabs>
          <w:tab w:leader="none" w:pos="587" w:val="left"/>
        </w:tabs>
        <w:numPr>
          <w:ilvl w:val="0"/>
          <w:numId w:val="2"/>
        </w:numPr>
        <w:rPr>
          <w:rFonts w:ascii="MS Gothic" w:cs="MS Gothic" w:eastAsia="MS Gothic" w:hAnsi="MS Gothic"/>
          <w:sz w:val="20"/>
          <w:szCs w:val="20"/>
          <w:b w:val="1"/>
          <w:bCs w:val="1"/>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91" w:lineRule="exact"/>
        <w:rPr>
          <w:sz w:val="24"/>
          <w:szCs w:val="24"/>
          <w:color w:val="auto"/>
        </w:rPr>
      </w:pPr>
    </w:p>
    <w:p>
      <w:pPr>
        <w:jc w:val="center"/>
        <w:ind w:right="-65"/>
        <w:spacing w:after="0"/>
        <w:rPr>
          <w:sz w:val="20"/>
          <w:szCs w:val="20"/>
          <w:color w:val="auto"/>
        </w:rPr>
      </w:pPr>
      <w:r>
        <w:rPr>
          <w:rFonts w:ascii="Arial" w:cs="Arial" w:eastAsia="Arial" w:hAnsi="Arial"/>
          <w:sz w:val="20"/>
          <w:szCs w:val="20"/>
          <w:b w:val="1"/>
          <w:bCs w:val="1"/>
          <w:color w:val="auto"/>
        </w:rPr>
        <w:t>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2099945</wp:posOffset>
            </wp:positionH>
            <wp:positionV relativeFrom="paragraph">
              <wp:posOffset>229235</wp:posOffset>
            </wp:positionV>
            <wp:extent cx="176784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7840" cy="6350"/>
                    </a:xfrm>
                    <a:prstGeom prst="rect">
                      <a:avLst/>
                    </a:prstGeom>
                    <a:noFill/>
                  </pic:spPr>
                </pic:pic>
              </a:graphicData>
            </a:graphic>
          </wp:anchor>
        </w:drawing>
        <w:drawing>
          <wp:anchor simplePos="0" relativeHeight="251657728" behindDoc="1" locked="0" layoutInCell="0" allowOverlap="1">
            <wp:simplePos x="0" y="0"/>
            <wp:positionH relativeFrom="column">
              <wp:posOffset>2364740</wp:posOffset>
            </wp:positionH>
            <wp:positionV relativeFrom="paragraph">
              <wp:posOffset>311785</wp:posOffset>
            </wp:positionV>
            <wp:extent cx="1238250" cy="400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8250" cy="4000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65"/>
        <w:spacing w:after="0"/>
        <w:rPr>
          <w:sz w:val="20"/>
          <w:szCs w:val="20"/>
          <w:color w:val="auto"/>
        </w:rPr>
      </w:pPr>
      <w:r>
        <w:rPr>
          <w:rFonts w:ascii="Arial" w:cs="Arial" w:eastAsia="Arial" w:hAnsi="Arial"/>
          <w:sz w:val="34"/>
          <w:szCs w:val="34"/>
          <w:b w:val="1"/>
          <w:bCs w:val="1"/>
          <w:color w:val="auto"/>
        </w:rPr>
        <w:t>WILLIS TOWERS WATSON PUBLIC LIMITED COMPANY</w:t>
      </w:r>
    </w:p>
    <w:p>
      <w:pPr>
        <w:spacing w:after="0" w:line="117" w:lineRule="exact"/>
        <w:rPr>
          <w:sz w:val="24"/>
          <w:szCs w:val="24"/>
          <w:color w:val="auto"/>
        </w:rPr>
      </w:pPr>
    </w:p>
    <w:p>
      <w:pPr>
        <w:jc w:val="center"/>
        <w:ind w:right="-65"/>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2099945</wp:posOffset>
            </wp:positionH>
            <wp:positionV relativeFrom="paragraph">
              <wp:posOffset>231775</wp:posOffset>
            </wp:positionV>
            <wp:extent cx="176784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7840" cy="635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6" w:type="dxa"/>
        <w:tblCellMar>
          <w:top w:w="0" w:type="dxa"/>
          <w:left w:w="0" w:type="dxa"/>
          <w:bottom w:w="0" w:type="dxa"/>
          <w:right w:w="0" w:type="dxa"/>
        </w:tblCellMar>
      </w:tblPr>
      <w:tr>
        <w:trPr>
          <w:trHeight w:val="230"/>
        </w:trPr>
        <w:tc>
          <w:tcPr>
            <w:tcW w:w="3460" w:type="dxa"/>
            <w:vAlign w:val="bottom"/>
          </w:tcPr>
          <w:p>
            <w:pPr>
              <w:jc w:val="center"/>
              <w:ind w:left="1056"/>
              <w:spacing w:after="0"/>
              <w:rPr>
                <w:sz w:val="20"/>
                <w:szCs w:val="20"/>
                <w:color w:val="auto"/>
              </w:rPr>
            </w:pPr>
            <w:r>
              <w:rPr>
                <w:rFonts w:ascii="Arial" w:cs="Arial" w:eastAsia="Arial" w:hAnsi="Arial"/>
                <w:sz w:val="20"/>
                <w:szCs w:val="20"/>
                <w:b w:val="1"/>
                <w:bCs w:val="1"/>
                <w:color w:val="auto"/>
                <w:w w:val="97"/>
              </w:rPr>
              <w:t>Ireland</w:t>
            </w:r>
          </w:p>
        </w:tc>
        <w:tc>
          <w:tcPr>
            <w:tcW w:w="1580" w:type="dxa"/>
            <w:vAlign w:val="bottom"/>
          </w:tcPr>
          <w:p>
            <w:pPr>
              <w:spacing w:after="0"/>
              <w:rPr>
                <w:sz w:val="19"/>
                <w:szCs w:val="19"/>
                <w:color w:val="auto"/>
              </w:rPr>
            </w:pPr>
          </w:p>
        </w:tc>
        <w:tc>
          <w:tcPr>
            <w:tcW w:w="3760" w:type="dxa"/>
            <w:vAlign w:val="bottom"/>
          </w:tcPr>
          <w:p>
            <w:pPr>
              <w:jc w:val="right"/>
              <w:ind w:right="1135"/>
              <w:spacing w:after="0"/>
              <w:rPr>
                <w:sz w:val="20"/>
                <w:szCs w:val="20"/>
                <w:color w:val="auto"/>
              </w:rPr>
            </w:pPr>
            <w:r>
              <w:rPr>
                <w:rFonts w:ascii="Arial" w:cs="Arial" w:eastAsia="Arial" w:hAnsi="Arial"/>
                <w:sz w:val="20"/>
                <w:szCs w:val="20"/>
                <w:b w:val="1"/>
                <w:bCs w:val="1"/>
                <w:color w:val="auto"/>
              </w:rPr>
              <w:t>98-0352587</w:t>
            </w:r>
          </w:p>
        </w:tc>
      </w:tr>
      <w:tr>
        <w:trPr>
          <w:trHeight w:val="292"/>
        </w:trPr>
        <w:tc>
          <w:tcPr>
            <w:tcW w:w="5040" w:type="dxa"/>
            <w:vAlign w:val="bottom"/>
            <w:gridSpan w:val="2"/>
          </w:tcPr>
          <w:p>
            <w:pPr>
              <w:ind w:left="840"/>
              <w:spacing w:after="0"/>
              <w:rPr>
                <w:sz w:val="20"/>
                <w:szCs w:val="20"/>
                <w:color w:val="auto"/>
              </w:rPr>
            </w:pPr>
            <w:r>
              <w:rPr>
                <w:rFonts w:ascii="Arial" w:cs="Arial" w:eastAsia="Arial" w:hAnsi="Arial"/>
                <w:sz w:val="16"/>
                <w:szCs w:val="16"/>
                <w:i w:val="1"/>
                <w:iCs w:val="1"/>
                <w:color w:val="auto"/>
              </w:rPr>
              <w:t>(Jurisdiction of incorporation or organization)</w:t>
            </w:r>
          </w:p>
        </w:tc>
        <w:tc>
          <w:tcPr>
            <w:tcW w:w="3760" w:type="dxa"/>
            <w:vAlign w:val="bottom"/>
          </w:tcPr>
          <w:p>
            <w:pPr>
              <w:jc w:val="center"/>
              <w:ind w:left="195"/>
              <w:spacing w:after="0"/>
              <w:rPr>
                <w:sz w:val="20"/>
                <w:szCs w:val="20"/>
                <w:color w:val="auto"/>
              </w:rPr>
            </w:pPr>
            <w:r>
              <w:rPr>
                <w:rFonts w:ascii="Arial" w:cs="Arial" w:eastAsia="Arial" w:hAnsi="Arial"/>
                <w:sz w:val="16"/>
                <w:szCs w:val="16"/>
                <w:i w:val="1"/>
                <w:iCs w:val="1"/>
                <w:color w:val="auto"/>
                <w:w w:val="92"/>
              </w:rPr>
              <w:t>(I.R.S. Employer Identification No.)</w:t>
            </w:r>
          </w:p>
        </w:tc>
      </w:tr>
      <w:tr>
        <w:trPr>
          <w:trHeight w:val="394"/>
        </w:trPr>
        <w:tc>
          <w:tcPr>
            <w:tcW w:w="3460" w:type="dxa"/>
            <w:vAlign w:val="bottom"/>
          </w:tcPr>
          <w:p>
            <w:pPr>
              <w:jc w:val="center"/>
              <w:ind w:left="1056"/>
              <w:spacing w:after="0"/>
              <w:rPr>
                <w:sz w:val="20"/>
                <w:szCs w:val="20"/>
                <w:color w:val="auto"/>
              </w:rPr>
            </w:pPr>
            <w:r>
              <w:rPr>
                <w:rFonts w:ascii="Arial" w:cs="Arial" w:eastAsia="Arial" w:hAnsi="Arial"/>
                <w:sz w:val="18"/>
                <w:szCs w:val="18"/>
                <w:b w:val="1"/>
                <w:bCs w:val="1"/>
                <w:color w:val="auto"/>
                <w:w w:val="93"/>
              </w:rPr>
              <w:t>c/o Willis Group Limited</w:t>
            </w:r>
          </w:p>
        </w:tc>
        <w:tc>
          <w:tcPr>
            <w:tcW w:w="1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00"/>
        </w:trPr>
        <w:tc>
          <w:tcPr>
            <w:tcW w:w="5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51 Lime Street, London EC3M 7DQ, England</w:t>
            </w:r>
          </w:p>
        </w:tc>
        <w:tc>
          <w:tcPr>
            <w:tcW w:w="3760" w:type="dxa"/>
            <w:vAlign w:val="bottom"/>
          </w:tcPr>
          <w:p>
            <w:pPr>
              <w:jc w:val="right"/>
              <w:ind w:right="775"/>
              <w:spacing w:after="0"/>
              <w:rPr>
                <w:sz w:val="20"/>
                <w:szCs w:val="20"/>
                <w:color w:val="auto"/>
              </w:rPr>
            </w:pPr>
            <w:r>
              <w:rPr>
                <w:rFonts w:ascii="Arial" w:cs="Arial" w:eastAsia="Arial" w:hAnsi="Arial"/>
                <w:sz w:val="18"/>
                <w:szCs w:val="18"/>
                <w:b w:val="1"/>
                <w:bCs w:val="1"/>
                <w:color w:val="auto"/>
              </w:rPr>
              <w:t>(011) 44-20-3124-6000</w:t>
            </w:r>
          </w:p>
        </w:tc>
      </w:tr>
      <w:tr>
        <w:trPr>
          <w:trHeight w:val="227"/>
        </w:trPr>
        <w:tc>
          <w:tcPr>
            <w:tcW w:w="3460" w:type="dxa"/>
            <w:vAlign w:val="bottom"/>
          </w:tcPr>
          <w:p>
            <w:pPr>
              <w:jc w:val="center"/>
              <w:ind w:left="1056"/>
              <w:spacing w:after="0"/>
              <w:rPr>
                <w:sz w:val="20"/>
                <w:szCs w:val="20"/>
                <w:color w:val="auto"/>
              </w:rPr>
            </w:pPr>
            <w:r>
              <w:rPr>
                <w:rFonts w:ascii="Arial" w:cs="Arial" w:eastAsia="Arial" w:hAnsi="Arial"/>
                <w:sz w:val="14"/>
                <w:szCs w:val="14"/>
                <w:i w:val="1"/>
                <w:iCs w:val="1"/>
                <w:color w:val="auto"/>
                <w:w w:val="91"/>
              </w:rPr>
              <w:t>(Address of principal executive offices)</w:t>
            </w:r>
          </w:p>
        </w:tc>
        <w:tc>
          <w:tcPr>
            <w:tcW w:w="1580" w:type="dxa"/>
            <w:vAlign w:val="bottom"/>
          </w:tcPr>
          <w:p>
            <w:pPr>
              <w:spacing w:after="0"/>
              <w:rPr>
                <w:sz w:val="19"/>
                <w:szCs w:val="19"/>
                <w:color w:val="auto"/>
              </w:rPr>
            </w:pPr>
          </w:p>
        </w:tc>
        <w:tc>
          <w:tcPr>
            <w:tcW w:w="3760" w:type="dxa"/>
            <w:vAlign w:val="bottom"/>
          </w:tcPr>
          <w:p>
            <w:pPr>
              <w:jc w:val="center"/>
              <w:ind w:left="235"/>
              <w:spacing w:after="0"/>
              <w:rPr>
                <w:sz w:val="20"/>
                <w:szCs w:val="20"/>
                <w:color w:val="auto"/>
              </w:rPr>
            </w:pPr>
            <w:r>
              <w:rPr>
                <w:rFonts w:ascii="Arial" w:cs="Arial" w:eastAsia="Arial" w:hAnsi="Arial"/>
                <w:sz w:val="16"/>
                <w:szCs w:val="16"/>
                <w:i w:val="1"/>
                <w:iCs w:val="1"/>
                <w:color w:val="auto"/>
                <w:w w:val="91"/>
              </w:rPr>
              <w:t>(Registrant’s telephone number, including area code)</w:t>
            </w:r>
          </w:p>
        </w:tc>
      </w:tr>
      <w:tr>
        <w:trPr>
          <w:trHeight w:val="399"/>
        </w:trPr>
        <w:tc>
          <w:tcPr>
            <w:tcW w:w="3460" w:type="dxa"/>
            <w:vAlign w:val="bottom"/>
          </w:tcPr>
          <w:p>
            <w:pPr>
              <w:spacing w:after="0"/>
              <w:rPr>
                <w:sz w:val="24"/>
                <w:szCs w:val="24"/>
                <w:color w:val="auto"/>
              </w:rPr>
            </w:pPr>
          </w:p>
        </w:tc>
        <w:tc>
          <w:tcPr>
            <w:tcW w:w="5340" w:type="dxa"/>
            <w:vAlign w:val="bottom"/>
            <w:gridSpan w:val="2"/>
          </w:tcPr>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587"/>
        </w:trPr>
        <w:tc>
          <w:tcPr>
            <w:tcW w:w="3460" w:type="dxa"/>
            <w:vAlign w:val="bottom"/>
          </w:tcPr>
          <w:p>
            <w:pPr>
              <w:spacing w:after="0"/>
              <w:rPr>
                <w:sz w:val="24"/>
                <w:szCs w:val="24"/>
                <w:color w:val="auto"/>
              </w:rPr>
            </w:pPr>
          </w:p>
        </w:tc>
        <w:tc>
          <w:tcPr>
            <w:tcW w:w="1580" w:type="dxa"/>
            <w:vAlign w:val="bottom"/>
          </w:tcPr>
          <w:p>
            <w:pPr>
              <w:jc w:val="center"/>
              <w:ind w:left="140"/>
              <w:spacing w:after="0"/>
              <w:rPr>
                <w:sz w:val="20"/>
                <w:szCs w:val="20"/>
                <w:color w:val="auto"/>
              </w:rPr>
            </w:pPr>
            <w:r>
              <w:rPr>
                <w:rFonts w:ascii="Arial" w:cs="Arial" w:eastAsia="Arial" w:hAnsi="Arial"/>
                <w:sz w:val="16"/>
                <w:szCs w:val="16"/>
                <w:b w:val="1"/>
                <w:bCs w:val="1"/>
                <w:color w:val="auto"/>
                <w:w w:val="95"/>
              </w:rPr>
              <w:t>Trading</w:t>
            </w:r>
          </w:p>
        </w:tc>
        <w:tc>
          <w:tcPr>
            <w:tcW w:w="3760" w:type="dxa"/>
            <w:vAlign w:val="bottom"/>
          </w:tcPr>
          <w:p>
            <w:pPr>
              <w:spacing w:after="0"/>
              <w:rPr>
                <w:sz w:val="24"/>
                <w:szCs w:val="24"/>
                <w:color w:val="auto"/>
              </w:rPr>
            </w:pPr>
          </w:p>
        </w:tc>
      </w:tr>
      <w:tr>
        <w:trPr>
          <w:trHeight w:val="240"/>
        </w:trPr>
        <w:tc>
          <w:tcPr>
            <w:tcW w:w="3460" w:type="dxa"/>
            <w:vAlign w:val="bottom"/>
          </w:tcPr>
          <w:p>
            <w:pPr>
              <w:ind w:left="1180"/>
              <w:spacing w:after="0"/>
              <w:rPr>
                <w:sz w:val="20"/>
                <w:szCs w:val="20"/>
                <w:color w:val="auto"/>
              </w:rPr>
            </w:pPr>
            <w:r>
              <w:rPr>
                <w:rFonts w:ascii="Arial" w:cs="Arial" w:eastAsia="Arial" w:hAnsi="Arial"/>
                <w:sz w:val="16"/>
                <w:szCs w:val="16"/>
                <w:b w:val="1"/>
                <w:bCs w:val="1"/>
                <w:color w:val="auto"/>
              </w:rPr>
              <w:t>Title of each class</w:t>
            </w:r>
          </w:p>
        </w:tc>
        <w:tc>
          <w:tcPr>
            <w:tcW w:w="1580" w:type="dxa"/>
            <w:vAlign w:val="bottom"/>
          </w:tcPr>
          <w:p>
            <w:pPr>
              <w:jc w:val="center"/>
              <w:ind w:left="140"/>
              <w:spacing w:after="0"/>
              <w:rPr>
                <w:sz w:val="20"/>
                <w:szCs w:val="20"/>
                <w:color w:val="auto"/>
              </w:rPr>
            </w:pPr>
            <w:r>
              <w:rPr>
                <w:rFonts w:ascii="Arial" w:cs="Arial" w:eastAsia="Arial" w:hAnsi="Arial"/>
                <w:sz w:val="16"/>
                <w:szCs w:val="16"/>
                <w:b w:val="1"/>
                <w:bCs w:val="1"/>
                <w:color w:val="auto"/>
                <w:w w:val="87"/>
              </w:rPr>
              <w:t>Symbol(s)</w:t>
            </w:r>
          </w:p>
        </w:tc>
        <w:tc>
          <w:tcPr>
            <w:tcW w:w="3760" w:type="dxa"/>
            <w:vAlign w:val="bottom"/>
          </w:tcPr>
          <w:p>
            <w:pPr>
              <w:jc w:val="center"/>
              <w:ind w:left="615"/>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93"/>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w w:val="90"/>
              </w:rPr>
              <w:t>Ordinary Shares, nominal value $0.000304635 per</w:t>
            </w:r>
          </w:p>
        </w:tc>
        <w:tc>
          <w:tcPr>
            <w:tcW w:w="1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00"/>
        </w:trPr>
        <w:tc>
          <w:tcPr>
            <w:tcW w:w="3460" w:type="dxa"/>
            <w:vAlign w:val="bottom"/>
          </w:tcPr>
          <w:p>
            <w:pPr>
              <w:spacing w:after="0"/>
              <w:rPr>
                <w:sz w:val="20"/>
                <w:szCs w:val="20"/>
                <w:color w:val="auto"/>
              </w:rPr>
            </w:pPr>
            <w:r>
              <w:rPr>
                <w:rFonts w:ascii="Arial" w:cs="Arial" w:eastAsia="Arial" w:hAnsi="Arial"/>
                <w:sz w:val="16"/>
                <w:szCs w:val="16"/>
                <w:b w:val="1"/>
                <w:bCs w:val="1"/>
                <w:color w:val="auto"/>
              </w:rPr>
              <w:t>share</w:t>
            </w:r>
          </w:p>
        </w:tc>
        <w:tc>
          <w:tcPr>
            <w:tcW w:w="1580" w:type="dxa"/>
            <w:vAlign w:val="bottom"/>
          </w:tcPr>
          <w:p>
            <w:pPr>
              <w:jc w:val="center"/>
              <w:ind w:left="160"/>
              <w:spacing w:after="0"/>
              <w:rPr>
                <w:sz w:val="20"/>
                <w:szCs w:val="20"/>
                <w:color w:val="auto"/>
              </w:rPr>
            </w:pPr>
            <w:r>
              <w:rPr>
                <w:rFonts w:ascii="Arial" w:cs="Arial" w:eastAsia="Arial" w:hAnsi="Arial"/>
                <w:sz w:val="16"/>
                <w:szCs w:val="16"/>
                <w:b w:val="1"/>
                <w:bCs w:val="1"/>
                <w:color w:val="auto"/>
              </w:rPr>
              <w:t>WTW</w:t>
            </w:r>
          </w:p>
        </w:tc>
        <w:tc>
          <w:tcPr>
            <w:tcW w:w="3760" w:type="dxa"/>
            <w:vAlign w:val="bottom"/>
          </w:tcPr>
          <w:p>
            <w:pPr>
              <w:jc w:val="center"/>
              <w:ind w:left="635"/>
              <w:spacing w:after="0"/>
              <w:rPr>
                <w:sz w:val="20"/>
                <w:szCs w:val="20"/>
                <w:color w:val="auto"/>
              </w:rPr>
            </w:pPr>
            <w:r>
              <w:rPr>
                <w:rFonts w:ascii="Arial" w:cs="Arial" w:eastAsia="Arial" w:hAnsi="Arial"/>
                <w:sz w:val="16"/>
                <w:szCs w:val="16"/>
                <w:b w:val="1"/>
                <w:bCs w:val="1"/>
                <w:color w:val="auto"/>
                <w:w w:val="93"/>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-355600</wp:posOffset>
            </wp:positionV>
            <wp:extent cx="596773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396" w:lineRule="exact"/>
        <w:rPr>
          <w:sz w:val="24"/>
          <w:szCs w:val="24"/>
          <w:color w:val="auto"/>
        </w:rPr>
      </w:pPr>
    </w:p>
    <w:p>
      <w:pPr>
        <w:jc w:val="center"/>
        <w:ind w:right="-85"/>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ectPr>
          <w:pgSz w:w="11900" w:h="16838" w:orient="portrait"/>
          <w:cols w:equalWidth="0" w:num="1">
            <w:col w:w="9326"/>
          </w:cols>
          <w:pgMar w:left="1254" w:top="1440" w:right="1326" w:bottom="0" w:gutter="0" w:footer="0" w:header="0"/>
        </w:sectPr>
      </w:pPr>
    </w:p>
    <w:p>
      <w:pPr>
        <w:spacing w:after="0" w:line="200" w:lineRule="exact"/>
        <w:rPr>
          <w:sz w:val="24"/>
          <w:szCs w:val="24"/>
          <w:color w:val="auto"/>
        </w:rPr>
      </w:pPr>
    </w:p>
    <w:p>
      <w:pPr>
        <w:spacing w:after="0" w:line="223" w:lineRule="exact"/>
        <w:rPr>
          <w:sz w:val="24"/>
          <w:szCs w:val="24"/>
          <w:color w:val="auto"/>
        </w:rPr>
      </w:pPr>
    </w:p>
    <w:p>
      <w:pPr>
        <w:ind w:left="6"/>
        <w:spacing w:after="0" w:line="470" w:lineRule="auto"/>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 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ind w:left="381" w:hanging="381"/>
        <w:spacing w:after="0" w:line="184" w:lineRule="exact"/>
        <w:tabs>
          <w:tab w:leader="none" w:pos="381"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4" w:lineRule="exact"/>
        <w:rPr>
          <w:rFonts w:ascii="MS PGothic" w:cs="MS PGothic" w:eastAsia="MS PGothic" w:hAnsi="MS PGothic"/>
          <w:sz w:val="16"/>
          <w:szCs w:val="16"/>
          <w:color w:val="auto"/>
        </w:rPr>
      </w:pPr>
    </w:p>
    <w:p>
      <w:pPr>
        <w:ind w:left="501" w:hanging="441"/>
        <w:spacing w:after="0" w:line="184" w:lineRule="exact"/>
        <w:tabs>
          <w:tab w:leader="none" w:pos="501" w:val="left"/>
        </w:tabs>
        <w:numPr>
          <w:ilvl w:val="1"/>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54" w:lineRule="exact"/>
        <w:rPr>
          <w:sz w:val="24"/>
          <w:szCs w:val="24"/>
          <w:color w:val="auto"/>
        </w:rPr>
      </w:pPr>
    </w:p>
    <w:p>
      <w:pPr>
        <w:sectPr>
          <w:pgSz w:w="11900" w:h="16838" w:orient="portrait"/>
          <w:cols w:equalWidth="0" w:num="2">
            <w:col w:w="7986" w:space="19"/>
            <w:col w:w="1321"/>
          </w:cols>
          <w:pgMar w:left="1254" w:top="1440" w:right="1326" w:bottom="0" w:gutter="0" w:footer="0" w:header="0"/>
          <w:type w:val="continuous"/>
        </w:sectPr>
      </w:pPr>
    </w:p>
    <w:p>
      <w:pPr>
        <w:spacing w:after="0" w:line="209" w:lineRule="exact"/>
        <w:rPr>
          <w:sz w:val="24"/>
          <w:szCs w:val="24"/>
          <w:color w:val="auto"/>
        </w:rPr>
      </w:pPr>
    </w:p>
    <w:p>
      <w:pPr>
        <w:jc w:val="center"/>
        <w:ind w:right="-65"/>
        <w:spacing w:after="0"/>
        <w:rPr>
          <w:sz w:val="20"/>
          <w:szCs w:val="20"/>
          <w:color w:val="auto"/>
        </w:rPr>
      </w:pPr>
      <w:r>
        <w:rPr>
          <w:rFonts w:ascii="Arial" w:cs="Arial" w:eastAsia="Arial" w:hAnsi="Arial"/>
          <w:sz w:val="20"/>
          <w:szCs w:val="20"/>
          <w:color w:val="auto"/>
        </w:rPr>
        <w:t>1 / 87</w:t>
      </w:r>
    </w:p>
    <w:p>
      <w:pPr>
        <w:sectPr>
          <w:pgSz w:w="11900" w:h="16838" w:orient="portrait"/>
          <w:cols w:equalWidth="0" w:num="1">
            <w:col w:w="9326"/>
          </w:cols>
          <w:pgMar w:left="1254" w:top="1440" w:right="1326" w:bottom="0" w:gutter="0" w:footer="0" w:header="0"/>
          <w:type w:val="continuous"/>
        </w:sectPr>
      </w:pPr>
    </w:p>
    <w:bookmarkStart w:id="1" w:name="page2"/>
    <w:bookmarkEnd w:id="1"/>
    <w:p>
      <w:pPr>
        <w:jc w:val="both"/>
        <w:ind w:right="60"/>
        <w:spacing w:after="0" w:line="26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3" w:lineRule="exact"/>
        <w:rPr>
          <w:sz w:val="20"/>
          <w:szCs w:val="20"/>
          <w:color w:val="auto"/>
        </w:rPr>
      </w:pPr>
    </w:p>
    <w:p>
      <w:pPr>
        <w:ind w:right="80"/>
        <w:spacing w:after="0" w:line="26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3" w:lineRule="exact"/>
        <w:rPr>
          <w:sz w:val="20"/>
          <w:szCs w:val="20"/>
          <w:color w:val="auto"/>
        </w:rPr>
      </w:pPr>
    </w:p>
    <w:p>
      <w:pPr>
        <w:ind w:right="120"/>
        <w:spacing w:after="0" w:line="47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2"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1820" w:type="dxa"/>
            <w:vAlign w:val="bottom"/>
          </w:tcPr>
          <w:p>
            <w:pPr>
              <w:ind w:left="160"/>
              <w:spacing w:after="0" w:line="173" w:lineRule="exact"/>
              <w:rPr>
                <w:sz w:val="20"/>
                <w:szCs w:val="20"/>
                <w:color w:val="auto"/>
              </w:rPr>
            </w:pPr>
            <w:r>
              <w:rPr>
                <w:rFonts w:ascii="Arial" w:cs="Arial" w:eastAsia="Arial" w:hAnsi="Arial"/>
                <w:sz w:val="15"/>
                <w:szCs w:val="15"/>
                <w:color w:val="auto"/>
                <w:w w:val="95"/>
              </w:rPr>
              <w:t xml:space="preserve">Large accelerated filer  </w:t>
            </w:r>
            <w:r>
              <w:rPr>
                <w:rFonts w:ascii="MS PGothic" w:cs="MS PGothic" w:eastAsia="MS PGothic" w:hAnsi="MS PGothic"/>
                <w:sz w:val="15"/>
                <w:szCs w:val="15"/>
                <w:color w:val="auto"/>
                <w:w w:val="95"/>
              </w:rPr>
              <w:t>☑</w:t>
            </w:r>
          </w:p>
        </w:tc>
        <w:tc>
          <w:tcPr>
            <w:tcW w:w="2360" w:type="dxa"/>
            <w:vAlign w:val="bottom"/>
          </w:tcPr>
          <w:p>
            <w:pPr>
              <w:ind w:left="840"/>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tc>
        <w:tc>
          <w:tcPr>
            <w:tcW w:w="2140" w:type="dxa"/>
            <w:vAlign w:val="bottom"/>
          </w:tcPr>
          <w:p>
            <w:pPr>
              <w:ind w:left="28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tc>
        <w:tc>
          <w:tcPr>
            <w:tcW w:w="2220" w:type="dxa"/>
            <w:vAlign w:val="bottom"/>
          </w:tcPr>
          <w:p>
            <w:pPr>
              <w:ind w:left="360"/>
              <w:spacing w:after="0" w:line="173" w:lineRule="exact"/>
              <w:rPr>
                <w:sz w:val="20"/>
                <w:szCs w:val="20"/>
                <w:color w:val="auto"/>
              </w:rPr>
            </w:pPr>
            <w:r>
              <w:rPr>
                <w:rFonts w:ascii="Arial" w:cs="Arial" w:eastAsia="Arial" w:hAnsi="Arial"/>
                <w:sz w:val="15"/>
                <w:szCs w:val="15"/>
                <w:color w:val="auto"/>
                <w:w w:val="92"/>
              </w:rPr>
              <w:t xml:space="preserve">Smaller reporting company </w:t>
            </w:r>
            <w:r>
              <w:rPr>
                <w:rFonts w:ascii="MS PGothic" w:cs="MS PGothic" w:eastAsia="MS PGothic" w:hAnsi="MS PGothic"/>
                <w:sz w:val="15"/>
                <w:szCs w:val="15"/>
                <w:color w:val="auto"/>
                <w:w w:val="92"/>
              </w:rPr>
              <w:t>☐</w:t>
            </w:r>
          </w:p>
        </w:tc>
      </w:tr>
      <w:tr>
        <w:trPr>
          <w:trHeight w:val="339"/>
        </w:trPr>
        <w:tc>
          <w:tcPr>
            <w:tcW w:w="182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2360" w:type="dxa"/>
            <w:vAlign w:val="bottom"/>
          </w:tcPr>
          <w:p>
            <w:pPr>
              <w:ind w:left="20"/>
              <w:spacing w:after="0" w:line="151" w:lineRule="exact"/>
              <w:rPr>
                <w:sz w:val="20"/>
                <w:szCs w:val="20"/>
                <w:color w:val="auto"/>
              </w:rPr>
            </w:pPr>
            <w:r>
              <w:rPr>
                <w:rFonts w:ascii="MS PGothic" w:cs="MS PGothic" w:eastAsia="MS PGothic" w:hAnsi="MS PGothic"/>
                <w:sz w:val="15"/>
                <w:szCs w:val="15"/>
                <w:color w:val="auto"/>
              </w:rPr>
              <w:t>☐</w:t>
            </w:r>
          </w:p>
        </w:tc>
        <w:tc>
          <w:tcPr>
            <w:tcW w:w="214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200" w:lineRule="exact"/>
        <w:rPr>
          <w:sz w:val="20"/>
          <w:szCs w:val="20"/>
          <w:color w:val="auto"/>
        </w:rPr>
      </w:pPr>
    </w:p>
    <w:p>
      <w:pPr>
        <w:spacing w:after="0" w:line="223" w:lineRule="exact"/>
        <w:rPr>
          <w:sz w:val="20"/>
          <w:szCs w:val="20"/>
          <w:color w:val="auto"/>
        </w:rPr>
      </w:pPr>
    </w:p>
    <w:p>
      <w:pPr>
        <w:ind w:right="60"/>
        <w:spacing w:after="0" w:line="24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1" w:lineRule="exact"/>
        <w:rPr>
          <w:sz w:val="20"/>
          <w:szCs w:val="20"/>
          <w:color w:val="auto"/>
        </w:rPr>
      </w:pPr>
    </w:p>
    <w:p>
      <w:pPr>
        <w:spacing w:after="0" w:line="256"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26" w:lineRule="exact"/>
        <w:rPr>
          <w:sz w:val="20"/>
          <w:szCs w:val="20"/>
          <w:color w:val="auto"/>
        </w:rPr>
      </w:pPr>
    </w:p>
    <w:p>
      <w:pPr>
        <w:ind w:right="20"/>
        <w:spacing w:after="0" w:line="240"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1020445</wp:posOffset>
            </wp:positionV>
            <wp:extent cx="596773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208"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 / 87</w:t>
      </w:r>
    </w:p>
    <w:p>
      <w:pPr>
        <w:sectPr>
          <w:pgSz w:w="11900" w:h="16838" w:orient="portrait"/>
          <w:cols w:equalWidth="0" w:num="1">
            <w:col w:w="9340"/>
          </w:cols>
          <w:pgMar w:left="1260" w:top="1208" w:right="1306"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spacing w:after="0" w:line="260"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3" w:lineRule="exact"/>
        <w:rPr>
          <w:sz w:val="20"/>
          <w:szCs w:val="20"/>
          <w:color w:val="auto"/>
        </w:rPr>
      </w:pPr>
    </w:p>
    <w:p>
      <w:pPr>
        <w:jc w:val="both"/>
        <w:spacing w:after="0" w:line="386" w:lineRule="auto"/>
        <w:rPr>
          <w:sz w:val="20"/>
          <w:szCs w:val="20"/>
          <w:color w:val="auto"/>
        </w:rPr>
      </w:pPr>
      <w:r>
        <w:rPr>
          <w:rFonts w:ascii="Arial" w:cs="Arial" w:eastAsia="Arial" w:hAnsi="Arial"/>
          <w:sz w:val="16"/>
          <w:szCs w:val="16"/>
          <w:color w:val="auto"/>
        </w:rPr>
        <w:t>The aggregate market value of the voting common equity held by non-affiliates of the Registrant, computed by reference to the last reported price at which the Registrant’s common equity was sold on June 30, 2025 (the last day of the Registrant’s most recently completed second quarter) was $29,918,279,975.</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As of February 20, 2026, there were outstanding 94,545,903 ordinary shares, nominal value $0.000304635 per share, of the Registrant.</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3" w:lineRule="exact"/>
        <w:rPr>
          <w:sz w:val="20"/>
          <w:szCs w:val="20"/>
          <w:color w:val="auto"/>
        </w:rPr>
      </w:pPr>
    </w:p>
    <w:p>
      <w:pPr>
        <w:ind w:right="40"/>
        <w:spacing w:after="0" w:line="381" w:lineRule="auto"/>
        <w:rPr>
          <w:sz w:val="20"/>
          <w:szCs w:val="20"/>
          <w:color w:val="auto"/>
        </w:rPr>
      </w:pPr>
      <w:r>
        <w:rPr>
          <w:rFonts w:ascii="Arial" w:cs="Arial" w:eastAsia="Arial" w:hAnsi="Arial"/>
          <w:sz w:val="16"/>
          <w:szCs w:val="16"/>
          <w:color w:val="auto"/>
        </w:rPr>
        <w:t>Portions of Part III will be incorporated by reference in accordance with Instruction G(3) to Form 10-K no later than 120 days after the end of the Company’s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1175385</wp:posOffset>
            </wp:positionV>
            <wp:extent cx="596773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7730"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165735</wp:posOffset>
            </wp:positionV>
            <wp:extent cx="596773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 / 87</w:t>
      </w:r>
    </w:p>
    <w:p>
      <w:pPr>
        <w:sectPr>
          <w:pgSz w:w="11900" w:h="16838" w:orient="portrait"/>
          <w:cols w:equalWidth="0" w:num="1">
            <w:col w:w="9340"/>
          </w:cols>
          <w:pgMar w:left="1260" w:top="1440" w:right="1306"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WILLIS TOWERS WATSON PUBLIC LIMITED COMPANY</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INDEX TO FORM 10-K</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For the year ended December 31, 2025</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Page</w:t>
            </w:r>
          </w:p>
        </w:tc>
      </w:tr>
      <w:tr>
        <w:trPr>
          <w:trHeight w:val="286"/>
        </w:trPr>
        <w:tc>
          <w:tcPr>
            <w:tcW w:w="154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93"/>
              </w:rPr>
              <w:t>Certain Definitions</w:t>
            </w:r>
          </w:p>
        </w:tc>
        <w:tc>
          <w:tcPr>
            <w:tcW w:w="712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60"/>
        </w:trPr>
        <w:tc>
          <w:tcPr>
            <w:tcW w:w="8660" w:type="dxa"/>
            <w:vAlign w:val="bottom"/>
            <w:gridSpan w:val="25"/>
          </w:tcPr>
          <w:p>
            <w:pPr>
              <w:spacing w:after="0"/>
              <w:rPr>
                <w:sz w:val="20"/>
                <w:szCs w:val="20"/>
                <w:color w:val="auto"/>
              </w:rPr>
            </w:pPr>
            <w:r>
              <w:rPr>
                <w:rFonts w:ascii="Arial" w:cs="Arial" w:eastAsia="Arial" w:hAnsi="Arial"/>
                <w:sz w:val="20"/>
                <w:szCs w:val="20"/>
                <w:color w:val="0000FF"/>
              </w:rPr>
              <w:t>Disclaimer Regarding Forward-looking Statements</w:t>
            </w:r>
          </w:p>
        </w:tc>
        <w:tc>
          <w:tcPr>
            <w:tcW w:w="7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60"/>
        </w:trPr>
        <w:tc>
          <w:tcPr>
            <w:tcW w:w="7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0"/>
                <w:szCs w:val="20"/>
                <w:b w:val="1"/>
                <w:bCs w:val="1"/>
                <w:color w:val="0000FF"/>
                <w:w w:val="98"/>
              </w:rPr>
              <w:t>PART I.</w:t>
            </w:r>
          </w:p>
        </w:tc>
        <w:tc>
          <w:tcPr>
            <w:tcW w:w="300" w:type="dxa"/>
            <w:vAlign w:val="bottom"/>
            <w:tcBorders>
              <w:top w:val="single" w:sz="8" w:color="0000FF"/>
            </w:tcBorders>
            <w:gridSpan w:val="3"/>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40"/>
        </w:trPr>
        <w:tc>
          <w:tcPr>
            <w:tcW w:w="1020" w:type="dxa"/>
            <w:vAlign w:val="bottom"/>
            <w:gridSpan w:val="4"/>
          </w:tcPr>
          <w:p>
            <w:pPr>
              <w:spacing w:after="0"/>
              <w:rPr>
                <w:sz w:val="20"/>
                <w:szCs w:val="20"/>
                <w:color w:val="auto"/>
              </w:rPr>
            </w:pPr>
            <w:r>
              <w:rPr>
                <w:rFonts w:ascii="Arial" w:cs="Arial" w:eastAsia="Arial" w:hAnsi="Arial"/>
                <w:sz w:val="20"/>
                <w:szCs w:val="20"/>
                <w:color w:val="auto"/>
              </w:rPr>
              <w:t>Item 1</w:t>
            </w:r>
          </w:p>
        </w:tc>
        <w:tc>
          <w:tcPr>
            <w:tcW w:w="72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6"/>
              </w:rPr>
              <w:t>Business</w:t>
            </w:r>
          </w:p>
        </w:tc>
        <w:tc>
          <w:tcPr>
            <w:tcW w:w="692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460"/>
        </w:trPr>
        <w:tc>
          <w:tcPr>
            <w:tcW w:w="1020" w:type="dxa"/>
            <w:vAlign w:val="bottom"/>
            <w:gridSpan w:val="4"/>
          </w:tcPr>
          <w:p>
            <w:pPr>
              <w:spacing w:after="0"/>
              <w:rPr>
                <w:sz w:val="20"/>
                <w:szCs w:val="20"/>
                <w:color w:val="auto"/>
              </w:rPr>
            </w:pPr>
            <w:r>
              <w:rPr>
                <w:rFonts w:ascii="Arial" w:cs="Arial" w:eastAsia="Arial" w:hAnsi="Arial"/>
                <w:sz w:val="20"/>
                <w:szCs w:val="20"/>
                <w:color w:val="auto"/>
              </w:rPr>
              <w:t>Item 1A</w:t>
            </w:r>
          </w:p>
        </w:tc>
        <w:tc>
          <w:tcPr>
            <w:tcW w:w="102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89"/>
              </w:rPr>
              <w:t>Risk Factors</w:t>
            </w:r>
          </w:p>
        </w:tc>
        <w:tc>
          <w:tcPr>
            <w:tcW w:w="6620" w:type="dxa"/>
            <w:vAlign w:val="bottom"/>
            <w:gridSpan w:val="1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61"/>
        </w:trPr>
        <w:tc>
          <w:tcPr>
            <w:tcW w:w="1020" w:type="dxa"/>
            <w:vAlign w:val="bottom"/>
            <w:gridSpan w:val="4"/>
          </w:tcPr>
          <w:p>
            <w:pPr>
              <w:spacing w:after="0"/>
              <w:rPr>
                <w:sz w:val="20"/>
                <w:szCs w:val="20"/>
                <w:color w:val="auto"/>
              </w:rPr>
            </w:pPr>
            <w:r>
              <w:rPr>
                <w:rFonts w:ascii="Arial" w:cs="Arial" w:eastAsia="Arial" w:hAnsi="Arial"/>
                <w:sz w:val="20"/>
                <w:szCs w:val="20"/>
                <w:color w:val="auto"/>
              </w:rPr>
              <w:t>Item 1B</w:t>
            </w:r>
          </w:p>
        </w:tc>
        <w:tc>
          <w:tcPr>
            <w:tcW w:w="7640" w:type="dxa"/>
            <w:vAlign w:val="bottom"/>
            <w:gridSpan w:val="21"/>
          </w:tcPr>
          <w:p>
            <w:pPr>
              <w:spacing w:after="0"/>
              <w:rPr>
                <w:sz w:val="20"/>
                <w:szCs w:val="20"/>
                <w:color w:val="auto"/>
              </w:rPr>
            </w:pPr>
            <w:r>
              <w:rPr>
                <w:rFonts w:ascii="Arial" w:cs="Arial" w:eastAsia="Arial" w:hAnsi="Arial"/>
                <w:sz w:val="20"/>
                <w:szCs w:val="20"/>
                <w:color w:val="0000FF"/>
              </w:rPr>
              <w:t>Unresolved Staff Comments</w:t>
            </w:r>
          </w:p>
        </w:tc>
        <w:tc>
          <w:tcPr>
            <w:tcW w:w="7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461"/>
        </w:trPr>
        <w:tc>
          <w:tcPr>
            <w:tcW w:w="1020" w:type="dxa"/>
            <w:vAlign w:val="bottom"/>
            <w:gridSpan w:val="4"/>
          </w:tcPr>
          <w:p>
            <w:pPr>
              <w:spacing w:after="0"/>
              <w:rPr>
                <w:sz w:val="20"/>
                <w:szCs w:val="20"/>
                <w:color w:val="auto"/>
              </w:rPr>
            </w:pPr>
            <w:r>
              <w:rPr>
                <w:rFonts w:ascii="Arial" w:cs="Arial" w:eastAsia="Arial" w:hAnsi="Arial"/>
                <w:sz w:val="20"/>
                <w:szCs w:val="20"/>
                <w:color w:val="auto"/>
              </w:rPr>
              <w:t>Item 1C</w:t>
            </w:r>
          </w:p>
        </w:tc>
        <w:tc>
          <w:tcPr>
            <w:tcW w:w="2280" w:type="dxa"/>
            <w:vAlign w:val="bottom"/>
            <w:tcBorders>
              <w:top w:val="single" w:sz="8" w:color="0000FF"/>
            </w:tcBorders>
            <w:gridSpan w:val="13"/>
          </w:tcPr>
          <w:p>
            <w:pPr>
              <w:spacing w:after="0"/>
              <w:rPr>
                <w:sz w:val="20"/>
                <w:szCs w:val="20"/>
                <w:color w:val="auto"/>
              </w:rPr>
            </w:pPr>
            <w:r>
              <w:rPr>
                <w:rFonts w:ascii="Arial" w:cs="Arial" w:eastAsia="Arial" w:hAnsi="Arial"/>
                <w:sz w:val="20"/>
                <w:szCs w:val="20"/>
                <w:color w:val="0000FF"/>
              </w:rPr>
              <w:t>Cybersecurity</w:t>
            </w:r>
          </w:p>
        </w:tc>
        <w:tc>
          <w:tcPr>
            <w:tcW w:w="536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460"/>
        </w:trPr>
        <w:tc>
          <w:tcPr>
            <w:tcW w:w="1020" w:type="dxa"/>
            <w:vAlign w:val="bottom"/>
            <w:gridSpan w:val="4"/>
          </w:tcPr>
          <w:p>
            <w:pPr>
              <w:spacing w:after="0"/>
              <w:rPr>
                <w:sz w:val="20"/>
                <w:szCs w:val="20"/>
                <w:color w:val="auto"/>
              </w:rPr>
            </w:pPr>
            <w:r>
              <w:rPr>
                <w:rFonts w:ascii="Arial" w:cs="Arial" w:eastAsia="Arial" w:hAnsi="Arial"/>
                <w:sz w:val="20"/>
                <w:szCs w:val="20"/>
                <w:color w:val="auto"/>
              </w:rPr>
              <w:t>Item 2</w:t>
            </w:r>
          </w:p>
        </w:tc>
        <w:tc>
          <w:tcPr>
            <w:tcW w:w="8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20"/>
                <w:szCs w:val="20"/>
                <w:color w:val="0000FF"/>
                <w:w w:val="87"/>
              </w:rPr>
              <w:t>Properties</w:t>
            </w:r>
          </w:p>
        </w:tc>
        <w:tc>
          <w:tcPr>
            <w:tcW w:w="300" w:type="dxa"/>
            <w:vAlign w:val="bottom"/>
            <w:tcBorders>
              <w:top w:val="single" w:sz="8" w:color="0000FF"/>
            </w:tcBorders>
            <w:gridSpan w:val="2"/>
          </w:tcPr>
          <w:p>
            <w:pPr>
              <w:spacing w:after="0"/>
              <w:rPr>
                <w:sz w:val="24"/>
                <w:szCs w:val="24"/>
                <w:color w:val="auto"/>
              </w:rPr>
            </w:pPr>
          </w:p>
        </w:tc>
        <w:tc>
          <w:tcPr>
            <w:tcW w:w="6520" w:type="dxa"/>
            <w:vAlign w:val="bottom"/>
            <w:gridSpan w:val="1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461"/>
        </w:trPr>
        <w:tc>
          <w:tcPr>
            <w:tcW w:w="1020" w:type="dxa"/>
            <w:vAlign w:val="bottom"/>
            <w:gridSpan w:val="4"/>
          </w:tcPr>
          <w:p>
            <w:pPr>
              <w:spacing w:after="0"/>
              <w:rPr>
                <w:sz w:val="20"/>
                <w:szCs w:val="20"/>
                <w:color w:val="auto"/>
              </w:rPr>
            </w:pPr>
            <w:r>
              <w:rPr>
                <w:rFonts w:ascii="Arial" w:cs="Arial" w:eastAsia="Arial" w:hAnsi="Arial"/>
                <w:sz w:val="20"/>
                <w:szCs w:val="20"/>
                <w:color w:val="auto"/>
              </w:rPr>
              <w:t>Item 3</w:t>
            </w:r>
          </w:p>
        </w:tc>
        <w:tc>
          <w:tcPr>
            <w:tcW w:w="1500" w:type="dxa"/>
            <w:vAlign w:val="bottom"/>
            <w:tcBorders>
              <w:bottom w:val="single" w:sz="8" w:color="0000FF"/>
            </w:tcBorders>
            <w:gridSpan w:val="10"/>
          </w:tcPr>
          <w:p>
            <w:pPr>
              <w:spacing w:after="0"/>
              <w:rPr>
                <w:sz w:val="20"/>
                <w:szCs w:val="20"/>
                <w:color w:val="auto"/>
              </w:rPr>
            </w:pPr>
            <w:r>
              <w:rPr>
                <w:rFonts w:ascii="Arial" w:cs="Arial" w:eastAsia="Arial" w:hAnsi="Arial"/>
                <w:sz w:val="20"/>
                <w:szCs w:val="20"/>
                <w:color w:val="0000FF"/>
                <w:w w:val="89"/>
              </w:rPr>
              <w:t>Legal Proceedings</w:t>
            </w:r>
          </w:p>
        </w:tc>
        <w:tc>
          <w:tcPr>
            <w:tcW w:w="614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461"/>
        </w:trPr>
        <w:tc>
          <w:tcPr>
            <w:tcW w:w="1020" w:type="dxa"/>
            <w:vAlign w:val="bottom"/>
            <w:gridSpan w:val="4"/>
          </w:tcPr>
          <w:p>
            <w:pPr>
              <w:spacing w:after="0"/>
              <w:rPr>
                <w:sz w:val="20"/>
                <w:szCs w:val="20"/>
                <w:color w:val="auto"/>
              </w:rPr>
            </w:pPr>
            <w:r>
              <w:rPr>
                <w:rFonts w:ascii="Arial" w:cs="Arial" w:eastAsia="Arial" w:hAnsi="Arial"/>
                <w:sz w:val="20"/>
                <w:szCs w:val="20"/>
                <w:color w:val="auto"/>
              </w:rPr>
              <w:t>Item 4</w:t>
            </w:r>
          </w:p>
        </w:tc>
        <w:tc>
          <w:tcPr>
            <w:tcW w:w="7640" w:type="dxa"/>
            <w:vAlign w:val="bottom"/>
            <w:gridSpan w:val="21"/>
          </w:tcPr>
          <w:p>
            <w:pPr>
              <w:spacing w:after="0"/>
              <w:rPr>
                <w:sz w:val="20"/>
                <w:szCs w:val="20"/>
                <w:color w:val="auto"/>
              </w:rPr>
            </w:pPr>
            <w:r>
              <w:rPr>
                <w:rFonts w:ascii="Arial" w:cs="Arial" w:eastAsia="Arial" w:hAnsi="Arial"/>
                <w:sz w:val="20"/>
                <w:szCs w:val="20"/>
                <w:color w:val="0000FF"/>
              </w:rPr>
              <w:t>Mine Safety Disclosures</w:t>
            </w:r>
          </w:p>
        </w:tc>
        <w:tc>
          <w:tcPr>
            <w:tcW w:w="7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461"/>
        </w:trPr>
        <w:tc>
          <w:tcPr>
            <w:tcW w:w="8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b w:val="1"/>
                <w:bCs w:val="1"/>
                <w:color w:val="0000FF"/>
              </w:rPr>
              <w:t>PART II.</w:t>
            </w:r>
          </w:p>
        </w:tc>
        <w:tc>
          <w:tcPr>
            <w:tcW w:w="220" w:type="dxa"/>
            <w:vAlign w:val="bottom"/>
            <w:gridSpan w:val="2"/>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40"/>
        </w:trPr>
        <w:tc>
          <w:tcPr>
            <w:tcW w:w="1020" w:type="dxa"/>
            <w:vAlign w:val="bottom"/>
            <w:gridSpan w:val="4"/>
          </w:tcPr>
          <w:p>
            <w:pPr>
              <w:spacing w:after="0"/>
              <w:rPr>
                <w:sz w:val="20"/>
                <w:szCs w:val="20"/>
                <w:color w:val="auto"/>
              </w:rPr>
            </w:pPr>
            <w:r>
              <w:rPr>
                <w:rFonts w:ascii="Arial" w:cs="Arial" w:eastAsia="Arial" w:hAnsi="Arial"/>
                <w:sz w:val="20"/>
                <w:szCs w:val="20"/>
                <w:color w:val="auto"/>
              </w:rPr>
              <w:t>Item 5</w:t>
            </w:r>
          </w:p>
        </w:tc>
        <w:tc>
          <w:tcPr>
            <w:tcW w:w="7640" w:type="dxa"/>
            <w:vAlign w:val="bottom"/>
            <w:tcBorders>
              <w:bottom w:val="single" w:sz="8" w:color="0000FF"/>
            </w:tcBorders>
            <w:gridSpan w:val="21"/>
          </w:tcPr>
          <w:p>
            <w:pPr>
              <w:spacing w:after="0"/>
              <w:rPr>
                <w:sz w:val="20"/>
                <w:szCs w:val="20"/>
                <w:color w:val="auto"/>
              </w:rPr>
            </w:pPr>
            <w:r>
              <w:rPr>
                <w:rFonts w:ascii="Arial" w:cs="Arial" w:eastAsia="Arial" w:hAnsi="Arial"/>
                <w:sz w:val="20"/>
                <w:szCs w:val="20"/>
                <w:color w:val="0000FF"/>
                <w:w w:val="91"/>
              </w:rPr>
              <w:t>Market for Registrant’s Common Equity, Related Stockholder Matters and Issuer Purchases of</w:t>
            </w:r>
          </w:p>
        </w:tc>
        <w:tc>
          <w:tcPr>
            <w:tcW w:w="740" w:type="dxa"/>
            <w:vAlign w:val="bottom"/>
          </w:tcPr>
          <w:p>
            <w:pPr>
              <w:spacing w:after="0"/>
              <w:rPr>
                <w:sz w:val="24"/>
                <w:szCs w:val="24"/>
                <w:color w:val="auto"/>
              </w:rPr>
            </w:pPr>
          </w:p>
        </w:tc>
      </w:tr>
      <w:tr>
        <w:trPr>
          <w:trHeight w:val="280"/>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Borders>
              <w:bottom w:val="single" w:sz="8" w:color="0000FF"/>
            </w:tcBorders>
            <w:gridSpan w:val="8"/>
          </w:tcPr>
          <w:p>
            <w:pPr>
              <w:spacing w:after="0"/>
              <w:rPr>
                <w:sz w:val="20"/>
                <w:szCs w:val="20"/>
                <w:color w:val="auto"/>
              </w:rPr>
            </w:pPr>
            <w:r>
              <w:rPr>
                <w:rFonts w:ascii="Arial" w:cs="Arial" w:eastAsia="Arial" w:hAnsi="Arial"/>
                <w:sz w:val="20"/>
                <w:szCs w:val="20"/>
                <w:color w:val="0000FF"/>
                <w:w w:val="91"/>
              </w:rPr>
              <w:t>Equity Securities</w:t>
            </w:r>
          </w:p>
        </w:tc>
        <w:tc>
          <w:tcPr>
            <w:tcW w:w="6260" w:type="dxa"/>
            <w:vAlign w:val="bottom"/>
            <w:gridSpan w:val="1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461"/>
        </w:trPr>
        <w:tc>
          <w:tcPr>
            <w:tcW w:w="1020" w:type="dxa"/>
            <w:vAlign w:val="bottom"/>
            <w:gridSpan w:val="4"/>
          </w:tcPr>
          <w:p>
            <w:pPr>
              <w:spacing w:after="0"/>
              <w:rPr>
                <w:sz w:val="20"/>
                <w:szCs w:val="20"/>
                <w:color w:val="auto"/>
              </w:rPr>
            </w:pPr>
            <w:r>
              <w:rPr>
                <w:rFonts w:ascii="Arial" w:cs="Arial" w:eastAsia="Arial" w:hAnsi="Arial"/>
                <w:sz w:val="20"/>
                <w:szCs w:val="20"/>
                <w:color w:val="auto"/>
              </w:rPr>
              <w:t>Item 6</w:t>
            </w:r>
          </w:p>
        </w:tc>
        <w:tc>
          <w:tcPr>
            <w:tcW w:w="1180" w:type="dxa"/>
            <w:vAlign w:val="bottom"/>
            <w:tcBorders>
              <w:bottom w:val="single" w:sz="8" w:color="0000FF"/>
            </w:tcBorders>
            <w:gridSpan w:val="7"/>
          </w:tcPr>
          <w:p>
            <w:pPr>
              <w:spacing w:after="0"/>
              <w:rPr>
                <w:sz w:val="20"/>
                <w:szCs w:val="20"/>
                <w:color w:val="auto"/>
              </w:rPr>
            </w:pPr>
            <w:r>
              <w:rPr>
                <w:rFonts w:ascii="Arial" w:cs="Arial" w:eastAsia="Arial" w:hAnsi="Arial"/>
                <w:sz w:val="20"/>
                <w:szCs w:val="20"/>
                <w:color w:val="0000FF"/>
                <w:w w:val="95"/>
              </w:rPr>
              <w:t>[RESERVED]</w:t>
            </w:r>
          </w:p>
        </w:tc>
        <w:tc>
          <w:tcPr>
            <w:tcW w:w="646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461"/>
        </w:trPr>
        <w:tc>
          <w:tcPr>
            <w:tcW w:w="1020" w:type="dxa"/>
            <w:vAlign w:val="bottom"/>
            <w:gridSpan w:val="4"/>
          </w:tcPr>
          <w:p>
            <w:pPr>
              <w:spacing w:after="0"/>
              <w:rPr>
                <w:sz w:val="20"/>
                <w:szCs w:val="20"/>
                <w:color w:val="auto"/>
              </w:rPr>
            </w:pPr>
            <w:r>
              <w:rPr>
                <w:rFonts w:ascii="Arial" w:cs="Arial" w:eastAsia="Arial" w:hAnsi="Arial"/>
                <w:sz w:val="20"/>
                <w:szCs w:val="20"/>
                <w:color w:val="auto"/>
              </w:rPr>
              <w:t>Item 7</w:t>
            </w:r>
          </w:p>
        </w:tc>
        <w:tc>
          <w:tcPr>
            <w:tcW w:w="7200" w:type="dxa"/>
            <w:vAlign w:val="bottom"/>
            <w:tcBorders>
              <w:bottom w:val="single" w:sz="8" w:color="0000FF"/>
            </w:tcBorders>
            <w:gridSpan w:val="19"/>
          </w:tcPr>
          <w:p>
            <w:pPr>
              <w:spacing w:after="0"/>
              <w:rPr>
                <w:sz w:val="20"/>
                <w:szCs w:val="20"/>
                <w:color w:val="auto"/>
              </w:rPr>
            </w:pPr>
            <w:r>
              <w:rPr>
                <w:rFonts w:ascii="Arial" w:cs="Arial" w:eastAsia="Arial" w:hAnsi="Arial"/>
                <w:sz w:val="20"/>
                <w:szCs w:val="20"/>
                <w:color w:val="0000FF"/>
                <w:w w:val="91"/>
              </w:rPr>
              <w:t>Management’s Discussion and Analysis of Financial Condition and Results of Operations</w:t>
            </w:r>
          </w:p>
        </w:tc>
        <w:tc>
          <w:tcPr>
            <w:tcW w:w="44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461"/>
        </w:trPr>
        <w:tc>
          <w:tcPr>
            <w:tcW w:w="1020" w:type="dxa"/>
            <w:vAlign w:val="bottom"/>
            <w:gridSpan w:val="4"/>
          </w:tcPr>
          <w:p>
            <w:pPr>
              <w:spacing w:after="0"/>
              <w:rPr>
                <w:sz w:val="20"/>
                <w:szCs w:val="20"/>
                <w:color w:val="auto"/>
              </w:rPr>
            </w:pPr>
            <w:r>
              <w:rPr>
                <w:rFonts w:ascii="Arial" w:cs="Arial" w:eastAsia="Arial" w:hAnsi="Arial"/>
                <w:sz w:val="20"/>
                <w:szCs w:val="20"/>
                <w:color w:val="auto"/>
              </w:rPr>
              <w:t>Item 7A</w:t>
            </w:r>
          </w:p>
        </w:tc>
        <w:tc>
          <w:tcPr>
            <w:tcW w:w="4860" w:type="dxa"/>
            <w:vAlign w:val="bottom"/>
            <w:tcBorders>
              <w:bottom w:val="single" w:sz="8" w:color="0000FF"/>
            </w:tcBorders>
            <w:gridSpan w:val="17"/>
          </w:tcPr>
          <w:p>
            <w:pPr>
              <w:spacing w:after="0"/>
              <w:rPr>
                <w:sz w:val="20"/>
                <w:szCs w:val="20"/>
                <w:color w:val="auto"/>
              </w:rPr>
            </w:pPr>
            <w:r>
              <w:rPr>
                <w:rFonts w:ascii="Arial" w:cs="Arial" w:eastAsia="Arial" w:hAnsi="Arial"/>
                <w:sz w:val="20"/>
                <w:szCs w:val="20"/>
                <w:color w:val="0000FF"/>
                <w:w w:val="92"/>
              </w:rPr>
              <w:t>Quantitative and Qualitative Disclosures About Market Risk</w:t>
            </w:r>
          </w:p>
        </w:tc>
        <w:tc>
          <w:tcPr>
            <w:tcW w:w="278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461"/>
        </w:trPr>
        <w:tc>
          <w:tcPr>
            <w:tcW w:w="1020" w:type="dxa"/>
            <w:vAlign w:val="bottom"/>
            <w:gridSpan w:val="4"/>
          </w:tcPr>
          <w:p>
            <w:pPr>
              <w:spacing w:after="0"/>
              <w:rPr>
                <w:sz w:val="20"/>
                <w:szCs w:val="20"/>
                <w:color w:val="auto"/>
              </w:rPr>
            </w:pPr>
            <w:r>
              <w:rPr>
                <w:rFonts w:ascii="Arial" w:cs="Arial" w:eastAsia="Arial" w:hAnsi="Arial"/>
                <w:sz w:val="20"/>
                <w:szCs w:val="20"/>
                <w:color w:val="auto"/>
              </w:rPr>
              <w:t>Item 8</w:t>
            </w:r>
          </w:p>
        </w:tc>
        <w:tc>
          <w:tcPr>
            <w:tcW w:w="7640" w:type="dxa"/>
            <w:vAlign w:val="bottom"/>
            <w:gridSpan w:val="21"/>
          </w:tcPr>
          <w:p>
            <w:pPr>
              <w:spacing w:after="0"/>
              <w:rPr>
                <w:sz w:val="20"/>
                <w:szCs w:val="20"/>
                <w:color w:val="auto"/>
              </w:rPr>
            </w:pPr>
            <w:r>
              <w:rPr>
                <w:rFonts w:ascii="Arial" w:cs="Arial" w:eastAsia="Arial" w:hAnsi="Arial"/>
                <w:sz w:val="20"/>
                <w:szCs w:val="20"/>
                <w:color w:val="0000FF"/>
              </w:rPr>
              <w:t>Financial Statements and Supplementary Data</w:t>
            </w:r>
          </w:p>
        </w:tc>
        <w:tc>
          <w:tcPr>
            <w:tcW w:w="74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0"/>
        </w:trPr>
        <w:tc>
          <w:tcPr>
            <w:tcW w:w="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61"/>
        </w:trPr>
        <w:tc>
          <w:tcPr>
            <w:tcW w:w="1020" w:type="dxa"/>
            <w:vAlign w:val="bottom"/>
            <w:gridSpan w:val="4"/>
          </w:tcPr>
          <w:p>
            <w:pPr>
              <w:spacing w:after="0"/>
              <w:rPr>
                <w:sz w:val="20"/>
                <w:szCs w:val="20"/>
                <w:color w:val="auto"/>
              </w:rPr>
            </w:pPr>
            <w:r>
              <w:rPr>
                <w:rFonts w:ascii="Arial" w:cs="Arial" w:eastAsia="Arial" w:hAnsi="Arial"/>
                <w:sz w:val="20"/>
                <w:szCs w:val="20"/>
                <w:color w:val="auto"/>
              </w:rPr>
              <w:t>Item 9</w:t>
            </w:r>
          </w:p>
        </w:tc>
        <w:tc>
          <w:tcPr>
            <w:tcW w:w="7640" w:type="dxa"/>
            <w:vAlign w:val="bottom"/>
            <w:gridSpan w:val="21"/>
          </w:tcPr>
          <w:p>
            <w:pPr>
              <w:spacing w:after="0"/>
              <w:rPr>
                <w:sz w:val="20"/>
                <w:szCs w:val="20"/>
                <w:color w:val="auto"/>
              </w:rPr>
            </w:pPr>
            <w:r>
              <w:rPr>
                <w:rFonts w:ascii="Arial" w:cs="Arial" w:eastAsia="Arial" w:hAnsi="Arial"/>
                <w:sz w:val="20"/>
                <w:szCs w:val="20"/>
                <w:color w:val="0000FF"/>
                <w:w w:val="96"/>
              </w:rPr>
              <w:t>Changes in and Disagreements with Accountants on Accounting and Financial Disclosure</w:t>
            </w:r>
          </w:p>
        </w:tc>
        <w:tc>
          <w:tcPr>
            <w:tcW w:w="74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461"/>
        </w:trPr>
        <w:tc>
          <w:tcPr>
            <w:tcW w:w="1020" w:type="dxa"/>
            <w:vAlign w:val="bottom"/>
            <w:gridSpan w:val="4"/>
          </w:tcPr>
          <w:p>
            <w:pPr>
              <w:spacing w:after="0"/>
              <w:rPr>
                <w:sz w:val="20"/>
                <w:szCs w:val="20"/>
                <w:color w:val="auto"/>
              </w:rPr>
            </w:pPr>
            <w:r>
              <w:rPr>
                <w:rFonts w:ascii="Arial" w:cs="Arial" w:eastAsia="Arial" w:hAnsi="Arial"/>
                <w:sz w:val="20"/>
                <w:szCs w:val="20"/>
                <w:color w:val="auto"/>
              </w:rPr>
              <w:t>Item 9A</w:t>
            </w:r>
          </w:p>
        </w:tc>
        <w:tc>
          <w:tcPr>
            <w:tcW w:w="198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20"/>
                <w:szCs w:val="20"/>
                <w:color w:val="0000FF"/>
                <w:w w:val="88"/>
              </w:rPr>
              <w:t>Controls and Procedures</w:t>
            </w:r>
          </w:p>
        </w:tc>
        <w:tc>
          <w:tcPr>
            <w:tcW w:w="5220" w:type="dxa"/>
            <w:vAlign w:val="bottom"/>
            <w:tcBorders>
              <w:top w:val="single" w:sz="8" w:color="0000FF"/>
            </w:tcBorders>
            <w:gridSpan w:val="8"/>
          </w:tcPr>
          <w:p>
            <w:pPr>
              <w:spacing w:after="0"/>
              <w:rPr>
                <w:sz w:val="24"/>
                <w:szCs w:val="24"/>
                <w:color w:val="auto"/>
              </w:rPr>
            </w:pPr>
          </w:p>
        </w:tc>
        <w:tc>
          <w:tcPr>
            <w:tcW w:w="44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129</w:t>
            </w:r>
          </w:p>
        </w:tc>
      </w:tr>
      <w:tr>
        <w:trPr>
          <w:trHeight w:val="461"/>
        </w:trPr>
        <w:tc>
          <w:tcPr>
            <w:tcW w:w="1020" w:type="dxa"/>
            <w:vAlign w:val="bottom"/>
            <w:gridSpan w:val="4"/>
          </w:tcPr>
          <w:p>
            <w:pPr>
              <w:spacing w:after="0"/>
              <w:rPr>
                <w:sz w:val="20"/>
                <w:szCs w:val="20"/>
                <w:color w:val="auto"/>
              </w:rPr>
            </w:pPr>
            <w:r>
              <w:rPr>
                <w:rFonts w:ascii="Arial" w:cs="Arial" w:eastAsia="Arial" w:hAnsi="Arial"/>
                <w:sz w:val="20"/>
                <w:szCs w:val="20"/>
                <w:color w:val="auto"/>
              </w:rPr>
              <w:t>Item 9B</w:t>
            </w:r>
          </w:p>
        </w:tc>
        <w:tc>
          <w:tcPr>
            <w:tcW w:w="7640" w:type="dxa"/>
            <w:vAlign w:val="bottom"/>
            <w:gridSpan w:val="21"/>
          </w:tcPr>
          <w:p>
            <w:pPr>
              <w:spacing w:after="0"/>
              <w:rPr>
                <w:sz w:val="20"/>
                <w:szCs w:val="20"/>
                <w:color w:val="auto"/>
              </w:rPr>
            </w:pPr>
            <w:r>
              <w:rPr>
                <w:rFonts w:ascii="Arial" w:cs="Arial" w:eastAsia="Arial" w:hAnsi="Arial"/>
                <w:sz w:val="20"/>
                <w:szCs w:val="20"/>
                <w:color w:val="0000FF"/>
              </w:rPr>
              <w:t>Other Information</w:t>
            </w:r>
          </w:p>
        </w:tc>
        <w:tc>
          <w:tcPr>
            <w:tcW w:w="74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20"/>
        </w:trPr>
        <w:tc>
          <w:tcPr>
            <w:tcW w:w="8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61"/>
        </w:trPr>
        <w:tc>
          <w:tcPr>
            <w:tcW w:w="1020" w:type="dxa"/>
            <w:vAlign w:val="bottom"/>
            <w:gridSpan w:val="4"/>
          </w:tcPr>
          <w:p>
            <w:pPr>
              <w:spacing w:after="0"/>
              <w:rPr>
                <w:sz w:val="20"/>
                <w:szCs w:val="20"/>
                <w:color w:val="auto"/>
              </w:rPr>
            </w:pPr>
            <w:r>
              <w:rPr>
                <w:rFonts w:ascii="Arial" w:cs="Arial" w:eastAsia="Arial" w:hAnsi="Arial"/>
                <w:sz w:val="20"/>
                <w:szCs w:val="20"/>
                <w:color w:val="auto"/>
              </w:rPr>
              <w:t>Item 9C</w:t>
            </w:r>
          </w:p>
        </w:tc>
        <w:tc>
          <w:tcPr>
            <w:tcW w:w="7640" w:type="dxa"/>
            <w:vAlign w:val="bottom"/>
            <w:gridSpan w:val="21"/>
          </w:tcPr>
          <w:p>
            <w:pPr>
              <w:spacing w:after="0"/>
              <w:rPr>
                <w:sz w:val="20"/>
                <w:szCs w:val="20"/>
                <w:color w:val="auto"/>
              </w:rPr>
            </w:pPr>
            <w:r>
              <w:rPr>
                <w:rFonts w:ascii="Arial" w:cs="Arial" w:eastAsia="Arial" w:hAnsi="Arial"/>
                <w:sz w:val="20"/>
                <w:szCs w:val="20"/>
                <w:color w:val="0000FF"/>
              </w:rPr>
              <w:t>Disclosure Regarding Foreign Jurisdictions that Prevent Inspections</w:t>
            </w:r>
          </w:p>
        </w:tc>
        <w:tc>
          <w:tcPr>
            <w:tcW w:w="740" w:type="dxa"/>
            <w:vAlign w:val="bottom"/>
          </w:tcPr>
          <w:p>
            <w:pPr>
              <w:jc w:val="right"/>
              <w:spacing w:after="0"/>
              <w:rPr>
                <w:sz w:val="20"/>
                <w:szCs w:val="20"/>
                <w:color w:val="auto"/>
              </w:rPr>
            </w:pPr>
            <w:r>
              <w:rPr>
                <w:rFonts w:ascii="Arial" w:cs="Arial" w:eastAsia="Arial" w:hAnsi="Arial"/>
                <w:sz w:val="20"/>
                <w:szCs w:val="20"/>
                <w:color w:val="auto"/>
              </w:rPr>
              <w:t>132</w:t>
            </w:r>
          </w:p>
        </w:tc>
      </w:tr>
      <w:tr>
        <w:trPr>
          <w:trHeight w:val="461"/>
        </w:trPr>
        <w:tc>
          <w:tcPr>
            <w:tcW w:w="88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b w:val="1"/>
                <w:bCs w:val="1"/>
                <w:color w:val="0000FF"/>
              </w:rPr>
              <w:t>PART III.</w:t>
            </w:r>
          </w:p>
        </w:tc>
        <w:tc>
          <w:tcPr>
            <w:tcW w:w="1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40"/>
        </w:trPr>
        <w:tc>
          <w:tcPr>
            <w:tcW w:w="1020" w:type="dxa"/>
            <w:vAlign w:val="bottom"/>
            <w:gridSpan w:val="4"/>
          </w:tcPr>
          <w:p>
            <w:pPr>
              <w:spacing w:after="0"/>
              <w:rPr>
                <w:sz w:val="20"/>
                <w:szCs w:val="20"/>
                <w:color w:val="auto"/>
              </w:rPr>
            </w:pPr>
            <w:r>
              <w:rPr>
                <w:rFonts w:ascii="Arial" w:cs="Arial" w:eastAsia="Arial" w:hAnsi="Arial"/>
                <w:sz w:val="20"/>
                <w:szCs w:val="20"/>
                <w:color w:val="auto"/>
              </w:rPr>
              <w:t>Item 10</w:t>
            </w:r>
          </w:p>
        </w:tc>
        <w:tc>
          <w:tcPr>
            <w:tcW w:w="7640" w:type="dxa"/>
            <w:vAlign w:val="bottom"/>
            <w:gridSpan w:val="21"/>
          </w:tcPr>
          <w:p>
            <w:pPr>
              <w:spacing w:after="0"/>
              <w:rPr>
                <w:sz w:val="20"/>
                <w:szCs w:val="20"/>
                <w:color w:val="auto"/>
              </w:rPr>
            </w:pPr>
            <w:r>
              <w:rPr>
                <w:rFonts w:ascii="Arial" w:cs="Arial" w:eastAsia="Arial" w:hAnsi="Arial"/>
                <w:sz w:val="20"/>
                <w:szCs w:val="20"/>
                <w:color w:val="0000FF"/>
              </w:rPr>
              <w:t>Directors, Executive Officers and Corporate Governance</w:t>
            </w:r>
          </w:p>
        </w:tc>
        <w:tc>
          <w:tcPr>
            <w:tcW w:w="74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461"/>
        </w:trPr>
        <w:tc>
          <w:tcPr>
            <w:tcW w:w="1020" w:type="dxa"/>
            <w:vAlign w:val="bottom"/>
            <w:gridSpan w:val="4"/>
          </w:tcPr>
          <w:p>
            <w:pPr>
              <w:spacing w:after="0"/>
              <w:rPr>
                <w:sz w:val="20"/>
                <w:szCs w:val="20"/>
                <w:color w:val="auto"/>
              </w:rPr>
            </w:pPr>
            <w:r>
              <w:rPr>
                <w:rFonts w:ascii="Arial" w:cs="Arial" w:eastAsia="Arial" w:hAnsi="Arial"/>
                <w:sz w:val="20"/>
                <w:szCs w:val="20"/>
                <w:color w:val="auto"/>
              </w:rPr>
              <w:t>Item 11</w:t>
            </w:r>
          </w:p>
        </w:tc>
        <w:tc>
          <w:tcPr>
            <w:tcW w:w="202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20"/>
                <w:szCs w:val="20"/>
                <w:color w:val="0000FF"/>
                <w:w w:val="90"/>
              </w:rPr>
              <w:t>Executive Compensation</w:t>
            </w:r>
          </w:p>
        </w:tc>
        <w:tc>
          <w:tcPr>
            <w:tcW w:w="2540" w:type="dxa"/>
            <w:vAlign w:val="bottom"/>
            <w:tcBorders>
              <w:top w:val="single" w:sz="8" w:color="0000FF"/>
            </w:tcBorders>
            <w:gridSpan w:val="4"/>
          </w:tcPr>
          <w:p>
            <w:pPr>
              <w:spacing w:after="0"/>
              <w:rPr>
                <w:sz w:val="24"/>
                <w:szCs w:val="24"/>
                <w:color w:val="auto"/>
              </w:rPr>
            </w:pPr>
          </w:p>
        </w:tc>
        <w:tc>
          <w:tcPr>
            <w:tcW w:w="308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461"/>
        </w:trPr>
        <w:tc>
          <w:tcPr>
            <w:tcW w:w="1020" w:type="dxa"/>
            <w:vAlign w:val="bottom"/>
            <w:gridSpan w:val="4"/>
          </w:tcPr>
          <w:p>
            <w:pPr>
              <w:spacing w:after="0"/>
              <w:rPr>
                <w:sz w:val="20"/>
                <w:szCs w:val="20"/>
                <w:color w:val="auto"/>
              </w:rPr>
            </w:pPr>
            <w:r>
              <w:rPr>
                <w:rFonts w:ascii="Arial" w:cs="Arial" w:eastAsia="Arial" w:hAnsi="Arial"/>
                <w:sz w:val="20"/>
                <w:szCs w:val="20"/>
                <w:color w:val="auto"/>
              </w:rPr>
              <w:t>Item 12</w:t>
            </w:r>
          </w:p>
        </w:tc>
        <w:tc>
          <w:tcPr>
            <w:tcW w:w="7500" w:type="dxa"/>
            <w:vAlign w:val="bottom"/>
            <w:tcBorders>
              <w:bottom w:val="single" w:sz="8" w:color="0000FF"/>
            </w:tcBorders>
            <w:gridSpan w:val="20"/>
          </w:tcPr>
          <w:p>
            <w:pPr>
              <w:spacing w:after="0"/>
              <w:rPr>
                <w:sz w:val="20"/>
                <w:szCs w:val="20"/>
                <w:color w:val="auto"/>
              </w:rPr>
            </w:pPr>
            <w:r>
              <w:rPr>
                <w:rFonts w:ascii="Arial" w:cs="Arial" w:eastAsia="Arial" w:hAnsi="Arial"/>
                <w:sz w:val="20"/>
                <w:szCs w:val="20"/>
                <w:color w:val="0000FF"/>
                <w:w w:val="91"/>
              </w:rPr>
              <w:t>Security Ownership of Certain Beneficial Owners and Management and Related Stockholder</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0"/>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89"/>
              </w:rPr>
              <w:t>Matters</w:t>
            </w:r>
          </w:p>
        </w:tc>
        <w:tc>
          <w:tcPr>
            <w:tcW w:w="7020" w:type="dxa"/>
            <w:vAlign w:val="bottom"/>
            <w:gridSpan w:val="19"/>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5643880</wp:posOffset>
            </wp:positionH>
            <wp:positionV relativeFrom="paragraph">
              <wp:posOffset>-7340600</wp:posOffset>
            </wp:positionV>
            <wp:extent cx="32004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040"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87</w:t>
      </w:r>
    </w:p>
    <w:p>
      <w:pPr>
        <w:sectPr>
          <w:pgSz w:w="11900" w:h="16838" w:orient="portrait"/>
          <w:cols w:equalWidth="0" w:num="1">
            <w:col w:w="9400"/>
          </w:cols>
          <w:pgMar w:left="1260" w:top="1440" w:right="1246"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020" w:type="dxa"/>
            <w:vAlign w:val="bottom"/>
            <w:gridSpan w:val="3"/>
          </w:tcPr>
          <w:p>
            <w:pPr>
              <w:spacing w:after="0"/>
              <w:rPr>
                <w:sz w:val="20"/>
                <w:szCs w:val="20"/>
                <w:color w:val="auto"/>
              </w:rPr>
            </w:pPr>
            <w:r>
              <w:rPr>
                <w:rFonts w:ascii="Arial" w:cs="Arial" w:eastAsia="Arial" w:hAnsi="Arial"/>
                <w:sz w:val="20"/>
                <w:szCs w:val="20"/>
                <w:color w:val="auto"/>
              </w:rPr>
              <w:t>Item 13</w:t>
            </w:r>
          </w:p>
        </w:tc>
        <w:tc>
          <w:tcPr>
            <w:tcW w:w="6080" w:type="dxa"/>
            <w:vAlign w:val="bottom"/>
            <w:tcBorders>
              <w:bottom w:val="single" w:sz="8" w:color="0000FF"/>
            </w:tcBorders>
            <w:gridSpan w:val="4"/>
          </w:tcPr>
          <w:p>
            <w:pPr>
              <w:spacing w:after="0"/>
              <w:rPr>
                <w:sz w:val="20"/>
                <w:szCs w:val="20"/>
                <w:color w:val="auto"/>
              </w:rPr>
            </w:pPr>
            <w:r>
              <w:rPr>
                <w:rFonts w:ascii="Arial" w:cs="Arial" w:eastAsia="Arial" w:hAnsi="Arial"/>
                <w:sz w:val="20"/>
                <w:szCs w:val="20"/>
                <w:color w:val="0000FF"/>
                <w:w w:val="89"/>
              </w:rPr>
              <w:t>Certain Relationships and Related Transactions, and Director Independence</w:t>
            </w:r>
          </w:p>
        </w:tc>
        <w:tc>
          <w:tcPr>
            <w:tcW w:w="10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461"/>
        </w:trPr>
        <w:tc>
          <w:tcPr>
            <w:tcW w:w="1020" w:type="dxa"/>
            <w:vAlign w:val="bottom"/>
            <w:gridSpan w:val="3"/>
          </w:tcPr>
          <w:p>
            <w:pPr>
              <w:spacing w:after="0"/>
              <w:rPr>
                <w:sz w:val="20"/>
                <w:szCs w:val="20"/>
                <w:color w:val="auto"/>
              </w:rPr>
            </w:pPr>
            <w:r>
              <w:rPr>
                <w:rFonts w:ascii="Arial" w:cs="Arial" w:eastAsia="Arial" w:hAnsi="Arial"/>
                <w:sz w:val="20"/>
                <w:szCs w:val="20"/>
                <w:color w:val="auto"/>
              </w:rPr>
              <w:t>Item 14</w:t>
            </w:r>
          </w:p>
        </w:tc>
        <w:tc>
          <w:tcPr>
            <w:tcW w:w="7080" w:type="dxa"/>
            <w:vAlign w:val="bottom"/>
            <w:gridSpan w:val="5"/>
          </w:tcPr>
          <w:p>
            <w:pPr>
              <w:spacing w:after="0"/>
              <w:rPr>
                <w:sz w:val="20"/>
                <w:szCs w:val="20"/>
                <w:color w:val="auto"/>
              </w:rPr>
            </w:pPr>
            <w:r>
              <w:rPr>
                <w:rFonts w:ascii="Arial" w:cs="Arial" w:eastAsia="Arial" w:hAnsi="Arial"/>
                <w:sz w:val="20"/>
                <w:szCs w:val="20"/>
                <w:color w:val="0000FF"/>
              </w:rPr>
              <w:t>Principal Accounting Fees and Services</w:t>
            </w:r>
          </w:p>
        </w:tc>
        <w:tc>
          <w:tcPr>
            <w:tcW w:w="1300" w:type="dxa"/>
            <w:vAlign w:val="bottom"/>
          </w:tcPr>
          <w:p>
            <w:pPr>
              <w:jc w:val="right"/>
              <w:spacing w:after="0"/>
              <w:rPr>
                <w:sz w:val="20"/>
                <w:szCs w:val="20"/>
                <w:color w:val="auto"/>
              </w:rPr>
            </w:pPr>
            <w:r>
              <w:rPr>
                <w:rFonts w:ascii="Arial" w:cs="Arial" w:eastAsia="Arial" w:hAnsi="Arial"/>
                <w:sz w:val="20"/>
                <w:szCs w:val="20"/>
                <w:color w:val="auto"/>
              </w:rPr>
              <w:t>133</w:t>
            </w:r>
          </w:p>
        </w:tc>
      </w:tr>
      <w:tr>
        <w:trPr>
          <w:trHeight w:val="461"/>
        </w:trPr>
        <w:tc>
          <w:tcPr>
            <w:tcW w:w="1020" w:type="dxa"/>
            <w:vAlign w:val="bottom"/>
            <w:gridSpan w:val="3"/>
          </w:tcPr>
          <w:p>
            <w:pPr>
              <w:spacing w:after="0"/>
              <w:rPr>
                <w:sz w:val="20"/>
                <w:szCs w:val="20"/>
                <w:color w:val="auto"/>
              </w:rPr>
            </w:pPr>
            <w:r>
              <w:rPr>
                <w:rFonts w:ascii="Arial" w:cs="Arial" w:eastAsia="Arial" w:hAnsi="Arial"/>
                <w:sz w:val="20"/>
                <w:szCs w:val="20"/>
                <w:b w:val="1"/>
                <w:bCs w:val="1"/>
                <w:color w:val="0000FF"/>
              </w:rPr>
              <w:t>PART IV.</w:t>
            </w:r>
          </w:p>
        </w:tc>
        <w:tc>
          <w:tcPr>
            <w:tcW w:w="1720" w:type="dxa"/>
            <w:vAlign w:val="bottom"/>
            <w:tcBorders>
              <w:top w:val="single" w:sz="8" w:color="0000FF"/>
            </w:tcBorders>
          </w:tcPr>
          <w:p>
            <w:pPr>
              <w:spacing w:after="0"/>
              <w:rPr>
                <w:sz w:val="24"/>
                <w:szCs w:val="24"/>
                <w:color w:val="auto"/>
              </w:rPr>
            </w:pPr>
          </w:p>
        </w:tc>
        <w:tc>
          <w:tcPr>
            <w:tcW w:w="14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0"/>
        </w:trPr>
        <w:tc>
          <w:tcPr>
            <w:tcW w:w="860" w:type="dxa"/>
            <w:vAlign w:val="bottom"/>
            <w:tcBorders>
              <w:top w:val="single" w:sz="8" w:color="0000FF"/>
            </w:tcBorders>
            <w:gridSpan w:val="2"/>
          </w:tcPr>
          <w:p>
            <w:pPr>
              <w:spacing w:after="0"/>
              <w:rPr>
                <w:sz w:val="20"/>
                <w:szCs w:val="20"/>
                <w:color w:val="auto"/>
              </w:rPr>
            </w:pPr>
            <w:r>
              <w:rPr>
                <w:rFonts w:ascii="Arial" w:cs="Arial" w:eastAsia="Arial" w:hAnsi="Arial"/>
                <w:sz w:val="20"/>
                <w:szCs w:val="20"/>
                <w:color w:val="auto"/>
              </w:rPr>
              <w:t>Item 15</w:t>
            </w:r>
          </w:p>
        </w:tc>
        <w:tc>
          <w:tcPr>
            <w:tcW w:w="160" w:type="dxa"/>
            <w:vAlign w:val="bottom"/>
          </w:tcPr>
          <w:p>
            <w:pPr>
              <w:spacing w:after="0"/>
              <w:rPr>
                <w:sz w:val="24"/>
                <w:szCs w:val="24"/>
                <w:color w:val="auto"/>
              </w:rPr>
            </w:pPr>
          </w:p>
        </w:tc>
        <w:tc>
          <w:tcPr>
            <w:tcW w:w="352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89"/>
              </w:rPr>
              <w:t>Exhibits and Financial Statement Schedules</w:t>
            </w:r>
          </w:p>
        </w:tc>
        <w:tc>
          <w:tcPr>
            <w:tcW w:w="3560" w:type="dxa"/>
            <w:vAlign w:val="bottom"/>
            <w:gridSpan w:val="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461"/>
        </w:trPr>
        <w:tc>
          <w:tcPr>
            <w:tcW w:w="1020" w:type="dxa"/>
            <w:vAlign w:val="bottom"/>
            <w:gridSpan w:val="3"/>
          </w:tcPr>
          <w:p>
            <w:pPr>
              <w:spacing w:after="0"/>
              <w:rPr>
                <w:sz w:val="20"/>
                <w:szCs w:val="20"/>
                <w:color w:val="auto"/>
              </w:rPr>
            </w:pPr>
            <w:r>
              <w:rPr>
                <w:rFonts w:ascii="Arial" w:cs="Arial" w:eastAsia="Arial" w:hAnsi="Arial"/>
                <w:sz w:val="20"/>
                <w:szCs w:val="20"/>
                <w:color w:val="auto"/>
              </w:rPr>
              <w:t>Item 16</w:t>
            </w:r>
          </w:p>
        </w:tc>
        <w:tc>
          <w:tcPr>
            <w:tcW w:w="7080" w:type="dxa"/>
            <w:vAlign w:val="bottom"/>
            <w:gridSpan w:val="5"/>
          </w:tcPr>
          <w:p>
            <w:pPr>
              <w:spacing w:after="0"/>
              <w:rPr>
                <w:sz w:val="20"/>
                <w:szCs w:val="20"/>
                <w:color w:val="auto"/>
              </w:rPr>
            </w:pPr>
            <w:r>
              <w:rPr>
                <w:rFonts w:ascii="Arial" w:cs="Arial" w:eastAsia="Arial" w:hAnsi="Arial"/>
                <w:sz w:val="20"/>
                <w:szCs w:val="20"/>
                <w:color w:val="0000FF"/>
              </w:rPr>
              <w:t>Form 10-K Summary</w:t>
            </w:r>
          </w:p>
        </w:tc>
        <w:tc>
          <w:tcPr>
            <w:tcW w:w="130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461"/>
        </w:trPr>
        <w:tc>
          <w:tcPr>
            <w:tcW w:w="1020" w:type="dxa"/>
            <w:vAlign w:val="bottom"/>
            <w:gridSpan w:val="3"/>
          </w:tcPr>
          <w:p>
            <w:pPr>
              <w:spacing w:after="0"/>
              <w:rPr>
                <w:sz w:val="20"/>
                <w:szCs w:val="20"/>
                <w:color w:val="auto"/>
              </w:rPr>
            </w:pPr>
            <w:r>
              <w:rPr>
                <w:rFonts w:ascii="Arial" w:cs="Arial" w:eastAsia="Arial" w:hAnsi="Arial"/>
                <w:sz w:val="20"/>
                <w:szCs w:val="20"/>
                <w:color w:val="0000FF"/>
              </w:rPr>
              <w:t>Signatures</w:t>
            </w:r>
          </w:p>
        </w:tc>
        <w:tc>
          <w:tcPr>
            <w:tcW w:w="1720" w:type="dxa"/>
            <w:vAlign w:val="bottom"/>
            <w:tcBorders>
              <w:top w:val="single" w:sz="8" w:color="0000FF"/>
            </w:tcBorders>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141</w:t>
            </w:r>
          </w:p>
        </w:tc>
      </w:tr>
      <w:tr>
        <w:trPr>
          <w:trHeight w:val="1521"/>
        </w:trPr>
        <w:tc>
          <w:tcPr>
            <w:tcW w:w="840" w:type="dxa"/>
            <w:vAlign w:val="bottom"/>
            <w:tcBorders>
              <w:top w:val="single" w:sz="8" w:color="0000FF"/>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72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256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13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32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87</w:t>
      </w:r>
    </w:p>
    <w:p>
      <w:pPr>
        <w:sectPr>
          <w:pgSz w:w="11900" w:h="16838" w:orient="portrait"/>
          <w:cols w:equalWidth="0" w:num="1">
            <w:col w:w="9400"/>
          </w:cols>
          <w:pgMar w:left="1260" w:top="1324" w:right="1246"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Definitions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apply throughout this Annual Report on Form 10-K unless the context requires otherwise: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line="307" w:lineRule="auto"/>
        <w:rPr>
          <w:sz w:val="20"/>
          <w:szCs w:val="20"/>
          <w:color w:val="auto"/>
        </w:rPr>
      </w:pPr>
      <w:r>
        <w:rPr>
          <w:rFonts w:ascii="Arial" w:cs="Arial" w:eastAsia="Arial" w:hAnsi="Arial"/>
          <w:sz w:val="20"/>
          <w:szCs w:val="20"/>
          <w:color w:val="auto"/>
        </w:rPr>
        <w:t>‘We’, ‘Us’, ‘Company’, ‘WTW’, ‘Willis Towers Watson’, ‘Our’, or ‘Willis Towers Watson plc’</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‘shares’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‘Willis’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‘Towers Watson’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‘TRANZACT’</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‘U.S.’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‘U.K.’</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‘Brexit’</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‘E.U.’</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‘U.S. GAAP’</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‘FASB’</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‘ASC’</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‘ASU’</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‘SEC’</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‘EBITDA’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700"/>
        <w:spacing w:after="0" w:line="363" w:lineRule="auto"/>
        <w:rPr>
          <w:sz w:val="20"/>
          <w:szCs w:val="20"/>
          <w:color w:val="auto"/>
        </w:rPr>
      </w:pPr>
      <w:r>
        <w:rPr>
          <w:rFonts w:ascii="Arial" w:cs="Arial" w:eastAsia="Arial" w:hAnsi="Arial"/>
          <w:sz w:val="18"/>
          <w:szCs w:val="18"/>
          <w:color w:val="auto"/>
        </w:rPr>
        <w:t>Willis Towers Watson Public Limited Company, a company organized under the laws of Ireland, and its subsidiaries</w:t>
      </w:r>
    </w:p>
    <w:p>
      <w:pPr>
        <w:spacing w:after="0" w:line="200" w:lineRule="exact"/>
        <w:rPr>
          <w:sz w:val="20"/>
          <w:szCs w:val="20"/>
          <w:color w:val="auto"/>
        </w:rPr>
      </w:pPr>
    </w:p>
    <w:p>
      <w:pPr>
        <w:spacing w:after="0" w:line="254" w:lineRule="exact"/>
        <w:rPr>
          <w:sz w:val="20"/>
          <w:szCs w:val="20"/>
          <w:color w:val="auto"/>
        </w:rPr>
      </w:pPr>
    </w:p>
    <w:p>
      <w:pPr>
        <w:ind w:right="640"/>
        <w:spacing w:after="0" w:line="331" w:lineRule="auto"/>
        <w:rPr>
          <w:sz w:val="20"/>
          <w:szCs w:val="20"/>
          <w:color w:val="auto"/>
        </w:rPr>
      </w:pPr>
      <w:r>
        <w:rPr>
          <w:rFonts w:ascii="Arial" w:cs="Arial" w:eastAsia="Arial" w:hAnsi="Arial"/>
          <w:sz w:val="19"/>
          <w:szCs w:val="19"/>
          <w:color w:val="auto"/>
        </w:rPr>
        <w:t>The ordinary shares of Willis Towers Watson Public Limited Company, nominal value $0.000304635 per share</w:t>
      </w:r>
    </w:p>
    <w:p>
      <w:pPr>
        <w:spacing w:after="0" w:line="177" w:lineRule="exact"/>
        <w:rPr>
          <w:sz w:val="20"/>
          <w:szCs w:val="20"/>
          <w:color w:val="auto"/>
        </w:rPr>
      </w:pPr>
    </w:p>
    <w:p>
      <w:pPr>
        <w:jc w:val="both"/>
        <w:spacing w:after="0" w:line="351" w:lineRule="auto"/>
        <w:rPr>
          <w:sz w:val="20"/>
          <w:szCs w:val="20"/>
          <w:color w:val="auto"/>
        </w:rPr>
      </w:pPr>
      <w:r>
        <w:rPr>
          <w:rFonts w:ascii="Arial" w:cs="Arial" w:eastAsia="Arial" w:hAnsi="Arial"/>
          <w:sz w:val="18"/>
          <w:szCs w:val="18"/>
          <w:color w:val="auto"/>
        </w:rPr>
        <w:t>Willis Group Holdings Public Limited Company and its subsidiaries, predecessor to WTW, prior to the Merger of Willis Group Holdings Public Limited Company and Towers Watson &amp; Co. pursuant to the Agreement and Plan of Merger, dated June 29, 2015, as amended on November 19, 2015, and completed on January 4, 2016</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Towers Watson &amp; Co. and its subsidiaries</w:t>
      </w:r>
    </w:p>
    <w:p>
      <w:pPr>
        <w:spacing w:after="0" w:line="260" w:lineRule="exact"/>
        <w:rPr>
          <w:sz w:val="20"/>
          <w:szCs w:val="20"/>
          <w:color w:val="auto"/>
        </w:rPr>
      </w:pPr>
    </w:p>
    <w:p>
      <w:pPr>
        <w:ind w:right="300"/>
        <w:spacing w:after="0" w:line="302" w:lineRule="auto"/>
        <w:rPr>
          <w:sz w:val="20"/>
          <w:szCs w:val="20"/>
          <w:color w:val="auto"/>
        </w:rPr>
      </w:pPr>
      <w:r>
        <w:rPr>
          <w:rFonts w:ascii="Arial" w:cs="Arial" w:eastAsia="Arial" w:hAnsi="Arial"/>
          <w:sz w:val="20"/>
          <w:szCs w:val="20"/>
          <w:color w:val="auto"/>
        </w:rPr>
        <w:t>TZ Holdings, Inc. and its subsidiaries, including MG LLC (doing business as TRANZACT)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United Kingdom</w:t>
      </w:r>
    </w:p>
    <w:p>
      <w:pPr>
        <w:spacing w:after="0" w:line="260" w:lineRule="exact"/>
        <w:rPr>
          <w:sz w:val="20"/>
          <w:szCs w:val="20"/>
          <w:color w:val="auto"/>
        </w:rPr>
      </w:pPr>
    </w:p>
    <w:p>
      <w:pPr>
        <w:ind w:right="640"/>
        <w:spacing w:after="0" w:line="302" w:lineRule="auto"/>
        <w:rPr>
          <w:sz w:val="20"/>
          <w:szCs w:val="20"/>
          <w:color w:val="auto"/>
        </w:rPr>
      </w:pPr>
      <w:r>
        <w:rPr>
          <w:rFonts w:ascii="Arial" w:cs="Arial" w:eastAsia="Arial" w:hAnsi="Arial"/>
          <w:sz w:val="20"/>
          <w:szCs w:val="20"/>
          <w:color w:val="auto"/>
        </w:rPr>
        <w:t>The United Kingdom’s exit from the European Union, which occurred on January 31, 2020</w:t>
      </w:r>
    </w:p>
    <w:p>
      <w:pPr>
        <w:spacing w:after="0" w:line="201" w:lineRule="exact"/>
        <w:rPr>
          <w:sz w:val="20"/>
          <w:szCs w:val="20"/>
          <w:color w:val="auto"/>
        </w:rPr>
      </w:pPr>
    </w:p>
    <w:p>
      <w:pPr>
        <w:ind w:right="440"/>
        <w:spacing w:after="0" w:line="302" w:lineRule="auto"/>
        <w:rPr>
          <w:sz w:val="20"/>
          <w:szCs w:val="20"/>
          <w:color w:val="auto"/>
        </w:rPr>
      </w:pPr>
      <w:r>
        <w:rPr>
          <w:rFonts w:ascii="Arial" w:cs="Arial" w:eastAsia="Arial" w:hAnsi="Arial"/>
          <w:sz w:val="20"/>
          <w:szCs w:val="20"/>
          <w:color w:val="auto"/>
        </w:rPr>
        <w:t>European Union or European Union 27 (the number of member countries following the United Kingdom’s exit)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United States Generally Accepted Accounting Principles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Financial Accounting Standards Board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Accounting Standards Codification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Accounting Standards Update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line="26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Earnings before Interest, Taxes, Depreciation and Amortization</w:t>
      </w:r>
    </w:p>
    <w:p>
      <w:pPr>
        <w:spacing w:after="0" w:line="213" w:lineRule="exact"/>
        <w:rPr>
          <w:sz w:val="20"/>
          <w:szCs w:val="20"/>
          <w:color w:val="auto"/>
        </w:rPr>
      </w:pPr>
    </w:p>
    <w:p>
      <w:pPr>
        <w:sectPr>
          <w:pgSz w:w="11900" w:h="16838" w:orient="portrait"/>
          <w:cols w:equalWidth="0" w:num="2">
            <w:col w:w="3400" w:space="460"/>
            <w:col w:w="5540"/>
          </w:cols>
          <w:pgMar w:left="1260" w:top="1440" w:right="1246" w:bottom="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596773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87</w:t>
      </w:r>
    </w:p>
    <w:p>
      <w:pPr>
        <w:sectPr>
          <w:pgSz w:w="11900" w:h="16838" w:orient="portrait"/>
          <w:cols w:equalWidth="0" w:num="1">
            <w:col w:w="9400"/>
          </w:cols>
          <w:pgMar w:left="1260" w:top="1440" w:right="1246"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Disclaimer Regarding Forward-looking Statements</w:t>
      </w:r>
    </w:p>
    <w:p>
      <w:pPr>
        <w:spacing w:after="0" w:line="260" w:lineRule="exact"/>
        <w:rPr>
          <w:sz w:val="20"/>
          <w:szCs w:val="20"/>
          <w:color w:val="auto"/>
        </w:rPr>
      </w:pPr>
    </w:p>
    <w:p>
      <w:pPr>
        <w:spacing w:after="0" w:line="348" w:lineRule="auto"/>
        <w:rPr>
          <w:sz w:val="20"/>
          <w:szCs w:val="20"/>
          <w:color w:val="auto"/>
        </w:rPr>
      </w:pPr>
      <w:r>
        <w:rPr>
          <w:rFonts w:ascii="Arial" w:cs="Arial" w:eastAsia="Arial" w:hAnsi="Arial"/>
          <w:sz w:val="18"/>
          <w:szCs w:val="18"/>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or certain considerations relating to our future results.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the impact of macroeconomic trends, including inflation, changes in interest rates, trade policies and other geopolitical risks; future capital expenditures; ongoing working capital efforts; future share repurchases; financial results (including our revenue, costs or margins) and the impact of changes to tax laws on our financial results; existing and evolving business strategies; our indebtedness; our ability to execute strategic transactions, including both acquisitions and dispositions, including our ability to receive adequate consideration or any earnout proceeds in return for any dispositions or integrate or manage acquired businesses (such as our recent acquisition of Newfront Insurance Holdings, Inc. and our planned acquisition of Cushon) or effect internal reorganizations; demand for our services and competitive strengths; strategic goals; the benefits of new initiatives or investments in technology;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cybersecurity and privacy processes; our ability to protect our intellectual property; our compliance with laws and regulations; risks associated with being an Irish-incorporated company; our recognition of future impairment charges; and plans and references to future successes, including our future financial and operating results, short-term and long-term financial goals, plans, objectives, expectations and intentions, including with respect to free cash flow generation, adjusted net income, adjusted operating margin and adjusted earnings per share, are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77" w:lineRule="exact"/>
        <w:rPr>
          <w:sz w:val="20"/>
          <w:szCs w:val="20"/>
          <w:color w:val="auto"/>
        </w:rPr>
      </w:pPr>
    </w:p>
    <w:p>
      <w:pPr>
        <w:ind w:right="180"/>
        <w:spacing w:after="0" w:line="309" w:lineRule="auto"/>
        <w:rPr>
          <w:sz w:val="20"/>
          <w:szCs w:val="20"/>
          <w:color w:val="auto"/>
        </w:rPr>
      </w:pPr>
      <w:r>
        <w:rPr>
          <w:rFonts w:ascii="Arial" w:cs="Arial" w:eastAsia="Arial" w:hAnsi="Arial"/>
          <w:sz w:val="20"/>
          <w:szCs w:val="20"/>
          <w:color w:val="auto"/>
        </w:rPr>
        <w:t>A number of risks and uncertainties that could cause actual results to differ materially from the results reflected in these forward-looking statements are identified under ‘Risk Factors’ in Item 1A of this Annual Report on Form 10-K. These statements are based on assumptions that may not come true and are subject to significant risks and uncertainties.</w:t>
      </w:r>
    </w:p>
    <w:p>
      <w:pPr>
        <w:spacing w:after="0" w:line="196" w:lineRule="exact"/>
        <w:rPr>
          <w:sz w:val="20"/>
          <w:szCs w:val="20"/>
          <w:color w:val="auto"/>
        </w:rPr>
      </w:pPr>
    </w:p>
    <w:p>
      <w:pPr>
        <w:ind w:right="100"/>
        <w:spacing w:after="0" w:line="310" w:lineRule="auto"/>
        <w:rPr>
          <w:sz w:val="20"/>
          <w:szCs w:val="20"/>
          <w:color w:val="auto"/>
        </w:rPr>
      </w:pPr>
      <w:r>
        <w:rPr>
          <w:rFonts w:ascii="Arial" w:cs="Arial" w:eastAsia="Arial" w:hAnsi="Arial"/>
          <w:sz w:val="20"/>
          <w:szCs w:val="20"/>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Annual Report on Form 10-K, our inclusion of this information is not a representation or guarantee by us that our objectives and plans will be achieved.</w:t>
      </w:r>
    </w:p>
    <w:p>
      <w:pPr>
        <w:spacing w:after="0" w:line="195" w:lineRule="exact"/>
        <w:rPr>
          <w:sz w:val="20"/>
          <w:szCs w:val="20"/>
          <w:color w:val="auto"/>
        </w:rPr>
      </w:pPr>
    </w:p>
    <w:p>
      <w:pPr>
        <w:ind w:right="100"/>
        <w:spacing w:after="0" w:line="309" w:lineRule="auto"/>
        <w:rPr>
          <w:sz w:val="20"/>
          <w:szCs w:val="20"/>
          <w:color w:val="auto"/>
        </w:rPr>
      </w:pPr>
      <w:r>
        <w:rPr>
          <w:rFonts w:ascii="Arial" w:cs="Arial" w:eastAsia="Arial" w:hAnsi="Arial"/>
          <w:sz w:val="20"/>
          <w:szCs w:val="20"/>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87</w:t>
      </w:r>
    </w:p>
    <w:p>
      <w:pPr>
        <w:sectPr>
          <w:pgSz w:w="11900" w:h="16838" w:orient="portrait"/>
          <w:cols w:equalWidth="0" w:num="1">
            <w:col w:w="9400"/>
          </w:cols>
          <w:pgMar w:left="1260" w:top="1440" w:right="1246" w:bottom="0" w:gutter="0" w:footer="0" w:header="0"/>
          <w:type w:val="continuous"/>
        </w:sectPr>
      </w:pPr>
    </w:p>
    <w:bookmarkStart w:id="7" w:name="page8"/>
    <w:bookmarkEnd w:id="7"/>
    <w:p>
      <w:pPr>
        <w:jc w:val="center"/>
        <w:ind w:right="6"/>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 / 87</w:t>
      </w:r>
    </w:p>
    <w:p>
      <w:pPr>
        <w:sectPr>
          <w:pgSz w:w="11900" w:h="16838" w:orient="portrait"/>
          <w:cols w:equalWidth="0" w:num="1">
            <w:col w:w="9026"/>
          </w:cols>
          <w:pgMar w:left="1440" w:top="1413" w:right="1440" w:bottom="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Company</w:t>
      </w:r>
    </w:p>
    <w:p>
      <w:pPr>
        <w:spacing w:after="0" w:line="260" w:lineRule="exact"/>
        <w:rPr>
          <w:sz w:val="20"/>
          <w:szCs w:val="20"/>
          <w:color w:val="auto"/>
        </w:rPr>
      </w:pPr>
    </w:p>
    <w:p>
      <w:pPr>
        <w:ind w:right="40"/>
        <w:spacing w:after="0" w:line="350" w:lineRule="auto"/>
        <w:rPr>
          <w:sz w:val="20"/>
          <w:szCs w:val="20"/>
          <w:color w:val="auto"/>
        </w:rPr>
      </w:pPr>
      <w:r>
        <w:rPr>
          <w:rFonts w:ascii="Arial" w:cs="Arial" w:eastAsia="Arial" w:hAnsi="Arial"/>
          <w:sz w:val="18"/>
          <w:szCs w:val="18"/>
          <w:color w:val="auto"/>
        </w:rPr>
        <w:t>WTW is a leading global advisory, broking and solutions company that provides data-driven, insight-led solutions in the areas of people, risk and capital. Utilizing the global view and local expertise of our approximately 47,000 colleagues serving more than 140 countries and markets, we help organizations sharpen strategies, enhance resilience, motivate workforces and maximize performance. We design and deliver solutions that manage risk, optimize benefits, cultivate talent and expand the power of capital to protect and strengthen institutions and individuals. Working closely with our clients, we uncover opportunities for sustainable success.</w:t>
      </w:r>
    </w:p>
    <w:p>
      <w:pPr>
        <w:spacing w:after="0" w:line="169"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Our clients operate on a global and local scale in a multitude of businesses and industries throughout the world and generally range in size from large, major multinational corporations to middle-market domestic and international companies. Our clients include many of the world’s leading corporations, including approximately 93% of the FTSE 100, 89% of the Fortune 1000, and 92% of the Fortune Global 500 companies. We also advise the majority of the world’s leading insurance companies. We work with major corporations, emerging growth companies, governmental agencies and not-for-profit institutions in a wide variety of industries, with many of our client relationships spanning decades. None of the Company’s clients individually represented more than 10% of its consolidated revenue for each of the years ended December 31, 2025, 2024 and 2023. We place insurance with approximately 2,500 insurance carriers, none of which individually accounted for a significant concentration of the total premiums we placed on behalf of our clients in 2025, 2024 or 2023.</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60" w:lineRule="exact"/>
        <w:rPr>
          <w:sz w:val="20"/>
          <w:szCs w:val="20"/>
          <w:color w:val="auto"/>
        </w:rPr>
      </w:pPr>
    </w:p>
    <w:p>
      <w:pPr>
        <w:jc w:val="both"/>
        <w:ind w:right="100"/>
        <w:spacing w:after="0" w:line="355" w:lineRule="auto"/>
        <w:rPr>
          <w:sz w:val="20"/>
          <w:szCs w:val="20"/>
          <w:color w:val="auto"/>
        </w:rPr>
      </w:pPr>
      <w:r>
        <w:rPr>
          <w:rFonts w:ascii="Arial" w:cs="Arial" w:eastAsia="Arial" w:hAnsi="Arial"/>
          <w:sz w:val="18"/>
          <w:szCs w:val="18"/>
          <w:color w:val="auto"/>
        </w:rPr>
        <w:t>The Company files annual, quarterly and current reports, proxy statements and other information with the SEC. The SEC maintains a website that contains annual, quarterly and current reports, proxy statements and other information that issuers (including WTW) file electronically with the SEC. The SEC’s website is www.sec.gov.</w:t>
      </w:r>
    </w:p>
    <w:p>
      <w:pPr>
        <w:spacing w:after="0" w:line="162" w:lineRule="exact"/>
        <w:rPr>
          <w:sz w:val="20"/>
          <w:szCs w:val="20"/>
          <w:color w:val="auto"/>
        </w:rPr>
      </w:pPr>
    </w:p>
    <w:p>
      <w:pPr>
        <w:ind w:right="180"/>
        <w:spacing w:after="0" w:line="329" w:lineRule="auto"/>
        <w:rPr>
          <w:sz w:val="20"/>
          <w:szCs w:val="20"/>
          <w:color w:val="auto"/>
        </w:rPr>
      </w:pPr>
      <w:r>
        <w:rPr>
          <w:rFonts w:ascii="Arial" w:cs="Arial" w:eastAsia="Arial" w:hAnsi="Arial"/>
          <w:sz w:val="19"/>
          <w:szCs w:val="19"/>
          <w:color w:val="auto"/>
        </w:rPr>
        <w:t>The Company makes available, free of charge through our website, www.wtwco.com, our Annual Report on Form 10-K, our quarterly reports on Form 10-Q, our proxy statement, current reports on Form 8-K and Forms 3, 4, and 5 filed on behalf of directors and Section 16 officers, as well as any amendments to those reports filed or furnished pursuant to the Securities Exchange Act of 1934 (the ‘Exchange Act’) as soon as reasonably practicable after such material is electronically filed with, or furnished to, the SEC. Unless specifically incorporated by reference, information on our website is not a part of this Form 10-K.</w:t>
      </w:r>
    </w:p>
    <w:p>
      <w:pPr>
        <w:spacing w:after="0" w:line="183" w:lineRule="exact"/>
        <w:rPr>
          <w:sz w:val="20"/>
          <w:szCs w:val="20"/>
          <w:color w:val="auto"/>
        </w:rPr>
      </w:pPr>
    </w:p>
    <w:p>
      <w:pPr>
        <w:ind w:right="60"/>
        <w:spacing w:after="0" w:line="329" w:lineRule="auto"/>
        <w:rPr>
          <w:sz w:val="20"/>
          <w:szCs w:val="20"/>
          <w:color w:val="auto"/>
        </w:rPr>
      </w:pPr>
      <w:r>
        <w:rPr>
          <w:rFonts w:ascii="Arial" w:cs="Arial" w:eastAsia="Arial" w:hAnsi="Arial"/>
          <w:sz w:val="19"/>
          <w:szCs w:val="19"/>
          <w:color w:val="auto"/>
        </w:rPr>
        <w:t>The Company’s Memorandum and Articles of Association, Corporate Governance Guidelines, Audit Committee Charter, Risk and Operational Oversight Committee Charter, Human Capital and Compensation Committee Charter, and Corporate Governance and Nominating Committee Charter are available on our website, www.wtwco.com, in the Investor Relations section, or upon request. Requests for copies of these documents should be directed in writing to the Company Secretary c/o Office of General Counsel, Willis Towers Watson Public Limited Company, Brookfield Place, 200 Liberty Street, New York, NY 10281.</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Information</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 / 87</w:t>
      </w:r>
    </w:p>
    <w:p>
      <w:pPr>
        <w:sectPr>
          <w:pgSz w:w="11900" w:h="16838" w:orient="portrait"/>
          <w:cols w:equalWidth="0" w:num="1">
            <w:col w:w="9380"/>
          </w:cols>
          <w:pgMar w:left="1260" w:top="1440" w:right="1266" w:bottom="0" w:gutter="0" w:footer="0" w:header="0"/>
          <w:type w:val="continuous"/>
        </w:sectPr>
      </w:pPr>
    </w:p>
    <w:bookmarkStart w:id="9" w:name="page10"/>
    <w:bookmarkEnd w:id="9"/>
    <w:p>
      <w:pPr>
        <w:spacing w:after="0" w:line="329" w:lineRule="auto"/>
        <w:rPr>
          <w:sz w:val="20"/>
          <w:szCs w:val="20"/>
          <w:color w:val="auto"/>
        </w:rPr>
      </w:pPr>
      <w:r>
        <w:rPr>
          <w:rFonts w:ascii="Arial" w:cs="Arial" w:eastAsia="Arial" w:hAnsi="Arial"/>
          <w:sz w:val="19"/>
          <w:szCs w:val="19"/>
          <w:color w:val="auto"/>
        </w:rPr>
        <w:t>WTW offers its clients a broad range of services and solutions designed to help them identify and control risks, while also enhancing business performance by improving their ability to attract, retain and engage a talented workforce. Our risk control services span from strategic risk consulting, including actuarial analysis and various due diligence services, to practical on-site support such as health and safety or property loss control consulting, alongside analytical and advisory services like hazard modeling and climate risk quantification. We also assist clients in planning for and managing incidents or crises through services like contingency planning, security audits and product tampering plans. To further enhance business performance, we deliver consulting services, technology and solutions that help clients anticipate, identify and capitalize on emerging opportunities in human capital management, as well as offer investment guidance to help them develop disciplined and efficient strategies to meet their financial goals.</w:t>
      </w:r>
    </w:p>
    <w:p>
      <w:pPr>
        <w:spacing w:after="0" w:line="185" w:lineRule="exact"/>
        <w:rPr>
          <w:sz w:val="20"/>
          <w:szCs w:val="20"/>
          <w:color w:val="auto"/>
        </w:rPr>
      </w:pPr>
    </w:p>
    <w:p>
      <w:pPr>
        <w:jc w:val="both"/>
        <w:ind w:right="140"/>
        <w:spacing w:after="0" w:line="330" w:lineRule="auto"/>
        <w:rPr>
          <w:sz w:val="20"/>
          <w:szCs w:val="20"/>
          <w:color w:val="auto"/>
        </w:rPr>
      </w:pPr>
      <w:r>
        <w:rPr>
          <w:rFonts w:ascii="Arial" w:cs="Arial" w:eastAsia="Arial" w:hAnsi="Arial"/>
          <w:sz w:val="19"/>
          <w:szCs w:val="19"/>
          <w:color w:val="auto"/>
        </w:rPr>
        <w:t>As an insurance broker, we act as an intermediary between our clients and insurance carriers by advising our clients on their risk management requirements, helping them to determine the best means of managing risk and negotiating and placing insurance with insurance carriers through our global distribution network.</w:t>
      </w:r>
    </w:p>
    <w:p>
      <w:pPr>
        <w:spacing w:after="0" w:line="179"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We operate a private Medicare marketplace in the U.S. through which, along with our active employee marketplace, we help our clients move to a more sustainable economic model by capping and controlling the costs associated with healthcare benefits.</w:t>
      </w:r>
    </w:p>
    <w:p>
      <w:pPr>
        <w:spacing w:after="0" w:line="197" w:lineRule="exact"/>
        <w:rPr>
          <w:sz w:val="20"/>
          <w:szCs w:val="20"/>
          <w:color w:val="auto"/>
        </w:rPr>
      </w:pPr>
    </w:p>
    <w:p>
      <w:pPr>
        <w:ind w:right="120"/>
        <w:spacing w:after="0" w:line="307" w:lineRule="auto"/>
        <w:rPr>
          <w:sz w:val="20"/>
          <w:szCs w:val="20"/>
          <w:color w:val="auto"/>
        </w:rPr>
      </w:pPr>
      <w:r>
        <w:rPr>
          <w:rFonts w:ascii="Arial" w:cs="Arial" w:eastAsia="Arial" w:hAnsi="Arial"/>
          <w:sz w:val="20"/>
          <w:szCs w:val="20"/>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87</w:t>
      </w:r>
    </w:p>
    <w:p>
      <w:pPr>
        <w:sectPr>
          <w:pgSz w:w="11900" w:h="16838" w:orient="portrait"/>
          <w:cols w:equalWidth="0" w:num="1">
            <w:col w:w="9400"/>
          </w:cols>
          <w:pgMar w:left="1260" w:top="1173" w:right="1246" w:bottom="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We derive the majority of our revenue from either commissions or fees for brokerage or from consulting services. We do not determine the insurance premiums on which our commissions are generally based. Commission levels generally follow the same trend as premium levels as they are derived from a percentage of the premiums paid by the insureds. Fluctuations in these premiums charged by the insurance carriers can therefore have a direct and potentially material impact on our results of operations. Our fees for consulting services are spread across a variety of complementary businesses that generally remain steady during times of uncertainty. We have some businesses, such as our health and benefits and administration businesses, which can be counter cyclical during the early period of a significant economic change.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Strategy</w:t>
      </w:r>
    </w:p>
    <w:p>
      <w:pPr>
        <w:spacing w:after="0" w:line="260" w:lineRule="exact"/>
        <w:rPr>
          <w:sz w:val="20"/>
          <w:szCs w:val="20"/>
          <w:color w:val="auto"/>
        </w:rPr>
      </w:pPr>
    </w:p>
    <w:p>
      <w:pPr>
        <w:ind w:right="20"/>
        <w:spacing w:after="0" w:line="307" w:lineRule="auto"/>
        <w:rPr>
          <w:sz w:val="20"/>
          <w:szCs w:val="20"/>
          <w:color w:val="auto"/>
        </w:rPr>
      </w:pPr>
      <w:r>
        <w:rPr>
          <w:rFonts w:ascii="Arial" w:cs="Arial" w:eastAsia="Arial" w:hAnsi="Arial"/>
          <w:sz w:val="20"/>
          <w:szCs w:val="20"/>
          <w:color w:val="auto"/>
        </w:rPr>
        <w:t>We believe that a unified and integrated approach to advisory, broking and solutions can be a path to growth for organizations around the world. We harness our collective power as ‘One WTW’ to make smart connections to serve and support our clients.</w:t>
      </w:r>
    </w:p>
    <w:p>
      <w:pPr>
        <w:spacing w:after="0" w:line="197" w:lineRule="exact"/>
        <w:rPr>
          <w:sz w:val="20"/>
          <w:szCs w:val="20"/>
          <w:color w:val="auto"/>
        </w:rPr>
      </w:pPr>
    </w:p>
    <w:p>
      <w:pPr>
        <w:ind w:right="20"/>
        <w:spacing w:after="0" w:line="302" w:lineRule="auto"/>
        <w:rPr>
          <w:sz w:val="20"/>
          <w:szCs w:val="20"/>
          <w:color w:val="auto"/>
        </w:rPr>
      </w:pPr>
      <w:r>
        <w:rPr>
          <w:rFonts w:ascii="Arial" w:cs="Arial" w:eastAsia="Arial" w:hAnsi="Arial"/>
          <w:sz w:val="20"/>
          <w:szCs w:val="20"/>
          <w:color w:val="auto"/>
        </w:rPr>
        <w:t>We operate in attractive markets – both growing and mature – with a diversified platform across industries, segments and businesses globally.</w:t>
      </w:r>
    </w:p>
    <w:p>
      <w:pPr>
        <w:spacing w:after="0" w:line="201" w:lineRule="exact"/>
        <w:rPr>
          <w:sz w:val="20"/>
          <w:szCs w:val="20"/>
          <w:color w:val="auto"/>
        </w:rPr>
      </w:pPr>
    </w:p>
    <w:p>
      <w:pPr>
        <w:ind w:right="1000"/>
        <w:spacing w:after="0" w:line="302" w:lineRule="auto"/>
        <w:rPr>
          <w:sz w:val="20"/>
          <w:szCs w:val="20"/>
          <w:color w:val="auto"/>
        </w:rPr>
      </w:pPr>
      <w:r>
        <w:rPr>
          <w:rFonts w:ascii="Arial" w:cs="Arial" w:eastAsia="Arial" w:hAnsi="Arial"/>
          <w:sz w:val="20"/>
          <w:szCs w:val="20"/>
          <w:color w:val="auto"/>
        </w:rPr>
        <w:t>Our strategy is focused on extending and amplifying WTW’s strengths to deliver sustainable growth and profitability.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We believe we can achieve this through executing on three strategic objectives:</w:t>
      </w:r>
    </w:p>
    <w:p>
      <w:pPr>
        <w:spacing w:after="0" w:line="305" w:lineRule="exact"/>
        <w:rPr>
          <w:sz w:val="20"/>
          <w:szCs w:val="20"/>
          <w:color w:val="auto"/>
        </w:rPr>
      </w:pPr>
    </w:p>
    <w:p>
      <w:pPr>
        <w:ind w:left="620" w:right="1040" w:hanging="313"/>
        <w:spacing w:after="0" w:line="397" w:lineRule="auto"/>
        <w:tabs>
          <w:tab w:leader="none" w:pos="62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Accelerate performance</w:t>
      </w:r>
      <w:r>
        <w:rPr>
          <w:rFonts w:ascii="Arial" w:cs="Arial" w:eastAsia="Arial" w:hAnsi="Arial"/>
          <w:sz w:val="19"/>
          <w:szCs w:val="19"/>
          <w:color w:val="auto"/>
        </w:rPr>
        <w:t>: By executing on the segment growth strategies to strengthen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fundamentals, advance innovative solutions and capitalize on our global footprint.</w:t>
      </w:r>
    </w:p>
    <w:p>
      <w:pPr>
        <w:spacing w:after="0" w:line="177" w:lineRule="exact"/>
        <w:rPr>
          <w:rFonts w:ascii="Arial" w:cs="Arial" w:eastAsia="Arial" w:hAnsi="Arial"/>
          <w:sz w:val="19"/>
          <w:szCs w:val="19"/>
          <w:color w:val="auto"/>
        </w:rPr>
      </w:pPr>
    </w:p>
    <w:p>
      <w:pPr>
        <w:jc w:val="both"/>
        <w:ind w:left="620" w:right="380" w:hanging="313"/>
        <w:spacing w:after="0" w:line="370" w:lineRule="auto"/>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Enhance efficiency</w:t>
      </w:r>
      <w:r>
        <w:rPr>
          <w:rFonts w:ascii="Arial" w:cs="Arial" w:eastAsia="Arial" w:hAnsi="Arial"/>
          <w:sz w:val="20"/>
          <w:szCs w:val="20"/>
          <w:color w:val="auto"/>
        </w:rPr>
        <w:t>: By having a continuous improvement mindset, delivering operating leverage in our</w:t>
      </w:r>
      <w:r>
        <w:rPr>
          <w:rFonts w:ascii="Arial" w:cs="Arial" w:eastAsia="Arial" w:hAnsi="Arial"/>
          <w:sz w:val="20"/>
          <w:szCs w:val="20"/>
          <w:b w:val="1"/>
          <w:bCs w:val="1"/>
          <w:color w:val="auto"/>
        </w:rPr>
        <w:t xml:space="preserve"> </w:t>
      </w:r>
      <w:r>
        <w:rPr>
          <w:rFonts w:ascii="Arial" w:cs="Arial" w:eastAsia="Arial" w:hAnsi="Arial"/>
          <w:sz w:val="20"/>
          <w:szCs w:val="20"/>
          <w:color w:val="auto"/>
        </w:rPr>
        <w:t>segments and leveraging WTW Enterprise Delivery Organization (WE DO) to focus on right work, right place, right tools and real estate optimization.</w:t>
      </w:r>
    </w:p>
    <w:p>
      <w:pPr>
        <w:spacing w:after="0" w:line="196" w:lineRule="exact"/>
        <w:rPr>
          <w:rFonts w:ascii="Arial" w:cs="Arial" w:eastAsia="Arial" w:hAnsi="Arial"/>
          <w:sz w:val="20"/>
          <w:szCs w:val="20"/>
          <w:color w:val="auto"/>
        </w:rPr>
      </w:pPr>
    </w:p>
    <w:p>
      <w:pPr>
        <w:ind w:left="620" w:right="140" w:hanging="313"/>
        <w:spacing w:after="0" w:line="372" w:lineRule="auto"/>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Optimize portfolio</w:t>
      </w:r>
      <w:r>
        <w:rPr>
          <w:rFonts w:ascii="Arial" w:cs="Arial" w:eastAsia="Arial" w:hAnsi="Arial"/>
          <w:sz w:val="20"/>
          <w:szCs w:val="20"/>
          <w:color w:val="auto"/>
        </w:rPr>
        <w:t>: By intentionally managing our portfolio through inorganic and organic investment in</w:t>
      </w:r>
      <w:r>
        <w:rPr>
          <w:rFonts w:ascii="Arial" w:cs="Arial" w:eastAsia="Arial" w:hAnsi="Arial"/>
          <w:sz w:val="20"/>
          <w:szCs w:val="20"/>
          <w:b w:val="1"/>
          <w:bCs w:val="1"/>
          <w:color w:val="auto"/>
        </w:rPr>
        <w:t xml:space="preserve"> </w:t>
      </w:r>
      <w:r>
        <w:rPr>
          <w:rFonts w:ascii="Arial" w:cs="Arial" w:eastAsia="Arial" w:hAnsi="Arial"/>
          <w:sz w:val="20"/>
          <w:szCs w:val="20"/>
          <w:color w:val="auto"/>
        </w:rPr>
        <w:t>areas of strength and deepen our large and high-growth businesses with strategic investments in corporate risk and broking, health and benefits and wealth. Also, by divesting businesses that are no longer a strategic fit or do not align with our desired financial profile.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auto"/>
        </w:rPr>
        <w:t>These objectives are enabled by a focused investment framework and capital allocation strategy.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Through this strategy, we aim to grow revenue, improve margins and increase free cash flow, EBITDA and earnings.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In turn, we’ll be able to fulfill our shared company purpose: We transform tomorrows.</w:t>
      </w:r>
    </w:p>
    <w:p>
      <w:pPr>
        <w:spacing w:after="0" w:line="260" w:lineRule="exact"/>
        <w:rPr>
          <w:sz w:val="20"/>
          <w:szCs w:val="20"/>
          <w:color w:val="auto"/>
        </w:rPr>
      </w:pPr>
    </w:p>
    <w:p>
      <w:pPr>
        <w:ind w:right="40"/>
        <w:spacing w:after="0" w:line="309" w:lineRule="auto"/>
        <w:rPr>
          <w:sz w:val="20"/>
          <w:szCs w:val="20"/>
          <w:color w:val="auto"/>
        </w:rPr>
      </w:pPr>
      <w:r>
        <w:rPr>
          <w:rFonts w:ascii="Arial" w:cs="Arial" w:eastAsia="Arial" w:hAnsi="Arial"/>
          <w:sz w:val="20"/>
          <w:szCs w:val="20"/>
          <w:color w:val="auto"/>
        </w:rPr>
        <w:t>We care as much about how we work as we do about the impact that we make. This means commitment to our shared purpose and values, a foundational framework that guides how we run our business and serve our clients. Our values of client focus, teamwork, integrity, respect and excellence underpin all that we do, and how we behave and interact with each other, our clients and our partners.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about risks to our strategic plans, see Part I, Item 1A Risk Factors of this Form 10-K.</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 / 87</w:t>
      </w:r>
    </w:p>
    <w:p>
      <w:pPr>
        <w:sectPr>
          <w:pgSz w:w="11900" w:h="16838" w:orient="portrait"/>
          <w:cols w:equalWidth="0" w:num="1">
            <w:col w:w="9380"/>
          </w:cols>
          <w:pgMar w:left="1260" w:top="1440" w:right="1266" w:bottom="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Principal Services</w:t>
      </w:r>
    </w:p>
    <w:p>
      <w:pPr>
        <w:spacing w:after="0" w:line="260"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We manage our business across two integrated reportable operating segments: Health, Wealth &amp; Career and Risk &amp; Broking. Below are the percentages of revenue generated by each segment for each of the years ended December 31, 2025, 2024 and 2023.</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2180" w:type="dxa"/>
            <w:vAlign w:val="bottom"/>
            <w:gridSpan w:val="2"/>
          </w:tcPr>
          <w:p>
            <w:pPr>
              <w:jc w:val="right"/>
              <w:ind w:right="67"/>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Pr>
          <w:p>
            <w:pPr>
              <w:spacing w:after="0"/>
              <w:rPr>
                <w:sz w:val="16"/>
                <w:szCs w:val="16"/>
                <w:color w:val="auto"/>
              </w:rPr>
            </w:pPr>
          </w:p>
        </w:tc>
      </w:tr>
      <w:tr>
        <w:trPr>
          <w:trHeight w:val="264"/>
        </w:trPr>
        <w:tc>
          <w:tcPr>
            <w:tcW w:w="6120" w:type="dxa"/>
            <w:vAlign w:val="bottom"/>
          </w:tcPr>
          <w:p>
            <w:pPr>
              <w:jc w:val="right"/>
              <w:ind w:right="7"/>
              <w:spacing w:after="0"/>
              <w:rPr>
                <w:sz w:val="20"/>
                <w:szCs w:val="20"/>
                <w:color w:val="auto"/>
              </w:rPr>
            </w:pPr>
            <w:r>
              <w:rPr>
                <w:rFonts w:ascii="Arial" w:cs="Arial" w:eastAsia="Arial" w:hAnsi="Arial"/>
                <w:sz w:val="16"/>
                <w:szCs w:val="16"/>
                <w:b w:val="1"/>
                <w:bCs w:val="1"/>
                <w:color w:val="auto"/>
              </w:rPr>
              <w:t>2025</w:t>
            </w:r>
          </w:p>
        </w:tc>
        <w:tc>
          <w:tcPr>
            <w:tcW w:w="720" w:type="dxa"/>
            <w:vAlign w:val="bottom"/>
          </w:tcPr>
          <w:p>
            <w:pPr>
              <w:spacing w:after="0"/>
              <w:rPr>
                <w:sz w:val="22"/>
                <w:szCs w:val="22"/>
                <w:color w:val="auto"/>
              </w:rPr>
            </w:pPr>
          </w:p>
        </w:tc>
        <w:tc>
          <w:tcPr>
            <w:tcW w:w="1460" w:type="dxa"/>
            <w:vAlign w:val="bottom"/>
          </w:tcPr>
          <w:p>
            <w:pPr>
              <w:jc w:val="right"/>
              <w:ind w:right="787"/>
              <w:spacing w:after="0"/>
              <w:rPr>
                <w:sz w:val="20"/>
                <w:szCs w:val="20"/>
                <w:color w:val="auto"/>
              </w:rPr>
            </w:pPr>
            <w:r>
              <w:rPr>
                <w:rFonts w:ascii="Arial" w:cs="Arial" w:eastAsia="Arial" w:hAnsi="Arial"/>
                <w:sz w:val="16"/>
                <w:szCs w:val="16"/>
                <w:b w:val="1"/>
                <w:bCs w:val="1"/>
                <w:color w:val="auto"/>
              </w:rPr>
              <w:t>2024</w:t>
            </w:r>
          </w:p>
        </w:tc>
        <w:tc>
          <w:tcPr>
            <w:tcW w:w="1100" w:type="dxa"/>
            <w:vAlign w:val="bottom"/>
          </w:tcPr>
          <w:p>
            <w:pPr>
              <w:jc w:val="right"/>
              <w:ind w:right="507"/>
              <w:spacing w:after="0"/>
              <w:rPr>
                <w:sz w:val="20"/>
                <w:szCs w:val="20"/>
                <w:color w:val="auto"/>
              </w:rPr>
            </w:pPr>
            <w:r>
              <w:rPr>
                <w:rFonts w:ascii="Arial" w:cs="Arial" w:eastAsia="Arial" w:hAnsi="Arial"/>
                <w:sz w:val="16"/>
                <w:szCs w:val="16"/>
                <w:b w:val="1"/>
                <w:bCs w:val="1"/>
                <w:color w:val="auto"/>
              </w:rPr>
              <w:t>2023</w:t>
            </w:r>
          </w:p>
        </w:tc>
      </w:tr>
      <w:tr>
        <w:trPr>
          <w:trHeight w:val="42"/>
        </w:trPr>
        <w:tc>
          <w:tcPr>
            <w:tcW w:w="6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4"/>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Health, Wealth &amp; Career</w:t>
            </w:r>
          </w:p>
        </w:tc>
        <w:tc>
          <w:tcPr>
            <w:tcW w:w="720" w:type="dxa"/>
            <w:vAlign w:val="bottom"/>
            <w:tcBorders>
              <w:bottom w:val="single" w:sz="8" w:color="CFF0FC"/>
            </w:tcBorders>
            <w:shd w:val="clear" w:color="auto" w:fill="CFF0FC"/>
          </w:tcPr>
          <w:p>
            <w:pPr>
              <w:jc w:val="right"/>
              <w:ind w:right="147"/>
              <w:spacing w:after="0"/>
              <w:rPr>
                <w:sz w:val="20"/>
                <w:szCs w:val="20"/>
                <w:color w:val="auto"/>
              </w:rPr>
            </w:pPr>
            <w:r>
              <w:rPr>
                <w:rFonts w:ascii="Arial" w:cs="Arial" w:eastAsia="Arial" w:hAnsi="Arial"/>
                <w:sz w:val="20"/>
                <w:szCs w:val="20"/>
                <w:color w:val="auto"/>
              </w:rPr>
              <w:t>55%</w:t>
            </w:r>
          </w:p>
        </w:tc>
        <w:tc>
          <w:tcPr>
            <w:tcW w:w="1460" w:type="dxa"/>
            <w:vAlign w:val="bottom"/>
            <w:tcBorders>
              <w:bottom w:val="single" w:sz="8" w:color="CFF0FC"/>
            </w:tcBorders>
            <w:shd w:val="clear" w:color="auto" w:fill="CFF0FC"/>
          </w:tcPr>
          <w:p>
            <w:pPr>
              <w:jc w:val="right"/>
              <w:ind w:right="227"/>
              <w:spacing w:after="0"/>
              <w:rPr>
                <w:sz w:val="20"/>
                <w:szCs w:val="20"/>
                <w:color w:val="auto"/>
              </w:rPr>
            </w:pPr>
            <w:r>
              <w:rPr>
                <w:rFonts w:ascii="Arial" w:cs="Arial" w:eastAsia="Arial" w:hAnsi="Arial"/>
                <w:sz w:val="20"/>
                <w:szCs w:val="20"/>
                <w:color w:val="auto"/>
              </w:rPr>
              <w:t>59%</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60%</w:t>
            </w:r>
          </w:p>
        </w:tc>
      </w:tr>
      <w:tr>
        <w:trPr>
          <w:trHeight w:val="274"/>
        </w:trPr>
        <w:tc>
          <w:tcPr>
            <w:tcW w:w="6120" w:type="dxa"/>
            <w:vAlign w:val="bottom"/>
          </w:tcPr>
          <w:p>
            <w:pPr>
              <w:spacing w:after="0"/>
              <w:rPr>
                <w:sz w:val="20"/>
                <w:szCs w:val="20"/>
                <w:color w:val="auto"/>
              </w:rPr>
            </w:pPr>
            <w:r>
              <w:rPr>
                <w:rFonts w:ascii="Arial" w:cs="Arial" w:eastAsia="Arial" w:hAnsi="Arial"/>
                <w:sz w:val="20"/>
                <w:szCs w:val="20"/>
                <w:color w:val="auto"/>
              </w:rPr>
              <w:t>Risk &amp; Broking</w:t>
            </w:r>
          </w:p>
        </w:tc>
        <w:tc>
          <w:tcPr>
            <w:tcW w:w="720" w:type="dxa"/>
            <w:vAlign w:val="bottom"/>
          </w:tcPr>
          <w:p>
            <w:pPr>
              <w:jc w:val="right"/>
              <w:ind w:right="147"/>
              <w:spacing w:after="0"/>
              <w:rPr>
                <w:sz w:val="20"/>
                <w:szCs w:val="20"/>
                <w:color w:val="auto"/>
              </w:rPr>
            </w:pPr>
            <w:r>
              <w:rPr>
                <w:rFonts w:ascii="Arial" w:cs="Arial" w:eastAsia="Arial" w:hAnsi="Arial"/>
                <w:sz w:val="20"/>
                <w:szCs w:val="20"/>
                <w:color w:val="auto"/>
              </w:rPr>
              <w:t>45%</w:t>
            </w:r>
          </w:p>
        </w:tc>
        <w:tc>
          <w:tcPr>
            <w:tcW w:w="1460" w:type="dxa"/>
            <w:vAlign w:val="bottom"/>
          </w:tcPr>
          <w:p>
            <w:pPr>
              <w:jc w:val="right"/>
              <w:ind w:right="227"/>
              <w:spacing w:after="0"/>
              <w:rPr>
                <w:sz w:val="20"/>
                <w:szCs w:val="20"/>
                <w:color w:val="auto"/>
              </w:rPr>
            </w:pPr>
            <w:r>
              <w:rPr>
                <w:rFonts w:ascii="Arial" w:cs="Arial" w:eastAsia="Arial" w:hAnsi="Arial"/>
                <w:sz w:val="20"/>
                <w:szCs w:val="20"/>
                <w:color w:val="auto"/>
              </w:rPr>
              <w:t>41%</w:t>
            </w:r>
          </w:p>
        </w:tc>
        <w:tc>
          <w:tcPr>
            <w:tcW w:w="1100" w:type="dxa"/>
            <w:vAlign w:val="bottom"/>
          </w:tcPr>
          <w:p>
            <w:pPr>
              <w:jc w:val="right"/>
              <w:spacing w:after="0"/>
              <w:rPr>
                <w:sz w:val="20"/>
                <w:szCs w:val="20"/>
                <w:color w:val="auto"/>
              </w:rPr>
            </w:pPr>
            <w:r>
              <w:rPr>
                <w:rFonts w:ascii="Arial" w:cs="Arial" w:eastAsia="Arial" w:hAnsi="Arial"/>
                <w:sz w:val="20"/>
                <w:szCs w:val="20"/>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-547370</wp:posOffset>
            </wp:positionV>
            <wp:extent cx="25908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0800" cy="635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-379095</wp:posOffset>
            </wp:positionV>
            <wp:extent cx="25908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0800" cy="635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presents descriptions of our segments: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Health, Wealth &amp; Career</w:t>
      </w:r>
    </w:p>
    <w:p>
      <w:pPr>
        <w:spacing w:after="0" w:line="260" w:lineRule="exact"/>
        <w:rPr>
          <w:sz w:val="20"/>
          <w:szCs w:val="20"/>
          <w:color w:val="auto"/>
        </w:rPr>
      </w:pPr>
    </w:p>
    <w:p>
      <w:pPr>
        <w:ind w:right="220"/>
        <w:spacing w:after="0" w:line="309" w:lineRule="auto"/>
        <w:rPr>
          <w:sz w:val="20"/>
          <w:szCs w:val="20"/>
          <w:color w:val="auto"/>
        </w:rPr>
      </w:pPr>
      <w:r>
        <w:rPr>
          <w:rFonts w:ascii="Arial" w:cs="Arial" w:eastAsia="Arial" w:hAnsi="Arial"/>
          <w:sz w:val="20"/>
          <w:szCs w:val="20"/>
          <w:color w:val="auto"/>
        </w:rPr>
        <w:t>The Health, Wealth &amp; Career (‘HWC’) segment provides an array of advice, broking, solutions and technology for employee benefit plans, institutional investors, compensation and career programs, and the employee experience overall. Our portfolio of services support the interrelated challenges that the management teams of our clients face across human resources (‘HR’) and finance.</w:t>
      </w:r>
    </w:p>
    <w:p>
      <w:pPr>
        <w:spacing w:after="0" w:line="196" w:lineRule="exact"/>
        <w:rPr>
          <w:sz w:val="20"/>
          <w:szCs w:val="20"/>
          <w:color w:val="auto"/>
        </w:rPr>
      </w:pPr>
    </w:p>
    <w:p>
      <w:pPr>
        <w:ind w:right="340"/>
        <w:spacing w:after="0" w:line="307" w:lineRule="auto"/>
        <w:rPr>
          <w:sz w:val="20"/>
          <w:szCs w:val="20"/>
          <w:color w:val="auto"/>
        </w:rPr>
      </w:pPr>
      <w:r>
        <w:rPr>
          <w:rFonts w:ascii="Arial" w:cs="Arial" w:eastAsia="Arial" w:hAnsi="Arial"/>
          <w:sz w:val="20"/>
          <w:szCs w:val="20"/>
          <w:color w:val="auto"/>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87</w:t>
      </w:r>
    </w:p>
    <w:p>
      <w:pPr>
        <w:sectPr>
          <w:pgSz w:w="11900" w:h="16838" w:orient="portrait"/>
          <w:cols w:equalWidth="0" w:num="1">
            <w:col w:w="9400"/>
          </w:cols>
          <w:pgMar w:left="1260" w:top="1163" w:right="1246" w:bottom="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Health</w:t>
      </w:r>
    </w:p>
    <w:p>
      <w:pPr>
        <w:spacing w:after="0" w:line="260" w:lineRule="exact"/>
        <w:rPr>
          <w:sz w:val="20"/>
          <w:szCs w:val="20"/>
          <w:color w:val="auto"/>
        </w:rPr>
      </w:pPr>
    </w:p>
    <w:p>
      <w:pPr>
        <w:ind w:right="100"/>
        <w:spacing w:after="0" w:line="330" w:lineRule="auto"/>
        <w:rPr>
          <w:sz w:val="20"/>
          <w:szCs w:val="20"/>
          <w:color w:val="auto"/>
        </w:rPr>
      </w:pPr>
      <w:r>
        <w:rPr>
          <w:rFonts w:ascii="Arial" w:cs="Arial" w:eastAsia="Arial" w:hAnsi="Arial"/>
          <w:sz w:val="19"/>
          <w:szCs w:val="19"/>
          <w:color w:val="auto"/>
        </w:rPr>
        <w:t>The Health &amp; Benefits (‘H&amp;B’) business provides strategy and design consulting, plan management service and support, broking and administration across the full spectrum of health, wellbeing and other group benefit programs, including medical, dental, disability, life, voluntary benefits and other coverage. Our reach extends from small/mid-market clients to large-market and multinational clients, across the full geographic footprint of the Company, and to most industries. We can address our clients’ needs in more than 160 countries.</w:t>
      </w:r>
    </w:p>
    <w:p>
      <w:pPr>
        <w:spacing w:after="0" w:line="178" w:lineRule="exact"/>
        <w:rPr>
          <w:sz w:val="20"/>
          <w:szCs w:val="20"/>
          <w:color w:val="auto"/>
        </w:rPr>
      </w:pPr>
    </w:p>
    <w:p>
      <w:pPr>
        <w:ind w:right="20"/>
        <w:spacing w:after="0" w:line="311" w:lineRule="auto"/>
        <w:rPr>
          <w:sz w:val="20"/>
          <w:szCs w:val="20"/>
          <w:color w:val="auto"/>
        </w:rPr>
      </w:pPr>
      <w:r>
        <w:rPr>
          <w:rFonts w:ascii="Arial" w:cs="Arial" w:eastAsia="Arial" w:hAnsi="Arial"/>
          <w:sz w:val="20"/>
          <w:szCs w:val="20"/>
          <w:color w:val="auto"/>
        </w:rPr>
        <w:t>Our colleagues help clients make strategic decisions on topics such as optimizing program spend; evaluating emerging vendors, point solutions and coverage options (including publicly-subsidized health insurance exchanges and private exchanges in the U.S.); and dealing with above-inflation-rate increases in healthcare costs. We also assist clients in selecting the appropriate insurance carriers to cover benefit risks and administer the programs. In addition to our consulting and broking services, we manage a number of collective purchasing initiatives, such as pharmacy and stop-loss, that allow employers to realize greater value from third-party service providers than they can achieve on their own.</w:t>
      </w:r>
    </w:p>
    <w:p>
      <w:pPr>
        <w:spacing w:after="0" w:line="194" w:lineRule="exact"/>
        <w:rPr>
          <w:sz w:val="20"/>
          <w:szCs w:val="20"/>
          <w:color w:val="auto"/>
        </w:rPr>
      </w:pPr>
    </w:p>
    <w:p>
      <w:pPr>
        <w:ind w:right="320"/>
        <w:spacing w:after="0" w:line="309" w:lineRule="auto"/>
        <w:rPr>
          <w:sz w:val="20"/>
          <w:szCs w:val="20"/>
          <w:color w:val="auto"/>
        </w:rPr>
      </w:pPr>
      <w:r>
        <w:rPr>
          <w:rFonts w:ascii="Arial" w:cs="Arial" w:eastAsia="Arial" w:hAnsi="Arial"/>
          <w:sz w:val="20"/>
          <w:szCs w:val="20"/>
          <w:color w:val="auto"/>
        </w:rPr>
        <w:t>With Global Benefits Management, our suite of global services supporting medical, dental and risk (e.g., life, disability) programs, we have a tailored offering for multinationals. This offering includes a flexible set of ready-made solutions, proven technology and an integrated approach to service delivery that translates to a globally consistent, high-quality experience for our clients.</w:t>
      </w:r>
    </w:p>
    <w:p>
      <w:pPr>
        <w:spacing w:after="0" w:line="196" w:lineRule="exact"/>
        <w:rPr>
          <w:sz w:val="20"/>
          <w:szCs w:val="20"/>
          <w:color w:val="auto"/>
        </w:rPr>
      </w:pPr>
    </w:p>
    <w:p>
      <w:pPr>
        <w:jc w:val="both"/>
        <w:ind w:right="220"/>
        <w:spacing w:after="0" w:line="307" w:lineRule="auto"/>
        <w:rPr>
          <w:sz w:val="20"/>
          <w:szCs w:val="20"/>
          <w:color w:val="auto"/>
        </w:rPr>
      </w:pPr>
      <w:r>
        <w:rPr>
          <w:rFonts w:ascii="Arial" w:cs="Arial" w:eastAsia="Arial" w:hAnsi="Arial"/>
          <w:sz w:val="20"/>
          <w:szCs w:val="20"/>
          <w:color w:val="auto"/>
        </w:rPr>
        <w:t>A meaningful portion of revenue in this business is from recurring work, though contracts may be annual or multi-year. Given the balance of revenue across consulting, broking and solutions, our revenue is somewhat weighted to the first half of the year.</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Wealth</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Our wealth-related businesses include Retirement and Investments.</w:t>
      </w:r>
    </w:p>
    <w:p>
      <w:pPr>
        <w:spacing w:after="0" w:line="260" w:lineRule="exact"/>
        <w:rPr>
          <w:sz w:val="20"/>
          <w:szCs w:val="20"/>
          <w:color w:val="auto"/>
        </w:rPr>
      </w:pPr>
    </w:p>
    <w:p>
      <w:pPr>
        <w:spacing w:after="0" w:line="329" w:lineRule="auto"/>
        <w:rPr>
          <w:sz w:val="20"/>
          <w:szCs w:val="20"/>
          <w:color w:val="auto"/>
        </w:rPr>
      </w:pPr>
      <w:r>
        <w:rPr>
          <w:rFonts w:ascii="Arial" w:cs="Arial" w:eastAsia="Arial" w:hAnsi="Arial"/>
          <w:sz w:val="19"/>
          <w:szCs w:val="19"/>
          <w:i w:val="1"/>
          <w:iCs w:val="1"/>
          <w:color w:val="auto"/>
        </w:rPr>
        <w:t xml:space="preserve">Retirement </w:t>
      </w:r>
      <w:r>
        <w:rPr>
          <w:rFonts w:ascii="Arial" w:cs="Arial" w:eastAsia="Arial" w:hAnsi="Arial"/>
          <w:sz w:val="19"/>
          <w:szCs w:val="19"/>
          <w:color w:val="auto"/>
        </w:rPr>
        <w:t>— Our Retirement business provides actuarial support, plan design, and administrative services for all</w:t>
      </w:r>
      <w:r>
        <w:rPr>
          <w:rFonts w:ascii="Arial" w:cs="Arial" w:eastAsia="Arial" w:hAnsi="Arial"/>
          <w:sz w:val="19"/>
          <w:szCs w:val="19"/>
          <w:i w:val="1"/>
          <w:iCs w:val="1"/>
          <w:color w:val="auto"/>
        </w:rPr>
        <w:t xml:space="preserve"> </w:t>
      </w:r>
      <w:r>
        <w:rPr>
          <w:rFonts w:ascii="Arial" w:cs="Arial" w:eastAsia="Arial" w:hAnsi="Arial"/>
          <w:sz w:val="19"/>
          <w:szCs w:val="19"/>
          <w:color w:val="auto"/>
        </w:rPr>
        <w:t>forms of pension and retirement savings plans. Our colleagues help clients assess the costs and risks of retirement plans on cash flow, earnings and the balance sheet, the effects of changing workforce demographics on their retirement plans, and retiree benefit adequacy and security. We offer clients a full range of integrated retirement consulting services and solutions to meet the needs of all types of employers. We help multinationals coordinate plan design and actuarial services across their complex global plans. We bring in-depth data analysis and perspective to their decision-making process as we have tracked the retirement designs and financing strategies of companies around the world over many decades.</w:t>
      </w:r>
    </w:p>
    <w:p>
      <w:pPr>
        <w:spacing w:after="0" w:line="184" w:lineRule="exact"/>
        <w:rPr>
          <w:sz w:val="20"/>
          <w:szCs w:val="20"/>
          <w:color w:val="auto"/>
        </w:rPr>
      </w:pPr>
    </w:p>
    <w:p>
      <w:pPr>
        <w:ind w:right="40"/>
        <w:spacing w:after="0" w:line="307" w:lineRule="auto"/>
        <w:rPr>
          <w:sz w:val="20"/>
          <w:szCs w:val="20"/>
          <w:color w:val="auto"/>
        </w:rPr>
      </w:pPr>
      <w:r>
        <w:rPr>
          <w:rFonts w:ascii="Arial" w:cs="Arial" w:eastAsia="Arial" w:hAnsi="Arial"/>
          <w:sz w:val="20"/>
          <w:szCs w:val="20"/>
          <w:color w:val="auto"/>
        </w:rPr>
        <w:t>For clients that want to outsource some or all of their pension plan management, we offer broking services as well as integrated solutions that can combine investment discretionary management, pension administration, core actuarial services, and communication and change management assistance.</w:t>
      </w:r>
    </w:p>
    <w:p>
      <w:pPr>
        <w:spacing w:after="0" w:line="197" w:lineRule="exact"/>
        <w:rPr>
          <w:sz w:val="20"/>
          <w:szCs w:val="20"/>
          <w:color w:val="auto"/>
        </w:rPr>
      </w:pPr>
    </w:p>
    <w:p>
      <w:pPr>
        <w:ind w:right="20"/>
        <w:spacing w:after="0" w:line="330" w:lineRule="auto"/>
        <w:rPr>
          <w:sz w:val="20"/>
          <w:szCs w:val="20"/>
          <w:color w:val="auto"/>
        </w:rPr>
      </w:pPr>
      <w:r>
        <w:rPr>
          <w:rFonts w:ascii="Arial" w:cs="Arial" w:eastAsia="Arial" w:hAnsi="Arial"/>
          <w:sz w:val="19"/>
          <w:szCs w:val="19"/>
          <w:color w:val="auto"/>
        </w:rPr>
        <w:t>Retirement relationships are generally long-term in nature, and client retention rates for this business are high. A significant portion of the revenue in this business is from recurring work, with multi-year contracts that are driven by the heavily regulated nature of pension plans and our clients’ annual needs for these services.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 / 87</w:t>
      </w:r>
    </w:p>
    <w:p>
      <w:pPr>
        <w:sectPr>
          <w:pgSz w:w="11900" w:h="16838" w:orient="portrait"/>
          <w:cols w:equalWidth="0" w:num="1">
            <w:col w:w="9380"/>
          </w:cols>
          <w:pgMar w:left="1260" w:top="1440" w:right="1266" w:bottom="0" w:gutter="0" w:footer="0" w:header="0"/>
          <w:type w:val="continuous"/>
        </w:sectPr>
      </w:pPr>
    </w:p>
    <w:bookmarkStart w:id="13" w:name="page14"/>
    <w:bookmarkEnd w:id="13"/>
    <w:p>
      <w:pPr>
        <w:ind w:right="60"/>
        <w:spacing w:after="0" w:line="350"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Our Investments business provides advice and discretionary investment management solutions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benefit and defined contribution pension plans as well as to a range of other client types including insurers, endowments and foundations, and private wealth investors. We provide a solution to a significant business problem faced by our clients, namely sustaining the resources and skills required to deliver a financial services product in highly competitive capital markets. We offer a flexible approach that adapts to a wide range of client needs and circumstances, with the objective of higher returns, lower risk and lower costs within each client’s unique situation.</w:t>
      </w:r>
    </w:p>
    <w:p>
      <w:pPr>
        <w:spacing w:after="0" w:line="169" w:lineRule="exact"/>
        <w:rPr>
          <w:sz w:val="20"/>
          <w:szCs w:val="20"/>
          <w:color w:val="auto"/>
        </w:rPr>
      </w:pPr>
    </w:p>
    <w:p>
      <w:pPr>
        <w:ind w:right="360"/>
        <w:spacing w:after="0" w:line="307" w:lineRule="auto"/>
        <w:rPr>
          <w:sz w:val="20"/>
          <w:szCs w:val="20"/>
          <w:color w:val="auto"/>
        </w:rPr>
      </w:pPr>
      <w:r>
        <w:rPr>
          <w:rFonts w:ascii="Arial" w:cs="Arial" w:eastAsia="Arial" w:hAnsi="Arial"/>
          <w:sz w:val="20"/>
          <w:szCs w:val="20"/>
          <w:color w:val="auto"/>
        </w:rPr>
        <w:t>Our solutions range from single asset class activity, through complete management of entire pension plan assets including sophisticated liability hedging programs as well as pooled employer plans/Master Trust under our LifeSight branding.</w:t>
      </w:r>
    </w:p>
    <w:p>
      <w:pPr>
        <w:spacing w:after="0" w:line="197" w:lineRule="exact"/>
        <w:rPr>
          <w:sz w:val="20"/>
          <w:szCs w:val="20"/>
          <w:color w:val="auto"/>
        </w:rPr>
      </w:pPr>
    </w:p>
    <w:p>
      <w:pPr>
        <w:spacing w:after="0" w:line="307" w:lineRule="auto"/>
        <w:rPr>
          <w:sz w:val="20"/>
          <w:szCs w:val="20"/>
          <w:color w:val="auto"/>
        </w:rPr>
      </w:pPr>
      <w:r>
        <w:rPr>
          <w:rFonts w:ascii="Arial" w:cs="Arial" w:eastAsia="Arial" w:hAnsi="Arial"/>
          <w:sz w:val="20"/>
          <w:szCs w:val="20"/>
          <w:color w:val="auto"/>
        </w:rPr>
        <w:t>We bring together a broad array of specialist investment knowledge and skills across all asset classes, a high-quality execution platform, a cost advantage through our scale, and expert advisors with experience across all client types from the largest plans in the world to small corporate pension plans.</w:t>
      </w:r>
    </w:p>
    <w:p>
      <w:pPr>
        <w:spacing w:after="0" w:line="197" w:lineRule="exact"/>
        <w:rPr>
          <w:sz w:val="20"/>
          <w:szCs w:val="20"/>
          <w:color w:val="auto"/>
        </w:rPr>
      </w:pPr>
    </w:p>
    <w:p>
      <w:pPr>
        <w:ind w:right="220"/>
        <w:spacing w:after="0" w:line="302" w:lineRule="auto"/>
        <w:rPr>
          <w:sz w:val="20"/>
          <w:szCs w:val="20"/>
          <w:color w:val="auto"/>
        </w:rPr>
      </w:pPr>
      <w:r>
        <w:rPr>
          <w:rFonts w:ascii="Arial" w:cs="Arial" w:eastAsia="Arial" w:hAnsi="Arial"/>
          <w:sz w:val="20"/>
          <w:szCs w:val="20"/>
          <w:color w:val="auto"/>
        </w:rPr>
        <w:t>We have long-term relationships with our Investments clients, with the majority of our revenue driven by retainer contracts.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Career</w:t>
      </w:r>
    </w:p>
    <w:p>
      <w:pPr>
        <w:spacing w:after="0" w:line="260" w:lineRule="exact"/>
        <w:rPr>
          <w:sz w:val="20"/>
          <w:szCs w:val="20"/>
          <w:color w:val="auto"/>
        </w:rPr>
      </w:pPr>
    </w:p>
    <w:p>
      <w:pPr>
        <w:ind w:right="140"/>
        <w:spacing w:after="0" w:line="331" w:lineRule="auto"/>
        <w:rPr>
          <w:sz w:val="20"/>
          <w:szCs w:val="20"/>
          <w:color w:val="auto"/>
        </w:rPr>
      </w:pPr>
      <w:r>
        <w:rPr>
          <w:rFonts w:ascii="Arial" w:cs="Arial" w:eastAsia="Arial" w:hAnsi="Arial"/>
          <w:sz w:val="19"/>
          <w:szCs w:val="19"/>
          <w:color w:val="auto"/>
        </w:rPr>
        <w:t>Our career-related offerings include advice, data, software and products to address clients’ total rewards and talent issues across the globe delivered through our Work &amp; Rewards and Employee Experience businesses.</w:t>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73"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14 / 87</w:t>
      </w:r>
    </w:p>
    <w:p>
      <w:pPr>
        <w:sectPr>
          <w:pgSz w:w="11900" w:h="16838" w:orient="portrait"/>
          <w:cols w:equalWidth="0" w:num="1">
            <w:col w:w="9300"/>
          </w:cols>
          <w:pgMar w:left="1260" w:top="1173" w:right="1346" w:bottom="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50" w:lineRule="auto"/>
        <w:rPr>
          <w:sz w:val="20"/>
          <w:szCs w:val="20"/>
          <w:color w:val="auto"/>
        </w:rPr>
      </w:pPr>
      <w:r>
        <w:rPr>
          <w:rFonts w:ascii="Arial" w:cs="Arial" w:eastAsia="Arial" w:hAnsi="Arial"/>
          <w:sz w:val="18"/>
          <w:szCs w:val="18"/>
          <w:i w:val="1"/>
          <w:iCs w:val="1"/>
          <w:color w:val="auto"/>
        </w:rPr>
        <w:t xml:space="preserve">Work &amp; Rewards </w:t>
      </w:r>
      <w:r>
        <w:rPr>
          <w:rFonts w:ascii="Arial" w:cs="Arial" w:eastAsia="Arial" w:hAnsi="Arial"/>
          <w:sz w:val="18"/>
          <w:szCs w:val="18"/>
          <w:color w:val="auto"/>
        </w:rPr>
        <w:t>— Within our Work &amp; Rewards business, we help clients determine the best ways to get work</w:t>
      </w:r>
      <w:r>
        <w:rPr>
          <w:rFonts w:ascii="Arial" w:cs="Arial" w:eastAsia="Arial" w:hAnsi="Arial"/>
          <w:sz w:val="18"/>
          <w:szCs w:val="18"/>
          <w:i w:val="1"/>
          <w:iCs w:val="1"/>
          <w:color w:val="auto"/>
        </w:rPr>
        <w:t xml:space="preserve"> </w:t>
      </w:r>
      <w:r>
        <w:rPr>
          <w:rFonts w:ascii="Arial" w:cs="Arial" w:eastAsia="Arial" w:hAnsi="Arial"/>
          <w:sz w:val="18"/>
          <w:szCs w:val="18"/>
          <w:color w:val="auto"/>
        </w:rPr>
        <w:t>done, the skills needed for jobs, and how to reward employees. We address executive compensation and broad-based rewards. We advise our clients’ management and boards of directors on all aspects of executive pay programs, including base pay, annual bonuses, long-term incentives, perquisites and other benefits. Our focus is on aligning pay plans with an organization’s business strategy and driving desired performance. Our solutions incorporate proprietary market benchmarking data and software to support compensation administration.</w:t>
      </w:r>
    </w:p>
    <w:p>
      <w:pPr>
        <w:spacing w:after="0" w:line="169" w:lineRule="exact"/>
        <w:rPr>
          <w:sz w:val="20"/>
          <w:szCs w:val="20"/>
          <w:color w:val="auto"/>
        </w:rPr>
      </w:pPr>
    </w:p>
    <w:p>
      <w:pPr>
        <w:ind w:right="620"/>
        <w:spacing w:after="0" w:line="383" w:lineRule="auto"/>
        <w:rPr>
          <w:sz w:val="20"/>
          <w:szCs w:val="20"/>
          <w:color w:val="auto"/>
        </w:rPr>
      </w:pPr>
      <w:r>
        <w:rPr>
          <w:rFonts w:ascii="Arial" w:cs="Arial" w:eastAsia="Arial" w:hAnsi="Arial"/>
          <w:sz w:val="17"/>
          <w:szCs w:val="17"/>
          <w:i w:val="1"/>
          <w:iCs w:val="1"/>
          <w:color w:val="auto"/>
        </w:rPr>
        <w:t xml:space="preserve">Employee Experience </w:t>
      </w:r>
      <w:r>
        <w:rPr>
          <w:rFonts w:ascii="Arial" w:cs="Arial" w:eastAsia="Arial" w:hAnsi="Arial"/>
          <w:sz w:val="17"/>
          <w:szCs w:val="17"/>
          <w:color w:val="auto"/>
        </w:rPr>
        <w:t>— Our Employee Experience business focuses on the provision of solutions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insight and listening tools, a technology platform that serves as a gateway for employees and plan participants to access their benefits and career information, communication and change management services.</w:t>
      </w:r>
    </w:p>
    <w:p>
      <w:pPr>
        <w:spacing w:after="0" w:line="144" w:lineRule="exact"/>
        <w:rPr>
          <w:sz w:val="20"/>
          <w:szCs w:val="20"/>
          <w:color w:val="auto"/>
        </w:rPr>
      </w:pPr>
    </w:p>
    <w:p>
      <w:pPr>
        <w:ind w:right="20"/>
        <w:spacing w:after="0" w:line="350" w:lineRule="auto"/>
        <w:rPr>
          <w:sz w:val="20"/>
          <w:szCs w:val="20"/>
          <w:color w:val="auto"/>
        </w:rPr>
      </w:pPr>
      <w:r>
        <w:rPr>
          <w:rFonts w:ascii="Arial" w:cs="Arial" w:eastAsia="Arial" w:hAnsi="Arial"/>
          <w:sz w:val="18"/>
          <w:szCs w:val="18"/>
          <w:color w:val="auto"/>
        </w:rPr>
        <w:t>Revenue for our career-related businesses is partly seasonal in nature, with heightened activity in the second half of the calendar year during the annual compensation, benefits and survey cycles. While these businesses enjoy long-term relationships with many clients, work in some parts of the businesses is project-based and can be sensitive to economic changes. We are increasingly adding tech-enabled solutions to our offerings across HWC, and in particular in Career. The businesses benefit from regulatory changes affecting our clients that require strategic advice, program changes and communication, the redefinition of jobs, work location and career paths as technology disaggregates work, and the recalibration of pay and the employee experience amidst shifting labor markets.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Benefits Delivery &amp; Outsourcing</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Our Benefits Delivery &amp; Outsourcing businesses include Individual Marketplace and Global Outsourcing.</w:t>
      </w:r>
    </w:p>
    <w:p>
      <w:pPr>
        <w:spacing w:after="0" w:line="260" w:lineRule="exact"/>
        <w:rPr>
          <w:sz w:val="20"/>
          <w:szCs w:val="20"/>
          <w:color w:val="auto"/>
        </w:rPr>
      </w:pPr>
    </w:p>
    <w:p>
      <w:pPr>
        <w:ind w:right="80"/>
        <w:spacing w:after="0" w:line="350" w:lineRule="auto"/>
        <w:rPr>
          <w:sz w:val="20"/>
          <w:szCs w:val="20"/>
          <w:color w:val="auto"/>
        </w:rPr>
      </w:pPr>
      <w:r>
        <w:rPr>
          <w:rFonts w:ascii="Arial" w:cs="Arial" w:eastAsia="Arial" w:hAnsi="Arial"/>
          <w:sz w:val="18"/>
          <w:szCs w:val="18"/>
          <w:i w:val="1"/>
          <w:iCs w:val="1"/>
          <w:color w:val="auto"/>
        </w:rPr>
        <w:t xml:space="preserve">Individual Marketplace </w:t>
      </w:r>
      <w:r>
        <w:rPr>
          <w:rFonts w:ascii="Arial" w:cs="Arial" w:eastAsia="Arial" w:hAnsi="Arial"/>
          <w:sz w:val="18"/>
          <w:szCs w:val="18"/>
          <w:color w:val="auto"/>
        </w:rPr>
        <w:t>— Individual Marketplace offers decision support processes and tools to connect consumers</w:t>
      </w:r>
      <w:r>
        <w:rPr>
          <w:rFonts w:ascii="Arial" w:cs="Arial" w:eastAsia="Arial" w:hAnsi="Arial"/>
          <w:sz w:val="18"/>
          <w:szCs w:val="18"/>
          <w:i w:val="1"/>
          <w:iCs w:val="1"/>
          <w:color w:val="auto"/>
        </w:rPr>
        <w:t xml:space="preserve"> </w:t>
      </w:r>
      <w:r>
        <w:rPr>
          <w:rFonts w:ascii="Arial" w:cs="Arial" w:eastAsia="Arial" w:hAnsi="Arial"/>
          <w:sz w:val="18"/>
          <w:szCs w:val="18"/>
          <w:color w:val="auto"/>
        </w:rPr>
        <w:t>with insurance carriers in private individual and Medicare markets. By leveraging multiple distribution channels and a diverse product portfolio, Individual Marketplace offers solutions to a broad consumer base, helping individuals compare, purchase and use health insurance products, tools and information. Individual Marketplace also provides Benefits Accounts to employees and retirees. These are tax-advantaged medical spending and savings accounts including health savings accounts (‘HSA’), health reimbursement accounts (‘HRA’) and flexible spending accounts (‘FSA’), such as dependent care/commuting flexible spending accounts.</w:t>
      </w:r>
    </w:p>
    <w:p>
      <w:pPr>
        <w:spacing w:after="0" w:line="167" w:lineRule="exact"/>
        <w:rPr>
          <w:sz w:val="20"/>
          <w:szCs w:val="20"/>
          <w:color w:val="auto"/>
        </w:rPr>
      </w:pPr>
    </w:p>
    <w:p>
      <w:pPr>
        <w:ind w:right="140"/>
        <w:spacing w:after="0" w:line="350" w:lineRule="auto"/>
        <w:rPr>
          <w:sz w:val="20"/>
          <w:szCs w:val="20"/>
          <w:color w:val="auto"/>
        </w:rPr>
      </w:pPr>
      <w:r>
        <w:rPr>
          <w:rFonts w:ascii="Arial" w:cs="Arial" w:eastAsia="Arial" w:hAnsi="Arial"/>
          <w:sz w:val="18"/>
          <w:szCs w:val="18"/>
          <w:i w:val="1"/>
          <w:iCs w:val="1"/>
          <w:color w:val="auto"/>
        </w:rPr>
        <w:t xml:space="preserve">Global Outsourcing </w:t>
      </w:r>
      <w:r>
        <w:rPr>
          <w:rFonts w:ascii="Arial" w:cs="Arial" w:eastAsia="Arial" w:hAnsi="Arial"/>
          <w:sz w:val="18"/>
          <w:szCs w:val="18"/>
          <w:color w:val="auto"/>
        </w:rPr>
        <w:t>— Global Outsourcing administers the health, welfare and retirement plans of clients using our</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technology for benefit modeling, decision support, enrollment and benefit choice, records management and self-service. Drawing on expertise in H&amp;B and Retirement to create high-performing benefit plan designs, we believe we are well-positioned to help clients of all sizes simplify their benefits delivery, while lowering the total costs of benefits and related administration. Our technology also provides trustees and HR teams with timely management information to monitor activity and service levels and reduce administration costs.</w:t>
      </w:r>
    </w:p>
    <w:p>
      <w:pPr>
        <w:spacing w:after="0" w:line="169" w:lineRule="exact"/>
        <w:rPr>
          <w:sz w:val="20"/>
          <w:szCs w:val="20"/>
          <w:color w:val="auto"/>
        </w:rPr>
      </w:pPr>
    </w:p>
    <w:p>
      <w:pPr>
        <w:ind w:right="520"/>
        <w:spacing w:after="0" w:line="302" w:lineRule="auto"/>
        <w:rPr>
          <w:sz w:val="20"/>
          <w:szCs w:val="20"/>
          <w:color w:val="auto"/>
        </w:rPr>
      </w:pPr>
      <w:r>
        <w:rPr>
          <w:rFonts w:ascii="Arial" w:cs="Arial" w:eastAsia="Arial" w:hAnsi="Arial"/>
          <w:sz w:val="20"/>
          <w:szCs w:val="20"/>
          <w:color w:val="auto"/>
        </w:rPr>
        <w:t>With ongoing servicing requirements and multi-year contracts in place, we have high client retention rates. We provide plan administration services in North America, the U.K., Ireland and Germany.</w:t>
      </w:r>
    </w:p>
    <w:p>
      <w:pPr>
        <w:spacing w:after="0" w:line="201" w:lineRule="exact"/>
        <w:rPr>
          <w:sz w:val="20"/>
          <w:szCs w:val="20"/>
          <w:color w:val="auto"/>
        </w:rPr>
      </w:pPr>
    </w:p>
    <w:p>
      <w:pPr>
        <w:ind w:right="80"/>
        <w:spacing w:after="0" w:line="309" w:lineRule="auto"/>
        <w:rPr>
          <w:sz w:val="20"/>
          <w:szCs w:val="20"/>
          <w:color w:val="auto"/>
        </w:rPr>
      </w:pPr>
      <w:r>
        <w:rPr>
          <w:rFonts w:ascii="Arial" w:cs="Arial" w:eastAsia="Arial" w:hAnsi="Arial"/>
          <w:sz w:val="20"/>
          <w:szCs w:val="20"/>
          <w:color w:val="auto"/>
        </w:rPr>
        <w:t>A significant portion of the revenue in Benefits Delivery &amp; Outsourcing is recurring in nature, driven by either the commissions from the policies we sell, or from long-term service contracts with our clients that typically range from three to five years. Revenue across this business is seasonal and is generally higher in the fourth quarter as it is driven when typical annual enrollment activity occurs.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&amp; Broking</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87</w:t>
      </w:r>
    </w:p>
    <w:p>
      <w:pPr>
        <w:sectPr>
          <w:pgSz w:w="11900" w:h="16838" w:orient="portrait"/>
          <w:cols w:equalWidth="0" w:num="1">
            <w:col w:w="9400"/>
          </w:cols>
          <w:pgMar w:left="1260" w:top="1440" w:right="1246" w:bottom="0" w:gutter="0" w:footer="0" w:header="0"/>
          <w:type w:val="continuous"/>
        </w:sectPr>
      </w:pPr>
    </w:p>
    <w:bookmarkStart w:id="15" w:name="page16"/>
    <w:bookmarkEnd w:id="15"/>
    <w:p>
      <w:pPr>
        <w:ind w:right="260"/>
        <w:spacing w:after="0" w:line="302" w:lineRule="auto"/>
        <w:rPr>
          <w:sz w:val="20"/>
          <w:szCs w:val="20"/>
          <w:color w:val="auto"/>
        </w:rPr>
      </w:pPr>
      <w:r>
        <w:rPr>
          <w:rFonts w:ascii="Arial" w:cs="Arial" w:eastAsia="Arial" w:hAnsi="Arial"/>
          <w:sz w:val="20"/>
          <w:szCs w:val="20"/>
          <w:color w:val="auto"/>
        </w:rPr>
        <w:t>The Risk &amp; Broking (‘R&amp;B’) segment provides a broad range of risk advice, insurance brokerage and consulting services to clients globally, ranging from small businesses to multinational corporations.</w:t>
      </w:r>
    </w:p>
    <w:p>
      <w:pPr>
        <w:spacing w:after="0" w:line="201" w:lineRule="exact"/>
        <w:rPr>
          <w:sz w:val="20"/>
          <w:szCs w:val="20"/>
          <w:color w:val="auto"/>
        </w:rPr>
      </w:pPr>
    </w:p>
    <w:p>
      <w:pPr>
        <w:ind w:right="200"/>
        <w:spacing w:after="0" w:line="302" w:lineRule="auto"/>
        <w:rPr>
          <w:sz w:val="20"/>
          <w:szCs w:val="20"/>
          <w:color w:val="auto"/>
        </w:rPr>
      </w:pPr>
      <w:r>
        <w:rPr>
          <w:rFonts w:ascii="Arial" w:cs="Arial" w:eastAsia="Arial" w:hAnsi="Arial"/>
          <w:sz w:val="20"/>
          <w:szCs w:val="20"/>
          <w:color w:val="auto"/>
        </w:rPr>
        <w:t>The segment comprises two primary businesses: our Corporate Risk &amp; Broking and our Insurance Consulting and Technology businesses.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Corporate Risk &amp; Broking (‘CRB’)</w:t>
      </w:r>
    </w:p>
    <w:p>
      <w:pPr>
        <w:spacing w:after="0" w:line="260" w:lineRule="exact"/>
        <w:rPr>
          <w:sz w:val="20"/>
          <w:szCs w:val="20"/>
          <w:color w:val="auto"/>
        </w:rPr>
      </w:pPr>
    </w:p>
    <w:p>
      <w:pPr>
        <w:jc w:val="both"/>
        <w:ind w:right="320"/>
        <w:spacing w:after="0" w:line="375" w:lineRule="auto"/>
        <w:rPr>
          <w:sz w:val="20"/>
          <w:szCs w:val="20"/>
          <w:color w:val="auto"/>
        </w:rPr>
      </w:pPr>
      <w:r>
        <w:rPr>
          <w:rFonts w:ascii="Arial" w:cs="Arial" w:eastAsia="Arial" w:hAnsi="Arial"/>
          <w:sz w:val="17"/>
          <w:szCs w:val="17"/>
          <w:color w:val="auto"/>
        </w:rPr>
        <w:t>The CRB business places more than $34 billion of premiums into the insurance markets on an annual basis and delivers integrated global solutions tailored to client needs. This is underpinned by data and analytics through a balanced matrix of global lines of business and local Property and Casualty businesses, across four geographical areas: North America, Great Britain, Western Europe and International. Globally, and across the businesses, our specialized and data-driven approach is underpinned by our risk analytics and climate analytics propositions.</w:t>
      </w:r>
    </w:p>
    <w:p>
      <w:pPr>
        <w:spacing w:after="0" w:line="153"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Across all businesses, our experts take an industry-focused approach to risk management and assessment, delivering broader perspectives and data-informed decision making to our clients. Our lines of business include Property and Casualty, Affinity, Risk &amp; Analytics and our specialty global lines of business.</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73"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16 / 87</w:t>
      </w:r>
    </w:p>
    <w:p>
      <w:pPr>
        <w:sectPr>
          <w:pgSz w:w="11900" w:h="16838" w:orient="portrait"/>
          <w:cols w:equalWidth="0" w:num="1">
            <w:col w:w="9300"/>
          </w:cols>
          <w:pgMar w:left="1260" w:top="1173" w:right="1346" w:bottom="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20"/>
        <w:spacing w:after="0" w:line="307" w:lineRule="auto"/>
        <w:rPr>
          <w:sz w:val="20"/>
          <w:szCs w:val="20"/>
          <w:color w:val="auto"/>
        </w:rPr>
      </w:pPr>
      <w:r>
        <w:rPr>
          <w:rFonts w:ascii="Arial" w:cs="Arial" w:eastAsia="Arial" w:hAnsi="Arial"/>
          <w:sz w:val="20"/>
          <w:szCs w:val="20"/>
          <w:i w:val="1"/>
          <w:iCs w:val="1"/>
          <w:color w:val="auto"/>
        </w:rPr>
        <w:t xml:space="preserve">Property and Casualty </w:t>
      </w:r>
      <w:r>
        <w:rPr>
          <w:rFonts w:ascii="Arial" w:cs="Arial" w:eastAsia="Arial" w:hAnsi="Arial"/>
          <w:sz w:val="20"/>
          <w:szCs w:val="20"/>
          <w:color w:val="auto"/>
        </w:rPr>
        <w:t>— Property and Casualty, in each of our geographical areas, provides property and liability</w:t>
      </w:r>
      <w:r>
        <w:rPr>
          <w:rFonts w:ascii="Arial" w:cs="Arial" w:eastAsia="Arial" w:hAnsi="Arial"/>
          <w:sz w:val="20"/>
          <w:szCs w:val="20"/>
          <w:i w:val="1"/>
          <w:iCs w:val="1"/>
          <w:color w:val="auto"/>
        </w:rPr>
        <w:t xml:space="preserve"> </w:t>
      </w:r>
      <w:r>
        <w:rPr>
          <w:rFonts w:ascii="Arial" w:cs="Arial" w:eastAsia="Arial" w:hAnsi="Arial"/>
          <w:sz w:val="20"/>
          <w:szCs w:val="20"/>
          <w:color w:val="auto"/>
        </w:rPr>
        <w:t>insurance brokerage services across a wide range of industries and segments including real estate, healthcare and retail.</w:t>
      </w:r>
    </w:p>
    <w:p>
      <w:pPr>
        <w:spacing w:after="0" w:line="197" w:lineRule="exact"/>
        <w:rPr>
          <w:sz w:val="20"/>
          <w:szCs w:val="20"/>
          <w:color w:val="auto"/>
        </w:rPr>
      </w:pPr>
    </w:p>
    <w:p>
      <w:pPr>
        <w:ind w:right="260"/>
        <w:spacing w:after="0" w:line="363" w:lineRule="auto"/>
        <w:rPr>
          <w:sz w:val="20"/>
          <w:szCs w:val="20"/>
          <w:color w:val="auto"/>
        </w:rPr>
      </w:pPr>
      <w:r>
        <w:rPr>
          <w:rFonts w:ascii="Arial" w:cs="Arial" w:eastAsia="Arial" w:hAnsi="Arial"/>
          <w:sz w:val="18"/>
          <w:szCs w:val="18"/>
          <w:i w:val="1"/>
          <w:iCs w:val="1"/>
          <w:color w:val="auto"/>
        </w:rPr>
        <w:t xml:space="preserve">Affinity </w:t>
      </w:r>
      <w:r>
        <w:rPr>
          <w:rFonts w:ascii="Arial" w:cs="Arial" w:eastAsia="Arial" w:hAnsi="Arial"/>
          <w:sz w:val="18"/>
          <w:szCs w:val="18"/>
          <w:color w:val="auto"/>
        </w:rPr>
        <w:t>— Through Affinity, we arrange insurance products and services for our affinity client partners to offer to</w:t>
      </w:r>
      <w:r>
        <w:rPr>
          <w:rFonts w:ascii="Arial" w:cs="Arial" w:eastAsia="Arial" w:hAnsi="Arial"/>
          <w:sz w:val="18"/>
          <w:szCs w:val="18"/>
          <w:i w:val="1"/>
          <w:iCs w:val="1"/>
          <w:color w:val="auto"/>
        </w:rPr>
        <w:t xml:space="preserve"> </w:t>
      </w:r>
      <w:r>
        <w:rPr>
          <w:rFonts w:ascii="Arial" w:cs="Arial" w:eastAsia="Arial" w:hAnsi="Arial"/>
          <w:sz w:val="18"/>
          <w:szCs w:val="18"/>
          <w:color w:val="auto"/>
        </w:rPr>
        <w:t>their customers, employees, or members alongside, or in addition to, their principal business offerings.</w:t>
      </w:r>
    </w:p>
    <w:p>
      <w:pPr>
        <w:spacing w:after="0" w:line="154" w:lineRule="exact"/>
        <w:rPr>
          <w:sz w:val="20"/>
          <w:szCs w:val="20"/>
          <w:color w:val="auto"/>
        </w:rPr>
      </w:pPr>
    </w:p>
    <w:p>
      <w:pPr>
        <w:ind w:right="80"/>
        <w:spacing w:after="0" w:line="307" w:lineRule="auto"/>
        <w:rPr>
          <w:sz w:val="20"/>
          <w:szCs w:val="20"/>
          <w:color w:val="auto"/>
        </w:rPr>
      </w:pPr>
      <w:r>
        <w:rPr>
          <w:rFonts w:ascii="Arial" w:cs="Arial" w:eastAsia="Arial" w:hAnsi="Arial"/>
          <w:sz w:val="20"/>
          <w:szCs w:val="20"/>
          <w:i w:val="1"/>
          <w:iCs w:val="1"/>
          <w:color w:val="auto"/>
        </w:rPr>
        <w:t xml:space="preserve">Risk &amp; Analytics (‘R&amp;A’) </w:t>
      </w:r>
      <w:r>
        <w:rPr>
          <w:rFonts w:ascii="Arial" w:cs="Arial" w:eastAsia="Arial" w:hAnsi="Arial"/>
          <w:sz w:val="20"/>
          <w:szCs w:val="20"/>
          <w:color w:val="auto"/>
        </w:rPr>
        <w:t>— Our R&amp;A offering includes deep expertise on specific client needs. Through the use of</w:t>
      </w:r>
      <w:r>
        <w:rPr>
          <w:rFonts w:ascii="Arial" w:cs="Arial" w:eastAsia="Arial" w:hAnsi="Arial"/>
          <w:sz w:val="20"/>
          <w:szCs w:val="20"/>
          <w:i w:val="1"/>
          <w:iCs w:val="1"/>
          <w:color w:val="auto"/>
        </w:rPr>
        <w:t xml:space="preserve"> </w:t>
      </w:r>
      <w:r>
        <w:rPr>
          <w:rFonts w:ascii="Arial" w:cs="Arial" w:eastAsia="Arial" w:hAnsi="Arial"/>
          <w:sz w:val="20"/>
          <w:szCs w:val="20"/>
          <w:color w:val="auto"/>
        </w:rPr>
        <w:t>holistic analysis, R&amp;A brings value through risk quantification and development of a robust portfolio risk strategy, ultimately delivering a sound financial approach to all clients.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Our specialty global lines of business include:</w:t>
      </w:r>
    </w:p>
    <w:p>
      <w:pPr>
        <w:spacing w:after="0" w:line="260" w:lineRule="exact"/>
        <w:rPr>
          <w:sz w:val="20"/>
          <w:szCs w:val="20"/>
          <w:color w:val="auto"/>
        </w:rPr>
      </w:pPr>
    </w:p>
    <w:p>
      <w:pPr>
        <w:ind w:right="120"/>
        <w:spacing w:after="0" w:line="330" w:lineRule="auto"/>
        <w:rPr>
          <w:sz w:val="20"/>
          <w:szCs w:val="20"/>
          <w:color w:val="auto"/>
        </w:rPr>
      </w:pPr>
      <w:r>
        <w:rPr>
          <w:rFonts w:ascii="Arial" w:cs="Arial" w:eastAsia="Arial" w:hAnsi="Arial"/>
          <w:sz w:val="19"/>
          <w:szCs w:val="19"/>
          <w:i w:val="1"/>
          <w:iCs w:val="1"/>
          <w:color w:val="auto"/>
        </w:rPr>
        <w:t xml:space="preserve">Aerospace </w:t>
      </w:r>
      <w:r>
        <w:rPr>
          <w:rFonts w:ascii="Arial" w:cs="Arial" w:eastAsia="Arial" w:hAnsi="Arial"/>
          <w:sz w:val="19"/>
          <w:szCs w:val="19"/>
          <w:color w:val="auto"/>
        </w:rPr>
        <w:t>— Aerospace provides specialist expertise to the aerospace and space industries. Our aerospace business</w:t>
      </w:r>
      <w:r>
        <w:rPr>
          <w:rFonts w:ascii="Arial" w:cs="Arial" w:eastAsia="Arial" w:hAnsi="Arial"/>
          <w:sz w:val="19"/>
          <w:szCs w:val="19"/>
          <w:i w:val="1"/>
          <w:iCs w:val="1"/>
          <w:color w:val="auto"/>
        </w:rPr>
        <w:t xml:space="preserve"> </w:t>
      </w:r>
      <w:r>
        <w:rPr>
          <w:rFonts w:ascii="Arial" w:cs="Arial" w:eastAsia="Arial" w:hAnsi="Arial"/>
          <w:sz w:val="19"/>
          <w:szCs w:val="19"/>
          <w:color w:val="auto"/>
        </w:rPr>
        <w:t>provides insurance broking, risk management services, contractual and technical advisory expertise to aerospace clients globally, including the world’s leading airlines, aircraft manufacturers, air cargo handlers and other airport and general aviation companies. The specialist InSpace team is also prominent in providing insurance and risk management services to the space industry.</w:t>
      </w:r>
    </w:p>
    <w:p>
      <w:pPr>
        <w:spacing w:after="0" w:line="178" w:lineRule="exact"/>
        <w:rPr>
          <w:sz w:val="20"/>
          <w:szCs w:val="20"/>
          <w:color w:val="auto"/>
        </w:rPr>
      </w:pPr>
    </w:p>
    <w:p>
      <w:pPr>
        <w:ind w:right="20"/>
        <w:spacing w:after="0" w:line="307" w:lineRule="auto"/>
        <w:rPr>
          <w:sz w:val="20"/>
          <w:szCs w:val="20"/>
          <w:color w:val="auto"/>
        </w:rPr>
      </w:pPr>
      <w:r>
        <w:rPr>
          <w:rFonts w:ascii="Arial" w:cs="Arial" w:eastAsia="Arial" w:hAnsi="Arial"/>
          <w:sz w:val="20"/>
          <w:szCs w:val="20"/>
          <w:i w:val="1"/>
          <w:iCs w:val="1"/>
          <w:color w:val="auto"/>
        </w:rPr>
        <w:t xml:space="preserve">Construction </w:t>
      </w:r>
      <w:r>
        <w:rPr>
          <w:rFonts w:ascii="Arial" w:cs="Arial" w:eastAsia="Arial" w:hAnsi="Arial"/>
          <w:sz w:val="20"/>
          <w:szCs w:val="20"/>
          <w:color w:val="auto"/>
        </w:rPr>
        <w:t>— Our Construction business provides services that include insurance broking, claims, loss control and</w:t>
      </w:r>
      <w:r>
        <w:rPr>
          <w:rFonts w:ascii="Arial" w:cs="Arial" w:eastAsia="Arial" w:hAnsi="Arial"/>
          <w:sz w:val="20"/>
          <w:szCs w:val="20"/>
          <w:i w:val="1"/>
          <w:iCs w:val="1"/>
          <w:color w:val="auto"/>
        </w:rPr>
        <w:t xml:space="preserve"> </w:t>
      </w:r>
      <w:r>
        <w:rPr>
          <w:rFonts w:ascii="Arial" w:cs="Arial" w:eastAsia="Arial" w:hAnsi="Arial"/>
          <w:sz w:val="20"/>
          <w:szCs w:val="20"/>
          <w:color w:val="auto"/>
        </w:rPr>
        <w:t>specialized risk advice for a wide range of construction projects and activities. Clients include contractors, project owners, public entities, project managers, consultants and financiers, among others.</w:t>
      </w:r>
    </w:p>
    <w:p>
      <w:pPr>
        <w:spacing w:after="0" w:line="197" w:lineRule="exact"/>
        <w:rPr>
          <w:sz w:val="20"/>
          <w:szCs w:val="20"/>
          <w:color w:val="auto"/>
        </w:rPr>
      </w:pPr>
    </w:p>
    <w:p>
      <w:pPr>
        <w:spacing w:after="0" w:line="350" w:lineRule="auto"/>
        <w:rPr>
          <w:sz w:val="20"/>
          <w:szCs w:val="20"/>
          <w:color w:val="auto"/>
        </w:rPr>
      </w:pPr>
      <w:r>
        <w:rPr>
          <w:rFonts w:ascii="Arial" w:cs="Arial" w:eastAsia="Arial" w:hAnsi="Arial"/>
          <w:sz w:val="18"/>
          <w:szCs w:val="18"/>
          <w:i w:val="1"/>
          <w:iCs w:val="1"/>
          <w:color w:val="auto"/>
        </w:rPr>
        <w:t xml:space="preserve">Global Markets Direct &amp; Facultative </w:t>
      </w:r>
      <w:r>
        <w:rPr>
          <w:rFonts w:ascii="Arial" w:cs="Arial" w:eastAsia="Arial" w:hAnsi="Arial"/>
          <w:sz w:val="18"/>
          <w:szCs w:val="18"/>
          <w:color w:val="auto"/>
        </w:rPr>
        <w:t>— Operating in the major wholesale reinsurance hubs across the globe,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London, Bermuda, Singapore, Hong Kong and Shanghai, solutions are delivered both directly to clients for the most complex property and casualty risks and as facultative reinsurance placements where we serve as an intermediary for insurance companies. Facultative solutions are provided across various classes of risk for our insurer clients, some of which may also be direct clients of WTW. The aim is to deliver optimum results for our clients by getting the right risk to the right market by the right broker, be it local, wholesale or facultative every time.</w:t>
      </w:r>
    </w:p>
    <w:p>
      <w:pPr>
        <w:spacing w:after="0" w:line="169" w:lineRule="exact"/>
        <w:rPr>
          <w:sz w:val="20"/>
          <w:szCs w:val="20"/>
          <w:color w:val="auto"/>
        </w:rPr>
      </w:pPr>
    </w:p>
    <w:p>
      <w:pPr>
        <w:ind w:right="280"/>
        <w:spacing w:after="0" w:line="330" w:lineRule="auto"/>
        <w:rPr>
          <w:sz w:val="20"/>
          <w:szCs w:val="20"/>
          <w:color w:val="auto"/>
        </w:rPr>
      </w:pPr>
      <w:r>
        <w:rPr>
          <w:rFonts w:ascii="Arial" w:cs="Arial" w:eastAsia="Arial" w:hAnsi="Arial"/>
          <w:sz w:val="19"/>
          <w:szCs w:val="19"/>
          <w:i w:val="1"/>
          <w:iCs w:val="1"/>
          <w:color w:val="auto"/>
        </w:rPr>
        <w:t xml:space="preserve">Financial, Executive and Professional Risks (‘FINEX’) </w:t>
      </w:r>
      <w:r>
        <w:rPr>
          <w:rFonts w:ascii="Arial" w:cs="Arial" w:eastAsia="Arial" w:hAnsi="Arial"/>
          <w:sz w:val="19"/>
          <w:szCs w:val="19"/>
          <w:color w:val="auto"/>
        </w:rPr>
        <w:t>— FINEX encompasses all financial and executive risks,</w:t>
      </w:r>
      <w:r>
        <w:rPr>
          <w:rFonts w:ascii="Arial" w:cs="Arial" w:eastAsia="Arial" w:hAnsi="Arial"/>
          <w:sz w:val="19"/>
          <w:szCs w:val="19"/>
          <w:i w:val="1"/>
          <w:iCs w:val="1"/>
          <w:color w:val="auto"/>
        </w:rPr>
        <w:t xml:space="preserve"> </w:t>
      </w:r>
      <w:r>
        <w:rPr>
          <w:rFonts w:ascii="Arial" w:cs="Arial" w:eastAsia="Arial" w:hAnsi="Arial"/>
          <w:sz w:val="19"/>
          <w:szCs w:val="19"/>
          <w:color w:val="auto"/>
        </w:rPr>
        <w:t>delivering client solutions that range from management and professional liability, employment practices liability, crime, cyber and M&amp;A-related insurances to risk consulting and advisory services. Specialist teams provide risk consulting and risk transfer solutions to a broad spectrum of clients across a multitude of industries, as well as the financial and professional service sectors.</w:t>
      </w:r>
    </w:p>
    <w:p>
      <w:pPr>
        <w:spacing w:after="0" w:line="178" w:lineRule="exact"/>
        <w:rPr>
          <w:sz w:val="20"/>
          <w:szCs w:val="20"/>
          <w:color w:val="auto"/>
        </w:rPr>
      </w:pPr>
    </w:p>
    <w:p>
      <w:pPr>
        <w:ind w:right="140"/>
        <w:spacing w:after="0" w:line="307" w:lineRule="auto"/>
        <w:rPr>
          <w:sz w:val="20"/>
          <w:szCs w:val="20"/>
          <w:color w:val="auto"/>
        </w:rPr>
      </w:pPr>
      <w:r>
        <w:rPr>
          <w:rFonts w:ascii="Arial" w:cs="Arial" w:eastAsia="Arial" w:hAnsi="Arial"/>
          <w:sz w:val="20"/>
          <w:szCs w:val="20"/>
          <w:i w:val="1"/>
          <w:iCs w:val="1"/>
          <w:color w:val="auto"/>
        </w:rPr>
        <w:t xml:space="preserve">Credit Risk Solutions (formerly known as Financial Solutions) </w:t>
      </w:r>
      <w:r>
        <w:rPr>
          <w:rFonts w:ascii="Arial" w:cs="Arial" w:eastAsia="Arial" w:hAnsi="Arial"/>
          <w:sz w:val="20"/>
          <w:szCs w:val="20"/>
          <w:color w:val="auto"/>
        </w:rPr>
        <w:t>— Credit Risk Solutions provides insurance broking</w:t>
      </w:r>
      <w:r>
        <w:rPr>
          <w:rFonts w:ascii="Arial" w:cs="Arial" w:eastAsia="Arial" w:hAnsi="Arial"/>
          <w:sz w:val="20"/>
          <w:szCs w:val="20"/>
          <w:i w:val="1"/>
          <w:iCs w:val="1"/>
          <w:color w:val="auto"/>
        </w:rPr>
        <w:t xml:space="preserve"> </w:t>
      </w:r>
      <w:r>
        <w:rPr>
          <w:rFonts w:ascii="Arial" w:cs="Arial" w:eastAsia="Arial" w:hAnsi="Arial"/>
          <w:sz w:val="20"/>
          <w:szCs w:val="20"/>
          <w:color w:val="auto"/>
        </w:rPr>
        <w:t>services and specialized risk advice related to credit and political risk. Clients include international banks, commodity traders, export credit agencies and multinational corporations</w:t>
      </w:r>
      <w:r>
        <w:rPr>
          <w:rFonts w:ascii="Arial" w:cs="Arial" w:eastAsia="Arial" w:hAnsi="Arial"/>
          <w:sz w:val="20"/>
          <w:szCs w:val="20"/>
          <w:i w:val="1"/>
          <w:iCs w:val="1"/>
          <w:color w:val="auto"/>
        </w:rPr>
        <w:t>.</w:t>
      </w:r>
    </w:p>
    <w:p>
      <w:pPr>
        <w:spacing w:after="0" w:line="197" w:lineRule="exact"/>
        <w:rPr>
          <w:sz w:val="20"/>
          <w:szCs w:val="20"/>
          <w:color w:val="auto"/>
        </w:rPr>
      </w:pPr>
    </w:p>
    <w:p>
      <w:pPr>
        <w:ind w:right="280"/>
        <w:spacing w:after="0" w:line="307" w:lineRule="auto"/>
        <w:rPr>
          <w:sz w:val="20"/>
          <w:szCs w:val="20"/>
          <w:color w:val="auto"/>
        </w:rPr>
      </w:pPr>
      <w:r>
        <w:rPr>
          <w:rFonts w:ascii="Arial" w:cs="Arial" w:eastAsia="Arial" w:hAnsi="Arial"/>
          <w:sz w:val="20"/>
          <w:szCs w:val="20"/>
          <w:i w:val="1"/>
          <w:iCs w:val="1"/>
          <w:color w:val="auto"/>
        </w:rPr>
        <w:t xml:space="preserve">Crisis Management </w:t>
      </w:r>
      <w:r>
        <w:rPr>
          <w:rFonts w:ascii="Arial" w:cs="Arial" w:eastAsia="Arial" w:hAnsi="Arial"/>
          <w:sz w:val="20"/>
          <w:szCs w:val="20"/>
          <w:color w:val="auto"/>
        </w:rPr>
        <w:t>— Our global practice delivers crisis management and contingency risk management to</w:t>
      </w:r>
      <w:r>
        <w:rPr>
          <w:rFonts w:ascii="Arial" w:cs="Arial" w:eastAsia="Arial" w:hAnsi="Arial"/>
          <w:sz w:val="20"/>
          <w:szCs w:val="20"/>
          <w:i w:val="1"/>
          <w:iCs w:val="1"/>
          <w:color w:val="auto"/>
        </w:rPr>
        <w:t xml:space="preserve"> </w:t>
      </w:r>
      <w:r>
        <w:rPr>
          <w:rFonts w:ascii="Arial" w:cs="Arial" w:eastAsia="Arial" w:hAnsi="Arial"/>
          <w:sz w:val="20"/>
          <w:szCs w:val="20"/>
          <w:color w:val="auto"/>
        </w:rPr>
        <w:t>multinational clients, providing comprehensive solutions around terrorism, political violence, accident and health, special crime and active assailant.</w:t>
      </w:r>
    </w:p>
    <w:p>
      <w:pPr>
        <w:spacing w:after="0" w:line="197" w:lineRule="exact"/>
        <w:rPr>
          <w:sz w:val="20"/>
          <w:szCs w:val="20"/>
          <w:color w:val="auto"/>
        </w:rPr>
      </w:pPr>
    </w:p>
    <w:p>
      <w:pPr>
        <w:ind w:right="180"/>
        <w:spacing w:after="0" w:line="307" w:lineRule="auto"/>
        <w:rPr>
          <w:sz w:val="20"/>
          <w:szCs w:val="20"/>
          <w:color w:val="auto"/>
        </w:rPr>
      </w:pPr>
      <w:r>
        <w:rPr>
          <w:rFonts w:ascii="Arial" w:cs="Arial" w:eastAsia="Arial" w:hAnsi="Arial"/>
          <w:sz w:val="20"/>
          <w:szCs w:val="20"/>
          <w:i w:val="1"/>
          <w:iCs w:val="1"/>
          <w:color w:val="auto"/>
        </w:rPr>
        <w:t xml:space="preserve">Surety </w:t>
      </w:r>
      <w:r>
        <w:rPr>
          <w:rFonts w:ascii="Arial" w:cs="Arial" w:eastAsia="Arial" w:hAnsi="Arial"/>
          <w:sz w:val="20"/>
          <w:szCs w:val="20"/>
          <w:color w:val="auto"/>
        </w:rPr>
        <w:t>— The Global Surety team provides expertise in placing bonds across all industries and around the globe. A</w:t>
      </w:r>
      <w:r>
        <w:rPr>
          <w:rFonts w:ascii="Arial" w:cs="Arial" w:eastAsia="Arial" w:hAnsi="Arial"/>
          <w:sz w:val="20"/>
          <w:szCs w:val="20"/>
          <w:i w:val="1"/>
          <w:iCs w:val="1"/>
          <w:color w:val="auto"/>
        </w:rPr>
        <w:t xml:space="preserve"> </w:t>
      </w:r>
      <w:r>
        <w:rPr>
          <w:rFonts w:ascii="Arial" w:cs="Arial" w:eastAsia="Arial" w:hAnsi="Arial"/>
          <w:sz w:val="20"/>
          <w:szCs w:val="20"/>
          <w:color w:val="auto"/>
        </w:rPr>
        <w:t>surety bond is a financial instrument that guarantees contractual performance, statutory compliance, and financial assurance for domestic and international companies.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 / 87</w:t>
      </w:r>
    </w:p>
    <w:p>
      <w:pPr>
        <w:sectPr>
          <w:pgSz w:w="11900" w:h="16838" w:orient="portrait"/>
          <w:cols w:equalWidth="0" w:num="1">
            <w:col w:w="9380"/>
          </w:cols>
          <w:pgMar w:left="1260" w:top="1440" w:right="1266" w:bottom="0" w:gutter="0" w:footer="0" w:header="0"/>
          <w:type w:val="continuous"/>
        </w:sectPr>
      </w:pPr>
    </w:p>
    <w:bookmarkStart w:id="17" w:name="page18"/>
    <w:bookmarkEnd w:id="17"/>
    <w:p>
      <w:pPr>
        <w:ind w:right="360"/>
        <w:spacing w:after="0" w:line="310" w:lineRule="auto"/>
        <w:rPr>
          <w:sz w:val="20"/>
          <w:szCs w:val="20"/>
          <w:color w:val="auto"/>
        </w:rPr>
      </w:pPr>
      <w:r>
        <w:rPr>
          <w:rFonts w:ascii="Arial" w:cs="Arial" w:eastAsia="Arial" w:hAnsi="Arial"/>
          <w:sz w:val="20"/>
          <w:szCs w:val="20"/>
          <w:i w:val="1"/>
          <w:iCs w:val="1"/>
          <w:color w:val="auto"/>
        </w:rPr>
        <w:t xml:space="preserve">Marine </w:t>
      </w:r>
      <w:r>
        <w:rPr>
          <w:rFonts w:ascii="Arial" w:cs="Arial" w:eastAsia="Arial" w:hAnsi="Arial"/>
          <w:sz w:val="20"/>
          <w:szCs w:val="20"/>
          <w:color w:val="auto"/>
        </w:rPr>
        <w:t>— Marine provides specialist expertise to the maritime and logistics industries. Our Marine business</w:t>
      </w:r>
      <w:r>
        <w:rPr>
          <w:rFonts w:ascii="Arial" w:cs="Arial" w:eastAsia="Arial" w:hAnsi="Arial"/>
          <w:sz w:val="20"/>
          <w:szCs w:val="20"/>
          <w:i w:val="1"/>
          <w:iCs w:val="1"/>
          <w:color w:val="auto"/>
        </w:rPr>
        <w:t xml:space="preserve"> </w:t>
      </w:r>
      <w:r>
        <w:rPr>
          <w:rFonts w:ascii="Arial" w:cs="Arial" w:eastAsia="Arial" w:hAnsi="Arial"/>
          <w:sz w:val="20"/>
          <w:szCs w:val="20"/>
          <w:color w:val="auto"/>
        </w:rPr>
        <w:t>provides insurance broking services related to hull and machinery, cargo, protection and indemnity, fine art and general marine liabilities, among others. Our Marine clients include, but are not limited to, ship owners and operators, shipbuilders, logistics operations, port authorities, traders, shippers, exhibitors and secure transport companies.</w:t>
      </w:r>
    </w:p>
    <w:p>
      <w:pPr>
        <w:spacing w:after="0" w:line="195" w:lineRule="exact"/>
        <w:rPr>
          <w:sz w:val="20"/>
          <w:szCs w:val="20"/>
          <w:color w:val="auto"/>
        </w:rPr>
      </w:pPr>
    </w:p>
    <w:p>
      <w:pPr>
        <w:ind w:right="120"/>
        <w:spacing w:after="0" w:line="383" w:lineRule="auto"/>
        <w:rPr>
          <w:sz w:val="20"/>
          <w:szCs w:val="20"/>
          <w:color w:val="auto"/>
        </w:rPr>
      </w:pPr>
      <w:r>
        <w:rPr>
          <w:rFonts w:ascii="Arial" w:cs="Arial" w:eastAsia="Arial" w:hAnsi="Arial"/>
          <w:sz w:val="17"/>
          <w:szCs w:val="17"/>
          <w:i w:val="1"/>
          <w:iCs w:val="1"/>
          <w:color w:val="auto"/>
        </w:rPr>
        <w:t xml:space="preserve">Natural Resources </w:t>
      </w:r>
      <w:r>
        <w:rPr>
          <w:rFonts w:ascii="Arial" w:cs="Arial" w:eastAsia="Arial" w:hAnsi="Arial"/>
          <w:sz w:val="17"/>
          <w:szCs w:val="17"/>
          <w:color w:val="auto"/>
        </w:rPr>
        <w:t>— Our Natural Resources practice encompasses the oil, gas and chemicals, mining and metals,</w:t>
      </w:r>
      <w:r>
        <w:rPr>
          <w:rFonts w:ascii="Arial" w:cs="Arial" w:eastAsia="Arial" w:hAnsi="Arial"/>
          <w:sz w:val="17"/>
          <w:szCs w:val="17"/>
          <w:i w:val="1"/>
          <w:iCs w:val="1"/>
          <w:color w:val="auto"/>
        </w:rPr>
        <w:t xml:space="preserve"> </w:t>
      </w:r>
      <w:r>
        <w:rPr>
          <w:rFonts w:ascii="Arial" w:cs="Arial" w:eastAsia="Arial" w:hAnsi="Arial"/>
          <w:sz w:val="17"/>
          <w:szCs w:val="17"/>
          <w:color w:val="auto"/>
        </w:rPr>
        <w:t>power and utilities and renewable energy sectors. It provides sector-specific risk transfer solutions and insights, which include insurance broking, risk engineering, contractual reviews, wording analysis and claims management.</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Insurance Consulting and Technology (‘ICT’)</w:t>
      </w:r>
    </w:p>
    <w:p>
      <w:pPr>
        <w:spacing w:after="0" w:line="260"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ICT is a global business that provides advice and technology solutions to the insurance industry. We leverage our industry experience, strategic perspective and analytical skills to help clients measure and manage risk and capital, improve business performance and create a sustainable competitive advantage. Our services include software and technology, risk and capital management, products and product pricing, financial and regulatory reporting, financial and capital modeling, M&amp;A, outsourcing and business management.</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73"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18 / 87</w:t>
      </w:r>
    </w:p>
    <w:p>
      <w:pPr>
        <w:sectPr>
          <w:pgSz w:w="11900" w:h="16838" w:orient="portrait"/>
          <w:cols w:equalWidth="0" w:num="1">
            <w:col w:w="9280"/>
          </w:cols>
          <w:pgMar w:left="1260" w:top="1173" w:right="1366" w:bottom="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260" w:lineRule="exact"/>
        <w:rPr>
          <w:sz w:val="20"/>
          <w:szCs w:val="20"/>
          <w:color w:val="auto"/>
        </w:rPr>
      </w:pPr>
    </w:p>
    <w:p>
      <w:pPr>
        <w:ind w:right="140"/>
        <w:spacing w:after="0" w:line="311" w:lineRule="auto"/>
        <w:rPr>
          <w:sz w:val="20"/>
          <w:szCs w:val="20"/>
          <w:color w:val="auto"/>
        </w:rPr>
      </w:pPr>
      <w:r>
        <w:rPr>
          <w:rFonts w:ascii="Arial" w:cs="Arial" w:eastAsia="Arial" w:hAnsi="Arial"/>
          <w:sz w:val="20"/>
          <w:szCs w:val="20"/>
          <w:b w:val="1"/>
          <w:bCs w:val="1"/>
          <w:i w:val="1"/>
          <w:iCs w:val="1"/>
          <w:color w:val="auto"/>
        </w:rPr>
        <w:t xml:space="preserve">Colleague experience – </w:t>
      </w:r>
      <w:r>
        <w:rPr>
          <w:rFonts w:ascii="Arial" w:cs="Arial" w:eastAsia="Arial" w:hAnsi="Arial"/>
          <w:sz w:val="20"/>
          <w:szCs w:val="20"/>
          <w:color w:val="auto"/>
        </w:rPr>
        <w:t>Our colleague experience is an important differentiating factor for WTW and a key enabler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our strategy. It is designed to provide colleagues with a strong sense of purpose and belonging where everyone is heard and valued, the opportunity to build great connections with people and leaders, meaningful and interesting work</w:t>
      </w:r>
      <w:r>
        <w:rPr>
          <w:rFonts w:ascii="Arial" w:cs="Arial" w:eastAsia="Arial" w:hAnsi="Arial"/>
          <w:sz w:val="20"/>
          <w:szCs w:val="20"/>
          <w:u w:val="single" w:color="auto"/>
          <w:color w:val="auto"/>
        </w:rPr>
        <w:t>,</w:t>
      </w:r>
      <w:r>
        <w:rPr>
          <w:rFonts w:ascii="Arial" w:cs="Arial" w:eastAsia="Arial" w:hAnsi="Arial"/>
          <w:sz w:val="20"/>
          <w:szCs w:val="20"/>
          <w:color w:val="auto"/>
        </w:rPr>
        <w:t xml:space="preserve"> and opportunities to grow and thrive with recognition and reward in return. This means we strive to foster an inclusive environment where everyone can be their authentic self, where we encourage curiosity, innovation and a continuous improvement mindset and an environment where we are bold in our thinking and care about the impact we have.</w:t>
      </w:r>
    </w:p>
    <w:p>
      <w:pPr>
        <w:spacing w:after="0" w:line="134" w:lineRule="exact"/>
        <w:rPr>
          <w:sz w:val="20"/>
          <w:szCs w:val="20"/>
          <w:color w:val="auto"/>
        </w:rPr>
      </w:pPr>
    </w:p>
    <w:p>
      <w:pPr>
        <w:jc w:val="both"/>
        <w:ind w:right="240"/>
        <w:spacing w:after="0" w:line="310" w:lineRule="auto"/>
        <w:rPr>
          <w:sz w:val="20"/>
          <w:szCs w:val="20"/>
          <w:color w:val="auto"/>
        </w:rPr>
      </w:pPr>
      <w:r>
        <w:rPr>
          <w:rFonts w:ascii="Arial" w:cs="Arial" w:eastAsia="Arial" w:hAnsi="Arial"/>
          <w:sz w:val="20"/>
          <w:szCs w:val="20"/>
          <w:color w:val="auto"/>
        </w:rPr>
        <w:t>Our values, vision, purpose, and Colleague Value Proposition (‘CVP’) — we’re Authentic, Curious and Bold, sets the tone for what to expect at WTW. In addition, our strategic priorities enhance our focus on how to support and improve our colleague experience. We continually build on our CVP through execution of a colleague experience roadmap and a robust portfolio of colleague listening activities to attract, engage and retain the most accomplished and aspiring talent.</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Learning &amp; development</w:t>
      </w:r>
    </w:p>
    <w:p>
      <w:pPr>
        <w:spacing w:after="0" w:line="80" w:lineRule="exact"/>
        <w:rPr>
          <w:sz w:val="20"/>
          <w:szCs w:val="20"/>
          <w:color w:val="auto"/>
        </w:rPr>
      </w:pPr>
    </w:p>
    <w:p>
      <w:pPr>
        <w:ind w:right="40"/>
        <w:spacing w:after="0" w:line="311" w:lineRule="auto"/>
        <w:rPr>
          <w:sz w:val="20"/>
          <w:szCs w:val="20"/>
          <w:color w:val="auto"/>
        </w:rPr>
      </w:pP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We support professional development and personal growth for our talent. Our colleagues take responsibility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develop their expertise, competencies and professional stature, while the Company invests in the tools and opportunities that allow for our colleagues’ continual development. Our digital-first learning approach enables career development for all our colleagues around the world, complemented by business-specific and technical training. Additionally, we offer targeted development programs for early careers, emerging leaders, managers and experienced leaders.</w:t>
      </w:r>
    </w:p>
    <w:p>
      <w:pPr>
        <w:spacing w:after="0" w:line="132" w:lineRule="exact"/>
        <w:rPr>
          <w:sz w:val="20"/>
          <w:szCs w:val="20"/>
          <w:color w:val="auto"/>
        </w:rPr>
      </w:pPr>
    </w:p>
    <w:p>
      <w:pPr>
        <w:ind w:right="120"/>
        <w:spacing w:after="0" w:line="355" w:lineRule="auto"/>
        <w:rPr>
          <w:sz w:val="20"/>
          <w:szCs w:val="20"/>
          <w:color w:val="auto"/>
        </w:rPr>
      </w:pPr>
      <w:r>
        <w:rPr>
          <w:rFonts w:ascii="Arial" w:cs="Arial" w:eastAsia="Arial" w:hAnsi="Arial"/>
          <w:sz w:val="18"/>
          <w:szCs w:val="18"/>
          <w:b w:val="1"/>
          <w:bCs w:val="1"/>
          <w:i w:val="1"/>
          <w:iCs w:val="1"/>
          <w:color w:val="auto"/>
        </w:rPr>
        <w:t xml:space="preserve">Colleagues – </w:t>
      </w:r>
      <w:r>
        <w:rPr>
          <w:rFonts w:ascii="Arial" w:cs="Arial" w:eastAsia="Arial" w:hAnsi="Arial"/>
          <w:sz w:val="18"/>
          <w:szCs w:val="18"/>
          <w:color w:val="auto"/>
        </w:rPr>
        <w:t>Our success depends on our ability to bring to our clients the most accomplished and aspiring talent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industry. We provide our colleagues with meaningful long-term careers across our base of full-time (the majority), part-time and seasonal/temporary colleagues to meet the specific needs of our various businesses.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The number of colleagues by segment as of December 31, 2025 is approximated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1860" w:type="dxa"/>
            <w:vAlign w:val="bottom"/>
          </w:tcPr>
          <w:p>
            <w:pPr>
              <w:jc w:val="right"/>
              <w:ind w:right="144"/>
              <w:spacing w:after="0"/>
              <w:rPr>
                <w:sz w:val="20"/>
                <w:szCs w:val="20"/>
                <w:color w:val="auto"/>
              </w:rPr>
            </w:pPr>
            <w:r>
              <w:rPr>
                <w:rFonts w:ascii="Arial" w:cs="Arial" w:eastAsia="Arial" w:hAnsi="Arial"/>
                <w:sz w:val="16"/>
                <w:szCs w:val="16"/>
                <w:b w:val="1"/>
                <w:bCs w:val="1"/>
                <w:color w:val="auto"/>
              </w:rPr>
              <w:t>December 31, 2025</w:t>
            </w:r>
          </w:p>
        </w:tc>
      </w:tr>
      <w:tr>
        <w:trPr>
          <w:trHeight w:val="42"/>
        </w:trPr>
        <w:tc>
          <w:tcPr>
            <w:tcW w:w="754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80"/>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Health, Wealth &amp; Career</w:t>
            </w:r>
          </w:p>
        </w:tc>
        <w:tc>
          <w:tcPr>
            <w:tcW w:w="186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23,100</w:t>
            </w:r>
          </w:p>
        </w:tc>
      </w:tr>
      <w:tr>
        <w:trPr>
          <w:trHeight w:val="259"/>
        </w:trPr>
        <w:tc>
          <w:tcPr>
            <w:tcW w:w="7540" w:type="dxa"/>
            <w:vAlign w:val="bottom"/>
          </w:tcPr>
          <w:p>
            <w:pPr>
              <w:spacing w:after="0"/>
              <w:rPr>
                <w:sz w:val="20"/>
                <w:szCs w:val="20"/>
                <w:color w:val="auto"/>
              </w:rPr>
            </w:pPr>
            <w:r>
              <w:rPr>
                <w:rFonts w:ascii="Arial" w:cs="Arial" w:eastAsia="Arial" w:hAnsi="Arial"/>
                <w:sz w:val="20"/>
                <w:szCs w:val="20"/>
                <w:color w:val="auto"/>
              </w:rPr>
              <w:t>Risk &amp; Broking</w:t>
            </w:r>
          </w:p>
        </w:tc>
        <w:tc>
          <w:tcPr>
            <w:tcW w:w="1860" w:type="dxa"/>
            <w:vAlign w:val="bottom"/>
          </w:tcPr>
          <w:p>
            <w:pPr>
              <w:jc w:val="right"/>
              <w:ind w:right="4"/>
              <w:spacing w:after="0"/>
              <w:rPr>
                <w:sz w:val="20"/>
                <w:szCs w:val="20"/>
                <w:color w:val="auto"/>
              </w:rPr>
            </w:pPr>
            <w:r>
              <w:rPr>
                <w:rFonts w:ascii="Arial" w:cs="Arial" w:eastAsia="Arial" w:hAnsi="Arial"/>
                <w:sz w:val="20"/>
                <w:szCs w:val="20"/>
                <w:color w:val="auto"/>
              </w:rPr>
              <w:t>16,800</w:t>
            </w:r>
          </w:p>
        </w:tc>
      </w:tr>
      <w:tr>
        <w:trPr>
          <w:trHeight w:val="41"/>
        </w:trPr>
        <w:tc>
          <w:tcPr>
            <w:tcW w:w="754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90"/>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Corporate and Other</w:t>
            </w:r>
          </w:p>
        </w:tc>
        <w:tc>
          <w:tcPr>
            <w:tcW w:w="186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7,000</w:t>
            </w:r>
          </w:p>
        </w:tc>
      </w:tr>
      <w:tr>
        <w:trPr>
          <w:trHeight w:val="259"/>
        </w:trPr>
        <w:tc>
          <w:tcPr>
            <w:tcW w:w="7540" w:type="dxa"/>
            <w:vAlign w:val="bottom"/>
          </w:tcPr>
          <w:p>
            <w:pPr>
              <w:spacing w:after="0"/>
              <w:rPr>
                <w:sz w:val="20"/>
                <w:szCs w:val="20"/>
                <w:color w:val="auto"/>
              </w:rPr>
            </w:pPr>
            <w:r>
              <w:rPr>
                <w:rFonts w:ascii="Arial" w:cs="Arial" w:eastAsia="Arial" w:hAnsi="Arial"/>
                <w:sz w:val="20"/>
                <w:szCs w:val="20"/>
                <w:color w:val="auto"/>
              </w:rPr>
              <w:t>Total Colleagues</w:t>
            </w:r>
          </w:p>
        </w:tc>
        <w:tc>
          <w:tcPr>
            <w:tcW w:w="1860" w:type="dxa"/>
            <w:vAlign w:val="bottom"/>
          </w:tcPr>
          <w:p>
            <w:pPr>
              <w:jc w:val="right"/>
              <w:ind w:right="4"/>
              <w:spacing w:after="0"/>
              <w:rPr>
                <w:sz w:val="20"/>
                <w:szCs w:val="20"/>
                <w:color w:val="auto"/>
              </w:rPr>
            </w:pPr>
            <w:r>
              <w:rPr>
                <w:rFonts w:ascii="Arial" w:cs="Arial" w:eastAsia="Arial" w:hAnsi="Arial"/>
                <w:sz w:val="20"/>
                <w:szCs w:val="20"/>
                <w:color w:val="auto"/>
              </w:rPr>
              <w:t>46,900</w:t>
            </w:r>
          </w:p>
        </w:tc>
      </w:tr>
      <w:tr>
        <w:trPr>
          <w:trHeight w:val="525"/>
        </w:trPr>
        <w:tc>
          <w:tcPr>
            <w:tcW w:w="7540" w:type="dxa"/>
            <w:vAlign w:val="bottom"/>
          </w:tcPr>
          <w:p>
            <w:pPr>
              <w:spacing w:after="0"/>
              <w:rPr>
                <w:sz w:val="20"/>
                <w:szCs w:val="20"/>
                <w:color w:val="auto"/>
              </w:rPr>
            </w:pPr>
            <w:r>
              <w:rPr>
                <w:rFonts w:ascii="Arial" w:cs="Arial" w:eastAsia="Arial" w:hAnsi="Arial"/>
                <w:sz w:val="20"/>
                <w:szCs w:val="20"/>
                <w:color w:val="auto"/>
                <w:w w:val="94"/>
              </w:rPr>
              <w:t>The number of colleagues by geography as of December 31, 2025 is approximated below:</w:t>
            </w:r>
          </w:p>
        </w:tc>
        <w:tc>
          <w:tcPr>
            <w:tcW w:w="1860" w:type="dxa"/>
            <w:vAlign w:val="bottom"/>
          </w:tcPr>
          <w:p>
            <w:pPr>
              <w:spacing w:after="0"/>
              <w:rPr>
                <w:sz w:val="24"/>
                <w:szCs w:val="24"/>
                <w:color w:val="auto"/>
              </w:rPr>
            </w:pPr>
          </w:p>
        </w:tc>
      </w:tr>
      <w:tr>
        <w:trPr>
          <w:trHeight w:val="399"/>
        </w:trPr>
        <w:tc>
          <w:tcPr>
            <w:tcW w:w="7540" w:type="dxa"/>
            <w:vAlign w:val="bottom"/>
          </w:tcPr>
          <w:p>
            <w:pPr>
              <w:spacing w:after="0"/>
              <w:rPr>
                <w:sz w:val="24"/>
                <w:szCs w:val="24"/>
                <w:color w:val="auto"/>
              </w:rPr>
            </w:pPr>
          </w:p>
        </w:tc>
        <w:tc>
          <w:tcPr>
            <w:tcW w:w="1860" w:type="dxa"/>
            <w:vAlign w:val="bottom"/>
          </w:tcPr>
          <w:p>
            <w:pPr>
              <w:jc w:val="right"/>
              <w:ind w:right="144"/>
              <w:spacing w:after="0"/>
              <w:rPr>
                <w:sz w:val="20"/>
                <w:szCs w:val="20"/>
                <w:color w:val="auto"/>
              </w:rPr>
            </w:pPr>
            <w:r>
              <w:rPr>
                <w:rFonts w:ascii="Arial" w:cs="Arial" w:eastAsia="Arial" w:hAnsi="Arial"/>
                <w:sz w:val="16"/>
                <w:szCs w:val="16"/>
                <w:b w:val="1"/>
                <w:bCs w:val="1"/>
                <w:color w:val="auto"/>
              </w:rPr>
              <w:t>December 31, 2025</w:t>
            </w:r>
          </w:p>
        </w:tc>
      </w:tr>
      <w:tr>
        <w:trPr>
          <w:trHeight w:val="42"/>
        </w:trPr>
        <w:tc>
          <w:tcPr>
            <w:tcW w:w="754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80"/>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North America</w:t>
            </w:r>
          </w:p>
        </w:tc>
        <w:tc>
          <w:tcPr>
            <w:tcW w:w="186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12,300</w:t>
            </w:r>
          </w:p>
        </w:tc>
      </w:tr>
      <w:tr>
        <w:trPr>
          <w:trHeight w:val="259"/>
        </w:trPr>
        <w:tc>
          <w:tcPr>
            <w:tcW w:w="7540" w:type="dxa"/>
            <w:vAlign w:val="bottom"/>
          </w:tcPr>
          <w:p>
            <w:pPr>
              <w:spacing w:after="0"/>
              <w:rPr>
                <w:sz w:val="20"/>
                <w:szCs w:val="20"/>
                <w:color w:val="auto"/>
              </w:rPr>
            </w:pPr>
            <w:r>
              <w:rPr>
                <w:rFonts w:ascii="Arial" w:cs="Arial" w:eastAsia="Arial" w:hAnsi="Arial"/>
                <w:sz w:val="20"/>
                <w:szCs w:val="20"/>
                <w:color w:val="auto"/>
              </w:rPr>
              <w:t>Europe</w:t>
            </w:r>
          </w:p>
        </w:tc>
        <w:tc>
          <w:tcPr>
            <w:tcW w:w="1860" w:type="dxa"/>
            <w:vAlign w:val="bottom"/>
          </w:tcPr>
          <w:p>
            <w:pPr>
              <w:jc w:val="right"/>
              <w:ind w:right="4"/>
              <w:spacing w:after="0"/>
              <w:rPr>
                <w:sz w:val="20"/>
                <w:szCs w:val="20"/>
                <w:color w:val="auto"/>
              </w:rPr>
            </w:pPr>
            <w:r>
              <w:rPr>
                <w:rFonts w:ascii="Arial" w:cs="Arial" w:eastAsia="Arial" w:hAnsi="Arial"/>
                <w:sz w:val="20"/>
                <w:szCs w:val="20"/>
                <w:color w:val="auto"/>
              </w:rPr>
              <w:t>15,300</w:t>
            </w:r>
          </w:p>
        </w:tc>
      </w:tr>
      <w:tr>
        <w:trPr>
          <w:trHeight w:val="41"/>
        </w:trPr>
        <w:tc>
          <w:tcPr>
            <w:tcW w:w="754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90"/>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International</w:t>
            </w:r>
          </w:p>
        </w:tc>
        <w:tc>
          <w:tcPr>
            <w:tcW w:w="186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19,300</w:t>
            </w:r>
          </w:p>
        </w:tc>
      </w:tr>
      <w:tr>
        <w:trPr>
          <w:trHeight w:val="259"/>
        </w:trPr>
        <w:tc>
          <w:tcPr>
            <w:tcW w:w="7540" w:type="dxa"/>
            <w:vAlign w:val="bottom"/>
          </w:tcPr>
          <w:p>
            <w:pPr>
              <w:spacing w:after="0"/>
              <w:rPr>
                <w:sz w:val="20"/>
                <w:szCs w:val="20"/>
                <w:color w:val="auto"/>
              </w:rPr>
            </w:pPr>
            <w:r>
              <w:rPr>
                <w:rFonts w:ascii="Arial" w:cs="Arial" w:eastAsia="Arial" w:hAnsi="Arial"/>
                <w:sz w:val="20"/>
                <w:szCs w:val="20"/>
                <w:color w:val="auto"/>
              </w:rPr>
              <w:t>Total Colleagues</w:t>
            </w:r>
          </w:p>
        </w:tc>
        <w:tc>
          <w:tcPr>
            <w:tcW w:w="1860" w:type="dxa"/>
            <w:vAlign w:val="bottom"/>
          </w:tcPr>
          <w:p>
            <w:pPr>
              <w:jc w:val="right"/>
              <w:ind w:right="4"/>
              <w:spacing w:after="0"/>
              <w:rPr>
                <w:sz w:val="20"/>
                <w:szCs w:val="20"/>
                <w:color w:val="auto"/>
              </w:rPr>
            </w:pPr>
            <w:r>
              <w:rPr>
                <w:rFonts w:ascii="Arial" w:cs="Arial" w:eastAsia="Arial" w:hAnsi="Arial"/>
                <w:sz w:val="20"/>
                <w:szCs w:val="20"/>
                <w:color w:val="auto"/>
              </w:rPr>
              <w:t>46,900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4912360</wp:posOffset>
            </wp:positionH>
            <wp:positionV relativeFrom="paragraph">
              <wp:posOffset>-2103755</wp:posOffset>
            </wp:positionV>
            <wp:extent cx="105156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51560" cy="6350"/>
                    </a:xfrm>
                    <a:prstGeom prst="rect">
                      <a:avLst/>
                    </a:prstGeom>
                    <a:noFill/>
                  </pic:spPr>
                </pic:pic>
              </a:graphicData>
            </a:graphic>
          </wp:anchor>
        </w:drawing>
        <w:drawing>
          <wp:anchor simplePos="0" relativeHeight="251657728" behindDoc="1" locked="0" layoutInCell="0" allowOverlap="1">
            <wp:simplePos x="0" y="0"/>
            <wp:positionH relativeFrom="column">
              <wp:posOffset>4912360</wp:posOffset>
            </wp:positionH>
            <wp:positionV relativeFrom="paragraph">
              <wp:posOffset>-1525905</wp:posOffset>
            </wp:positionV>
            <wp:extent cx="105156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51560" cy="6350"/>
                    </a:xfrm>
                    <a:prstGeom prst="rect">
                      <a:avLst/>
                    </a:prstGeom>
                    <a:noFill/>
                  </pic:spPr>
                </pic:pic>
              </a:graphicData>
            </a:graphic>
          </wp:anchor>
        </w:drawing>
        <w:drawing>
          <wp:anchor simplePos="0" relativeHeight="251657728" behindDoc="1" locked="0" layoutInCell="0" allowOverlap="1">
            <wp:simplePos x="0" y="0"/>
            <wp:positionH relativeFrom="column">
              <wp:posOffset>4912360</wp:posOffset>
            </wp:positionH>
            <wp:positionV relativeFrom="paragraph">
              <wp:posOffset>-1329055</wp:posOffset>
            </wp:positionV>
            <wp:extent cx="1051560" cy="28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51560" cy="28575"/>
                    </a:xfrm>
                    <a:prstGeom prst="rect">
                      <a:avLst/>
                    </a:prstGeom>
                    <a:noFill/>
                  </pic:spPr>
                </pic:pic>
              </a:graphicData>
            </a:graphic>
          </wp:anchor>
        </w:drawing>
        <w:drawing>
          <wp:anchor simplePos="0" relativeHeight="251657728" behindDoc="1" locked="0" layoutInCell="0" allowOverlap="1">
            <wp:simplePos x="0" y="0"/>
            <wp:positionH relativeFrom="column">
              <wp:posOffset>4912360</wp:posOffset>
            </wp:positionH>
            <wp:positionV relativeFrom="paragraph">
              <wp:posOffset>-748030</wp:posOffset>
            </wp:positionV>
            <wp:extent cx="105156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51560" cy="6350"/>
                    </a:xfrm>
                    <a:prstGeom prst="rect">
                      <a:avLst/>
                    </a:prstGeom>
                    <a:noFill/>
                  </pic:spPr>
                </pic:pic>
              </a:graphicData>
            </a:graphic>
          </wp:anchor>
        </w:drawing>
        <w:drawing>
          <wp:anchor simplePos="0" relativeHeight="251657728" behindDoc="1" locked="0" layoutInCell="0" allowOverlap="1">
            <wp:simplePos x="0" y="0"/>
            <wp:positionH relativeFrom="column">
              <wp:posOffset>4912360</wp:posOffset>
            </wp:positionH>
            <wp:positionV relativeFrom="paragraph">
              <wp:posOffset>-170180</wp:posOffset>
            </wp:positionV>
            <wp:extent cx="105156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51560" cy="6350"/>
                    </a:xfrm>
                    <a:prstGeom prst="rect">
                      <a:avLst/>
                    </a:prstGeom>
                    <a:noFill/>
                  </pic:spPr>
                </pic:pic>
              </a:graphicData>
            </a:graphic>
          </wp:anchor>
        </w:drawing>
        <w:drawing>
          <wp:anchor simplePos="0" relativeHeight="251657728" behindDoc="1" locked="0" layoutInCell="0" allowOverlap="1">
            <wp:simplePos x="0" y="0"/>
            <wp:positionH relativeFrom="column">
              <wp:posOffset>4912360</wp:posOffset>
            </wp:positionH>
            <wp:positionV relativeFrom="paragraph">
              <wp:posOffset>26035</wp:posOffset>
            </wp:positionV>
            <wp:extent cx="1051560" cy="28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51560" cy="28575"/>
                    </a:xfrm>
                    <a:prstGeom prst="rect">
                      <a:avLst/>
                    </a:prstGeom>
                    <a:noFill/>
                  </pic:spPr>
                </pic:pic>
              </a:graphicData>
            </a:graphic>
          </wp:anchor>
        </w:drawing>
      </w:r>
    </w:p>
    <w:p>
      <w:pPr>
        <w:spacing w:after="0" w:line="285" w:lineRule="exact"/>
        <w:rPr>
          <w:sz w:val="20"/>
          <w:szCs w:val="20"/>
          <w:color w:val="auto"/>
        </w:rPr>
      </w:pPr>
    </w:p>
    <w:p>
      <w:pPr>
        <w:jc w:val="both"/>
        <w:ind w:right="620"/>
        <w:spacing w:after="0" w:line="307" w:lineRule="auto"/>
        <w:rPr>
          <w:sz w:val="20"/>
          <w:szCs w:val="20"/>
          <w:color w:val="auto"/>
        </w:rPr>
      </w:pPr>
      <w:r>
        <w:rPr>
          <w:rFonts w:ascii="Arial" w:cs="Arial" w:eastAsia="Arial" w:hAnsi="Arial"/>
          <w:sz w:val="20"/>
          <w:szCs w:val="20"/>
          <w:color w:val="auto"/>
        </w:rPr>
        <w:t>Voluntary turnover (rolling 12-month attrition) has remained well within target range throughout 2025 (9.8% compared to 10.1% in 2024; for comparative purposes, the prior-year figure has been adjusted for a change in methodology for the seasonal colleague exclusion).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Hiring</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87</w:t>
      </w:r>
    </w:p>
    <w:p>
      <w:pPr>
        <w:sectPr>
          <w:pgSz w:w="11900" w:h="16838" w:orient="portrait"/>
          <w:cols w:equalWidth="0" w:num="1">
            <w:col w:w="9400"/>
          </w:cols>
          <w:pgMar w:left="1260" w:top="1440" w:right="1246" w:bottom="0" w:gutter="0" w:footer="0" w:header="0"/>
          <w:type w:val="continuous"/>
        </w:sectPr>
      </w:pPr>
    </w:p>
    <w:bookmarkStart w:id="19" w:name="page20"/>
    <w:bookmarkEnd w:id="19"/>
    <w:p>
      <w:pPr>
        <w:ind w:right="120"/>
        <w:spacing w:after="0" w:line="363" w:lineRule="auto"/>
        <w:rPr>
          <w:sz w:val="20"/>
          <w:szCs w:val="20"/>
          <w:color w:val="auto"/>
        </w:rPr>
      </w:pPr>
      <w:r>
        <w:rPr>
          <w:rFonts w:ascii="Arial" w:cs="Arial" w:eastAsia="Arial" w:hAnsi="Arial"/>
          <w:sz w:val="18"/>
          <w:szCs w:val="18"/>
          <w:color w:val="auto"/>
        </w:rPr>
        <w:t>With turnover remaining within target range, business areas are primarily focusing on targeted hiring campaigns for mid-senior level hires to support growth, future succession planning and/or as part of their location strategy.</w:t>
      </w:r>
    </w:p>
    <w:p>
      <w:pPr>
        <w:spacing w:after="0" w:line="199" w:lineRule="exact"/>
        <w:rPr>
          <w:sz w:val="20"/>
          <w:szCs w:val="20"/>
          <w:color w:val="auto"/>
        </w:rPr>
      </w:pPr>
    </w:p>
    <w:p>
      <w:pPr>
        <w:ind w:left="620" w:right="440" w:hanging="313"/>
        <w:spacing w:after="0" w:line="43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Hiring into the Early Careers programs remained relatively stable and consistent with 2024. The focus remains on building pipelines of high caliber talent through enhanced employer branding and attraction.</w:t>
      </w:r>
    </w:p>
    <w:p>
      <w:pPr>
        <w:spacing w:after="0" w:line="154" w:lineRule="exact"/>
        <w:rPr>
          <w:rFonts w:ascii="Arial" w:cs="Arial" w:eastAsia="Arial" w:hAnsi="Arial"/>
          <w:sz w:val="18"/>
          <w:szCs w:val="18"/>
          <w:color w:val="auto"/>
        </w:rPr>
      </w:pPr>
    </w:p>
    <w:p>
      <w:pPr>
        <w:jc w:val="both"/>
        <w:ind w:left="620" w:hanging="313"/>
        <w:spacing w:after="0" w:line="370" w:lineRule="auto"/>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Hires exceeded 6,700, a decrease of 4% as compared to 2024 (for comparative purposes, the prior-year figure has been adjusted for a change in methodology for the seasonal colleague exclusion) primarily attributable to a volume of colleagues with effective start dates in 2026.</w:t>
      </w:r>
    </w:p>
    <w:p>
      <w:pPr>
        <w:spacing w:after="0" w:line="196" w:lineRule="exact"/>
        <w:rPr>
          <w:rFonts w:ascii="Arial" w:cs="Arial" w:eastAsia="Arial" w:hAnsi="Arial"/>
          <w:sz w:val="20"/>
          <w:szCs w:val="20"/>
          <w:color w:val="auto"/>
        </w:rPr>
      </w:pPr>
    </w:p>
    <w:p>
      <w:pPr>
        <w:ind w:left="620" w:right="40" w:hanging="313"/>
        <w:spacing w:after="0" w:line="365" w:lineRule="auto"/>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 continue to have a strong rate of alumni returning to WTW, with rehires representing 7% of total hires in both 2025 and 2024.</w:t>
      </w:r>
    </w:p>
    <w:p>
      <w:pPr>
        <w:spacing w:after="0" w:line="200" w:lineRule="exact"/>
        <w:rPr>
          <w:rFonts w:ascii="Arial" w:cs="Arial" w:eastAsia="Arial" w:hAnsi="Arial"/>
          <w:sz w:val="20"/>
          <w:szCs w:val="20"/>
          <w:color w:val="auto"/>
        </w:rPr>
      </w:pPr>
    </w:p>
    <w:p>
      <w:pPr>
        <w:ind w:left="620" w:hanging="313"/>
        <w:spacing w:after="0" w:line="365" w:lineRule="auto"/>
        <w:tabs>
          <w:tab w:leader="none" w:pos="620" w:val="left"/>
        </w:tabs>
        <w:numPr>
          <w:ilvl w:val="0"/>
          <w:numId w:val="6"/>
        </w:numPr>
        <w:rPr>
          <w:rFonts w:ascii="Arial" w:cs="Arial" w:eastAsia="Arial" w:hAnsi="Arial"/>
          <w:sz w:val="20"/>
          <w:szCs w:val="20"/>
          <w:color w:val="auto"/>
        </w:rPr>
      </w:pPr>
      <w:r>
        <w:rPr>
          <w:rFonts w:ascii="Arial" w:cs="Arial" w:eastAsia="Arial" w:hAnsi="Arial"/>
          <w:sz w:val="20"/>
          <w:szCs w:val="20"/>
          <w:color w:val="auto"/>
        </w:rPr>
        <w:t>Our continued focus for 2026 will be to increase our global investment in talent across sales and client-facing colleagues.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 / 87</w:t>
      </w:r>
    </w:p>
    <w:p>
      <w:pPr>
        <w:sectPr>
          <w:pgSz w:w="11900" w:h="16838" w:orient="portrait"/>
          <w:cols w:equalWidth="0" w:num="1">
            <w:col w:w="9380"/>
          </w:cols>
          <w:pgMar w:left="1260" w:top="1173" w:right="1266" w:bottom="0" w:gutter="0" w:footer="0" w:header="0"/>
          <w:type w:val="continuous"/>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307" w:lineRule="auto"/>
        <w:rPr>
          <w:sz w:val="20"/>
          <w:szCs w:val="20"/>
          <w:color w:val="auto"/>
        </w:rPr>
      </w:pPr>
      <w:r>
        <w:rPr>
          <w:rFonts w:ascii="Arial" w:cs="Arial" w:eastAsia="Arial" w:hAnsi="Arial"/>
          <w:sz w:val="20"/>
          <w:szCs w:val="20"/>
          <w:b w:val="1"/>
          <w:bCs w:val="1"/>
          <w:i w:val="1"/>
          <w:iCs w:val="1"/>
          <w:color w:val="auto"/>
        </w:rPr>
        <w:t xml:space="preserve">Inclusion and Diversity (‘I&amp;D’) – </w:t>
      </w:r>
      <w:r>
        <w:rPr>
          <w:rFonts w:ascii="Arial" w:cs="Arial" w:eastAsia="Arial" w:hAnsi="Arial"/>
          <w:sz w:val="20"/>
          <w:szCs w:val="20"/>
          <w:color w:val="auto"/>
        </w:rPr>
        <w:t>Our people strategy guides our actions to make WTW a destination employer for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top talent. Our approach to building and sustaining an inclusive and high-performing culture includes a priority focus on:</w:t>
      </w:r>
    </w:p>
    <w:p>
      <w:pPr>
        <w:spacing w:after="0" w:line="243" w:lineRule="exact"/>
        <w:rPr>
          <w:sz w:val="20"/>
          <w:szCs w:val="20"/>
          <w:color w:val="auto"/>
        </w:rPr>
      </w:pPr>
    </w:p>
    <w:p>
      <w:pPr>
        <w:ind w:left="620" w:right="220" w:hanging="313"/>
        <w:spacing w:after="0" w:line="365" w:lineRule="auto"/>
        <w:tabs>
          <w:tab w:leader="none" w:pos="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Attraction and Retention </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Growing the pipeline for talent with a broad range of backgrounds, experiences and perspectives.</w:t>
      </w:r>
    </w:p>
    <w:p>
      <w:pPr>
        <w:spacing w:after="0" w:line="190" w:lineRule="exact"/>
        <w:rPr>
          <w:rFonts w:ascii="Arial" w:cs="Arial" w:eastAsia="Arial" w:hAnsi="Arial"/>
          <w:sz w:val="20"/>
          <w:szCs w:val="20"/>
          <w:color w:val="auto"/>
        </w:rPr>
      </w:pPr>
    </w:p>
    <w:p>
      <w:pPr>
        <w:ind w:left="620" w:hanging="313"/>
        <w:spacing w:after="0"/>
        <w:tabs>
          <w:tab w:leader="none" w:pos="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Development and Promotion </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Supporting colleagues in all stages of career development.</w:t>
      </w:r>
    </w:p>
    <w:p>
      <w:pPr>
        <w:spacing w:after="0" w:line="310" w:lineRule="exact"/>
        <w:rPr>
          <w:rFonts w:ascii="Arial" w:cs="Arial" w:eastAsia="Arial" w:hAnsi="Arial"/>
          <w:sz w:val="20"/>
          <w:szCs w:val="20"/>
          <w:color w:val="auto"/>
        </w:rPr>
      </w:pPr>
    </w:p>
    <w:p>
      <w:pPr>
        <w:ind w:left="620" w:hanging="313"/>
        <w:spacing w:after="0"/>
        <w:tabs>
          <w:tab w:leader="none" w:pos="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Culture and Brand </w:t>
      </w:r>
      <w:r>
        <w:rPr>
          <w:rFonts w:ascii="Arial" w:cs="Arial" w:eastAsia="Arial" w:hAnsi="Arial"/>
          <w:sz w:val="20"/>
          <w:szCs w:val="20"/>
          <w:b w:val="1"/>
          <w:bCs w:val="1"/>
          <w:i w:val="1"/>
          <w:iCs w:val="1"/>
          <w:color w:val="auto"/>
        </w:rPr>
        <w:t>–</w:t>
      </w:r>
      <w:r>
        <w:rPr>
          <w:rFonts w:ascii="Arial" w:cs="Arial" w:eastAsia="Arial" w:hAnsi="Arial"/>
          <w:sz w:val="20"/>
          <w:szCs w:val="20"/>
          <w:color w:val="auto"/>
        </w:rPr>
        <w:t xml:space="preserve"> Promoting an inclusive culture and work environment.</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Our policies, including our Code of Conduct, require that our employment decisions comply with applicable law.</w:t>
      </w:r>
    </w:p>
    <w:p>
      <w:pPr>
        <w:spacing w:after="0" w:line="262" w:lineRule="exact"/>
        <w:rPr>
          <w:sz w:val="20"/>
          <w:szCs w:val="20"/>
          <w:color w:val="auto"/>
        </w:rPr>
      </w:pPr>
    </w:p>
    <w:p>
      <w:pPr>
        <w:ind w:right="60"/>
        <w:spacing w:after="0" w:line="310" w:lineRule="auto"/>
        <w:rPr>
          <w:sz w:val="20"/>
          <w:szCs w:val="20"/>
          <w:color w:val="auto"/>
        </w:rPr>
      </w:pPr>
      <w:r>
        <w:rPr>
          <w:rFonts w:ascii="Arial" w:cs="Arial" w:eastAsia="Arial" w:hAnsi="Arial"/>
          <w:sz w:val="20"/>
          <w:szCs w:val="20"/>
          <w:b w:val="1"/>
          <w:bCs w:val="1"/>
          <w:i w:val="1"/>
          <w:iCs w:val="1"/>
          <w:color w:val="auto"/>
        </w:rPr>
        <w:t xml:space="preserve">Total Rewards – </w:t>
      </w:r>
      <w:r>
        <w:rPr>
          <w:rFonts w:ascii="Arial" w:cs="Arial" w:eastAsia="Arial" w:hAnsi="Arial"/>
          <w:sz w:val="20"/>
          <w:szCs w:val="20"/>
          <w:color w:val="auto"/>
        </w:rPr>
        <w:t>We invest significant resources in our most important asset, our colleagues, and having the right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total rewards programs to support our colleague experience is an important part of our commitment to being the best company we can be. We offer market competitive rewards in aggregate, aligned to a pay-for-performance culture. Alongside our colleague experience, our total rewards programs position WTW as a magnet for the most accomplished and aspiring talent in the industry.</w:t>
      </w:r>
    </w:p>
    <w:p>
      <w:pPr>
        <w:spacing w:after="0" w:line="195" w:lineRule="exact"/>
        <w:rPr>
          <w:sz w:val="20"/>
          <w:szCs w:val="20"/>
          <w:color w:val="auto"/>
        </w:rPr>
      </w:pPr>
    </w:p>
    <w:p>
      <w:pPr>
        <w:spacing w:after="0" w:line="309" w:lineRule="auto"/>
        <w:rPr>
          <w:sz w:val="20"/>
          <w:szCs w:val="20"/>
          <w:color w:val="auto"/>
        </w:rPr>
      </w:pPr>
      <w:r>
        <w:rPr>
          <w:rFonts w:ascii="Arial" w:cs="Arial" w:eastAsia="Arial" w:hAnsi="Arial"/>
          <w:sz w:val="20"/>
          <w:szCs w:val="20"/>
          <w:color w:val="auto"/>
        </w:rPr>
        <w:t>Our total rewards comprise a wide array of programs, including pay, benefits, share ownership, wellbeing, recognition, flexible working arrangements, time off, career development opportunities and other aspects of the work environment. These are intended to enhance business performance in alignment with WTW’s strategy, culture and values.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At its core, our total rewards programs are designed to:</w:t>
      </w:r>
    </w:p>
    <w:p>
      <w:pPr>
        <w:spacing w:after="0" w:line="305" w:lineRule="exact"/>
        <w:rPr>
          <w:sz w:val="20"/>
          <w:szCs w:val="20"/>
          <w:color w:val="auto"/>
        </w:rPr>
      </w:pPr>
    </w:p>
    <w:p>
      <w:pPr>
        <w:ind w:left="620" w:hanging="313"/>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engage, retain and develop talent with a broad range of backgrounds, experiences, and perspectives;</w:t>
      </w:r>
    </w:p>
    <w:p>
      <w:pPr>
        <w:spacing w:after="0" w:line="323" w:lineRule="exact"/>
        <w:rPr>
          <w:rFonts w:ascii="Arial" w:cs="Arial" w:eastAsia="Arial" w:hAnsi="Arial"/>
          <w:sz w:val="18"/>
          <w:szCs w:val="18"/>
          <w:color w:val="auto"/>
        </w:rPr>
      </w:pPr>
    </w:p>
    <w:p>
      <w:pPr>
        <w:ind w:left="620" w:hanging="313"/>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20"/>
          <w:szCs w:val="20"/>
          <w:color w:val="auto"/>
        </w:rPr>
        <w:t>Enhance and sustain high levels of colleague performance and engagement; and</w:t>
      </w:r>
    </w:p>
    <w:p>
      <w:pPr>
        <w:spacing w:after="0" w:line="310" w:lineRule="exact"/>
        <w:rPr>
          <w:rFonts w:ascii="Arial" w:cs="Arial" w:eastAsia="Arial" w:hAnsi="Arial"/>
          <w:sz w:val="20"/>
          <w:szCs w:val="20"/>
          <w:color w:val="auto"/>
        </w:rPr>
      </w:pPr>
    </w:p>
    <w:p>
      <w:pPr>
        <w:ind w:left="620" w:hanging="313"/>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20"/>
          <w:szCs w:val="20"/>
          <w:color w:val="auto"/>
        </w:rPr>
        <w:t>Allow for meaningful choice, where appropriate, to address individual needs.</w:t>
      </w:r>
    </w:p>
    <w:p>
      <w:pPr>
        <w:spacing w:after="0" w:line="274" w:lineRule="exact"/>
        <w:rPr>
          <w:sz w:val="20"/>
          <w:szCs w:val="20"/>
          <w:color w:val="auto"/>
        </w:rPr>
      </w:pPr>
    </w:p>
    <w:p>
      <w:pPr>
        <w:ind w:right="800"/>
        <w:spacing w:after="0" w:line="355" w:lineRule="auto"/>
        <w:rPr>
          <w:sz w:val="20"/>
          <w:szCs w:val="20"/>
          <w:color w:val="auto"/>
        </w:rPr>
      </w:pPr>
      <w:r>
        <w:rPr>
          <w:rFonts w:ascii="Arial" w:cs="Arial" w:eastAsia="Arial" w:hAnsi="Arial"/>
          <w:sz w:val="18"/>
          <w:szCs w:val="18"/>
          <w:color w:val="auto"/>
        </w:rPr>
        <w:t>In 2025, WTW expanded key total rewards programs, including the employee share purchase plan, to more countries. We also enhanced our global Recognition Hub platform, celebrating our colleagues’ successes, achievements and milestones to support a culture of recognition and appreciation at WTW.</w:t>
      </w:r>
    </w:p>
    <w:p>
      <w:pPr>
        <w:spacing w:after="0" w:line="162" w:lineRule="exact"/>
        <w:rPr>
          <w:sz w:val="20"/>
          <w:szCs w:val="20"/>
          <w:color w:val="auto"/>
        </w:rPr>
      </w:pPr>
    </w:p>
    <w:p>
      <w:pPr>
        <w:ind w:right="60"/>
        <w:spacing w:after="0" w:line="311" w:lineRule="auto"/>
        <w:rPr>
          <w:sz w:val="20"/>
          <w:szCs w:val="20"/>
          <w:color w:val="auto"/>
        </w:rPr>
      </w:pPr>
      <w:r>
        <w:rPr>
          <w:rFonts w:ascii="Arial" w:cs="Arial" w:eastAsia="Arial" w:hAnsi="Arial"/>
          <w:sz w:val="20"/>
          <w:szCs w:val="20"/>
          <w:b w:val="1"/>
          <w:bCs w:val="1"/>
          <w:i w:val="1"/>
          <w:iCs w:val="1"/>
          <w:color w:val="auto"/>
        </w:rPr>
        <w:t xml:space="preserve">Work Styles </w:t>
      </w:r>
      <w:r>
        <w:rPr>
          <w:rFonts w:ascii="Arial" w:cs="Arial" w:eastAsia="Arial" w:hAnsi="Arial"/>
          <w:sz w:val="20"/>
          <w:szCs w:val="20"/>
          <w:color w:val="auto"/>
        </w:rPr>
        <w:t>– We have a flexible and adaptable approach to where colleagues work, aligned to the distinct needs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businesses and leveraging three distinct working solutions: office-based, hybrid and remote. This framework has flexibility at its core and is based on the principle that the work itself drives where and how the work gets done. In-office interactions are encouraged for all colleagues, with some moving to more frequent and regular in-person collaboration, including minimum in-office requirements in some areas of our business. Our flexibility continues to be a key differentiator for us in the market and is an important part of our ongoing strategy to attract, engage and retain top talent.</w:t>
      </w:r>
    </w:p>
    <w:p>
      <w:pPr>
        <w:spacing w:after="0" w:line="194" w:lineRule="exact"/>
        <w:rPr>
          <w:sz w:val="20"/>
          <w:szCs w:val="20"/>
          <w:color w:val="auto"/>
        </w:rPr>
      </w:pPr>
    </w:p>
    <w:p>
      <w:pPr>
        <w:ind w:right="120"/>
        <w:spacing w:after="0" w:line="307" w:lineRule="auto"/>
        <w:rPr>
          <w:sz w:val="20"/>
          <w:szCs w:val="20"/>
          <w:color w:val="auto"/>
        </w:rPr>
      </w:pPr>
      <w:r>
        <w:rPr>
          <w:rFonts w:ascii="Arial" w:cs="Arial" w:eastAsia="Arial" w:hAnsi="Arial"/>
          <w:sz w:val="20"/>
          <w:szCs w:val="20"/>
          <w:color w:val="auto"/>
        </w:rPr>
        <w:t>The failure to successfully attract and retain qualified personnel could materially adversely affect our results of operations and prospects. For more information see Part I, Item 1A Risk Factors of this Annual Report on Form 10-K.</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 / 87</w:t>
      </w:r>
    </w:p>
    <w:p>
      <w:pPr>
        <w:sectPr>
          <w:pgSz w:w="11900" w:h="16838" w:orient="portrait"/>
          <w:cols w:equalWidth="0" w:num="1">
            <w:col w:w="9380"/>
          </w:cols>
          <w:pgMar w:left="1260" w:top="1440" w:right="1266" w:bottom="0" w:gutter="0" w:footer="0" w:header="0"/>
          <w:type w:val="continuous"/>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Competition</w:t>
      </w:r>
    </w:p>
    <w:p>
      <w:pPr>
        <w:spacing w:after="0" w:line="260" w:lineRule="exact"/>
        <w:rPr>
          <w:sz w:val="20"/>
          <w:szCs w:val="20"/>
          <w:color w:val="auto"/>
        </w:rPr>
      </w:pPr>
    </w:p>
    <w:p>
      <w:pPr>
        <w:ind w:right="120"/>
        <w:spacing w:after="0" w:line="352" w:lineRule="auto"/>
        <w:rPr>
          <w:sz w:val="20"/>
          <w:szCs w:val="20"/>
          <w:color w:val="auto"/>
        </w:rPr>
      </w:pPr>
      <w:r>
        <w:rPr>
          <w:rFonts w:ascii="Arial" w:cs="Arial" w:eastAsia="Arial" w:hAnsi="Arial"/>
          <w:sz w:val="18"/>
          <w:szCs w:val="18"/>
          <w:color w:val="auto"/>
        </w:rPr>
        <w:t>We face competition in all fields in which we operate, based on factors including global capability, product breadth, innovation, quality of service and price. We compete with companies such as Aon plc, Arthur J. Gallagher &amp; Co., Brown &amp; Brown Inc., Cognizant Technology Solutions Corporation, Marsh &amp; McLennan Companies, Inc. (‘Marsh &amp; McLennan’) and Robert Half International Inc., as well as with numerous specialty, regional and local firms.</w:t>
      </w:r>
    </w:p>
    <w:p>
      <w:pPr>
        <w:spacing w:after="0" w:line="166" w:lineRule="exact"/>
        <w:rPr>
          <w:sz w:val="20"/>
          <w:szCs w:val="20"/>
          <w:color w:val="auto"/>
        </w:rPr>
      </w:pPr>
    </w:p>
    <w:p>
      <w:pPr>
        <w:ind w:right="40"/>
        <w:spacing w:after="0" w:line="350" w:lineRule="auto"/>
        <w:rPr>
          <w:sz w:val="20"/>
          <w:szCs w:val="20"/>
          <w:color w:val="auto"/>
        </w:rPr>
      </w:pPr>
      <w:r>
        <w:rPr>
          <w:rFonts w:ascii="Arial" w:cs="Arial" w:eastAsia="Arial" w:hAnsi="Arial"/>
          <w:sz w:val="18"/>
          <w:szCs w:val="18"/>
          <w:color w:val="auto"/>
        </w:rPr>
        <w:t>Competition on premium rates has also exacerbated the pressures caused by a continuing reduction in demand in some classes of business. For example, rather than purchase additional insurance through brokers, some insureds have been retaining a greater proportion of their risk portfolios than previously. Industrial and commercial companies increasingly rely upon their own subsidiary insurance companies, known as captive insurance companies, self-insurance pools, risk retention groups, mutual insurance companies and other mechanisms for funding their risks, rather than buy insurance. Additional competitive pressures have arisen and are expected to continue to arise from the entry and expansion of new market participants, such as banks, accounting firms, new brokers and insurance carriers themselves, offering risk management or transfer services.</w:t>
      </w:r>
    </w:p>
    <w:p>
      <w:pPr>
        <w:spacing w:after="0" w:line="165"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 xml:space="preserve">The human capital and risk management consulting industries are highly competitive. We believe we have developed competitive advantages in providing HR consulting and risk management consulting services. We face strong competition from numerous sources, including from large consulting firms, accounting firms and specialized firms focused on these services as further identified below. See Part I, Item 1A Risk Factors – </w:t>
      </w:r>
      <w:r>
        <w:rPr>
          <w:rFonts w:ascii="Arial" w:cs="Arial" w:eastAsia="Arial" w:hAnsi="Arial"/>
          <w:sz w:val="18"/>
          <w:szCs w:val="18"/>
          <w:i w:val="1"/>
          <w:iCs w:val="1"/>
          <w:color w:val="auto"/>
        </w:rPr>
        <w:t>‘Demand for our services</w:t>
      </w:r>
      <w:r>
        <w:rPr>
          <w:rFonts w:ascii="Arial" w:cs="Arial" w:eastAsia="Arial" w:hAnsi="Arial"/>
          <w:sz w:val="18"/>
          <w:szCs w:val="18"/>
          <w:color w:val="auto"/>
        </w:rPr>
        <w:t xml:space="preserve"> </w:t>
      </w:r>
      <w:r>
        <w:rPr>
          <w:rFonts w:ascii="Arial" w:cs="Arial" w:eastAsia="Arial" w:hAnsi="Arial"/>
          <w:sz w:val="18"/>
          <w:szCs w:val="18"/>
          <w:i w:val="1"/>
          <w:iCs w:val="1"/>
          <w:color w:val="auto"/>
        </w:rPr>
        <w:t>could decrease for various reasons, including a general economic downturn, increased competition, or a decline in a client’s or an industry’s financial condition or prospects, all of which could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87</w:t>
      </w:r>
    </w:p>
    <w:p>
      <w:pPr>
        <w:sectPr>
          <w:pgSz w:w="11900" w:h="16838" w:orient="portrait"/>
          <w:cols w:equalWidth="0" w:num="1">
            <w:col w:w="9400"/>
          </w:cols>
          <w:pgMar w:left="1260" w:top="1163" w:right="1246" w:bottom="0"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 w:right="160"/>
        <w:spacing w:after="0" w:line="302" w:lineRule="auto"/>
        <w:rPr>
          <w:sz w:val="20"/>
          <w:szCs w:val="20"/>
          <w:color w:val="auto"/>
        </w:rPr>
      </w:pPr>
      <w:r>
        <w:rPr>
          <w:rFonts w:ascii="Arial" w:cs="Arial" w:eastAsia="Arial" w:hAnsi="Arial"/>
          <w:sz w:val="20"/>
          <w:szCs w:val="20"/>
          <w:i w:val="1"/>
          <w:iCs w:val="1"/>
          <w:color w:val="auto"/>
        </w:rPr>
        <w:t>substantially and negatively affect us’</w:t>
      </w:r>
      <w:r>
        <w:rPr>
          <w:rFonts w:ascii="Arial" w:cs="Arial" w:eastAsia="Arial" w:hAnsi="Arial"/>
          <w:sz w:val="20"/>
          <w:szCs w:val="20"/>
          <w:color w:val="auto"/>
        </w:rPr>
        <w:t>, for a description of competition-related risks that may affect demand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Company’s services.</w:t>
      </w:r>
    </w:p>
    <w:p>
      <w:pPr>
        <w:spacing w:after="0" w:line="201" w:lineRule="exact"/>
        <w:rPr>
          <w:sz w:val="20"/>
          <w:szCs w:val="20"/>
          <w:color w:val="auto"/>
        </w:rPr>
      </w:pPr>
    </w:p>
    <w:p>
      <w:pPr>
        <w:ind w:left="6" w:right="80"/>
        <w:spacing w:after="0" w:line="307" w:lineRule="auto"/>
        <w:rPr>
          <w:sz w:val="20"/>
          <w:szCs w:val="20"/>
          <w:color w:val="auto"/>
        </w:rPr>
      </w:pPr>
      <w:r>
        <w:rPr>
          <w:rFonts w:ascii="Arial" w:cs="Arial" w:eastAsia="Arial" w:hAnsi="Arial"/>
          <w:sz w:val="20"/>
          <w:szCs w:val="20"/>
          <w:color w:val="auto"/>
        </w:rPr>
        <w:t>Our largest competitors in the pension consulting industry are Mercer HR Consulting (a Marsh &amp; McLennan company) and Aon plc. In addition, we face vigorous competition from numerous other companies in the global HR consulting industry.</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8"/>
          <w:szCs w:val="18"/>
          <w:color w:val="auto"/>
        </w:rPr>
        <w:t>Our major competitors in the insurance consulting and software industry include Milliman, Oliver Wyman (a Marsh</w:t>
      </w:r>
    </w:p>
    <w:p>
      <w:pPr>
        <w:spacing w:after="0" w:line="93" w:lineRule="exact"/>
        <w:rPr>
          <w:sz w:val="20"/>
          <w:szCs w:val="20"/>
          <w:color w:val="auto"/>
        </w:rPr>
      </w:pPr>
    </w:p>
    <w:p>
      <w:pPr>
        <w:ind w:left="6" w:right="40" w:hanging="6"/>
        <w:spacing w:after="0" w:line="351" w:lineRule="auto"/>
        <w:tabs>
          <w:tab w:leader="none" w:pos="212" w:val="left"/>
        </w:tabs>
        <w:numPr>
          <w:ilvl w:val="0"/>
          <w:numId w:val="9"/>
        </w:numPr>
        <w:rPr>
          <w:rFonts w:ascii="Arial" w:cs="Arial" w:eastAsia="Arial" w:hAnsi="Arial"/>
          <w:sz w:val="18"/>
          <w:szCs w:val="18"/>
          <w:color w:val="auto"/>
        </w:rPr>
      </w:pPr>
      <w:r>
        <w:rPr>
          <w:rFonts w:ascii="Arial" w:cs="Arial" w:eastAsia="Arial" w:hAnsi="Arial"/>
          <w:sz w:val="18"/>
          <w:szCs w:val="18"/>
          <w:color w:val="auto"/>
        </w:rPr>
        <w:t>McLennan company), the big four accounting firms (Deloitte LLP, Ernst &amp; Young, PricewaterhouseCoopers, and KPMG), and SunGard. Aon plc, Mercer (a Marsh &amp; McLennan company), Automatic Data Processing and Fidelity are among our largest competitors in the insurance exchange industry. We also compete with the public health insurance exchanges currently run by the U.S. federal and state governments, as well as providers of account-based health plans and consumer-directed benefits such as WageWorks and HealthEquity.</w:t>
      </w:r>
    </w:p>
    <w:p>
      <w:pPr>
        <w:spacing w:after="0" w:line="166" w:lineRule="exact"/>
        <w:rPr>
          <w:sz w:val="20"/>
          <w:szCs w:val="20"/>
          <w:color w:val="auto"/>
        </w:rPr>
      </w:pPr>
    </w:p>
    <w:p>
      <w:pPr>
        <w:ind w:left="6" w:right="100"/>
        <w:spacing w:after="0" w:line="311" w:lineRule="auto"/>
        <w:rPr>
          <w:sz w:val="20"/>
          <w:szCs w:val="20"/>
          <w:color w:val="auto"/>
        </w:rPr>
      </w:pPr>
      <w:r>
        <w:rPr>
          <w:rFonts w:ascii="Arial" w:cs="Arial" w:eastAsia="Arial" w:hAnsi="Arial"/>
          <w:sz w:val="20"/>
          <w:szCs w:val="20"/>
          <w:color w:val="auto"/>
        </w:rPr>
        <w:t xml:space="preserve">The market for our services is subject to change as a result of economic, regulatory and legislative changes, technological developments and increased competition from established and new competitors. Regulatory and legislative actions, along with continuously evolving technological developments, will likely have the greatest impact on the overall market for our exchange products. See Part I, Item 1A Risk Factors – </w:t>
      </w:r>
      <w:r>
        <w:rPr>
          <w:rFonts w:ascii="Arial" w:cs="Arial" w:eastAsia="Arial" w:hAnsi="Arial"/>
          <w:sz w:val="20"/>
          <w:szCs w:val="20"/>
          <w:i w:val="1"/>
          <w:iCs w:val="1"/>
          <w:color w:val="auto"/>
        </w:rPr>
        <w:t>‘Our business will be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negatively affected if we are not able to anticipate and keep pace with rapid changes in government laws or regulations, or if government laws or regulations decrease the need for our services, increase our costs or limit our compensation’ </w:t>
      </w:r>
      <w:r>
        <w:rPr>
          <w:rFonts w:ascii="Arial" w:cs="Arial" w:eastAsia="Arial" w:hAnsi="Arial"/>
          <w:sz w:val="20"/>
          <w:szCs w:val="20"/>
          <w:color w:val="auto"/>
        </w:rPr>
        <w:t>and related risk factors for a description of legal, non-financial/-regulatory and compliance risks to</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w:t>
      </w:r>
    </w:p>
    <w:p>
      <w:pPr>
        <w:spacing w:after="0" w:line="196" w:lineRule="exact"/>
        <w:rPr>
          <w:sz w:val="20"/>
          <w:szCs w:val="20"/>
          <w:color w:val="auto"/>
        </w:rPr>
      </w:pPr>
    </w:p>
    <w:p>
      <w:pPr>
        <w:ind w:left="6" w:right="80"/>
        <w:spacing w:after="0" w:line="355" w:lineRule="auto"/>
        <w:rPr>
          <w:sz w:val="20"/>
          <w:szCs w:val="20"/>
          <w:color w:val="auto"/>
        </w:rPr>
      </w:pPr>
      <w:r>
        <w:rPr>
          <w:rFonts w:ascii="Arial" w:cs="Arial" w:eastAsia="Arial" w:hAnsi="Arial"/>
          <w:sz w:val="18"/>
          <w:szCs w:val="18"/>
          <w:color w:val="auto"/>
        </w:rPr>
        <w:t>We believe the primary factors in selecting an HR consulting or risk management services firm include reputation; the ability to provide measurable increases to shareholder value and return on investment; geographic scope; quality of service; innovative ideas; and the ability to tailor services to clients’ unique needs.</w:t>
      </w:r>
    </w:p>
    <w:p>
      <w:pPr>
        <w:spacing w:after="0" w:line="162" w:lineRule="exact"/>
        <w:rPr>
          <w:sz w:val="20"/>
          <w:szCs w:val="20"/>
          <w:color w:val="auto"/>
        </w:rPr>
      </w:pPr>
    </w:p>
    <w:p>
      <w:pPr>
        <w:ind w:left="6" w:right="240"/>
        <w:spacing w:after="0" w:line="330" w:lineRule="auto"/>
        <w:rPr>
          <w:sz w:val="20"/>
          <w:szCs w:val="20"/>
          <w:color w:val="auto"/>
        </w:rPr>
      </w:pPr>
      <w:r>
        <w:rPr>
          <w:rFonts w:ascii="Arial" w:cs="Arial" w:eastAsia="Arial" w:hAnsi="Arial"/>
          <w:sz w:val="19"/>
          <w:szCs w:val="19"/>
          <w:color w:val="auto"/>
        </w:rPr>
        <w:t>With regard to the marketplace for active employee exchanges, we believe that clients base their decisions on a variety of factors that include the ability of the provider to deliver measurable cost savings, a strong reputation for efficient execution, a provider’s capability in delivering a broad number of configurations to serve various population segments and an innovative service delivery model and platform.</w:t>
      </w:r>
    </w:p>
    <w:p>
      <w:pPr>
        <w:spacing w:after="0" w:line="178" w:lineRule="exact"/>
        <w:rPr>
          <w:sz w:val="20"/>
          <w:szCs w:val="20"/>
          <w:color w:val="auto"/>
        </w:rPr>
      </w:pPr>
    </w:p>
    <w:p>
      <w:pPr>
        <w:ind w:left="6" w:right="60"/>
        <w:spacing w:after="0" w:line="302" w:lineRule="auto"/>
        <w:rPr>
          <w:sz w:val="20"/>
          <w:szCs w:val="20"/>
          <w:color w:val="auto"/>
        </w:rPr>
      </w:pPr>
      <w:r>
        <w:rPr>
          <w:rFonts w:ascii="Arial" w:cs="Arial" w:eastAsia="Arial" w:hAnsi="Arial"/>
          <w:sz w:val="20"/>
          <w:szCs w:val="20"/>
          <w:color w:val="auto"/>
        </w:rPr>
        <w:t>For our traditional consulting and risk management services and the rapidly evolving exchange products, we believe we compete favorably with respect to these factors.</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Regulation</w:t>
      </w:r>
    </w:p>
    <w:p>
      <w:pPr>
        <w:spacing w:after="0" w:line="260" w:lineRule="exact"/>
        <w:rPr>
          <w:sz w:val="20"/>
          <w:szCs w:val="20"/>
          <w:color w:val="auto"/>
        </w:rPr>
      </w:pPr>
    </w:p>
    <w:p>
      <w:pPr>
        <w:ind w:left="6"/>
        <w:spacing w:after="0" w:line="349" w:lineRule="auto"/>
        <w:rPr>
          <w:sz w:val="20"/>
          <w:szCs w:val="20"/>
          <w:color w:val="auto"/>
        </w:rPr>
      </w:pPr>
      <w:r>
        <w:rPr>
          <w:rFonts w:ascii="Arial" w:cs="Arial" w:eastAsia="Arial" w:hAnsi="Arial"/>
          <w:sz w:val="18"/>
          <w:szCs w:val="18"/>
          <w:color w:val="auto"/>
        </w:rPr>
        <w:t>Our business activities are subject to legal requirements and governmental and quasi-governmental regulatory supervision in all countries in which we operate. Also, such regulations may require individual or company licensing to conduct our business activities. While these requirements may vary from location to location, they are generally designed to protect our clients by establishing minimum standards of conduct and practice, particularly regarding the provision of advice and product information, as well as financial criteria. We are also subject to data privacy regulations that apply to health, medical, financial and other types of personal information belonging to our employees, clients and their employees and other third parties across most jurisdictions, including, among others, the E.U. and U.K. General Data Protection Regulations, the Personal Information Protection Law (‘PIPL’) in China and privacy legislation in certain U.S. states, including the California Privacy Rights Act (‘CPRA’). Sustainable investing and environmental, social and governance initiatives continue to be the focus of increased regulatory</w:t>
      </w:r>
    </w:p>
    <w:p>
      <w:pPr>
        <w:sectPr>
          <w:pgSz w:w="11900" w:h="16838" w:orient="portrait"/>
          <w:cols w:equalWidth="0" w:num="1">
            <w:col w:w="9366"/>
          </w:cols>
          <w:pgMar w:left="1254"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23 / 87</w:t>
      </w:r>
    </w:p>
    <w:p>
      <w:pPr>
        <w:sectPr>
          <w:pgSz w:w="11900" w:h="16838" w:orient="portrait"/>
          <w:cols w:equalWidth="0" w:num="1">
            <w:col w:w="9366"/>
          </w:cols>
          <w:pgMar w:left="1254" w:top="1440" w:right="1286" w:bottom="0" w:gutter="0" w:footer="0" w:header="0"/>
          <w:type w:val="continuous"/>
        </w:sectPr>
      </w:pPr>
    </w:p>
    <w:bookmarkStart w:id="23" w:name="page24"/>
    <w:bookmarkEnd w:id="23"/>
    <w:p>
      <w:pPr>
        <w:spacing w:after="0" w:line="311" w:lineRule="auto"/>
        <w:rPr>
          <w:sz w:val="20"/>
          <w:szCs w:val="20"/>
          <w:color w:val="auto"/>
        </w:rPr>
      </w:pPr>
      <w:r>
        <w:rPr>
          <w:rFonts w:ascii="Arial" w:cs="Arial" w:eastAsia="Arial" w:hAnsi="Arial"/>
          <w:sz w:val="20"/>
          <w:szCs w:val="20"/>
          <w:color w:val="auto"/>
        </w:rPr>
        <w:t>scrutiny across jurisdictions, with emerging regulation of greenhouse gas emissions and disclosures of their impact on the climate, including in the state of California and the E.U. Corporate Sustainability Reporting Directive and other regulations across the E.U. Across many jurisdictions we are subject to various financial crime laws and regulations through our activities, activities of associated persons, the products and services we provide and our business and client relationships. Such laws and regulations relate to, among other areas, sanctions and export control, anti-bribery, anti-corruption, fraud, anti-money-laundering and counter-terrorist financing. Similarly, we are subject in many jurisdictions to antitrust laws, which are designed to promote robust competition in the markets in which we participate.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Our most significant regulatory regions are further described below: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United States</w:t>
      </w:r>
    </w:p>
    <w:p>
      <w:pPr>
        <w:spacing w:after="0" w:line="260" w:lineRule="exact"/>
        <w:rPr>
          <w:sz w:val="20"/>
          <w:szCs w:val="20"/>
          <w:color w:val="auto"/>
        </w:rPr>
      </w:pPr>
    </w:p>
    <w:p>
      <w:pPr>
        <w:ind w:right="40"/>
        <w:spacing w:after="0" w:line="311" w:lineRule="auto"/>
        <w:rPr>
          <w:sz w:val="20"/>
          <w:szCs w:val="20"/>
          <w:color w:val="auto"/>
        </w:rPr>
      </w:pPr>
      <w:r>
        <w:rPr>
          <w:rFonts w:ascii="Arial" w:cs="Arial" w:eastAsia="Arial" w:hAnsi="Arial"/>
          <w:sz w:val="20"/>
          <w:szCs w:val="20"/>
          <w:color w:val="auto"/>
        </w:rPr>
        <w:t>Our activities in connection with insurance brokerage services within the U.S. are subject to regulation and supervision by state authorities. Although the scope of regulation and form of supervision may vary from state to state, insurance laws in the United States are often complex and generally grant broad discretion to supervisory authorities in adopting regulations and supervising regulated activities. That supervision generally includes the licensing of insurance brokers and agents and the regulation of the handling and investment of client funds held in a fiduciary capacity. Our continuing ability to provide insurance brokerage in the states in which we currently operate is dependent upon our compliance with the rules and regulations promulgated by the regulatory authorities in each of</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24 / 87</w:t>
      </w:r>
    </w:p>
    <w:p>
      <w:pPr>
        <w:sectPr>
          <w:pgSz w:w="11900" w:h="16838" w:orient="portrait"/>
          <w:cols w:equalWidth="0" w:num="1">
            <w:col w:w="9320"/>
          </w:cols>
          <w:pgMar w:left="1260" w:top="1173" w:right="1326" w:bottom="0"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09" w:lineRule="auto"/>
        <w:rPr>
          <w:sz w:val="20"/>
          <w:szCs w:val="20"/>
          <w:color w:val="auto"/>
        </w:rPr>
      </w:pPr>
      <w:r>
        <w:rPr>
          <w:rFonts w:ascii="Arial" w:cs="Arial" w:eastAsia="Arial" w:hAnsi="Arial"/>
          <w:sz w:val="20"/>
          <w:szCs w:val="20"/>
          <w:color w:val="auto"/>
        </w:rPr>
        <w:t>these states. See Part I, Item 1A Risk Factors under the heading ‘</w:t>
      </w:r>
      <w:r>
        <w:rPr>
          <w:rFonts w:ascii="Arial" w:cs="Arial" w:eastAsia="Arial" w:hAnsi="Arial"/>
          <w:sz w:val="20"/>
          <w:szCs w:val="20"/>
          <w:i w:val="1"/>
          <w:iCs w:val="1"/>
          <w:color w:val="auto"/>
        </w:rPr>
        <w:t>Our business will be negatively affected if we are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not able to anticipate and keep pace with rapid changes in government laws or regulations, or if government laws or regulations decrease the need for our services, increase our costs or limit our compensation’ </w:t>
      </w:r>
      <w:r>
        <w:rPr>
          <w:rFonts w:ascii="Arial" w:cs="Arial" w:eastAsia="Arial" w:hAnsi="Arial"/>
          <w:sz w:val="20"/>
          <w:szCs w:val="20"/>
          <w:color w:val="auto"/>
        </w:rPr>
        <w:t>for a description of the</w:t>
      </w:r>
      <w:r>
        <w:rPr>
          <w:rFonts w:ascii="Arial" w:cs="Arial" w:eastAsia="Arial" w:hAnsi="Arial"/>
          <w:sz w:val="20"/>
          <w:szCs w:val="20"/>
          <w:i w:val="1"/>
          <w:iCs w:val="1"/>
          <w:color w:val="auto"/>
        </w:rPr>
        <w:t xml:space="preserve"> </w:t>
      </w:r>
      <w:r>
        <w:rPr>
          <w:rFonts w:ascii="Arial" w:cs="Arial" w:eastAsia="Arial" w:hAnsi="Arial"/>
          <w:sz w:val="20"/>
          <w:szCs w:val="20"/>
          <w:color w:val="auto"/>
        </w:rPr>
        <w:t>risks related to our private exchange activities.</w:t>
      </w:r>
    </w:p>
    <w:p>
      <w:pPr>
        <w:spacing w:after="0" w:line="196" w:lineRule="exact"/>
        <w:rPr>
          <w:sz w:val="20"/>
          <w:szCs w:val="20"/>
          <w:color w:val="auto"/>
        </w:rPr>
      </w:pPr>
    </w:p>
    <w:p>
      <w:pPr>
        <w:spacing w:after="0" w:line="311" w:lineRule="auto"/>
        <w:rPr>
          <w:sz w:val="20"/>
          <w:szCs w:val="20"/>
          <w:color w:val="auto"/>
        </w:rPr>
      </w:pPr>
      <w:r>
        <w:rPr>
          <w:rFonts w:ascii="Arial" w:cs="Arial" w:eastAsia="Arial" w:hAnsi="Arial"/>
          <w:sz w:val="20"/>
          <w:szCs w:val="20"/>
          <w:color w:val="auto"/>
        </w:rPr>
        <w:t>Furthermore, certain of our activities are subject to regulation under the Health Insurance Portability and Accountability Act (‘HIPAA’), which is enforced by the Office for Civil Rights within the Department of Health and Human Services. As we implement and expand our direct-to-consumer sales and marketing solutions through our Benefits Delivery &amp; Outsourcing business, we are subject to various federal and state laws and regulations that prescribe when and how we may market to consumers (including, without limitation, the Telephone Consumer Protection Act and other telemarketing laws and the Medicare Communications and Marketing Guidelines issued by the Center for Medicare Services).</w:t>
      </w:r>
    </w:p>
    <w:p>
      <w:pPr>
        <w:spacing w:after="0" w:line="194" w:lineRule="exact"/>
        <w:rPr>
          <w:sz w:val="20"/>
          <w:szCs w:val="20"/>
          <w:color w:val="auto"/>
        </w:rPr>
      </w:pPr>
    </w:p>
    <w:p>
      <w:pPr>
        <w:ind w:right="120"/>
        <w:spacing w:after="0" w:line="329" w:lineRule="auto"/>
        <w:rPr>
          <w:sz w:val="20"/>
          <w:szCs w:val="20"/>
          <w:color w:val="auto"/>
        </w:rPr>
      </w:pPr>
      <w:r>
        <w:rPr>
          <w:rFonts w:ascii="Arial" w:cs="Arial" w:eastAsia="Arial" w:hAnsi="Arial"/>
          <w:sz w:val="19"/>
          <w:szCs w:val="19"/>
          <w:color w:val="auto"/>
        </w:rPr>
        <w:t>Certain of our activities are governed by other regulatory bodies, such as investment and securities licensing authorities. Our activities in connection with investment services within the United States are subject to regulation and supervision at both the federal and state levels. At the federal level, certain of our operating subsidiaries are regulated by the SEC through the Investment Company Act of 1940 and the Investment Advisers’ Act of 1940 and by the Department of Labor through the Employee Retirement Income Security Act, or ERISA. In connection with the SEC regulations, we are required to file certain reports, and are subject to various marketing restrictions, among other requirements. In connection with ERISA regulations, we are limited in the actions we can take for plans for which we serve as fiduciaries, among other matters. Our U.S. investment activities are also subject to certain state regulatory schemes, and some activities also are subject to regulation by the Commodities and Futures Trading Commission under the Commodities Exchange Act.</w:t>
      </w:r>
    </w:p>
    <w:p>
      <w:pPr>
        <w:spacing w:after="0" w:line="185" w:lineRule="exact"/>
        <w:rPr>
          <w:sz w:val="20"/>
          <w:szCs w:val="20"/>
          <w:color w:val="auto"/>
        </w:rPr>
      </w:pPr>
    </w:p>
    <w:p>
      <w:pPr>
        <w:spacing w:after="0" w:line="310" w:lineRule="auto"/>
        <w:rPr>
          <w:sz w:val="20"/>
          <w:szCs w:val="20"/>
          <w:color w:val="auto"/>
        </w:rPr>
      </w:pPr>
      <w:r>
        <w:rPr>
          <w:rFonts w:ascii="Arial" w:cs="Arial" w:eastAsia="Arial" w:hAnsi="Arial"/>
          <w:sz w:val="20"/>
          <w:szCs w:val="20"/>
          <w:color w:val="auto"/>
        </w:rPr>
        <w:t>Our activities in connection with Third Party Administrator (‘TPA’) services in the United States are also subject to regulation and supervision by many state authorities. Licensing requirements and supervision vary from state to state. As with insurance brokerage services, our continuing ability to provide these services in states that regulate our activities is dependent upon our compliance with the rules and regulations promulgated from time to time by the regulatory authorities in each of these states.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United Kingdom</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In the U.K., our business is regulated by the Financial Conduct Authority (‘FCA’).</w:t>
      </w:r>
    </w:p>
    <w:p>
      <w:pPr>
        <w:spacing w:after="0" w:line="260" w:lineRule="exact"/>
        <w:rPr>
          <w:sz w:val="20"/>
          <w:szCs w:val="20"/>
          <w:color w:val="auto"/>
        </w:rPr>
      </w:pPr>
    </w:p>
    <w:p>
      <w:pPr>
        <w:ind w:right="60"/>
        <w:spacing w:after="0" w:line="329" w:lineRule="auto"/>
        <w:rPr>
          <w:sz w:val="20"/>
          <w:szCs w:val="20"/>
          <w:color w:val="auto"/>
        </w:rPr>
      </w:pPr>
      <w:r>
        <w:rPr>
          <w:rFonts w:ascii="Arial" w:cs="Arial" w:eastAsia="Arial" w:hAnsi="Arial"/>
          <w:sz w:val="19"/>
          <w:szCs w:val="19"/>
          <w:color w:val="auto"/>
        </w:rPr>
        <w:t>The FCA’s primary strategic objective is to ensure that the relevant financial services market functions efficiently and effectively. Its strategic priorities are to be a smarter regulator; to support growth; to help consumers navigate their financial lives; and to fight financial crime. The FCA has a wide range of rule-making, investigatory and enforcement powers (including the power to censure and fine) and conducts monitoring visits to assess our compliance with regulatory requirements. In addition, the FCA extended the Senior Managers and Certification Regime (‘SMCR’) which became effective on December 9, 2019 in relation to our U.K. FCA-regulated businesses. The SMCR is designed to drive improvements in culture and governance within financial services firms and to deter misconduct by increasing individual accountability to the FCA.</w:t>
      </w:r>
    </w:p>
    <w:p>
      <w:pPr>
        <w:spacing w:after="0" w:line="184" w:lineRule="exact"/>
        <w:rPr>
          <w:sz w:val="20"/>
          <w:szCs w:val="20"/>
          <w:color w:val="auto"/>
        </w:rPr>
      </w:pPr>
    </w:p>
    <w:p>
      <w:pPr>
        <w:ind w:right="100"/>
        <w:spacing w:after="0" w:line="307" w:lineRule="auto"/>
        <w:rPr>
          <w:sz w:val="20"/>
          <w:szCs w:val="20"/>
          <w:color w:val="auto"/>
        </w:rPr>
      </w:pPr>
      <w:r>
        <w:rPr>
          <w:rFonts w:ascii="Arial" w:cs="Arial" w:eastAsia="Arial" w:hAnsi="Arial"/>
          <w:sz w:val="20"/>
          <w:szCs w:val="20"/>
          <w:color w:val="auto"/>
        </w:rPr>
        <w:t>New regulations and modifications to existing regulations that are specific to the U.K. have and will continue to result in differences from the regulatory requirements of the E.U. See Part I, Item 1A Risk Factors, for a description of Brexit-related risks to the Company.</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 / 87</w:t>
      </w:r>
    </w:p>
    <w:p>
      <w:pPr>
        <w:sectPr>
          <w:pgSz w:w="11900" w:h="16838" w:orient="portrait"/>
          <w:cols w:equalWidth="0" w:num="1">
            <w:col w:w="9360"/>
          </w:cols>
          <w:pgMar w:left="1260" w:top="1440" w:right="1286" w:bottom="0" w:gutter="0" w:footer="0" w:header="0"/>
          <w:type w:val="continuous"/>
        </w:sectPr>
      </w:pPr>
    </w:p>
    <w:bookmarkStart w:id="25" w:name="page26"/>
    <w:bookmarkEnd w:id="25"/>
    <w:p>
      <w:pPr>
        <w:ind w:right="100"/>
        <w:spacing w:after="0" w:line="309" w:lineRule="auto"/>
        <w:rPr>
          <w:sz w:val="20"/>
          <w:szCs w:val="20"/>
          <w:color w:val="auto"/>
        </w:rPr>
      </w:pPr>
      <w:r>
        <w:rPr>
          <w:rFonts w:ascii="Arial" w:cs="Arial" w:eastAsia="Arial" w:hAnsi="Arial"/>
          <w:sz w:val="20"/>
          <w:szCs w:val="20"/>
          <w:color w:val="auto"/>
        </w:rPr>
        <w:t>Furthermore, as a result of Brexit, the WTW Brexit broking solution (the U.K. branch of Willis Towers Watson SA/ NV) was fully authorized by the FCA as a third-country branch. The branch is subject to requirements in key areas such as SMCR and is also subject to the supervisory oversight of the Belgian Financial Services &amp; Markets Authority.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European Union</w:t>
      </w:r>
    </w:p>
    <w:p>
      <w:pPr>
        <w:spacing w:after="0" w:line="260" w:lineRule="exact"/>
        <w:rPr>
          <w:sz w:val="20"/>
          <w:szCs w:val="20"/>
          <w:color w:val="auto"/>
        </w:rPr>
      </w:pPr>
    </w:p>
    <w:p>
      <w:pPr>
        <w:ind w:right="100"/>
        <w:spacing w:after="0" w:line="350" w:lineRule="auto"/>
        <w:rPr>
          <w:sz w:val="20"/>
          <w:szCs w:val="20"/>
          <w:color w:val="auto"/>
        </w:rPr>
      </w:pPr>
      <w:r>
        <w:rPr>
          <w:rFonts w:ascii="Arial" w:cs="Arial" w:eastAsia="Arial" w:hAnsi="Arial"/>
          <w:sz w:val="18"/>
          <w:szCs w:val="18"/>
          <w:color w:val="auto"/>
        </w:rPr>
        <w:t>In 2005, the European Union Insurance Mediation Directive introduced rules to enable insurance and reinsurance intermediaries to operate and provide services within each member state of the E.U. on a basis consistent with the E.U. single market and customer protection aims. Each E.U. member state in which we operate is required to ensure that the insurance and reinsurance intermediaries resident in their country are registered with a statutory body in that country and that each intermediary meets professional requirements in relation to their competence, good repute, professional indemnity cover and financial capacity. The E.U. issued an additional Insurance Distribution Directive that expands the 2005 directive, and all E.U. member states in which we operate were required to enact the directive and adopt local country laws by October 1, 2018.</w:t>
      </w:r>
    </w:p>
    <w:p>
      <w:pPr>
        <w:spacing w:after="0" w:line="165"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Certain of our entities that undertake pension scheme management are subject to MiFID (Markets in Financial Instruments Directive) and MiFIR (the Markets in Financial Instruments Regulation). In addition, revisions to MiFID (‘MiFID II’) took effect in January 2018. These revisions are aimed at strengthening investor protection and improving the function of financial markets. MiFID II imposes a variety of requirements that include, among others, rules relating to product governance and independent investment advice,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87</w:t>
      </w:r>
    </w:p>
    <w:p>
      <w:pPr>
        <w:sectPr>
          <w:pgSz w:w="11900" w:h="16838" w:orient="portrait"/>
          <w:cols w:equalWidth="0" w:num="1">
            <w:col w:w="9400"/>
          </w:cols>
          <w:pgMar w:left="1260" w:top="1173" w:right="1246" w:bottom="0"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0"/>
        <w:spacing w:after="0" w:line="355" w:lineRule="auto"/>
        <w:rPr>
          <w:sz w:val="20"/>
          <w:szCs w:val="20"/>
          <w:color w:val="auto"/>
        </w:rPr>
      </w:pPr>
      <w:r>
        <w:rPr>
          <w:rFonts w:ascii="Arial" w:cs="Arial" w:eastAsia="Arial" w:hAnsi="Arial"/>
          <w:sz w:val="18"/>
          <w:szCs w:val="18"/>
          <w:color w:val="auto"/>
        </w:rPr>
        <w:t>responsibility of management bodies, inducements, information and reporting to clients, cross-selling, remuneration of staff, and best execution of trades for clients. Further, some of our entities are also authorized and regulated by certain financial services authorities in countries such as Sweden, Ireland, the Netherlands and the U.K.</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260" w:lineRule="exact"/>
        <w:rPr>
          <w:sz w:val="20"/>
          <w:szCs w:val="20"/>
          <w:color w:val="auto"/>
        </w:rPr>
      </w:pPr>
    </w:p>
    <w:p>
      <w:pPr>
        <w:ind w:right="160"/>
        <w:spacing w:after="0" w:line="307" w:lineRule="auto"/>
        <w:rPr>
          <w:sz w:val="20"/>
          <w:szCs w:val="20"/>
          <w:color w:val="auto"/>
        </w:rPr>
      </w:pPr>
      <w:r>
        <w:rPr>
          <w:rFonts w:ascii="Arial" w:cs="Arial" w:eastAsia="Arial" w:hAnsi="Arial"/>
          <w:sz w:val="20"/>
          <w:szCs w:val="20"/>
          <w:color w:val="auto"/>
        </w:rPr>
        <w:t>All companies carrying on similar activities discussed above in a given jurisdiction are subject to regulations which are not dissimilar to the requirements for our operations in the U.S. and U.K. We do not consider these regulatory requirements as adversely affecting our competitive position.</w:t>
      </w:r>
    </w:p>
    <w:p>
      <w:pPr>
        <w:spacing w:after="0" w:line="197" w:lineRule="exact"/>
        <w:rPr>
          <w:sz w:val="20"/>
          <w:szCs w:val="20"/>
          <w:color w:val="auto"/>
        </w:rPr>
      </w:pPr>
    </w:p>
    <w:p>
      <w:pPr>
        <w:ind w:right="360"/>
        <w:spacing w:after="0" w:line="363" w:lineRule="auto"/>
        <w:rPr>
          <w:sz w:val="20"/>
          <w:szCs w:val="20"/>
          <w:color w:val="auto"/>
        </w:rPr>
      </w:pPr>
      <w:r>
        <w:rPr>
          <w:rFonts w:ascii="Arial" w:cs="Arial" w:eastAsia="Arial" w:hAnsi="Arial"/>
          <w:sz w:val="18"/>
          <w:szCs w:val="18"/>
          <w:color w:val="auto"/>
        </w:rPr>
        <w:t>Our failure, or that of our employees, to satisfy the regulatory compliance requirements or the legal requirements governing our activities, can result in disciplinary action, fines, reputational damage and financial harm.</w:t>
      </w:r>
    </w:p>
    <w:p>
      <w:pPr>
        <w:spacing w:after="0" w:line="154" w:lineRule="exact"/>
        <w:rPr>
          <w:sz w:val="20"/>
          <w:szCs w:val="20"/>
          <w:color w:val="auto"/>
        </w:rPr>
      </w:pPr>
    </w:p>
    <w:p>
      <w:pPr>
        <w:ind w:right="40"/>
        <w:spacing w:after="0" w:line="307" w:lineRule="auto"/>
        <w:rPr>
          <w:sz w:val="20"/>
          <w:szCs w:val="20"/>
          <w:color w:val="auto"/>
        </w:rPr>
      </w:pPr>
      <w:r>
        <w:rPr>
          <w:rFonts w:ascii="Arial" w:cs="Arial" w:eastAsia="Arial" w:hAnsi="Arial"/>
          <w:sz w:val="20"/>
          <w:szCs w:val="20"/>
          <w:color w:val="auto"/>
        </w:rPr>
        <w:t>See Part I, Item 1A Risk Factors, for an analysis of how actions by regulatory authorities or changes in legislation and regulation as well as compliance with evolving laws, including with respect to data privacy and cybersecurity, in the jurisdictions in which we operate may have an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about Executive Officers of the Registrant</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The executive officers of the Company as of February 25, 2026 were as follows:</w:t>
      </w:r>
    </w:p>
    <w:p>
      <w:pPr>
        <w:spacing w:after="0" w:line="260" w:lineRule="exact"/>
        <w:rPr>
          <w:sz w:val="20"/>
          <w:szCs w:val="20"/>
          <w:color w:val="auto"/>
        </w:rPr>
      </w:pPr>
    </w:p>
    <w:p>
      <w:pPr>
        <w:spacing w:after="0" w:line="329" w:lineRule="auto"/>
        <w:rPr>
          <w:sz w:val="20"/>
          <w:szCs w:val="20"/>
          <w:color w:val="auto"/>
        </w:rPr>
      </w:pPr>
      <w:r>
        <w:rPr>
          <w:rFonts w:ascii="Arial" w:cs="Arial" w:eastAsia="Arial" w:hAnsi="Arial"/>
          <w:sz w:val="19"/>
          <w:szCs w:val="19"/>
          <w:b w:val="1"/>
          <w:bCs w:val="1"/>
          <w:color w:val="212529"/>
        </w:rPr>
        <w:t xml:space="preserve">Kristy D. Banas (age 53) </w:t>
      </w:r>
      <w:r>
        <w:rPr>
          <w:rFonts w:ascii="Arial" w:cs="Arial" w:eastAsia="Arial" w:hAnsi="Arial"/>
          <w:sz w:val="19"/>
          <w:szCs w:val="19"/>
          <w:color w:val="212529"/>
        </w:rPr>
        <w:t>-</w:t>
      </w:r>
      <w:r>
        <w:rPr>
          <w:rFonts w:ascii="Arial" w:cs="Arial" w:eastAsia="Arial" w:hAnsi="Arial"/>
          <w:sz w:val="19"/>
          <w:szCs w:val="19"/>
          <w:b w:val="1"/>
          <w:bCs w:val="1"/>
          <w:color w:val="212529"/>
        </w:rPr>
        <w:t xml:space="preserve"> </w:t>
      </w:r>
      <w:r>
        <w:rPr>
          <w:rFonts w:ascii="Arial" w:cs="Arial" w:eastAsia="Arial" w:hAnsi="Arial"/>
          <w:sz w:val="19"/>
          <w:szCs w:val="19"/>
          <w:color w:val="000000"/>
        </w:rPr>
        <w:t>Ms. Banas has served as Chief Human Resources Officer and Head of Marketing and</w:t>
      </w:r>
      <w:r>
        <w:rPr>
          <w:rFonts w:ascii="Arial" w:cs="Arial" w:eastAsia="Arial" w:hAnsi="Arial"/>
          <w:sz w:val="19"/>
          <w:szCs w:val="19"/>
          <w:b w:val="1"/>
          <w:bCs w:val="1"/>
          <w:color w:val="212529"/>
        </w:rPr>
        <w:t xml:space="preserve"> </w:t>
      </w:r>
      <w:r>
        <w:rPr>
          <w:rFonts w:ascii="Arial" w:cs="Arial" w:eastAsia="Arial" w:hAnsi="Arial"/>
          <w:sz w:val="19"/>
          <w:szCs w:val="19"/>
          <w:color w:val="000000"/>
        </w:rPr>
        <w:t>Communications since May 1, 2023. Prior to that, she served as Chief Human Resources Officer from August 16, 2021. She also served as the Managing Director, Global Talent Advisor for Human Capital &amp; Benefits from March 2019 to August 2021 and as Senior Director and Head of Global Total Rewards, HR Integration and the HR Business Office from November 2016 to March 2019. From January 2016 to November 2016, Ms. Banas served as Senior Director and Global HR Leader, WTW Operations and Technology. From July 2011 to January 2016, Ms. Banas served as Senior Vice President, Global HR Director for WTW Corporate Functions, and was the Executive HR Sponsor for Global Operations Improvement. Ms. Banas was Vice President and Global HR Partner with XL Capital/XL Global Services/XL Insurance from November 2001 to June 2011. Ms. Banas has a BS in Business Management from Fairfield University and a partial MS in Human Resource Management from the University of Connecticut.</w:t>
      </w:r>
    </w:p>
    <w:p>
      <w:pPr>
        <w:spacing w:after="0" w:line="185" w:lineRule="exact"/>
        <w:rPr>
          <w:sz w:val="20"/>
          <w:szCs w:val="20"/>
          <w:color w:val="auto"/>
        </w:rPr>
      </w:pPr>
    </w:p>
    <w:p>
      <w:pPr>
        <w:ind w:right="200"/>
        <w:spacing w:after="0" w:line="311" w:lineRule="auto"/>
        <w:rPr>
          <w:sz w:val="20"/>
          <w:szCs w:val="20"/>
          <w:color w:val="auto"/>
        </w:rPr>
      </w:pPr>
      <w:r>
        <w:rPr>
          <w:rFonts w:ascii="Arial" w:cs="Arial" w:eastAsia="Arial" w:hAnsi="Arial"/>
          <w:sz w:val="20"/>
          <w:szCs w:val="20"/>
          <w:b w:val="1"/>
          <w:bCs w:val="1"/>
          <w:color w:val="auto"/>
        </w:rPr>
        <w:t xml:space="preserve">Lucy Clarke (age 59) - </w:t>
      </w:r>
      <w:r>
        <w:rPr>
          <w:rFonts w:ascii="Arial" w:cs="Arial" w:eastAsia="Arial" w:hAnsi="Arial"/>
          <w:sz w:val="20"/>
          <w:szCs w:val="20"/>
          <w:color w:val="auto"/>
        </w:rPr>
        <w:t>Ms. Clarke has served as the President of Risk &amp; Broking at WTW since July 22, 2024.</w:t>
      </w:r>
      <w:r>
        <w:rPr>
          <w:rFonts w:ascii="Arial" w:cs="Arial" w:eastAsia="Arial" w:hAnsi="Arial"/>
          <w:sz w:val="20"/>
          <w:szCs w:val="20"/>
          <w:b w:val="1"/>
          <w:bCs w:val="1"/>
          <w:color w:val="auto"/>
        </w:rPr>
        <w:t xml:space="preserve"> </w:t>
      </w:r>
      <w:r>
        <w:rPr>
          <w:rFonts w:ascii="Arial" w:cs="Arial" w:eastAsia="Arial" w:hAnsi="Arial"/>
          <w:sz w:val="20"/>
          <w:szCs w:val="20"/>
          <w:color w:val="auto"/>
        </w:rPr>
        <w:t>Previously, she served as President of Marsh JLT Specialty and Global Placement from April 2019 to July 2024. Prior to that, Ms. Clarke was with JLT Group for 17 years, holding diverse leadership roles, including CEO of JLT Global Specialty, the insurance and risk arm of the JLT Group, from April 2018 to April 2019. Ms. Clarke is a past President of the Insurance Institute of London. She holds a bachelor's degree in English and economics from Vanderbilt University.</w:t>
      </w:r>
    </w:p>
    <w:p>
      <w:pPr>
        <w:spacing w:after="0" w:line="192" w:lineRule="exact"/>
        <w:rPr>
          <w:sz w:val="20"/>
          <w:szCs w:val="20"/>
          <w:color w:val="auto"/>
        </w:rPr>
      </w:pPr>
    </w:p>
    <w:p>
      <w:pPr>
        <w:ind w:right="160"/>
        <w:spacing w:after="0" w:line="350" w:lineRule="auto"/>
        <w:rPr>
          <w:sz w:val="20"/>
          <w:szCs w:val="20"/>
          <w:color w:val="auto"/>
        </w:rPr>
      </w:pPr>
      <w:r>
        <w:rPr>
          <w:rFonts w:ascii="Arial" w:cs="Arial" w:eastAsia="Arial" w:hAnsi="Arial"/>
          <w:sz w:val="18"/>
          <w:szCs w:val="18"/>
          <w:b w:val="1"/>
          <w:bCs w:val="1"/>
          <w:color w:val="auto"/>
        </w:rPr>
        <w:t xml:space="preserve">Alexis Faber (age 48) - </w:t>
      </w:r>
      <w:r>
        <w:rPr>
          <w:rFonts w:ascii="Arial" w:cs="Arial" w:eastAsia="Arial" w:hAnsi="Arial"/>
          <w:sz w:val="18"/>
          <w:szCs w:val="18"/>
          <w:color w:val="auto"/>
        </w:rPr>
        <w:t>Ms. Faber has served as Chief Operating Officer at WTW since August 30, 2021.</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she served as Chief Operating Officer for Corporate Risk &amp; Broking from March 2018 to August 2021. Prior to that, Ms. Faber served as Global Head of Financial Lines since January 2016, Head of FINEX for North America since April 2014, Risk Control and Claim Advocacy Practice Leader for North America since July 2012, Chief Operating Officer for Willis North America since August 2009 and as Chief Operating Officer for the Executive Risks practice since September 2006. Prior to that, Ms. Faber served as Regional Finance Officer for North America since July 2004, and as Financial and Operations Controller for Global Specialties, North America</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87</w:t>
      </w:r>
    </w:p>
    <w:p>
      <w:pPr>
        <w:sectPr>
          <w:pgSz w:w="11900" w:h="16838" w:orient="portrait"/>
          <w:cols w:equalWidth="0" w:num="1">
            <w:col w:w="9400"/>
          </w:cols>
          <w:pgMar w:left="1260" w:top="1440" w:right="1246" w:bottom="0" w:gutter="0" w:footer="0" w:header="0"/>
          <w:type w:val="continuous"/>
        </w:sectPr>
      </w:pPr>
    </w:p>
    <w:bookmarkStart w:id="27" w:name="page28"/>
    <w:bookmarkEnd w:id="27"/>
    <w:p>
      <w:pPr>
        <w:ind w:right="240"/>
        <w:spacing w:after="0" w:line="307" w:lineRule="auto"/>
        <w:rPr>
          <w:sz w:val="20"/>
          <w:szCs w:val="20"/>
          <w:color w:val="auto"/>
        </w:rPr>
      </w:pPr>
      <w:r>
        <w:rPr>
          <w:rFonts w:ascii="Arial" w:cs="Arial" w:eastAsia="Arial" w:hAnsi="Arial"/>
          <w:sz w:val="20"/>
          <w:szCs w:val="20"/>
          <w:color w:val="auto"/>
        </w:rPr>
        <w:t>since August 2003. Before joining WTW, Ms. Faber worked in investment banking at Schroder Salomon Smith Barney and at Citigroup. Ms. Faber holds a bachelor’s degree in economics from Williams College and an M.B.A from Columbia Business School.</w:t>
      </w:r>
    </w:p>
    <w:p>
      <w:pPr>
        <w:spacing w:after="0" w:line="197" w:lineRule="exact"/>
        <w:rPr>
          <w:sz w:val="20"/>
          <w:szCs w:val="20"/>
          <w:color w:val="auto"/>
        </w:rPr>
      </w:pPr>
    </w:p>
    <w:p>
      <w:pPr>
        <w:spacing w:after="0" w:line="329" w:lineRule="auto"/>
        <w:rPr>
          <w:sz w:val="20"/>
          <w:szCs w:val="20"/>
          <w:color w:val="auto"/>
        </w:rPr>
      </w:pPr>
      <w:r>
        <w:rPr>
          <w:rFonts w:ascii="Arial" w:cs="Arial" w:eastAsia="Arial" w:hAnsi="Arial"/>
          <w:sz w:val="19"/>
          <w:szCs w:val="19"/>
          <w:b w:val="1"/>
          <w:bCs w:val="1"/>
          <w:color w:val="auto"/>
        </w:rPr>
        <w:t xml:space="preserve">Matthew S. Furman (age 56) </w:t>
      </w:r>
      <w:r>
        <w:rPr>
          <w:rFonts w:ascii="Arial" w:cs="Arial" w:eastAsia="Arial" w:hAnsi="Arial"/>
          <w:sz w:val="19"/>
          <w:szCs w:val="19"/>
          <w:color w:val="auto"/>
        </w:rPr>
        <w:t>- Mr. Furman has served as General Counsel at WTW since January 4, 2016.</w:t>
      </w:r>
      <w:r>
        <w:rPr>
          <w:rFonts w:ascii="Arial" w:cs="Arial" w:eastAsia="Arial" w:hAnsi="Arial"/>
          <w:sz w:val="19"/>
          <w:szCs w:val="19"/>
          <w:b w:val="1"/>
          <w:bCs w:val="1"/>
          <w:color w:val="auto"/>
        </w:rPr>
        <w:t xml:space="preserve"> </w:t>
      </w:r>
      <w:r>
        <w:rPr>
          <w:rFonts w:ascii="Arial" w:cs="Arial" w:eastAsia="Arial" w:hAnsi="Arial"/>
          <w:sz w:val="19"/>
          <w:szCs w:val="19"/>
          <w:color w:val="auto"/>
        </w:rPr>
        <w:t>Previously, Mr. Furman served as Executive Vice President and Group General Counsel at Willis Group Holdings, where he was a member of the Operating Committee since April 2015. From 2007 until March 2015, Mr. Furman was Senior Vice President, Group General Counsel-Corporate and Governance, and Corporate Secretary for The Travelers Companies, Inc. From 2000 until 2007, Mr. Furman was an attorney at Goldman, Sachs &amp; Co. in New York, where he was Vice President and Associate General Counsel in the finance and corporate legal group. Prior to that, he was in private practice, with almost six years’ experience at Simpson Thacher &amp; Bartlett in New York. Mr. Furman also serves as Treasurer and as a Trustee of the Jewish Theological Seminary and as a Director of the Legal Aid Society. He previously served as a member of the U.S. Securities and Exchange Commission’s Investor Advisory Committee, where he served on the Executive Committee and chaired the Market Structure Subcommittee. He holds a bachelor’s degree magna cum laude from Brown University and a law degree magna cum laude from Harvard Law School.</w:t>
      </w:r>
    </w:p>
    <w:p>
      <w:pPr>
        <w:spacing w:after="0" w:line="186" w:lineRule="exact"/>
        <w:rPr>
          <w:sz w:val="20"/>
          <w:szCs w:val="20"/>
          <w:color w:val="auto"/>
        </w:rPr>
      </w:pPr>
    </w:p>
    <w:p>
      <w:pPr>
        <w:ind w:right="160"/>
        <w:spacing w:after="0" w:line="311" w:lineRule="auto"/>
        <w:rPr>
          <w:sz w:val="20"/>
          <w:szCs w:val="20"/>
          <w:color w:val="auto"/>
        </w:rPr>
      </w:pPr>
      <w:r>
        <w:rPr>
          <w:rFonts w:ascii="Arial" w:cs="Arial" w:eastAsia="Arial" w:hAnsi="Arial"/>
          <w:sz w:val="20"/>
          <w:szCs w:val="20"/>
          <w:b w:val="1"/>
          <w:bCs w:val="1"/>
          <w:color w:val="auto"/>
        </w:rPr>
        <w:t xml:space="preserve">Julie J. Gebauer (age 64) </w:t>
      </w:r>
      <w:r>
        <w:rPr>
          <w:rFonts w:ascii="Arial" w:cs="Arial" w:eastAsia="Arial" w:hAnsi="Arial"/>
          <w:sz w:val="20"/>
          <w:szCs w:val="20"/>
          <w:color w:val="auto"/>
        </w:rPr>
        <w:t>- Ms. Gebauer has served as President of Health, Wealth and Career at WTW since</w:t>
      </w:r>
      <w:r>
        <w:rPr>
          <w:rFonts w:ascii="Arial" w:cs="Arial" w:eastAsia="Arial" w:hAnsi="Arial"/>
          <w:sz w:val="20"/>
          <w:szCs w:val="20"/>
          <w:b w:val="1"/>
          <w:bCs w:val="1"/>
          <w:color w:val="auto"/>
        </w:rPr>
        <w:t xml:space="preserve"> </w:t>
      </w:r>
      <w:r>
        <w:rPr>
          <w:rFonts w:ascii="Arial" w:cs="Arial" w:eastAsia="Arial" w:hAnsi="Arial"/>
          <w:sz w:val="20"/>
          <w:szCs w:val="20"/>
          <w:color w:val="auto"/>
        </w:rPr>
        <w:t>January 1, 2022. Previously, Ms. Gebauer served as Head of Human Capital &amp; Benefits at WTW since January 4, 2016 and, prior to that, as Managing Director of Towers Watson’s Talent and Rewards business segment since January 1, 2010. Beginning in 2002, Ms. Gebauer served as a Managing Director of Towers Perrin and led Towers Perrin’s global Workforce Effectiveness practice and the global Towers Perrin-International Survey Research Corporation line of business. Ms. Gebauer was a member of Towers Perrin’s board of directors from 2003 through 2006. She joined Towers Perrin in 1986 as a consultant and held several leadership positions at Towers Perrin, serving</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28 / 87</w:t>
      </w:r>
    </w:p>
    <w:p>
      <w:pPr>
        <w:sectPr>
          <w:pgSz w:w="11900" w:h="16838" w:orient="portrait"/>
          <w:cols w:equalWidth="0" w:num="1">
            <w:col w:w="9340"/>
          </w:cols>
          <w:pgMar w:left="1260" w:top="1173" w:right="1306" w:bottom="0"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80"/>
        <w:spacing w:after="0" w:line="330" w:lineRule="auto"/>
        <w:rPr>
          <w:sz w:val="20"/>
          <w:szCs w:val="20"/>
          <w:color w:val="auto"/>
        </w:rPr>
      </w:pPr>
      <w:r>
        <w:rPr>
          <w:rFonts w:ascii="Arial" w:cs="Arial" w:eastAsia="Arial" w:hAnsi="Arial"/>
          <w:sz w:val="19"/>
          <w:szCs w:val="19"/>
          <w:color w:val="auto"/>
        </w:rPr>
        <w:t>as the Managing Principal for the New York office from 1999 to 2001 and the U.S. East Region Leader for the Human Capital Group from 2002 to 2006. Ms. Gebauer is a Fellow of the Society of Actuaries. Ms. Gebauer graduated Phi Beta Kappa and with high distinction from the University of Nebraska-Lincoln with a bachelor’s degree in mathematics and was designated a Chancellor’s Scholar.</w:t>
      </w:r>
    </w:p>
    <w:p>
      <w:pPr>
        <w:spacing w:after="0" w:line="178" w:lineRule="exact"/>
        <w:rPr>
          <w:sz w:val="20"/>
          <w:szCs w:val="20"/>
          <w:color w:val="auto"/>
        </w:rPr>
      </w:pPr>
    </w:p>
    <w:p>
      <w:pPr>
        <w:ind w:right="40"/>
        <w:spacing w:after="0" w:line="349" w:lineRule="auto"/>
        <w:rPr>
          <w:sz w:val="20"/>
          <w:szCs w:val="20"/>
          <w:color w:val="auto"/>
        </w:rPr>
      </w:pPr>
      <w:r>
        <w:rPr>
          <w:rFonts w:ascii="Arial" w:cs="Arial" w:eastAsia="Arial" w:hAnsi="Arial"/>
          <w:sz w:val="18"/>
          <w:szCs w:val="18"/>
          <w:b w:val="1"/>
          <w:bCs w:val="1"/>
          <w:color w:val="auto"/>
        </w:rPr>
        <w:t xml:space="preserve">Carl A. Hess (age 64) </w:t>
      </w:r>
      <w:r>
        <w:rPr>
          <w:rFonts w:ascii="Arial" w:cs="Arial" w:eastAsia="Arial" w:hAnsi="Arial"/>
          <w:sz w:val="18"/>
          <w:szCs w:val="18"/>
          <w:color w:val="auto"/>
        </w:rPr>
        <w:t>- Mr. Hess has served as Chief Executive Officer at WTW since January 1, 2022 and,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that, served as President since August 16, 2021. Mr. Hess was formerly Head of Investment, Risk and Reinsurance from October 27, 2016 to August 16, 2021. Previously, Mr. Hess served as the Co-Head of North America at WTW since January 4, 2016. Prior to that, Mr. Hess served as Managing Director, The Americas of Towers Watson since February 1, 2014, and before that, he served as the Managing Director of Towers Watson’s Investment business since January 1, 2010. Before his service at Towers Watson, Mr. Hess worked in a variety of roles for over 20 years at Watson Wyatt, lastly as Global Practice Director of Watson Wyatt’s Investment business. Mr. Hess is a Fellow of the Society of Actuaries and the Conference of Consulting Actuaries and a Chartered Enterprise Risk Analyst. He has a bachelor’s degree cum laude in logic and language from Yale University.</w:t>
      </w:r>
    </w:p>
    <w:p>
      <w:pPr>
        <w:spacing w:after="0" w:line="171" w:lineRule="exact"/>
        <w:rPr>
          <w:sz w:val="20"/>
          <w:szCs w:val="20"/>
          <w:color w:val="auto"/>
        </w:rPr>
      </w:pPr>
    </w:p>
    <w:p>
      <w:pPr>
        <w:spacing w:after="0" w:line="329" w:lineRule="auto"/>
        <w:rPr>
          <w:sz w:val="20"/>
          <w:szCs w:val="20"/>
          <w:color w:val="auto"/>
        </w:rPr>
      </w:pPr>
      <w:r>
        <w:rPr>
          <w:rFonts w:ascii="Arial" w:cs="Arial" w:eastAsia="Arial" w:hAnsi="Arial"/>
          <w:sz w:val="19"/>
          <w:szCs w:val="19"/>
          <w:b w:val="1"/>
          <w:bCs w:val="1"/>
          <w:color w:val="auto"/>
        </w:rPr>
        <w:t xml:space="preserve">Andrew J. Krasner (age 50) </w:t>
      </w:r>
      <w:r>
        <w:rPr>
          <w:rFonts w:ascii="Arial" w:cs="Arial" w:eastAsia="Arial" w:hAnsi="Arial"/>
          <w:sz w:val="19"/>
          <w:szCs w:val="19"/>
          <w:color w:val="auto"/>
        </w:rPr>
        <w:t>- Mr. Krasner has served as Chief Financial Officer at WTW since September 7, 2021</w:t>
      </w:r>
      <w:r>
        <w:rPr>
          <w:rFonts w:ascii="Arial" w:cs="Arial" w:eastAsia="Arial" w:hAnsi="Arial"/>
          <w:sz w:val="19"/>
          <w:szCs w:val="19"/>
          <w:b w:val="1"/>
          <w:bCs w:val="1"/>
          <w:color w:val="auto"/>
        </w:rPr>
        <w:t xml:space="preserve"> </w:t>
      </w:r>
      <w:r>
        <w:rPr>
          <w:rFonts w:ascii="Arial" w:cs="Arial" w:eastAsia="Arial" w:hAnsi="Arial"/>
          <w:sz w:val="19"/>
          <w:szCs w:val="19"/>
          <w:color w:val="auto"/>
        </w:rPr>
        <w:t>and co-head of Corporate Development since October 25, 2024. From February 2021 to August 2021, Mr. Krasner served as Chief Financial Officer for Assured Partners. From June 2018 to January 2021, Mr. Krasner was Global Treasurer and Head of M&amp;A of WTW, and from 2012 to June 2018, was Head of M&amp;A, responsible for the M&amp;A, joint venture, divestiture, and strategic investment activity. Mr. Krasner started with Willis in June 2009 as Senior Vice President, working on the client side with Willis Capital Markets &amp; Advisory between June 2009 to June 2012. Prior to joining WTW, Mr. Krasner was a Principal with Banc of America Securities from October 2003 to June 2009, an Associate with Deutsche Bank from July 2002 to October 2003 and a Senior Associate with PricewaterhouseCoopers from August 1997 to August 2000. Mr. Krasner has a B.S. degree in applied economics and business management and an M.B.A. with distinction from Cornell University. He is also a Certified Public Accountant.</w:t>
      </w:r>
    </w:p>
    <w:p>
      <w:pPr>
        <w:spacing w:after="0" w:line="185" w:lineRule="exact"/>
        <w:rPr>
          <w:sz w:val="20"/>
          <w:szCs w:val="20"/>
          <w:color w:val="auto"/>
        </w:rPr>
      </w:pPr>
    </w:p>
    <w:p>
      <w:pPr>
        <w:ind w:right="20"/>
        <w:spacing w:after="0" w:line="349" w:lineRule="auto"/>
        <w:rPr>
          <w:sz w:val="20"/>
          <w:szCs w:val="20"/>
          <w:color w:val="auto"/>
        </w:rPr>
      </w:pPr>
      <w:r>
        <w:rPr>
          <w:rFonts w:ascii="Arial" w:cs="Arial" w:eastAsia="Arial" w:hAnsi="Arial"/>
          <w:sz w:val="18"/>
          <w:szCs w:val="18"/>
          <w:b w:val="1"/>
          <w:bCs w:val="1"/>
          <w:color w:val="auto"/>
        </w:rPr>
        <w:t xml:space="preserve">Anne Pullum (age 43) </w:t>
      </w:r>
      <w:r>
        <w:rPr>
          <w:rFonts w:ascii="Arial" w:cs="Arial" w:eastAsia="Arial" w:hAnsi="Arial"/>
          <w:sz w:val="18"/>
          <w:szCs w:val="18"/>
          <w:color w:val="auto"/>
        </w:rPr>
        <w:t>- Ms. Pullum has served as co-head of Corporate Development at WTW since October 25,</w:t>
      </w:r>
      <w:r>
        <w:rPr>
          <w:rFonts w:ascii="Arial" w:cs="Arial" w:eastAsia="Arial" w:hAnsi="Arial"/>
          <w:sz w:val="18"/>
          <w:szCs w:val="18"/>
          <w:b w:val="1"/>
          <w:bCs w:val="1"/>
          <w:color w:val="auto"/>
        </w:rPr>
        <w:t xml:space="preserve"> </w:t>
      </w:r>
      <w:r>
        <w:rPr>
          <w:rFonts w:ascii="Arial" w:cs="Arial" w:eastAsia="Arial" w:hAnsi="Arial"/>
          <w:sz w:val="18"/>
          <w:szCs w:val="18"/>
          <w:color w:val="auto"/>
        </w:rPr>
        <w:t>2024 and Global Head of Health &amp; Benefits since July 1, 2025. Prior to that, Ms. Pullum served as Head of Europe from August 30, 2021 to September 30, 2025, Head of Western Europe from May 31, 2019 to August 30, 2021 and as the Chief Administrative Officer and Head of Strategy and Innovation since October 27, 2016. Beginning on January 4, 2016, Ms. Pullum served as WTW’s Head of Strategy, where she has played a key role in determining the Company’s strategy and worked across all business segments and functional areas. Previously, Ms. Pullum served as the Head of Strategy for Willis Group since May 2014. Before joining Willis, Ms. Pullum worked at McKinsey &amp; Company, where she served financial services and natural resource clients since October 2010. Prior to that, Ms. Pullum conducted economic research at Greenspan Associates in Washington, D.C. and served as an analyst in the Goldman Sachs Equities Division in London. Ms. Pullum holds an M.B.A. from INSEAD and a bachelor’s degree in international economics from Georgetown University’s School of Foreign Service.</w:t>
      </w:r>
    </w:p>
    <w:p>
      <w:pPr>
        <w:spacing w:after="0" w:line="169" w:lineRule="exact"/>
        <w:rPr>
          <w:sz w:val="20"/>
          <w:szCs w:val="20"/>
          <w:color w:val="auto"/>
        </w:rPr>
      </w:pPr>
    </w:p>
    <w:p>
      <w:pPr>
        <w:spacing w:after="0" w:line="350" w:lineRule="auto"/>
        <w:rPr>
          <w:sz w:val="20"/>
          <w:szCs w:val="20"/>
          <w:color w:val="auto"/>
        </w:rPr>
      </w:pPr>
      <w:r>
        <w:rPr>
          <w:rFonts w:ascii="Arial" w:cs="Arial" w:eastAsia="Arial" w:hAnsi="Arial"/>
          <w:sz w:val="18"/>
          <w:szCs w:val="18"/>
          <w:b w:val="1"/>
          <w:bCs w:val="1"/>
          <w:color w:val="auto"/>
        </w:rPr>
        <w:t xml:space="preserve">Imran Qureshi (age 55) </w:t>
      </w:r>
      <w:r>
        <w:rPr>
          <w:rFonts w:ascii="Arial" w:cs="Arial" w:eastAsia="Arial" w:hAnsi="Arial"/>
          <w:sz w:val="18"/>
          <w:szCs w:val="18"/>
          <w:color w:val="auto"/>
        </w:rPr>
        <w:t>- Mr. Qureshi has served as Global Head of Retirement at WTW since April 2, 2025 and</w:t>
      </w:r>
      <w:r>
        <w:rPr>
          <w:rFonts w:ascii="Arial" w:cs="Arial" w:eastAsia="Arial" w:hAnsi="Arial"/>
          <w:sz w:val="18"/>
          <w:szCs w:val="18"/>
          <w:b w:val="1"/>
          <w:bCs w:val="1"/>
          <w:color w:val="auto"/>
        </w:rPr>
        <w:t xml:space="preserve"> </w:t>
      </w:r>
      <w:r>
        <w:rPr>
          <w:rFonts w:ascii="Arial" w:cs="Arial" w:eastAsia="Arial" w:hAnsi="Arial"/>
          <w:sz w:val="18"/>
          <w:szCs w:val="18"/>
          <w:color w:val="auto"/>
        </w:rPr>
        <w:t>Global Head of Geographies since November 3, 2025. Prior to that, Mr. Qureshi served as Head of North America from August 2021 to September 2025, Head of Integrated &amp; Global Solutions from June 2023 to March 2025 and Co-Leader, U.S. from February 2017 to August 30, 2021. He served as Region Leader, U.S. Midwest from February 2017 to October 2019, and was Market Leader, Greater Chicago and Wisconsin from February 2016 to February 2017. Mr. Qureshi was Managing Consultant of the Chicago office from January 2013 to January 2016, and has been with WTW in other roles since March 1999. Mr. Qureshi is currently a board director at Smithbucklin and The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 / 87</w:t>
      </w:r>
    </w:p>
    <w:p>
      <w:pPr>
        <w:sectPr>
          <w:pgSz w:w="11900" w:h="16838" w:orient="portrait"/>
          <w:cols w:equalWidth="0" w:num="1">
            <w:col w:w="9380"/>
          </w:cols>
          <w:pgMar w:left="1260" w:top="1440" w:right="1266" w:bottom="0" w:gutter="0" w:footer="0" w:header="0"/>
          <w:type w:val="continuous"/>
        </w:sectPr>
      </w:pPr>
    </w:p>
    <w:bookmarkStart w:id="29" w:name="page30"/>
    <w:bookmarkEnd w:id="29"/>
    <w:p>
      <w:pPr>
        <w:spacing w:after="0" w:line="329" w:lineRule="auto"/>
        <w:rPr>
          <w:sz w:val="20"/>
          <w:szCs w:val="20"/>
          <w:color w:val="auto"/>
        </w:rPr>
      </w:pPr>
      <w:r>
        <w:rPr>
          <w:rFonts w:ascii="Arial" w:cs="Arial" w:eastAsia="Arial" w:hAnsi="Arial"/>
          <w:sz w:val="19"/>
          <w:szCs w:val="19"/>
          <w:color w:val="auto"/>
        </w:rPr>
        <w:t>Executives' Club of Chicago. Previously, he was the board chair of the Human Resources Management Association of Chicago, and he served on the M&amp;A Faculty of WorldatWork where he taught M&amp;A and taught the International Benefits Course for the International Foundation of Employee Benefit Plans. In 2004, Mr. Qureshi was honored by Business Insurance magazine as one of ‘40 Under 40 People to Watch’ in the commercial insurance and risk/benefits management services industries. He also has lectured on governance and globalization at The Kellogg School of Management at Northwestern University and The University of Chicago Booth School of Business. Mr. Qureshi holds a bachelor’s degree in pure mathematics and statistics with honors from the University of Manchester in the U.K. and has an actuarial background.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 / 87</w:t>
      </w:r>
    </w:p>
    <w:p>
      <w:pPr>
        <w:sectPr>
          <w:pgSz w:w="11900" w:h="16838" w:orient="portrait"/>
          <w:cols w:equalWidth="0" w:num="1">
            <w:col w:w="9360"/>
          </w:cols>
          <w:pgMar w:left="1260" w:top="1173" w:right="1286" w:bottom="0" w:gutter="0" w:footer="0" w:header="0"/>
          <w:type w:val="continuous"/>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of Directors</w:t>
      </w:r>
    </w:p>
    <w:p>
      <w:pPr>
        <w:spacing w:after="0" w:line="260" w:lineRule="exact"/>
        <w:rPr>
          <w:sz w:val="20"/>
          <w:szCs w:val="20"/>
          <w:color w:val="auto"/>
        </w:rPr>
      </w:pPr>
    </w:p>
    <w:p>
      <w:pPr>
        <w:ind w:right="180"/>
        <w:spacing w:after="0" w:line="302" w:lineRule="auto"/>
        <w:rPr>
          <w:sz w:val="20"/>
          <w:szCs w:val="20"/>
          <w:color w:val="auto"/>
        </w:rPr>
      </w:pPr>
      <w:r>
        <w:rPr>
          <w:rFonts w:ascii="Arial" w:cs="Arial" w:eastAsia="Arial" w:hAnsi="Arial"/>
          <w:sz w:val="20"/>
          <w:szCs w:val="20"/>
          <w:color w:val="auto"/>
        </w:rPr>
        <w:t>A list of the members of the board of directors of the Company as of the date of this Annual Report on Form 10-K and their principal occupations are provided below:</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rPr>
              <w:t>Carl Hess</w:t>
            </w:r>
          </w:p>
        </w:tc>
        <w:tc>
          <w:tcPr>
            <w:tcW w:w="3480" w:type="dxa"/>
            <w:vAlign w:val="bottom"/>
          </w:tcPr>
          <w:p>
            <w:pPr>
              <w:ind w:left="660"/>
              <w:spacing w:after="0"/>
              <w:rPr>
                <w:sz w:val="20"/>
                <w:szCs w:val="20"/>
                <w:color w:val="auto"/>
              </w:rPr>
            </w:pPr>
            <w:r>
              <w:rPr>
                <w:rFonts w:ascii="Arial" w:cs="Arial" w:eastAsia="Arial" w:hAnsi="Arial"/>
                <w:sz w:val="18"/>
                <w:szCs w:val="18"/>
                <w:b w:val="1"/>
                <w:bCs w:val="1"/>
                <w:color w:val="auto"/>
              </w:rPr>
              <w:t>Dame Inga Beale</w:t>
            </w:r>
          </w:p>
        </w:tc>
        <w:tc>
          <w:tcPr>
            <w:tcW w:w="3460" w:type="dxa"/>
            <w:vAlign w:val="bottom"/>
          </w:tcPr>
          <w:p>
            <w:pPr>
              <w:ind w:left="300"/>
              <w:spacing w:after="0"/>
              <w:rPr>
                <w:sz w:val="20"/>
                <w:szCs w:val="20"/>
                <w:color w:val="auto"/>
              </w:rPr>
            </w:pPr>
            <w:r>
              <w:rPr>
                <w:rFonts w:ascii="Arial" w:cs="Arial" w:eastAsia="Arial" w:hAnsi="Arial"/>
                <w:sz w:val="18"/>
                <w:szCs w:val="18"/>
                <w:b w:val="1"/>
                <w:bCs w:val="1"/>
                <w:color w:val="auto"/>
              </w:rPr>
              <w:t>Fumbi Chima</w:t>
            </w:r>
          </w:p>
        </w:tc>
      </w:tr>
      <w:tr>
        <w:trPr>
          <w:trHeight w:val="334"/>
        </w:trPr>
        <w:tc>
          <w:tcPr>
            <w:tcW w:w="23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480" w:type="dxa"/>
            <w:vAlign w:val="bottom"/>
          </w:tcPr>
          <w:p>
            <w:pPr>
              <w:ind w:left="660"/>
              <w:spacing w:after="0"/>
              <w:rPr>
                <w:sz w:val="20"/>
                <w:szCs w:val="20"/>
                <w:color w:val="auto"/>
              </w:rPr>
            </w:pPr>
            <w:r>
              <w:rPr>
                <w:rFonts w:ascii="Arial" w:cs="Arial" w:eastAsia="Arial" w:hAnsi="Arial"/>
                <w:sz w:val="18"/>
                <w:szCs w:val="18"/>
                <w:color w:val="auto"/>
              </w:rPr>
              <w:t>Former Chief Executive Officer of</w:t>
            </w:r>
          </w:p>
        </w:tc>
        <w:tc>
          <w:tcPr>
            <w:tcW w:w="3460" w:type="dxa"/>
            <w:vAlign w:val="bottom"/>
          </w:tcPr>
          <w:p>
            <w:pPr>
              <w:ind w:left="300"/>
              <w:spacing w:after="0"/>
              <w:rPr>
                <w:sz w:val="20"/>
                <w:szCs w:val="20"/>
                <w:color w:val="auto"/>
              </w:rPr>
            </w:pPr>
            <w:r>
              <w:rPr>
                <w:rFonts w:ascii="Arial" w:cs="Arial" w:eastAsia="Arial" w:hAnsi="Arial"/>
                <w:sz w:val="18"/>
                <w:szCs w:val="18"/>
                <w:color w:val="auto"/>
                <w:w w:val="91"/>
              </w:rPr>
              <w:t>Former Executive Vice President and Chief</w:t>
            </w:r>
          </w:p>
        </w:tc>
      </w:tr>
      <w:tr>
        <w:trPr>
          <w:trHeight w:val="270"/>
        </w:trPr>
        <w:tc>
          <w:tcPr>
            <w:tcW w:w="2380" w:type="dxa"/>
            <w:vAlign w:val="bottom"/>
          </w:tcPr>
          <w:p>
            <w:pPr>
              <w:spacing w:after="0"/>
              <w:rPr>
                <w:sz w:val="23"/>
                <w:szCs w:val="23"/>
                <w:color w:val="auto"/>
              </w:rPr>
            </w:pPr>
          </w:p>
        </w:tc>
        <w:tc>
          <w:tcPr>
            <w:tcW w:w="3480" w:type="dxa"/>
            <w:vAlign w:val="bottom"/>
          </w:tcPr>
          <w:p>
            <w:pPr>
              <w:ind w:left="660"/>
              <w:spacing w:after="0"/>
              <w:rPr>
                <w:sz w:val="20"/>
                <w:szCs w:val="20"/>
                <w:color w:val="auto"/>
              </w:rPr>
            </w:pPr>
            <w:r>
              <w:rPr>
                <w:rFonts w:ascii="Arial" w:cs="Arial" w:eastAsia="Arial" w:hAnsi="Arial"/>
                <w:sz w:val="18"/>
                <w:szCs w:val="18"/>
                <w:color w:val="auto"/>
              </w:rPr>
              <w:t>Lloyd’s of London</w:t>
            </w:r>
          </w:p>
        </w:tc>
        <w:tc>
          <w:tcPr>
            <w:tcW w:w="3460" w:type="dxa"/>
            <w:vAlign w:val="bottom"/>
          </w:tcPr>
          <w:p>
            <w:pPr>
              <w:ind w:left="300"/>
              <w:spacing w:after="0"/>
              <w:rPr>
                <w:sz w:val="20"/>
                <w:szCs w:val="20"/>
                <w:color w:val="auto"/>
              </w:rPr>
            </w:pPr>
            <w:r>
              <w:rPr>
                <w:rFonts w:ascii="Arial" w:cs="Arial" w:eastAsia="Arial" w:hAnsi="Arial"/>
                <w:sz w:val="18"/>
                <w:szCs w:val="18"/>
                <w:color w:val="auto"/>
                <w:w w:val="95"/>
              </w:rPr>
              <w:t>Information Officer of Boeing Employees’</w:t>
            </w:r>
          </w:p>
        </w:tc>
      </w:tr>
      <w:tr>
        <w:trPr>
          <w:trHeight w:val="270"/>
        </w:trPr>
        <w:tc>
          <w:tcPr>
            <w:tcW w:w="23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3460" w:type="dxa"/>
            <w:vAlign w:val="bottom"/>
          </w:tcPr>
          <w:p>
            <w:pPr>
              <w:ind w:left="300"/>
              <w:spacing w:after="0"/>
              <w:rPr>
                <w:sz w:val="20"/>
                <w:szCs w:val="20"/>
                <w:color w:val="auto"/>
              </w:rPr>
            </w:pPr>
            <w:r>
              <w:rPr>
                <w:rFonts w:ascii="Arial" w:cs="Arial" w:eastAsia="Arial" w:hAnsi="Arial"/>
                <w:sz w:val="18"/>
                <w:szCs w:val="18"/>
                <w:color w:val="auto"/>
              </w:rPr>
              <w:t>Credit Union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-512445</wp:posOffset>
            </wp:positionV>
            <wp:extent cx="5967730"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7730" cy="1270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20"/>
                <w:szCs w:val="20"/>
                <w:color w:val="auto"/>
              </w:rPr>
            </w:pPr>
            <w:r>
              <w:rPr>
                <w:rFonts w:ascii="Arial" w:cs="Arial" w:eastAsia="Arial" w:hAnsi="Arial"/>
                <w:sz w:val="18"/>
                <w:szCs w:val="18"/>
                <w:b w:val="1"/>
                <w:bCs w:val="1"/>
                <w:color w:val="auto"/>
              </w:rPr>
              <w:t>Stephen Chipman</w:t>
            </w:r>
          </w:p>
        </w:tc>
        <w:tc>
          <w:tcPr>
            <w:tcW w:w="3220" w:type="dxa"/>
            <w:vAlign w:val="bottom"/>
          </w:tcPr>
          <w:p>
            <w:pPr>
              <w:ind w:left="280"/>
              <w:spacing w:after="0"/>
              <w:rPr>
                <w:sz w:val="20"/>
                <w:szCs w:val="20"/>
                <w:color w:val="auto"/>
              </w:rPr>
            </w:pPr>
            <w:r>
              <w:rPr>
                <w:rFonts w:ascii="Arial" w:cs="Arial" w:eastAsia="Arial" w:hAnsi="Arial"/>
                <w:sz w:val="18"/>
                <w:szCs w:val="18"/>
                <w:b w:val="1"/>
                <w:bCs w:val="1"/>
                <w:color w:val="auto"/>
              </w:rPr>
              <w:t>Michael Hammond</w:t>
            </w:r>
          </w:p>
        </w:tc>
        <w:tc>
          <w:tcPr>
            <w:tcW w:w="2680" w:type="dxa"/>
            <w:vAlign w:val="bottom"/>
          </w:tcPr>
          <w:p>
            <w:pPr>
              <w:ind w:left="180"/>
              <w:spacing w:after="0"/>
              <w:rPr>
                <w:sz w:val="20"/>
                <w:szCs w:val="20"/>
                <w:color w:val="auto"/>
              </w:rPr>
            </w:pPr>
            <w:r>
              <w:rPr>
                <w:rFonts w:ascii="Arial" w:cs="Arial" w:eastAsia="Arial" w:hAnsi="Arial"/>
                <w:sz w:val="18"/>
                <w:szCs w:val="18"/>
                <w:b w:val="1"/>
                <w:bCs w:val="1"/>
                <w:color w:val="auto"/>
              </w:rPr>
              <w:t>Jacqueline Hunt</w:t>
            </w:r>
          </w:p>
        </w:tc>
      </w:tr>
      <w:tr>
        <w:trPr>
          <w:trHeight w:val="334"/>
        </w:trPr>
        <w:tc>
          <w:tcPr>
            <w:tcW w:w="2760" w:type="dxa"/>
            <w:vAlign w:val="bottom"/>
          </w:tcPr>
          <w:p>
            <w:pPr>
              <w:spacing w:after="0"/>
              <w:rPr>
                <w:sz w:val="20"/>
                <w:szCs w:val="20"/>
                <w:color w:val="auto"/>
              </w:rPr>
            </w:pPr>
            <w:r>
              <w:rPr>
                <w:rFonts w:ascii="Arial" w:cs="Arial" w:eastAsia="Arial" w:hAnsi="Arial"/>
                <w:sz w:val="18"/>
                <w:szCs w:val="18"/>
                <w:color w:val="auto"/>
              </w:rPr>
              <w:t>Former Chief Executive Officer of</w:t>
            </w:r>
          </w:p>
        </w:tc>
        <w:tc>
          <w:tcPr>
            <w:tcW w:w="3220" w:type="dxa"/>
            <w:vAlign w:val="bottom"/>
          </w:tcPr>
          <w:p>
            <w:pPr>
              <w:ind w:left="280"/>
              <w:spacing w:after="0"/>
              <w:rPr>
                <w:sz w:val="20"/>
                <w:szCs w:val="20"/>
                <w:color w:val="auto"/>
              </w:rPr>
            </w:pPr>
            <w:r>
              <w:rPr>
                <w:rFonts w:ascii="Arial" w:cs="Arial" w:eastAsia="Arial" w:hAnsi="Arial"/>
                <w:sz w:val="18"/>
                <w:szCs w:val="18"/>
                <w:color w:val="auto"/>
              </w:rPr>
              <w:t>Former Chief Executive Officer and</w:t>
            </w:r>
          </w:p>
        </w:tc>
        <w:tc>
          <w:tcPr>
            <w:tcW w:w="2680" w:type="dxa"/>
            <w:vAlign w:val="bottom"/>
          </w:tcPr>
          <w:p>
            <w:pPr>
              <w:ind w:left="180"/>
              <w:spacing w:after="0"/>
              <w:rPr>
                <w:sz w:val="20"/>
                <w:szCs w:val="20"/>
                <w:color w:val="auto"/>
              </w:rPr>
            </w:pPr>
            <w:r>
              <w:rPr>
                <w:rFonts w:ascii="Arial" w:cs="Arial" w:eastAsia="Arial" w:hAnsi="Arial"/>
                <w:sz w:val="18"/>
                <w:szCs w:val="18"/>
                <w:color w:val="auto"/>
                <w:w w:val="93"/>
              </w:rPr>
              <w:t>Former Chief Executive Officer of</w:t>
            </w:r>
          </w:p>
        </w:tc>
      </w:tr>
      <w:tr>
        <w:trPr>
          <w:trHeight w:val="270"/>
        </w:trPr>
        <w:tc>
          <w:tcPr>
            <w:tcW w:w="2760" w:type="dxa"/>
            <w:vAlign w:val="bottom"/>
          </w:tcPr>
          <w:p>
            <w:pPr>
              <w:spacing w:after="0"/>
              <w:rPr>
                <w:sz w:val="20"/>
                <w:szCs w:val="20"/>
                <w:color w:val="auto"/>
              </w:rPr>
            </w:pPr>
            <w:r>
              <w:rPr>
                <w:rFonts w:ascii="Arial" w:cs="Arial" w:eastAsia="Arial" w:hAnsi="Arial"/>
                <w:sz w:val="18"/>
                <w:szCs w:val="18"/>
                <w:color w:val="auto"/>
              </w:rPr>
              <w:t>Grant Thornton LLP</w:t>
            </w:r>
          </w:p>
        </w:tc>
        <w:tc>
          <w:tcPr>
            <w:tcW w:w="3220" w:type="dxa"/>
            <w:vAlign w:val="bottom"/>
          </w:tcPr>
          <w:p>
            <w:pPr>
              <w:ind w:left="280"/>
              <w:spacing w:after="0"/>
              <w:rPr>
                <w:sz w:val="20"/>
                <w:szCs w:val="20"/>
                <w:color w:val="auto"/>
              </w:rPr>
            </w:pPr>
            <w:r>
              <w:rPr>
                <w:rFonts w:ascii="Arial" w:cs="Arial" w:eastAsia="Arial" w:hAnsi="Arial"/>
                <w:sz w:val="18"/>
                <w:szCs w:val="18"/>
                <w:color w:val="auto"/>
                <w:w w:val="98"/>
              </w:rPr>
              <w:t>Chair, Lockton International Holdings</w:t>
            </w:r>
          </w:p>
        </w:tc>
        <w:tc>
          <w:tcPr>
            <w:tcW w:w="2680" w:type="dxa"/>
            <w:vAlign w:val="bottom"/>
          </w:tcPr>
          <w:p>
            <w:pPr>
              <w:ind w:left="180"/>
              <w:spacing w:after="0"/>
              <w:rPr>
                <w:sz w:val="20"/>
                <w:szCs w:val="20"/>
                <w:color w:val="auto"/>
              </w:rPr>
            </w:pPr>
            <w:r>
              <w:rPr>
                <w:rFonts w:ascii="Arial" w:cs="Arial" w:eastAsia="Arial" w:hAnsi="Arial"/>
                <w:sz w:val="18"/>
                <w:szCs w:val="18"/>
                <w:color w:val="auto"/>
                <w:w w:val="93"/>
              </w:rPr>
              <w:t>Prudential UK, Europe and Africa</w:t>
            </w:r>
          </w:p>
        </w:tc>
      </w:tr>
      <w:tr>
        <w:trPr>
          <w:trHeight w:val="270"/>
        </w:trPr>
        <w:tc>
          <w:tcPr>
            <w:tcW w:w="2760" w:type="dxa"/>
            <w:vAlign w:val="bottom"/>
          </w:tcPr>
          <w:p>
            <w:pPr>
              <w:spacing w:after="0"/>
              <w:rPr>
                <w:sz w:val="23"/>
                <w:szCs w:val="23"/>
                <w:color w:val="auto"/>
              </w:rPr>
            </w:pPr>
          </w:p>
        </w:tc>
        <w:tc>
          <w:tcPr>
            <w:tcW w:w="3220" w:type="dxa"/>
            <w:vAlign w:val="bottom"/>
          </w:tcPr>
          <w:p>
            <w:pPr>
              <w:ind w:left="280"/>
              <w:spacing w:after="0"/>
              <w:rPr>
                <w:sz w:val="20"/>
                <w:szCs w:val="20"/>
                <w:color w:val="auto"/>
              </w:rPr>
            </w:pPr>
            <w:r>
              <w:rPr>
                <w:rFonts w:ascii="Arial" w:cs="Arial" w:eastAsia="Arial" w:hAnsi="Arial"/>
                <w:sz w:val="18"/>
                <w:szCs w:val="18"/>
                <w:color w:val="auto"/>
              </w:rPr>
              <w:t>Ltd.</w:t>
            </w:r>
          </w:p>
        </w:tc>
        <w:tc>
          <w:tcPr>
            <w:tcW w:w="26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-512445</wp:posOffset>
            </wp:positionV>
            <wp:extent cx="5967730"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7730" cy="12700"/>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20"/>
                <w:szCs w:val="20"/>
                <w:color w:val="auto"/>
              </w:rPr>
            </w:pPr>
            <w:r>
              <w:rPr>
                <w:rFonts w:ascii="Arial" w:cs="Arial" w:eastAsia="Arial" w:hAnsi="Arial"/>
                <w:sz w:val="18"/>
                <w:szCs w:val="18"/>
                <w:b w:val="1"/>
                <w:bCs w:val="1"/>
                <w:color w:val="auto"/>
              </w:rPr>
              <w:t>Paul Reilly</w:t>
            </w:r>
          </w:p>
        </w:tc>
        <w:tc>
          <w:tcPr>
            <w:tcW w:w="3280" w:type="dxa"/>
            <w:vAlign w:val="bottom"/>
          </w:tcPr>
          <w:p>
            <w:pPr>
              <w:ind w:left="300"/>
              <w:spacing w:after="0"/>
              <w:rPr>
                <w:sz w:val="20"/>
                <w:szCs w:val="20"/>
                <w:color w:val="auto"/>
              </w:rPr>
            </w:pPr>
            <w:r>
              <w:rPr>
                <w:rFonts w:ascii="Arial" w:cs="Arial" w:eastAsia="Arial" w:hAnsi="Arial"/>
                <w:sz w:val="18"/>
                <w:szCs w:val="18"/>
                <w:b w:val="1"/>
                <w:bCs w:val="1"/>
                <w:color w:val="auto"/>
              </w:rPr>
              <w:t>Michelle Swanback</w:t>
            </w:r>
          </w:p>
        </w:tc>
        <w:tc>
          <w:tcPr>
            <w:tcW w:w="2900" w:type="dxa"/>
            <w:vAlign w:val="bottom"/>
          </w:tcPr>
          <w:p>
            <w:pPr>
              <w:ind w:left="140"/>
              <w:spacing w:after="0"/>
              <w:rPr>
                <w:sz w:val="20"/>
                <w:szCs w:val="20"/>
                <w:color w:val="auto"/>
              </w:rPr>
            </w:pPr>
            <w:r>
              <w:rPr>
                <w:rFonts w:ascii="Arial" w:cs="Arial" w:eastAsia="Arial" w:hAnsi="Arial"/>
                <w:sz w:val="18"/>
                <w:szCs w:val="18"/>
                <w:b w:val="1"/>
                <w:bCs w:val="1"/>
                <w:color w:val="auto"/>
              </w:rPr>
              <w:t>Fredric Tomczyk</w:t>
            </w:r>
          </w:p>
        </w:tc>
      </w:tr>
      <w:tr>
        <w:trPr>
          <w:trHeight w:val="334"/>
        </w:trPr>
        <w:tc>
          <w:tcPr>
            <w:tcW w:w="2740" w:type="dxa"/>
            <w:vAlign w:val="bottom"/>
          </w:tcPr>
          <w:p>
            <w:pPr>
              <w:spacing w:after="0"/>
              <w:rPr>
                <w:sz w:val="20"/>
                <w:szCs w:val="20"/>
                <w:color w:val="auto"/>
              </w:rPr>
            </w:pPr>
            <w:r>
              <w:rPr>
                <w:rFonts w:ascii="Arial" w:cs="Arial" w:eastAsia="Arial" w:hAnsi="Arial"/>
                <w:sz w:val="18"/>
                <w:szCs w:val="18"/>
                <w:color w:val="auto"/>
              </w:rPr>
              <w:t>Executive Chair of the Board and</w:t>
            </w:r>
          </w:p>
        </w:tc>
        <w:tc>
          <w:tcPr>
            <w:tcW w:w="3280" w:type="dxa"/>
            <w:vAlign w:val="bottom"/>
          </w:tcPr>
          <w:p>
            <w:pPr>
              <w:ind w:left="300"/>
              <w:spacing w:after="0"/>
              <w:rPr>
                <w:sz w:val="20"/>
                <w:szCs w:val="20"/>
                <w:color w:val="auto"/>
              </w:rPr>
            </w:pPr>
            <w:r>
              <w:rPr>
                <w:rFonts w:ascii="Arial" w:cs="Arial" w:eastAsia="Arial" w:hAnsi="Arial"/>
                <w:sz w:val="18"/>
                <w:szCs w:val="18"/>
                <w:color w:val="auto"/>
                <w:w w:val="97"/>
              </w:rPr>
              <w:t>Former Chief Executive Officer, TTEC</w:t>
            </w:r>
          </w:p>
        </w:tc>
        <w:tc>
          <w:tcPr>
            <w:tcW w:w="2900" w:type="dxa"/>
            <w:vAlign w:val="bottom"/>
          </w:tcPr>
          <w:p>
            <w:pPr>
              <w:ind w:left="140"/>
              <w:spacing w:after="0"/>
              <w:rPr>
                <w:sz w:val="20"/>
                <w:szCs w:val="20"/>
                <w:color w:val="auto"/>
              </w:rPr>
            </w:pPr>
            <w:r>
              <w:rPr>
                <w:rFonts w:ascii="Arial" w:cs="Arial" w:eastAsia="Arial" w:hAnsi="Arial"/>
                <w:sz w:val="18"/>
                <w:szCs w:val="18"/>
                <w:color w:val="auto"/>
                <w:w w:val="90"/>
              </w:rPr>
              <w:t>Former President and Chief Executive</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former Chief Executive Officer of</w:t>
            </w:r>
          </w:p>
        </w:tc>
        <w:tc>
          <w:tcPr>
            <w:tcW w:w="3280" w:type="dxa"/>
            <w:vAlign w:val="bottom"/>
          </w:tcPr>
          <w:p>
            <w:pPr>
              <w:ind w:left="300"/>
              <w:spacing w:after="0"/>
              <w:rPr>
                <w:sz w:val="20"/>
                <w:szCs w:val="20"/>
                <w:color w:val="auto"/>
              </w:rPr>
            </w:pPr>
            <w:r>
              <w:rPr>
                <w:rFonts w:ascii="Arial" w:cs="Arial" w:eastAsia="Arial" w:hAnsi="Arial"/>
                <w:sz w:val="18"/>
                <w:szCs w:val="18"/>
                <w:color w:val="auto"/>
              </w:rPr>
              <w:t>Engage, and President of TTEC</w:t>
            </w:r>
          </w:p>
        </w:tc>
        <w:tc>
          <w:tcPr>
            <w:tcW w:w="2900" w:type="dxa"/>
            <w:vAlign w:val="bottom"/>
          </w:tcPr>
          <w:p>
            <w:pPr>
              <w:ind w:left="140"/>
              <w:spacing w:after="0"/>
              <w:rPr>
                <w:sz w:val="20"/>
                <w:szCs w:val="20"/>
                <w:color w:val="auto"/>
              </w:rPr>
            </w:pPr>
            <w:r>
              <w:rPr>
                <w:rFonts w:ascii="Arial" w:cs="Arial" w:eastAsia="Arial" w:hAnsi="Arial"/>
                <w:sz w:val="18"/>
                <w:szCs w:val="18"/>
                <w:color w:val="auto"/>
              </w:rPr>
              <w:t>Officer of TD Ameritrade</w:t>
            </w:r>
          </w:p>
        </w:tc>
      </w:tr>
      <w:tr>
        <w:trPr>
          <w:trHeight w:val="270"/>
        </w:trPr>
        <w:tc>
          <w:tcPr>
            <w:tcW w:w="2740" w:type="dxa"/>
            <w:vAlign w:val="bottom"/>
          </w:tcPr>
          <w:p>
            <w:pPr>
              <w:spacing w:after="0"/>
              <w:rPr>
                <w:sz w:val="20"/>
                <w:szCs w:val="20"/>
                <w:color w:val="auto"/>
              </w:rPr>
            </w:pPr>
            <w:r>
              <w:rPr>
                <w:rFonts w:ascii="Arial" w:cs="Arial" w:eastAsia="Arial" w:hAnsi="Arial"/>
                <w:sz w:val="18"/>
                <w:szCs w:val="18"/>
                <w:color w:val="auto"/>
              </w:rPr>
              <w:t>Raymond James Financial</w:t>
            </w:r>
          </w:p>
        </w:tc>
        <w:tc>
          <w:tcPr>
            <w:tcW w:w="3280" w:type="dxa"/>
            <w:vAlign w:val="bottom"/>
          </w:tcPr>
          <w:p>
            <w:pPr>
              <w:ind w:left="300"/>
              <w:spacing w:after="0"/>
              <w:rPr>
                <w:sz w:val="20"/>
                <w:szCs w:val="20"/>
                <w:color w:val="auto"/>
              </w:rPr>
            </w:pPr>
            <w:r>
              <w:rPr>
                <w:rFonts w:ascii="Arial" w:cs="Arial" w:eastAsia="Arial" w:hAnsi="Arial"/>
                <w:sz w:val="18"/>
                <w:szCs w:val="18"/>
                <w:color w:val="auto"/>
              </w:rPr>
              <w:t>Holdings, Inc.</w:t>
            </w:r>
          </w:p>
        </w:tc>
        <w:tc>
          <w:tcPr>
            <w:tcW w:w="29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-512445</wp:posOffset>
            </wp:positionV>
            <wp:extent cx="5967730"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773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31 / 87</w:t>
      </w:r>
    </w:p>
    <w:p>
      <w:pPr>
        <w:sectPr>
          <w:pgSz w:w="11900" w:h="16838" w:orient="portrait"/>
          <w:cols w:equalWidth="0" w:num="1">
            <w:col w:w="9320"/>
          </w:cols>
          <w:pgMar w:left="1260" w:top="1440" w:right="1326" w:bottom="0" w:gutter="0" w:footer="0" w:header="0"/>
          <w:type w:val="continuous"/>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596773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Executive Summary of Risk Factors</w:t>
      </w:r>
    </w:p>
    <w:p>
      <w:pPr>
        <w:spacing w:after="0" w:line="260" w:lineRule="exact"/>
        <w:rPr>
          <w:sz w:val="20"/>
          <w:szCs w:val="20"/>
          <w:color w:val="auto"/>
        </w:rPr>
      </w:pPr>
    </w:p>
    <w:p>
      <w:pPr>
        <w:ind w:right="680"/>
        <w:spacing w:after="0" w:line="302" w:lineRule="auto"/>
        <w:rPr>
          <w:sz w:val="20"/>
          <w:szCs w:val="20"/>
          <w:color w:val="auto"/>
        </w:rPr>
      </w:pPr>
      <w:r>
        <w:rPr>
          <w:rFonts w:ascii="Arial" w:cs="Arial" w:eastAsia="Arial" w:hAnsi="Arial"/>
          <w:sz w:val="20"/>
          <w:szCs w:val="20"/>
          <w:color w:val="auto"/>
        </w:rPr>
        <w:t>The following contains a summary of each of our risk factors. For the complete disclosure of each risk factor contained herein, please click on the respective summary.</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Strategic and Operational Risks</w:t>
      </w:r>
    </w:p>
    <w:p>
      <w:pPr>
        <w:spacing w:after="0" w:line="165" w:lineRule="exact"/>
        <w:rPr>
          <w:sz w:val="20"/>
          <w:szCs w:val="20"/>
          <w:color w:val="auto"/>
        </w:rPr>
      </w:pPr>
    </w:p>
    <w:p>
      <w:pPr>
        <w:ind w:left="620" w:right="160" w:hanging="313"/>
        <w:spacing w:after="0" w:line="372" w:lineRule="auto"/>
        <w:tabs>
          <w:tab w:leader="none" w:pos="62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0000FF"/>
        </w:rPr>
        <w:t>Our success largely depends on our ability to achieve our global business strategy as it evolves, and our results of operations and financial condition could suffer if the Company were unable to successfully establish and execute on its strategy and generate anticipated revenue growth, cost savings, efficiencies and other benefits.</w:t>
      </w:r>
    </w:p>
    <w:p>
      <w:pPr>
        <w:spacing w:after="0" w:line="54" w:lineRule="exact"/>
        <w:rPr>
          <w:rFonts w:ascii="Arial" w:cs="Arial" w:eastAsia="Arial" w:hAnsi="Arial"/>
          <w:sz w:val="20"/>
          <w:szCs w:val="20"/>
          <w:color w:val="auto"/>
        </w:rPr>
      </w:pPr>
    </w:p>
    <w:p>
      <w:pPr>
        <w:ind w:left="620" w:right="120" w:hanging="313"/>
        <w:spacing w:after="0" w:line="373" w:lineRule="auto"/>
        <w:tabs>
          <w:tab w:leader="none" w:pos="62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0000FF"/>
        </w:rPr>
        <w:t>The growth and portfolio optimization elements of our strategy depend, in part, on our ability to execute strategic transactions, including both acquisitions and dispositions. We face risks when we acquire or divest businesses, and we could have difficulty in acquiring, integrating or managing acquired businesses, or with effecting internal reorganizations, all of which could harm our business, financial condition, results of operations and/or reputation.</w:t>
      </w:r>
    </w:p>
    <w:p>
      <w:pPr>
        <w:spacing w:after="0" w:line="52" w:lineRule="exact"/>
        <w:rPr>
          <w:rFonts w:ascii="Arial" w:cs="Arial" w:eastAsia="Arial" w:hAnsi="Arial"/>
          <w:sz w:val="20"/>
          <w:szCs w:val="20"/>
          <w:color w:val="auto"/>
        </w:rPr>
      </w:pPr>
    </w:p>
    <w:p>
      <w:pPr>
        <w:ind w:left="620" w:hanging="313"/>
        <w:spacing w:after="0" w:line="372" w:lineRule="auto"/>
        <w:tabs>
          <w:tab w:leader="none" w:pos="62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0000FF"/>
        </w:rPr>
        <w:t>The growth element of our strategy also depends, in part, on organic growth and our ability to develop and grow new and existing areas of our business. We face risks when we invest in new lines of business, products, services and platforms or other areas, which could harm our business, financial condition, results of operations and/or reputation.</w:t>
      </w:r>
    </w:p>
    <w:p>
      <w:pPr>
        <w:spacing w:after="0" w:line="54" w:lineRule="exact"/>
        <w:rPr>
          <w:rFonts w:ascii="Arial" w:cs="Arial" w:eastAsia="Arial" w:hAnsi="Arial"/>
          <w:sz w:val="20"/>
          <w:szCs w:val="20"/>
          <w:color w:val="auto"/>
        </w:rPr>
      </w:pPr>
    </w:p>
    <w:p>
      <w:pPr>
        <w:ind w:left="620" w:right="200" w:hanging="313"/>
        <w:spacing w:after="0" w:line="372" w:lineRule="auto"/>
        <w:tabs>
          <w:tab w:leader="none" w:pos="620"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0000FF"/>
        </w:rPr>
        <w:t>Our business performance and growth plans could be negatively affected if we are not able to develop and implement improvements in technology and effectively apply technology, data and analytics to drive value for our clients through technology-based solutions or gain internal efficiencies through the effective application of technology, analytics and related tools.</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Business Environment Risks</w:t>
      </w:r>
    </w:p>
    <w:p>
      <w:pPr>
        <w:spacing w:after="0" w:line="165" w:lineRule="exact"/>
        <w:rPr>
          <w:sz w:val="20"/>
          <w:szCs w:val="20"/>
          <w:color w:val="auto"/>
        </w:rPr>
      </w:pPr>
    </w:p>
    <w:p>
      <w:pPr>
        <w:ind w:left="620" w:right="80" w:hanging="313"/>
        <w:spacing w:after="0" w:line="425"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FF"/>
        </w:rPr>
        <w:t>Macroeconomic trends, including inflation, changes in interest rates and trade policies, as well as political events, trade and other international disputes, war, terrorism, natural disasters, public health issues and other business interruptions, can adversely affect our business, results of operations or financial condition.</w:t>
      </w:r>
    </w:p>
    <w:p>
      <w:pPr>
        <w:spacing w:after="0" w:line="20" w:lineRule="exact"/>
        <w:rPr>
          <w:rFonts w:ascii="Arial" w:cs="Arial" w:eastAsia="Arial" w:hAnsi="Arial"/>
          <w:sz w:val="18"/>
          <w:szCs w:val="18"/>
          <w:color w:val="auto"/>
        </w:rPr>
      </w:pPr>
    </w:p>
    <w:p>
      <w:pPr>
        <w:ind w:left="620" w:right="40" w:hanging="313"/>
        <w:spacing w:after="0" w:line="370" w:lineRule="auto"/>
        <w:tabs>
          <w:tab w:leader="none" w:pos="62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0000FF"/>
        </w:rPr>
        <w:t>Demand for our services could decrease for various reasons, including a general economic downturn, increased competition, or a decline in a client’s or an industry’s financial condition or prospects, all of which could substantially and negatively affect us.</w:t>
      </w:r>
    </w:p>
    <w:p>
      <w:pPr>
        <w:spacing w:after="0" w:line="56" w:lineRule="exact"/>
        <w:rPr>
          <w:rFonts w:ascii="Arial" w:cs="Arial" w:eastAsia="Arial" w:hAnsi="Arial"/>
          <w:sz w:val="20"/>
          <w:szCs w:val="20"/>
          <w:color w:val="auto"/>
        </w:rPr>
      </w:pPr>
    </w:p>
    <w:p>
      <w:pPr>
        <w:ind w:left="620" w:right="160" w:hanging="313"/>
        <w:spacing w:after="0" w:line="370" w:lineRule="auto"/>
        <w:tabs>
          <w:tab w:leader="none" w:pos="62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0000FF"/>
        </w:rPr>
        <w:t>Damage to our business, including to our reputation, arising from, among other things, the failure of third parties on whom we rely to perform services or maintain positive public perceptions, could adversely affect our business, operations and results.</w:t>
      </w:r>
    </w:p>
    <w:p>
      <w:pPr>
        <w:spacing w:after="0" w:line="56" w:lineRule="exact"/>
        <w:rPr>
          <w:rFonts w:ascii="Arial" w:cs="Arial" w:eastAsia="Arial" w:hAnsi="Arial"/>
          <w:sz w:val="20"/>
          <w:szCs w:val="20"/>
          <w:color w:val="auto"/>
        </w:rPr>
      </w:pPr>
    </w:p>
    <w:p>
      <w:pPr>
        <w:ind w:left="620" w:right="20" w:hanging="313"/>
        <w:spacing w:after="0" w:line="365" w:lineRule="auto"/>
        <w:tabs>
          <w:tab w:leader="none" w:pos="62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0000FF"/>
        </w:rPr>
        <w:t>Our business may be harmed by any negative developments that may occur in the insurance industry or if we fail to maintain good relationships with insurance carriers.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Human Capital Risks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 / 87</w:t>
      </w:r>
    </w:p>
    <w:p>
      <w:pPr>
        <w:sectPr>
          <w:pgSz w:w="11900" w:h="16838" w:orient="portrait"/>
          <w:cols w:equalWidth="0" w:num="1">
            <w:col w:w="9380"/>
          </w:cols>
          <w:pgMar w:left="1260" w:top="1440" w:right="1266" w:bottom="0" w:gutter="0" w:footer="0" w:header="0"/>
          <w:type w:val="continuous"/>
        </w:sectPr>
      </w:pPr>
    </w:p>
    <w:bookmarkStart w:id="32" w:name="page33"/>
    <w:bookmarkEnd w:id="32"/>
    <w:p>
      <w:pPr>
        <w:ind w:left="620" w:right="200" w:hanging="313"/>
        <w:spacing w:after="0" w:line="370" w:lineRule="auto"/>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0000FF"/>
        </w:rPr>
        <w:t>We depend on the continued services of our executive officers, senior management team, and skilled individual contributors, and any changes in our management structure and in senior leadership could affect our business and financial results.</w:t>
      </w:r>
    </w:p>
    <w:p>
      <w:pPr>
        <w:spacing w:after="0" w:line="56" w:lineRule="exact"/>
        <w:rPr>
          <w:rFonts w:ascii="Arial" w:cs="Arial" w:eastAsia="Arial" w:hAnsi="Arial"/>
          <w:sz w:val="20"/>
          <w:szCs w:val="20"/>
          <w:color w:val="auto"/>
        </w:rPr>
      </w:pPr>
    </w:p>
    <w:p>
      <w:pPr>
        <w:ind w:left="620" w:right="600" w:hanging="313"/>
        <w:spacing w:after="0" w:line="365" w:lineRule="auto"/>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0000FF"/>
        </w:rPr>
        <w:t>The loss of key colleagues or a large number of colleagues could damage or result in the loss of client relationships and could result in such colleagues competing against us.</w:t>
      </w:r>
    </w:p>
    <w:p>
      <w:pPr>
        <w:spacing w:after="0" w:line="60" w:lineRule="exact"/>
        <w:rPr>
          <w:rFonts w:ascii="Arial" w:cs="Arial" w:eastAsia="Arial" w:hAnsi="Arial"/>
          <w:sz w:val="20"/>
          <w:szCs w:val="20"/>
          <w:color w:val="auto"/>
        </w:rPr>
      </w:pPr>
    </w:p>
    <w:p>
      <w:pPr>
        <w:ind w:left="620" w:right="160" w:hanging="313"/>
        <w:spacing w:after="0" w:line="365" w:lineRule="auto"/>
        <w:tabs>
          <w:tab w:leader="none" w:pos="620"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0000FF"/>
        </w:rPr>
        <w:t>Failure to maintain our corporate culture, including in a remote or hybrid work environment, could damage our reputation.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Intellectual Property, Technology, Cybersecurity and Data Protection Risks</w:t>
      </w:r>
    </w:p>
    <w:p>
      <w:pPr>
        <w:spacing w:after="0" w:line="185" w:lineRule="exact"/>
        <w:rPr>
          <w:sz w:val="20"/>
          <w:szCs w:val="20"/>
          <w:color w:val="auto"/>
        </w:rPr>
      </w:pPr>
    </w:p>
    <w:p>
      <w:pPr>
        <w:ind w:left="620" w:right="460" w:hanging="313"/>
        <w:spacing w:after="0" w:line="397" w:lineRule="auto"/>
        <w:tabs>
          <w:tab w:leader="none" w:pos="62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0000FF"/>
        </w:rPr>
        <w:t>Data and cybersecurity breaches or improper disclosure of confidential company or personal data could result in material financial loss, regulatory actions, reputational harm and/or legal liability.</w:t>
      </w:r>
    </w:p>
    <w:p>
      <w:pPr>
        <w:spacing w:after="0" w:line="57" w:lineRule="exact"/>
        <w:rPr>
          <w:rFonts w:ascii="Arial" w:cs="Arial" w:eastAsia="Arial" w:hAnsi="Arial"/>
          <w:sz w:val="19"/>
          <w:szCs w:val="19"/>
          <w:color w:val="auto"/>
        </w:rPr>
      </w:pPr>
    </w:p>
    <w:p>
      <w:pPr>
        <w:ind w:left="620" w:right="600" w:hanging="313"/>
        <w:spacing w:after="0" w:line="370" w:lineRule="auto"/>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0000FF"/>
        </w:rPr>
        <w:t>Our inability to comply with complex and evolving laws and regulations related to data privacy and cybersecurity could result in material financial loss, regulatory actions, reputational harm and/or legal liability.</w:t>
      </w:r>
    </w:p>
    <w:p>
      <w:pPr>
        <w:spacing w:after="0" w:line="76" w:lineRule="exact"/>
        <w:rPr>
          <w:rFonts w:ascii="Arial" w:cs="Arial" w:eastAsia="Arial" w:hAnsi="Arial"/>
          <w:sz w:val="20"/>
          <w:szCs w:val="20"/>
          <w:color w:val="auto"/>
        </w:rPr>
      </w:pPr>
    </w:p>
    <w:p>
      <w:pPr>
        <w:ind w:left="620" w:hanging="313"/>
        <w:spacing w:after="0" w:line="370" w:lineRule="auto"/>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0000FF"/>
        </w:rPr>
        <w:t>Our inability to successfully mitigate and recover should we experience a disaster or other business continuity problem could cause material financial loss, loss of human capital, regulatory actions, reputational harm and/or legal liability.</w:t>
      </w:r>
    </w:p>
    <w:p>
      <w:pPr>
        <w:spacing w:after="0" w:line="76" w:lineRule="exact"/>
        <w:rPr>
          <w:rFonts w:ascii="Arial" w:cs="Arial" w:eastAsia="Arial" w:hAnsi="Arial"/>
          <w:sz w:val="20"/>
          <w:szCs w:val="20"/>
          <w:color w:val="auto"/>
        </w:rPr>
      </w:pPr>
    </w:p>
    <w:p>
      <w:pPr>
        <w:ind w:left="620" w:right="120" w:hanging="313"/>
        <w:spacing w:after="0" w:line="370" w:lineRule="auto"/>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0000FF"/>
        </w:rPr>
        <w:t>Material interruption to or loss of our information processing capabilities or failure to effectively maintain and upgrade our information processing hardware or systems could cause material financial loss, regulatory actions, reputational harm and/or legal liability.</w:t>
      </w:r>
    </w:p>
    <w:p>
      <w:pPr>
        <w:spacing w:after="0" w:line="76" w:lineRule="exact"/>
        <w:rPr>
          <w:rFonts w:ascii="Arial" w:cs="Arial" w:eastAsia="Arial" w:hAnsi="Arial"/>
          <w:sz w:val="20"/>
          <w:szCs w:val="20"/>
          <w:color w:val="auto"/>
        </w:rPr>
      </w:pPr>
    </w:p>
    <w:p>
      <w:pPr>
        <w:ind w:left="620" w:right="380" w:hanging="313"/>
        <w:spacing w:after="0" w:line="370" w:lineRule="auto"/>
        <w:tabs>
          <w:tab w:leader="none" w:pos="62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0000FF"/>
        </w:rPr>
        <w:t>Limited protection of our intellectual property could harm our business and our ability to compete effectively, and we face the risk that our services or products may infringe upon the intellectual property rights of others.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Legal, Non-Financial/Regulatory and Compliance Risks</w:t>
      </w:r>
    </w:p>
    <w:p>
      <w:pPr>
        <w:spacing w:after="0" w:line="185" w:lineRule="exact"/>
        <w:rPr>
          <w:sz w:val="20"/>
          <w:szCs w:val="20"/>
          <w:color w:val="auto"/>
        </w:rPr>
      </w:pPr>
    </w:p>
    <w:p>
      <w:pPr>
        <w:ind w:left="620" w:hanging="313"/>
        <w:spacing w:after="0" w:line="365" w:lineRule="auto"/>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0000FF"/>
        </w:rPr>
        <w:t>From time to time, we receive claims and are party to lawsuits arising from our work, which could materially adversely affect our reputation, business, financial condition or results of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258"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 / 87</w:t>
      </w:r>
    </w:p>
    <w:p>
      <w:pPr>
        <w:sectPr>
          <w:pgSz w:w="11900" w:h="16838" w:orient="portrait"/>
          <w:cols w:equalWidth="0" w:num="1">
            <w:col w:w="9360"/>
          </w:cols>
          <w:pgMar w:left="1260" w:top="1258" w:right="1286" w:bottom="0" w:gutter="0" w:footer="0" w:header="0"/>
          <w:type w:val="continuous"/>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20" w:right="220" w:hanging="313"/>
        <w:spacing w:after="0" w:line="397" w:lineRule="auto"/>
        <w:tabs>
          <w:tab w:leader="none" w:pos="620"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0000FF"/>
        </w:rPr>
        <w:t>We are subject from time to time to inquiries or investigations by governmental agencies or regulators that could have a material adverse effect on our business, financial condition or results of operations.</w:t>
      </w:r>
    </w:p>
    <w:p>
      <w:pPr>
        <w:spacing w:after="0" w:line="57" w:lineRule="exact"/>
        <w:rPr>
          <w:rFonts w:ascii="Arial" w:cs="Arial" w:eastAsia="Arial" w:hAnsi="Arial"/>
          <w:sz w:val="19"/>
          <w:szCs w:val="19"/>
          <w:color w:val="auto"/>
        </w:rPr>
      </w:pPr>
    </w:p>
    <w:p>
      <w:pPr>
        <w:ind w:left="620" w:right="880" w:hanging="313"/>
        <w:spacing w:after="0" w:line="365"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0000FF"/>
        </w:rPr>
        <w:t>We are subject to political, geopolitical, economic, legal, regulatory, compliance, cultural, market, operational and other risks that are inherent in operating our global businesses.</w:t>
      </w:r>
    </w:p>
    <w:p>
      <w:pPr>
        <w:spacing w:after="0" w:line="80" w:lineRule="exact"/>
        <w:rPr>
          <w:rFonts w:ascii="Arial" w:cs="Arial" w:eastAsia="Arial" w:hAnsi="Arial"/>
          <w:sz w:val="20"/>
          <w:szCs w:val="20"/>
          <w:color w:val="auto"/>
        </w:rPr>
      </w:pPr>
    </w:p>
    <w:p>
      <w:pPr>
        <w:ind w:left="620" w:hanging="313"/>
        <w:spacing w:after="0" w:line="370"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0000FF"/>
        </w:rPr>
        <w:t>Economic and trade sanctions imposed by governments, or changes to such sanction regulations (such as sanctions imposed on Russia and China), and related counter-sanctions, could have a material adverse impact on our operations or financial results.</w:t>
      </w:r>
    </w:p>
    <w:p>
      <w:pPr>
        <w:spacing w:after="0" w:line="76" w:lineRule="exact"/>
        <w:rPr>
          <w:rFonts w:ascii="Arial" w:cs="Arial" w:eastAsia="Arial" w:hAnsi="Arial"/>
          <w:sz w:val="20"/>
          <w:szCs w:val="20"/>
          <w:color w:val="auto"/>
        </w:rPr>
      </w:pPr>
    </w:p>
    <w:p>
      <w:pPr>
        <w:ind w:left="620" w:right="120" w:hanging="313"/>
        <w:spacing w:after="0" w:line="370"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0000FF"/>
        </w:rPr>
        <w:t>Our business will be negatively affected if we are not able to anticipate and keep pace with rapid changes in government laws or regulations, or if government laws or regulations decrease the need for our services, increase our costs or limit our compensation.</w:t>
      </w:r>
    </w:p>
    <w:p>
      <w:pPr>
        <w:spacing w:after="0" w:line="76" w:lineRule="exact"/>
        <w:rPr>
          <w:rFonts w:ascii="Arial" w:cs="Arial" w:eastAsia="Arial" w:hAnsi="Arial"/>
          <w:sz w:val="20"/>
          <w:szCs w:val="20"/>
          <w:color w:val="auto"/>
        </w:rPr>
      </w:pPr>
    </w:p>
    <w:p>
      <w:pPr>
        <w:ind w:left="620" w:right="80" w:hanging="313"/>
        <w:spacing w:after="0" w:line="372"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0000FF"/>
        </w:rPr>
        <w:t>Our compliance systems and controls cannot guarantee that we comply fully with all applicable federal and state or foreign laws and regulations, and actions by regulatory authorities or changes in applicable laws and regulations in the jurisdictions in which we operate could impact our operations and/or have an adverse effect on our business.</w:t>
      </w:r>
    </w:p>
    <w:p>
      <w:pPr>
        <w:spacing w:after="0" w:line="74" w:lineRule="exact"/>
        <w:rPr>
          <w:rFonts w:ascii="Arial" w:cs="Arial" w:eastAsia="Arial" w:hAnsi="Arial"/>
          <w:sz w:val="20"/>
          <w:szCs w:val="20"/>
          <w:color w:val="auto"/>
        </w:rPr>
      </w:pPr>
    </w:p>
    <w:p>
      <w:pPr>
        <w:ind w:left="620" w:right="380" w:hanging="313"/>
        <w:spacing w:after="0" w:line="370"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0000FF"/>
        </w:rPr>
        <w:t>Allegations of conflicts of interest or anti-competitive behavior, including in connection with accepting market derived income (‘MDI’), may have a material adverse effect on our business, financial condition, results of operation or reputation.</w:t>
      </w:r>
    </w:p>
    <w:p>
      <w:pPr>
        <w:spacing w:after="0" w:line="76" w:lineRule="exact"/>
        <w:rPr>
          <w:rFonts w:ascii="Arial" w:cs="Arial" w:eastAsia="Arial" w:hAnsi="Arial"/>
          <w:sz w:val="20"/>
          <w:szCs w:val="20"/>
          <w:color w:val="auto"/>
        </w:rPr>
      </w:pPr>
    </w:p>
    <w:p>
      <w:pPr>
        <w:jc w:val="both"/>
        <w:ind w:left="620" w:right="140" w:hanging="313"/>
        <w:spacing w:after="0" w:line="370"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0000FF"/>
        </w:rPr>
        <w:t>Our global operations expose us to numerous, and sometimes conflicting, legal and regulatory requirements in environmental, social and governance (‘ESG’) matters, and violation of these regulations could harm our business.</w:t>
      </w:r>
    </w:p>
    <w:p>
      <w:pPr>
        <w:spacing w:after="0" w:line="76" w:lineRule="exact"/>
        <w:rPr>
          <w:rFonts w:ascii="Arial" w:cs="Arial" w:eastAsia="Arial" w:hAnsi="Arial"/>
          <w:sz w:val="20"/>
          <w:szCs w:val="20"/>
          <w:color w:val="auto"/>
        </w:rPr>
      </w:pPr>
    </w:p>
    <w:p>
      <w:pPr>
        <w:ind w:left="620" w:right="60" w:hanging="313"/>
        <w:spacing w:after="0" w:line="370"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0000FF"/>
        </w:rPr>
        <w:t>Increasing scrutiny and changing or competing expectations from government authorities, investors, clients and our colleagues with respect to our sustainability practices can impose additional costs on us or expose us to reputational, litigation or other risks.</w:t>
      </w:r>
    </w:p>
    <w:p>
      <w:pPr>
        <w:spacing w:after="0" w:line="76" w:lineRule="exact"/>
        <w:rPr>
          <w:rFonts w:ascii="Arial" w:cs="Arial" w:eastAsia="Arial" w:hAnsi="Arial"/>
          <w:sz w:val="20"/>
          <w:szCs w:val="20"/>
          <w:color w:val="auto"/>
        </w:rPr>
      </w:pPr>
    </w:p>
    <w:p>
      <w:pPr>
        <w:ind w:left="620" w:right="300" w:hanging="313"/>
        <w:spacing w:after="0" w:line="365" w:lineRule="auto"/>
        <w:tabs>
          <w:tab w:leader="none" w:pos="62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0000FF"/>
        </w:rPr>
        <w:t>The economic, regulatory and political impact of the United Kingdom’s exit from the European Union on January 31, 2020 has adversely affected and may continue to affect our business.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and Related Regulatory Risks</w:t>
      </w:r>
    </w:p>
    <w:p>
      <w:pPr>
        <w:spacing w:after="0" w:line="185" w:lineRule="exact"/>
        <w:rPr>
          <w:sz w:val="20"/>
          <w:szCs w:val="20"/>
          <w:color w:val="auto"/>
        </w:rPr>
      </w:pPr>
    </w:p>
    <w:p>
      <w:pPr>
        <w:ind w:left="620" w:right="680" w:hanging="313"/>
        <w:spacing w:after="0" w:line="365" w:lineRule="auto"/>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0000FF"/>
        </w:rPr>
        <w:t>We have material pension liabilities that can fluctuate significantly and adversely affect our financial position or net income or result in other financial impacts.</w:t>
      </w:r>
    </w:p>
    <w:p>
      <w:pPr>
        <w:spacing w:after="0" w:line="80" w:lineRule="exact"/>
        <w:rPr>
          <w:rFonts w:ascii="Arial" w:cs="Arial" w:eastAsia="Arial" w:hAnsi="Arial"/>
          <w:sz w:val="20"/>
          <w:szCs w:val="20"/>
          <w:color w:val="auto"/>
        </w:rPr>
      </w:pPr>
    </w:p>
    <w:p>
      <w:pPr>
        <w:ind w:left="620" w:right="120" w:hanging="313"/>
        <w:spacing w:after="0" w:line="365" w:lineRule="auto"/>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0000FF"/>
        </w:rPr>
        <w:t>Our outstanding debt could adversely affect our cash flows and financial flexibility, and we may not be able to obtain financing on favorable terms or at all.</w:t>
      </w:r>
    </w:p>
    <w:p>
      <w:pPr>
        <w:spacing w:after="0" w:line="80" w:lineRule="exact"/>
        <w:rPr>
          <w:rFonts w:ascii="Arial" w:cs="Arial" w:eastAsia="Arial" w:hAnsi="Arial"/>
          <w:sz w:val="20"/>
          <w:szCs w:val="20"/>
          <w:color w:val="auto"/>
        </w:rPr>
      </w:pPr>
    </w:p>
    <w:p>
      <w:pPr>
        <w:ind w:left="620" w:right="680" w:hanging="313"/>
        <w:spacing w:after="0" w:line="396" w:lineRule="auto"/>
        <w:tabs>
          <w:tab w:leader="none" w:pos="62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0000FF"/>
        </w:rPr>
        <w:t>A downgrade to our corporate credit rating, the credit ratings of our outstanding debt or other market speculation may adversely affect our borrowing costs and financial flexibility and, under certain circumstances, may require us to offer to buy back some of our outstanding debt.</w:t>
      </w:r>
    </w:p>
    <w:p>
      <w:pPr>
        <w:spacing w:after="0" w:line="58" w:lineRule="exact"/>
        <w:rPr>
          <w:rFonts w:ascii="Arial" w:cs="Arial" w:eastAsia="Arial" w:hAnsi="Arial"/>
          <w:sz w:val="19"/>
          <w:szCs w:val="19"/>
          <w:color w:val="auto"/>
        </w:rPr>
      </w:pPr>
    </w:p>
    <w:p>
      <w:pPr>
        <w:ind w:left="620" w:right="160" w:hanging="313"/>
        <w:spacing w:after="0" w:line="365" w:lineRule="auto"/>
        <w:tabs>
          <w:tab w:leader="none" w:pos="62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0000FF"/>
        </w:rPr>
        <w:t>Our significant non-U.S. operations, particularly our London market operations, expose us to exchange rate fluctuations and various other risks that could impact our business.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 / 87</w:t>
      </w:r>
    </w:p>
    <w:p>
      <w:pPr>
        <w:sectPr>
          <w:pgSz w:w="11900" w:h="16838" w:orient="portrait"/>
          <w:cols w:equalWidth="0" w:num="1">
            <w:col w:w="9380"/>
          </w:cols>
          <w:pgMar w:left="1260" w:top="1440" w:right="1266" w:bottom="0" w:gutter="0" w:footer="0" w:header="0"/>
          <w:type w:val="continuous"/>
        </w:sectPr>
      </w:pPr>
    </w:p>
    <w:bookmarkStart w:id="34" w:name="page35"/>
    <w:bookmarkEnd w:id="34"/>
    <w:p>
      <w:pPr>
        <w:ind w:left="620" w:right="40" w:hanging="313"/>
        <w:spacing w:after="0" w:line="365" w:lineRule="auto"/>
        <w:tabs>
          <w:tab w:leader="none" w:pos="62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0000FF"/>
        </w:rPr>
        <w:t>Changes in accounting principles or in our accounting estimates and assumptions could negatively affect our financial position and results of operations.</w:t>
      </w:r>
    </w:p>
    <w:p>
      <w:pPr>
        <w:spacing w:after="0" w:line="80" w:lineRule="exact"/>
        <w:rPr>
          <w:rFonts w:ascii="Arial" w:cs="Arial" w:eastAsia="Arial" w:hAnsi="Arial"/>
          <w:sz w:val="20"/>
          <w:szCs w:val="20"/>
          <w:color w:val="auto"/>
        </w:rPr>
      </w:pPr>
    </w:p>
    <w:p>
      <w:pPr>
        <w:ind w:left="620" w:right="220" w:hanging="313"/>
        <w:spacing w:after="0" w:line="365" w:lineRule="auto"/>
        <w:tabs>
          <w:tab w:leader="none" w:pos="62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0000FF"/>
        </w:rPr>
        <w:t>Our quarterly revenue and cash flow could fluctuate, including as a result of factors outside of our control, while our expenses may remain relatively fixed or be higher than expected.</w:t>
      </w:r>
    </w:p>
    <w:p>
      <w:pPr>
        <w:spacing w:after="0" w:line="80" w:lineRule="exact"/>
        <w:rPr>
          <w:rFonts w:ascii="Arial" w:cs="Arial" w:eastAsia="Arial" w:hAnsi="Arial"/>
          <w:sz w:val="20"/>
          <w:szCs w:val="20"/>
          <w:color w:val="auto"/>
        </w:rPr>
      </w:pPr>
    </w:p>
    <w:p>
      <w:pPr>
        <w:ind w:left="620" w:right="500" w:hanging="313"/>
        <w:spacing w:after="0" w:line="365" w:lineRule="auto"/>
        <w:tabs>
          <w:tab w:leader="none" w:pos="62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0000FF"/>
        </w:rPr>
        <w:t>We are a holding company and therefore, may not be able to receive dividends or other distributions in needed amounts from our subsidiaries.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Tax Risks</w:t>
      </w:r>
    </w:p>
    <w:p>
      <w:pPr>
        <w:spacing w:after="0" w:line="185" w:lineRule="exact"/>
        <w:rPr>
          <w:sz w:val="20"/>
          <w:szCs w:val="20"/>
          <w:color w:val="auto"/>
        </w:rPr>
      </w:pPr>
    </w:p>
    <w:p>
      <w:pPr>
        <w:ind w:left="620" w:right="40" w:hanging="313"/>
        <w:spacing w:after="0" w:line="365" w:lineRule="auto"/>
        <w:tabs>
          <w:tab w:leader="none" w:pos="62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0000FF"/>
        </w:rPr>
        <w:t>If a U.S. person is treated as owning at least 10% of our shares, such a holder may be subject to adverse U.S. federal income tax consequences.</w:t>
      </w:r>
    </w:p>
    <w:p>
      <w:pPr>
        <w:spacing w:after="0" w:line="80" w:lineRule="exact"/>
        <w:rPr>
          <w:rFonts w:ascii="Arial" w:cs="Arial" w:eastAsia="Arial" w:hAnsi="Arial"/>
          <w:sz w:val="20"/>
          <w:szCs w:val="20"/>
          <w:color w:val="auto"/>
        </w:rPr>
      </w:pPr>
    </w:p>
    <w:p>
      <w:pPr>
        <w:ind w:left="620" w:right="160" w:hanging="313"/>
        <w:spacing w:after="0" w:line="365" w:lineRule="auto"/>
        <w:tabs>
          <w:tab w:leader="none" w:pos="62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0000FF"/>
        </w:rPr>
        <w:t>Legislative or regulatory action or developments in case law in the U.S. or elsewhere could have a material adverse impact on our worldwide effective corporate tax rate.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Being an Irish-Incorporated Company</w:t>
      </w:r>
    </w:p>
    <w:p>
      <w:pPr>
        <w:spacing w:after="0" w:line="185" w:lineRule="exact"/>
        <w:rPr>
          <w:sz w:val="20"/>
          <w:szCs w:val="20"/>
          <w:color w:val="auto"/>
        </w:rPr>
      </w:pPr>
    </w:p>
    <w:p>
      <w:pPr>
        <w:ind w:left="620" w:right="520" w:hanging="313"/>
        <w:spacing w:after="0" w:line="365" w:lineRule="auto"/>
        <w:tabs>
          <w:tab w:leader="none" w:pos="62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0000FF"/>
        </w:rPr>
        <w:t>The laws of Ireland differ from the laws in effect in the United States and may afford less protection to holders of our securities.</w:t>
      </w:r>
    </w:p>
    <w:p>
      <w:pPr>
        <w:spacing w:after="0" w:line="80" w:lineRule="exact"/>
        <w:rPr>
          <w:rFonts w:ascii="Arial" w:cs="Arial" w:eastAsia="Arial" w:hAnsi="Arial"/>
          <w:sz w:val="20"/>
          <w:szCs w:val="20"/>
          <w:color w:val="auto"/>
        </w:rPr>
      </w:pPr>
    </w:p>
    <w:p>
      <w:pPr>
        <w:ind w:left="620" w:hanging="313"/>
        <w:spacing w:after="0" w:line="365" w:lineRule="auto"/>
        <w:tabs>
          <w:tab w:leader="none" w:pos="620"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0000FF"/>
        </w:rPr>
        <w:t>As an Irish public limited company, certain decisions related to our capital structure will require the approval of shareholders, which may limit our flexibility to manage our 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-27305</wp:posOffset>
            </wp:positionV>
            <wp:extent cx="576897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8975" cy="19050"/>
                    </a:xfrm>
                    <a:prstGeom prst="rect">
                      <a:avLst/>
                    </a:prstGeom>
                    <a:noFill/>
                  </pic:spPr>
                </pic:pic>
              </a:graphicData>
            </a:graphic>
          </wp:anchor>
        </w:drawing>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278"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35 / 87</w:t>
      </w:r>
    </w:p>
    <w:p>
      <w:pPr>
        <w:sectPr>
          <w:pgSz w:w="11900" w:h="16838" w:orient="portrait"/>
          <w:cols w:equalWidth="0" w:num="1">
            <w:col w:w="9360"/>
          </w:cols>
          <w:pgMar w:left="1260" w:top="1278" w:right="1286" w:bottom="0" w:gutter="0" w:footer="0" w:header="0"/>
          <w:type w:val="continuous"/>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u w:val="single" w:color="auto"/>
          <w:color w:val="auto"/>
        </w:rPr>
        <w:t>RISK FACTORS</w:t>
      </w:r>
    </w:p>
    <w:p>
      <w:pPr>
        <w:spacing w:after="0" w:line="260" w:lineRule="exact"/>
        <w:rPr>
          <w:sz w:val="20"/>
          <w:szCs w:val="20"/>
          <w:color w:val="auto"/>
        </w:rPr>
      </w:pPr>
    </w:p>
    <w:p>
      <w:pPr>
        <w:spacing w:after="0" w:line="348" w:lineRule="auto"/>
        <w:rPr>
          <w:sz w:val="20"/>
          <w:szCs w:val="20"/>
          <w:color w:val="auto"/>
        </w:rPr>
      </w:pPr>
      <w:r>
        <w:rPr>
          <w:rFonts w:ascii="Arial" w:cs="Arial" w:eastAsia="Arial" w:hAnsi="Arial"/>
          <w:sz w:val="18"/>
          <w:szCs w:val="18"/>
          <w:color w:val="auto"/>
        </w:rPr>
        <w:t xml:space="preserve">Investments in our ordinary shares are subject to various risks and uncertainties, including as described in this Item 1A of Part I of our Annual Report on Form 10-K. In addition to the factors discussed elsewhere in this Annual Report on Form 10-K, the following are some of the important factors that could cause our actual results to differ materially from those projected in any forward-looking statements. These risk factors should be carefully considered in evaluating our business and investing in us. The descriptions below are not the only risks and uncertainties that we face. Additional risks and uncertainties that are presently unknown to us could also affect our financial results, including by impairing our business operations, financial condition, results of operations or the price of our ordinary shares. If any of the risks and uncertainties described below or other risks were to occur, our business operations, financial condition, results of operations or the price of our ordinary shares could be materially and adversely impacted. The risk factors described below are grouped into categories; the headings of these categories are inserted for convenience of reference only and are not intended to be a part of or to affect the meaning or interpretation of any of the risk factors described herein. Many risks affect more than one category, and the risks are not in order of significance or probability of occurrence solely because they have been grouped by categories. </w:t>
      </w:r>
      <w:r>
        <w:rPr>
          <w:rFonts w:ascii="Arial" w:cs="Arial" w:eastAsia="Arial" w:hAnsi="Arial"/>
          <w:sz w:val="18"/>
          <w:szCs w:val="18"/>
          <w:b w:val="1"/>
          <w:bCs w:val="1"/>
          <w:color w:val="auto"/>
        </w:rPr>
        <w:t>With respect to the</w:t>
      </w:r>
      <w:r>
        <w:rPr>
          <w:rFonts w:ascii="Arial" w:cs="Arial" w:eastAsia="Arial" w:hAnsi="Arial"/>
          <w:sz w:val="18"/>
          <w:szCs w:val="18"/>
          <w:color w:val="auto"/>
        </w:rPr>
        <w:t xml:space="preserve"> </w:t>
      </w:r>
      <w:r>
        <w:rPr>
          <w:rFonts w:ascii="Arial" w:cs="Arial" w:eastAsia="Arial" w:hAnsi="Arial"/>
          <w:sz w:val="18"/>
          <w:szCs w:val="18"/>
          <w:b w:val="1"/>
          <w:bCs w:val="1"/>
          <w:color w:val="auto"/>
        </w:rPr>
        <w:t>tax-related consequences of acquisition, ownership, and disposal of ordinary shares, you should consult with your own tax advisors.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Strategic and Operational Risks</w:t>
      </w:r>
    </w:p>
    <w:p>
      <w:pPr>
        <w:spacing w:after="0" w:line="260" w:lineRule="exact"/>
        <w:rPr>
          <w:sz w:val="20"/>
          <w:szCs w:val="20"/>
          <w:color w:val="auto"/>
        </w:rPr>
      </w:pPr>
    </w:p>
    <w:p>
      <w:pPr>
        <w:jc w:val="both"/>
        <w:ind w:right="80"/>
        <w:spacing w:after="0" w:line="383" w:lineRule="auto"/>
        <w:rPr>
          <w:sz w:val="20"/>
          <w:szCs w:val="20"/>
          <w:color w:val="auto"/>
        </w:rPr>
      </w:pPr>
      <w:r>
        <w:rPr>
          <w:rFonts w:ascii="Arial" w:cs="Arial" w:eastAsia="Arial" w:hAnsi="Arial"/>
          <w:sz w:val="17"/>
          <w:szCs w:val="17"/>
          <w:b w:val="1"/>
          <w:bCs w:val="1"/>
          <w:i w:val="1"/>
          <w:iCs w:val="1"/>
          <w:color w:val="auto"/>
        </w:rPr>
        <w:t>Our success largely depends on our ability to achieve our global business strategy as it evolves, and our results of operations and financial condition could suffer if the Company were unable to successfully establish and execute on its strategy and generate anticipated revenue growth, cost savings, efficiencies and other benefits.</w:t>
      </w:r>
    </w:p>
    <w:p>
      <w:pPr>
        <w:spacing w:after="0" w:line="144" w:lineRule="exact"/>
        <w:rPr>
          <w:sz w:val="20"/>
          <w:szCs w:val="20"/>
          <w:color w:val="auto"/>
        </w:rPr>
      </w:pPr>
    </w:p>
    <w:p>
      <w:pPr>
        <w:ind w:right="60"/>
        <w:spacing w:after="0" w:line="329" w:lineRule="auto"/>
        <w:rPr>
          <w:sz w:val="20"/>
          <w:szCs w:val="20"/>
          <w:color w:val="auto"/>
        </w:rPr>
      </w:pPr>
      <w:r>
        <w:rPr>
          <w:rFonts w:ascii="Arial" w:cs="Arial" w:eastAsia="Arial" w:hAnsi="Arial"/>
          <w:sz w:val="19"/>
          <w:szCs w:val="19"/>
          <w:color w:val="auto"/>
        </w:rPr>
        <w:t>Our future growth, profitability, and cash flows largely depend upon our ability to successfully establish and execute our global business strategy, including executing on our expected product, service and transaction pipelines. As discussed under Item 1, ‘Business - Business Strategy’, we seek to be an advisory, broking and solutions provider of choice through an integrated global platform. While we have confidence that our strategic plan reflects opportunities that we believe to be appropriate and achievable, our strategy may not deliver projected growth in revenue and profitability due to inadequate execution, incorrect assumptions, global or local economic conditions, competition, changes in the industries in which we operate, sub-optimal resource allocation or other reasons, including the other risks described in this ‘Risk Factors’ section.</w:t>
      </w:r>
    </w:p>
    <w:p>
      <w:pPr>
        <w:spacing w:after="0" w:line="184"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Further, we have stated certain financial goals, including with respect to our cash flows, our growth and margin targets, and our share repurchases. We have stated, and may in the future state, other goals for future periods. Our initiatives aiming to implement our strategy and to achieve future financial objectives pose potential operational risks and may result in the distraction of management and colleagues. Furthermore, we may not repurchase as many of our outstanding shares as anticipated due to market or business conditions or due to other factors, including decisions to prioritize acquisitions, investments or other uses of capital. There can be no assurance that our actual results will meet our stated financial goals.</w:t>
      </w:r>
    </w:p>
    <w:p>
      <w:pPr>
        <w:spacing w:after="0" w:line="183" w:lineRule="exact"/>
        <w:rPr>
          <w:sz w:val="20"/>
          <w:szCs w:val="20"/>
          <w:color w:val="auto"/>
        </w:rPr>
      </w:pPr>
    </w:p>
    <w:p>
      <w:pPr>
        <w:jc w:val="both"/>
        <w:ind w:right="60"/>
        <w:spacing w:after="0" w:line="355" w:lineRule="auto"/>
        <w:rPr>
          <w:sz w:val="20"/>
          <w:szCs w:val="20"/>
          <w:color w:val="auto"/>
        </w:rPr>
      </w:pPr>
      <w:r>
        <w:rPr>
          <w:rFonts w:ascii="Arial" w:cs="Arial" w:eastAsia="Arial" w:hAnsi="Arial"/>
          <w:sz w:val="18"/>
          <w:szCs w:val="18"/>
          <w:color w:val="auto"/>
        </w:rPr>
        <w:t>In addition, our pipeline estimates may prove to be unreliable either in a particular quarter or over a longer period of time. Should we be unable to succeed in our initiatives to drive growth and achieve our financial goals, we may have to delay, scale back or discontinue the development, deployment and commercialization of our products or services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 / 87</w:t>
      </w:r>
    </w:p>
    <w:p>
      <w:pPr>
        <w:sectPr>
          <w:pgSz w:w="11900" w:h="16838" w:orient="portrait"/>
          <w:cols w:equalWidth="0" w:num="1">
            <w:col w:w="9400"/>
          </w:cols>
          <w:pgMar w:left="1260" w:top="1440" w:right="1246" w:bottom="0" w:gutter="0" w:footer="0" w:header="0"/>
          <w:type w:val="continuous"/>
        </w:sectPr>
      </w:pPr>
    </w:p>
    <w:bookmarkStart w:id="36" w:name="page37"/>
    <w:bookmarkEnd w:id="36"/>
    <w:p>
      <w:pPr>
        <w:ind w:right="140"/>
        <w:spacing w:after="0" w:line="307" w:lineRule="auto"/>
        <w:rPr>
          <w:sz w:val="20"/>
          <w:szCs w:val="20"/>
          <w:color w:val="auto"/>
        </w:rPr>
      </w:pPr>
      <w:r>
        <w:rPr>
          <w:rFonts w:ascii="Arial" w:cs="Arial" w:eastAsia="Arial" w:hAnsi="Arial"/>
          <w:sz w:val="20"/>
          <w:szCs w:val="20"/>
          <w:color w:val="auto"/>
        </w:rPr>
        <w:t>or delay our efforts to expand our transaction pipeline. As a result, our ability to deliver continued sustainable and profitable growth may be negatively impacted and financial performance across our segments and geographies may be adversely affected.</w:t>
      </w:r>
    </w:p>
    <w:p>
      <w:pPr>
        <w:spacing w:after="0" w:line="257"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As our strategy evolves, we may be unable to successfully execute the associated strategic changes, including as a result of factors discussed in this ‘Risk Factors’ section. Our investments of significant time and resources into new product or service offerings, as well as in technology and infrastructure to support these offerings may not deliver the expected return or sufficient return to cover the cost of investment. These investments include those made organically as well as those made through inorganic acquisitions such as the acquisitions of Newfront Insurance Holdings, Inc. (‘Newfront’) and Cushon. If we are unable to develop and execute optimally on our global business strategy it could have a material adverse effect on our business, financial condition and results of operations.</w:t>
      </w:r>
    </w:p>
    <w:p>
      <w:pPr>
        <w:spacing w:after="0" w:line="227" w:lineRule="exact"/>
        <w:rPr>
          <w:sz w:val="20"/>
          <w:szCs w:val="20"/>
          <w:color w:val="auto"/>
        </w:rPr>
      </w:pPr>
    </w:p>
    <w:p>
      <w:pPr>
        <w:ind w:right="20"/>
        <w:spacing w:after="0" w:line="310" w:lineRule="auto"/>
        <w:rPr>
          <w:sz w:val="20"/>
          <w:szCs w:val="20"/>
          <w:color w:val="auto"/>
        </w:rPr>
      </w:pPr>
      <w:r>
        <w:rPr>
          <w:rFonts w:ascii="Arial" w:cs="Arial" w:eastAsia="Arial" w:hAnsi="Arial"/>
          <w:sz w:val="20"/>
          <w:szCs w:val="20"/>
          <w:b w:val="1"/>
          <w:bCs w:val="1"/>
          <w:i w:val="1"/>
          <w:iCs w:val="1"/>
          <w:color w:val="auto"/>
        </w:rPr>
        <w:t>The growth and portfolio optimization elements of our strategy depend, in part, on our ability to execute strategic transactions, including both acquisitions and dispositions. We face risks when we acquire or divest businesses, and we could have difficulty in acquiring, integrating or managing acquired businesses, or with effecting internal reorganizations, all of which could harm our business, financial condition, results of operations and/or reputation.</w:t>
      </w:r>
    </w:p>
    <w:p>
      <w:pPr>
        <w:spacing w:after="0" w:line="255"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Our growth depends in part on our ability to make acquisitions and execute other strategic transactions. We may not be successful in identifying appropriate candidates for acquisitions, dispositions, joint ventures or strategic investments, or consummating such transactions on terms acceptable or favorable to us. We also face additional risks related to acquisitions, including the ability to negotiate transactions on favorable terms, the ability to secure regulatory approval of transactions where required, the ability to successfully integrate them into our existing businesses and culture, and the potential that any acquired business could significantly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 / 87</w:t>
      </w:r>
    </w:p>
    <w:p>
      <w:pPr>
        <w:sectPr>
          <w:pgSz w:w="11900" w:h="16838" w:orient="portrait"/>
          <w:cols w:equalWidth="0" w:num="1">
            <w:col w:w="9380"/>
          </w:cols>
          <w:pgMar w:left="1260" w:top="1173" w:right="1266" w:bottom="0" w:gutter="0" w:footer="0" w:header="0"/>
          <w:type w:val="continuous"/>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spacing w:after="0" w:line="302" w:lineRule="auto"/>
        <w:rPr>
          <w:sz w:val="20"/>
          <w:szCs w:val="20"/>
          <w:color w:val="auto"/>
        </w:rPr>
      </w:pPr>
      <w:r>
        <w:rPr>
          <w:rFonts w:ascii="Arial" w:cs="Arial" w:eastAsia="Arial" w:hAnsi="Arial"/>
          <w:sz w:val="20"/>
          <w:szCs w:val="20"/>
          <w:color w:val="auto"/>
        </w:rPr>
        <w:t>underperform relative to our expectations. If we are unable to identify and successfully make, integrate and manage acquisitions, our business could be materially adversely affected.</w:t>
      </w:r>
    </w:p>
    <w:p>
      <w:pPr>
        <w:spacing w:after="0" w:line="261" w:lineRule="exact"/>
        <w:rPr>
          <w:sz w:val="20"/>
          <w:szCs w:val="20"/>
          <w:color w:val="auto"/>
        </w:rPr>
      </w:pPr>
    </w:p>
    <w:p>
      <w:pPr>
        <w:ind w:right="200"/>
        <w:spacing w:after="0" w:line="310" w:lineRule="auto"/>
        <w:rPr>
          <w:sz w:val="20"/>
          <w:szCs w:val="20"/>
          <w:color w:val="auto"/>
        </w:rPr>
      </w:pPr>
      <w:r>
        <w:rPr>
          <w:rFonts w:ascii="Arial" w:cs="Arial" w:eastAsia="Arial" w:hAnsi="Arial"/>
          <w:sz w:val="20"/>
          <w:szCs w:val="20"/>
          <w:color w:val="auto"/>
        </w:rPr>
        <w:t>In addition, we face risks related to divesting businesses, including that we may not receive adequate consideration or any earnout proceeds in return for the divested business, we may continue to be subject to the liabilities of the divested business after its divestiture (including with respect to work we might have performed on behalf of the divested business), and we may not be able to reduce overhead or redeploy assets or retain colleagues after the divestiture closes.</w:t>
      </w:r>
    </w:p>
    <w:p>
      <w:pPr>
        <w:spacing w:after="0" w:line="195" w:lineRule="exact"/>
        <w:rPr>
          <w:sz w:val="20"/>
          <w:szCs w:val="20"/>
          <w:color w:val="auto"/>
        </w:rPr>
      </w:pPr>
    </w:p>
    <w:p>
      <w:pPr>
        <w:ind w:right="100"/>
        <w:spacing w:after="0" w:line="295" w:lineRule="exact"/>
        <w:rPr>
          <w:sz w:val="20"/>
          <w:szCs w:val="20"/>
          <w:color w:val="auto"/>
        </w:rPr>
      </w:pPr>
      <w:r>
        <w:rPr>
          <w:rFonts w:ascii="Arial" w:cs="Arial" w:eastAsia="Arial" w:hAnsi="Arial"/>
          <w:sz w:val="19"/>
          <w:szCs w:val="19"/>
          <w:color w:val="auto"/>
        </w:rPr>
        <w:t>Further, we cannot be certain that our acquisitions will be accretive to earnings or that our acquisitions or joint ventures will otherwise meet our operational or strategic expectations. Acquisitions, such as our Newfront and Cushon acquisitions, and joint ventures, such as our joint venture with Bain Capital, involve special risks, including the potential assumption of unanticipated liabilities and contingencies and difficulties in integrating acquired businesses or in achieving a successful joint venture. In particular, our acquisition of Newfront requires the integration of a technology-enabled brokerage platform and digital-first operating model into our existing broking operations, which may pose additional challenges related to technology and systems integration, increased cybersecurity exposure, and compliance with U.S. state-based licensing requirements. Our acquisition of Cushon similarly involves the integration of a regulated, technology-driven pension and savings platform into our wealth-related businesses and exposes us to additional risks related to U.K. financial services and pension regulation, operational-resilience and data</w:t>
      </w:r>
      <w:r>
        <w:rPr>
          <w:rFonts w:ascii="MS PMincho" w:cs="MS PMincho" w:eastAsia="MS PMincho" w:hAnsi="MS PMincho"/>
          <w:sz w:val="19"/>
          <w:szCs w:val="19"/>
          <w:color w:val="auto"/>
        </w:rPr>
        <w:t>‑</w:t>
      </w:r>
      <w:r>
        <w:rPr>
          <w:rFonts w:ascii="Arial" w:cs="Arial" w:eastAsia="Arial" w:hAnsi="Arial"/>
          <w:sz w:val="19"/>
          <w:szCs w:val="19"/>
          <w:color w:val="auto"/>
        </w:rPr>
        <w:t>privacy requirements, and the integration of a digital investment platform into our existing offerings. Acquired businesses or joint ventures may not achieve the levels of revenue, profit, or productivity we anticipate or otherwise perform as we expect. Further, we may have difficulty retaining, integrating, or attracting the talent needed to make those transactions successful, including revenue-generating colleagues and colleagues with specialized expertise. In addition, if the operating performance of an acquired business or joint venture deteriorates significantly or capital needs increase, we may need to make additional investments or write down the value of the goodwill and other acquisition-related intangible assets recorded on our consolidated balance sheet.</w:t>
      </w:r>
    </w:p>
    <w:p>
      <w:pPr>
        <w:spacing w:after="0" w:line="271" w:lineRule="exact"/>
        <w:rPr>
          <w:sz w:val="20"/>
          <w:szCs w:val="20"/>
          <w:color w:val="auto"/>
        </w:rPr>
      </w:pPr>
    </w:p>
    <w:p>
      <w:pPr>
        <w:spacing w:after="0" w:line="311" w:lineRule="auto"/>
        <w:rPr>
          <w:sz w:val="20"/>
          <w:szCs w:val="20"/>
          <w:color w:val="auto"/>
        </w:rPr>
      </w:pPr>
      <w:r>
        <w:rPr>
          <w:rFonts w:ascii="Arial" w:cs="Arial" w:eastAsia="Arial" w:hAnsi="Arial"/>
          <w:sz w:val="20"/>
          <w:szCs w:val="20"/>
          <w:color w:val="auto"/>
        </w:rPr>
        <w:t>With respect to any such acquisition transactions or joint ventures, we face risks related to the potential impacts of the transaction on relationships, including with clients, colleagues, correspondents, suppliers, regulators, competitors, and other third parties, as well as the risk related to contingent liabilities as described in the preceding paragraph. The following risks, in addition to those described above, may also adversely affect our ability to successfully implement and integrate these acquisitions or to manage joint ventures: material changes in U.S. and foreign jurisdiction regulations (including those related to the healthcare system and insurance brokerage, pension advisory, and investment services); changes in general economic, business and political conditions in relevant markets, including changes in the financial markets; significant competition in the marketplace; the need to manage potential conflicts of interest; and compliance with extensive and evolving government regulations in the U.S. and in foreign jurisdictions.</w:t>
      </w:r>
    </w:p>
    <w:p>
      <w:pPr>
        <w:spacing w:after="0" w:line="200" w:lineRule="exact"/>
        <w:rPr>
          <w:sz w:val="20"/>
          <w:szCs w:val="20"/>
          <w:color w:val="auto"/>
        </w:rPr>
      </w:pPr>
    </w:p>
    <w:p>
      <w:pPr>
        <w:ind w:right="40"/>
        <w:spacing w:after="0" w:line="352" w:lineRule="auto"/>
        <w:rPr>
          <w:sz w:val="20"/>
          <w:szCs w:val="20"/>
          <w:color w:val="auto"/>
        </w:rPr>
      </w:pPr>
      <w:r>
        <w:rPr>
          <w:rFonts w:ascii="Arial" w:cs="Arial" w:eastAsia="Arial" w:hAnsi="Arial"/>
          <w:sz w:val="18"/>
          <w:szCs w:val="18"/>
          <w:color w:val="auto"/>
        </w:rPr>
        <w:t>We may be unable to effectively integrate an acquired business into our organization and may not succeed in managing such acquired businesses or the larger company that results from such acquisitions. The process of integrating an acquired business may subject us to a number of risks, including, without limitation, an inability to retain the management, key personnel and other colleagues of the acquired business; an inability to establish uniform</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38 / 87</w:t>
      </w:r>
    </w:p>
    <w:p>
      <w:pPr>
        <w:sectPr>
          <w:pgSz w:w="11900" w:h="16838" w:orient="portrait"/>
          <w:cols w:equalWidth="0" w:num="1">
            <w:col w:w="9400"/>
          </w:cols>
          <w:pgMar w:left="1260" w:top="1440" w:right="1246" w:bottom="0" w:gutter="0" w:footer="0" w:header="0"/>
          <w:type w:val="continuous"/>
        </w:sectPr>
      </w:pPr>
    </w:p>
    <w:bookmarkStart w:id="38" w:name="page39"/>
    <w:bookmarkEnd w:id="38"/>
    <w:p>
      <w:pPr>
        <w:jc w:val="both"/>
        <w:ind w:right="260"/>
        <w:spacing w:after="0" w:line="307" w:lineRule="auto"/>
        <w:rPr>
          <w:sz w:val="20"/>
          <w:szCs w:val="20"/>
          <w:color w:val="auto"/>
        </w:rPr>
      </w:pPr>
      <w:r>
        <w:rPr>
          <w:rFonts w:ascii="Arial" w:cs="Arial" w:eastAsia="Arial" w:hAnsi="Arial"/>
          <w:sz w:val="20"/>
          <w:szCs w:val="20"/>
          <w:color w:val="auto"/>
        </w:rPr>
        <w:t>standards, controls, systems, procedures and policies or to achieve anticipated savings; an inability to successfully apply technology from one part of the business to another; and exposure to legal claims or regulatory censure for activities of the acquired business prior to acquisition.</w:t>
      </w:r>
    </w:p>
    <w:p>
      <w:pPr>
        <w:spacing w:after="0" w:line="197" w:lineRule="exact"/>
        <w:rPr>
          <w:sz w:val="20"/>
          <w:szCs w:val="20"/>
          <w:color w:val="auto"/>
        </w:rPr>
      </w:pPr>
    </w:p>
    <w:p>
      <w:pPr>
        <w:ind w:right="20"/>
        <w:spacing w:after="0" w:line="351" w:lineRule="auto"/>
        <w:rPr>
          <w:sz w:val="20"/>
          <w:szCs w:val="20"/>
          <w:color w:val="auto"/>
        </w:rPr>
      </w:pPr>
      <w:r>
        <w:rPr>
          <w:rFonts w:ascii="Arial" w:cs="Arial" w:eastAsia="Arial" w:hAnsi="Arial"/>
          <w:sz w:val="18"/>
          <w:szCs w:val="18"/>
          <w:color w:val="auto"/>
        </w:rPr>
        <w:t>If acquisitions or joint ventures are not successfully integrated or managed and the intended benefits of the acquisitions or joint ventures are not achieved, our business, financial condition and results of operations could be materially adversely affected, as well as our professional reputation. We also own interests in a number of associated companies and ventures where we do not exercise management control and we are therefore limited in our ability to direct or manage the business to realize the anticipated benefits that we could achieve if we had full ownership.</w:t>
      </w:r>
    </w:p>
    <w:p>
      <w:pPr>
        <w:spacing w:after="0" w:line="166" w:lineRule="exact"/>
        <w:rPr>
          <w:sz w:val="20"/>
          <w:szCs w:val="20"/>
          <w:color w:val="auto"/>
        </w:rPr>
      </w:pPr>
    </w:p>
    <w:p>
      <w:pPr>
        <w:ind w:right="140"/>
        <w:spacing w:after="0" w:line="309" w:lineRule="auto"/>
        <w:rPr>
          <w:sz w:val="20"/>
          <w:szCs w:val="20"/>
          <w:color w:val="auto"/>
        </w:rPr>
      </w:pPr>
      <w:r>
        <w:rPr>
          <w:rFonts w:ascii="Arial" w:cs="Arial" w:eastAsia="Arial" w:hAnsi="Arial"/>
          <w:sz w:val="20"/>
          <w:szCs w:val="20"/>
          <w:b w:val="1"/>
          <w:bCs w:val="1"/>
          <w:i w:val="1"/>
          <w:iCs w:val="1"/>
          <w:color w:val="auto"/>
        </w:rPr>
        <w:t>The growth element of our strategy also depends, in part, on organic growth and our ability to develop and grow new and existing areas of our business. We face risks when we invest in new lines of business, products, services and platforms or other areas, which could harm our business, financial condition, results of operations and/or reputation.</w:t>
      </w:r>
    </w:p>
    <w:p>
      <w:pPr>
        <w:spacing w:after="0" w:line="196"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Our business strategy includes the organic growth of our existing operations when we enter into new lines of business or offer new products and services within existing lines of business. We may not be able to effectively execute our organic growth strategy for reasons within and outside of our control. Organic growth presents additional risks, particularly in instances where the markets are heavily regulated, meaningfully competitive with high bars to entry, or new or not fully developed. Such risks include the investment of significant time and resources; the possibility that these efforts will not be successful and could result in reputational damage to us; the possibility that the marketplace does not accept our products or services; the possibility that we are unable to retain clients that adopt our new products or services; and the risk of new or additional liabilities associated with these efforts, including potential errors and omissions or other claims. External factors, such as compliance with new or revised regulations, competitive alternatives and shifting market preferences may also impact the successful implementation of a line of business, product or service. If the entry into</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 / 87</w:t>
      </w:r>
    </w:p>
    <w:p>
      <w:pPr>
        <w:sectPr>
          <w:pgSz w:w="11900" w:h="16838" w:orient="portrait"/>
          <w:cols w:equalWidth="0" w:num="1">
            <w:col w:w="9380"/>
          </w:cols>
          <w:pgMar w:left="1260" w:top="1173" w:right="1266" w:bottom="0" w:gutter="0" w:footer="0" w:header="0"/>
          <w:type w:val="continuous"/>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0"/>
        <w:spacing w:after="0" w:line="307" w:lineRule="auto"/>
        <w:rPr>
          <w:sz w:val="20"/>
          <w:szCs w:val="20"/>
          <w:color w:val="auto"/>
        </w:rPr>
      </w:pPr>
      <w:r>
        <w:rPr>
          <w:rFonts w:ascii="Arial" w:cs="Arial" w:eastAsia="Arial" w:hAnsi="Arial"/>
          <w:sz w:val="20"/>
          <w:szCs w:val="20"/>
          <w:color w:val="auto"/>
        </w:rPr>
        <w:t>businesses, products or services is not successfully integrated into our business, the intended benefits and business development initiatives will not be achieved, which may adversely affect our business, financial condition, results of operations or reputation.</w:t>
      </w:r>
    </w:p>
    <w:p>
      <w:pPr>
        <w:spacing w:after="0" w:line="197" w:lineRule="exact"/>
        <w:rPr>
          <w:sz w:val="20"/>
          <w:szCs w:val="20"/>
          <w:color w:val="auto"/>
        </w:rPr>
      </w:pPr>
    </w:p>
    <w:p>
      <w:pPr>
        <w:ind w:right="60"/>
        <w:spacing w:after="0" w:line="309" w:lineRule="auto"/>
        <w:rPr>
          <w:sz w:val="20"/>
          <w:szCs w:val="20"/>
          <w:color w:val="auto"/>
        </w:rPr>
      </w:pPr>
      <w:r>
        <w:rPr>
          <w:rFonts w:ascii="Arial" w:cs="Arial" w:eastAsia="Arial" w:hAnsi="Arial"/>
          <w:sz w:val="20"/>
          <w:szCs w:val="20"/>
          <w:b w:val="1"/>
          <w:bCs w:val="1"/>
          <w:i w:val="1"/>
          <w:iCs w:val="1"/>
          <w:color w:val="auto"/>
        </w:rPr>
        <w:t>Our business performance and growth plans could be negatively affected if we are not able to develop and implement improvements in technology and effectively apply technology, data and analytics to drive value for our clients through technology-based solutions or gain internal efficiencies through the effective application of technology, analytics and related tools.</w:t>
      </w:r>
    </w:p>
    <w:p>
      <w:pPr>
        <w:spacing w:after="0" w:line="196" w:lineRule="exact"/>
        <w:rPr>
          <w:sz w:val="20"/>
          <w:szCs w:val="20"/>
          <w:color w:val="auto"/>
        </w:rPr>
      </w:pPr>
    </w:p>
    <w:p>
      <w:pPr>
        <w:spacing w:after="0" w:line="298" w:lineRule="exact"/>
        <w:rPr>
          <w:sz w:val="20"/>
          <w:szCs w:val="20"/>
          <w:color w:val="auto"/>
        </w:rPr>
      </w:pPr>
      <w:r>
        <w:rPr>
          <w:rFonts w:ascii="Arial" w:cs="Arial" w:eastAsia="Arial" w:hAnsi="Arial"/>
          <w:sz w:val="18"/>
          <w:szCs w:val="18"/>
          <w:color w:val="auto"/>
        </w:rPr>
        <w:t>Our success depends, in part, on our ability to develop and implement innovative technology, data and analytic solutions that anticipate, lead, keep pace with or respond to rapid and continuing changes in technology both for internal operations, for maintaining industry standards, meeting client preferences and gaining competitive advantage. We may not be successful in anticipating or responding to these developments in a timely and cost-effective manner or in attracting and maintaining personnel with the necessary skills in this area. Our ideas may not lead to the desired internal efficiencies or be accepted in the marketplace. In addition, we may not be able to implement technology-based solutions as quickly as desired if, for example, greater resources are required than originally expected or resources are otherwise needed elsewhere. The effort to gain technological and data expertise and develop new technologies or analytic techniques in our business requires us to incur significant cost and attract qualified technical talent who are in high demand. Our competitors are seeking to develop competing or new technologies, and their success in this space may impact our ability to differentiate our services to our clients through the use of unique technological solutions. If we do not keep up with technological changes or execute effectively on our strategic initiatives, our business and results of operations could be adversely impacted. For example, incorporating artificial intelligence (‘AI’) into certain product offerings is becoming more important in our operations, particularly as our competitors, including new entrants focused on using technology and innovation, such as generative or agentic AI, digital platforms, data analytics, robotics and blockchain, seek to simplify and improve the client experience, increase efficiencies, alter business models and effect other potentially disruptive changes in the industries in which we operate. Additionally, rapid advances in generative and agentic AI may enable certain clients to perform internally, automate, or obtain through low-cost digital tools analytical, benchmarking, modeling, drafting or other work that they have historically relied on us to provide, which could reduce demand for some of our services and adversely affect our revenues and growth. If we fail to keep pace with rapidly evolving AI and other technological developments, our competitive position and business results may be negatively impacted. In certain cases, we may decide, based on perceived business needs, to make investments that may be greater than we currently anticipate. If we cannot offer new technologies or data and analytic services or solutions as quickly or effectively as our competitors, or if our competitors develop more cost-effective technologies or analytic tools, it could have a material adverse effect on our ability to obtain and complete client engagements. There are significant risks involved in our efforts to keep pace with technological developments and no assurance can be provided that the usage of such technology will enhance our business or assist us in being more efficient or profitable. While development and enhancement of our technology systems may improve the efficiency of data analytics and reduce certain costs, there is no assurance that the benefits related to such advancements will outweigh such investment costs or outweigh such risks. In addition, we face pressure from non</w:t>
      </w:r>
      <w:r>
        <w:rPr>
          <w:rFonts w:ascii="MS PMincho" w:cs="MS PMincho" w:eastAsia="MS PMincho" w:hAnsi="MS PMincho"/>
          <w:sz w:val="18"/>
          <w:szCs w:val="18"/>
          <w:color w:val="auto"/>
        </w:rPr>
        <w:t>‑</w:t>
      </w:r>
      <w:r>
        <w:rPr>
          <w:rFonts w:ascii="Arial" w:cs="Arial" w:eastAsia="Arial" w:hAnsi="Arial"/>
          <w:sz w:val="18"/>
          <w:szCs w:val="18"/>
          <w:color w:val="auto"/>
        </w:rPr>
        <w:t>traditional competitors that may innovate or scale faster, deploy lower</w:t>
      </w:r>
      <w:r>
        <w:rPr>
          <w:rFonts w:ascii="MS PMincho" w:cs="MS PMincho" w:eastAsia="MS PMincho" w:hAnsi="MS PMincho"/>
          <w:sz w:val="18"/>
          <w:szCs w:val="18"/>
          <w:color w:val="auto"/>
        </w:rPr>
        <w:t>‑</w:t>
      </w:r>
      <w:r>
        <w:rPr>
          <w:rFonts w:ascii="Arial" w:cs="Arial" w:eastAsia="Arial" w:hAnsi="Arial"/>
          <w:sz w:val="18"/>
          <w:szCs w:val="18"/>
          <w:color w:val="auto"/>
        </w:rPr>
        <w:t>cost digital solutions, or enable clients to self-serve. Data quality, integrity, lineage and availability are increasingly critical to our offerings; deficiencies could reduce the effectiveness of our solutions or impair client outcomes. Certain AI use cases may generate inaccurate, biased or otherwise unreliable outputs or require enhanced human oversight, governance and controls, and evolving legal and regulatory frameworks may restrict how we collect, use and share data and deploy AI</w:t>
      </w:r>
      <w:r>
        <w:rPr>
          <w:rFonts w:ascii="MS PMincho" w:cs="MS PMincho" w:eastAsia="MS PMincho" w:hAnsi="MS PMincho"/>
          <w:sz w:val="18"/>
          <w:szCs w:val="18"/>
          <w:color w:val="auto"/>
        </w:rPr>
        <w:t>‑</w:t>
      </w:r>
      <w:r>
        <w:rPr>
          <w:rFonts w:ascii="Arial" w:cs="Arial" w:eastAsia="Arial" w:hAnsi="Arial"/>
          <w:sz w:val="18"/>
          <w:szCs w:val="18"/>
          <w:color w:val="auto"/>
        </w:rPr>
        <w:t>enabled tools.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 / 87</w:t>
      </w:r>
    </w:p>
    <w:p>
      <w:pPr>
        <w:sectPr>
          <w:pgSz w:w="11900" w:h="16838" w:orient="portrait"/>
          <w:cols w:equalWidth="0" w:num="1">
            <w:col w:w="9380"/>
          </w:cols>
          <w:pgMar w:left="1260" w:top="1440" w:right="1266" w:bottom="0" w:gutter="0" w:footer="0" w:header="0"/>
          <w:type w:val="continuous"/>
        </w:sectPr>
      </w:pPr>
    </w:p>
    <w:bookmarkStart w:id="40" w:name="page41"/>
    <w:bookmarkEnd w:id="40"/>
    <w:p>
      <w:pPr>
        <w:ind w:right="100"/>
        <w:spacing w:after="0" w:line="349" w:lineRule="auto"/>
        <w:rPr>
          <w:sz w:val="20"/>
          <w:szCs w:val="20"/>
          <w:color w:val="auto"/>
        </w:rPr>
      </w:pPr>
      <w:r>
        <w:rPr>
          <w:rFonts w:ascii="Arial" w:cs="Arial" w:eastAsia="Arial" w:hAnsi="Arial"/>
          <w:sz w:val="18"/>
          <w:szCs w:val="18"/>
          <w:color w:val="auto"/>
        </w:rPr>
        <w:t>The enhancement and development of technology systems may enhance cybersecurity risks and operational and technological risks, as any latency, disruption or failure in such technological tools could result in errors in analyses and compromise the integrity, security or privacy of generated content. Additionally, the process of integrating technology systems of businesses we acquire is complex and exposes us to additional risk. We may not adequately identify weaknesses in the information systems or information handling, privacy and security policies and protocols of targets, which could expose us to unexpected liabilities or make our own systems and data more vulnerable to cybersecurity incidents. The use of third-party generative AI tools by our employees, contractors, consultants, vendors or service providers also presents a risk that confidential, personal or proprietary information could be inadvertently disclosed through prompts or uploads and incorporated into external models or training data, potentially compromising our ability to realize the benefit of, or adequately maintain, protect and enforce, our intellectual property or confidential information, and causing harm to our competitive position and business. For further discussion of risks relating to these technology systems, please see ‘</w:t>
      </w:r>
      <w:r>
        <w:rPr>
          <w:rFonts w:ascii="Arial" w:cs="Arial" w:eastAsia="Arial" w:hAnsi="Arial"/>
          <w:sz w:val="18"/>
          <w:szCs w:val="18"/>
          <w:i w:val="1"/>
          <w:iCs w:val="1"/>
          <w:color w:val="auto"/>
        </w:rPr>
        <w:t>Data and cybersecurity breaches 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improper disclosure of confidential company or personal data could result in material financial loss, regulatory actions, reputational harm and/or legal liability’ </w:t>
      </w:r>
      <w:r>
        <w:rPr>
          <w:rFonts w:ascii="Arial" w:cs="Arial" w:eastAsia="Arial" w:hAnsi="Arial"/>
          <w:sz w:val="18"/>
          <w:szCs w:val="18"/>
          <w:color w:val="auto"/>
        </w:rPr>
        <w:t>below.</w:t>
      </w:r>
    </w:p>
    <w:p>
      <w:pPr>
        <w:spacing w:after="0" w:line="166"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We depend on our technology systems for conducting business, as well as for providing the data and analytics we use to manage and administer our business. As a result, our business success is dependent on maintaining the effectiveness of existing technology systems and on continuing to develop and enhance technology systems that support our business processes and strategic initiatives in a cost- and resource-efficient manner, particularly as our business processes become more digital. The failure of business-continuity and disaster-recovery processes at critical vendors or at the Company may require us to suspend or limit certain services temporarily.</w:t>
      </w:r>
    </w:p>
    <w:p>
      <w:pPr>
        <w:spacing w:after="0" w:line="169" w:lineRule="exact"/>
        <w:rPr>
          <w:sz w:val="20"/>
          <w:szCs w:val="20"/>
          <w:color w:val="auto"/>
        </w:rPr>
      </w:pPr>
    </w:p>
    <w:p>
      <w:pPr>
        <w:jc w:val="both"/>
        <w:ind w:right="80"/>
        <w:spacing w:after="0" w:line="307" w:lineRule="auto"/>
        <w:rPr>
          <w:sz w:val="20"/>
          <w:szCs w:val="20"/>
          <w:color w:val="auto"/>
        </w:rPr>
      </w:pPr>
      <w:r>
        <w:rPr>
          <w:rFonts w:ascii="Arial" w:cs="Arial" w:eastAsia="Arial" w:hAnsi="Arial"/>
          <w:sz w:val="20"/>
          <w:szCs w:val="20"/>
          <w:color w:val="auto"/>
        </w:rPr>
        <w:t>We have a number of strategic initiatives involving investments in technology and infrastructure to support our own systems as well as partnerships with technology companies. These investments can be costly and require significant capital expenditures, and such</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 / 87</w:t>
      </w:r>
    </w:p>
    <w:p>
      <w:pPr>
        <w:sectPr>
          <w:pgSz w:w="11900" w:h="16838" w:orient="portrait"/>
          <w:cols w:equalWidth="0" w:num="1">
            <w:col w:w="9360"/>
          </w:cols>
          <w:pgMar w:left="1260" w:top="1173" w:right="1286" w:bottom="0" w:gutter="0" w:footer="0" w:header="0"/>
          <w:type w:val="continuous"/>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investment may not be profitable or may be less profitable than what we have experienced historically. In addition, investments in technology systems may not deliver the benefits or perform as expected or may be replaced or become obsolete more quickly than expected, which could result in operational difficulties or additional costs. In some cases, we also depend on our partners and key vendors to provide technology and other support for these and other strategic initiatives. If these partners or vendors fail to or are unable to fully perform their obligations as we expect them to do or at all or such partners or vendors otherwise cease to work with us, our ability to execute on our strategy could be impaired. Vendor outages, flawed software updates, migration issues, capacity constraints or delays in delivering enhancements can further disrupt client delivery and increase costs.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Business Environment Risks</w:t>
      </w:r>
    </w:p>
    <w:p>
      <w:pPr>
        <w:spacing w:after="0" w:line="260" w:lineRule="exact"/>
        <w:rPr>
          <w:sz w:val="20"/>
          <w:szCs w:val="20"/>
          <w:color w:val="auto"/>
        </w:rPr>
      </w:pPr>
    </w:p>
    <w:p>
      <w:pPr>
        <w:ind w:right="40"/>
        <w:spacing w:after="0" w:line="355" w:lineRule="auto"/>
        <w:rPr>
          <w:sz w:val="20"/>
          <w:szCs w:val="20"/>
          <w:color w:val="auto"/>
        </w:rPr>
      </w:pPr>
      <w:r>
        <w:rPr>
          <w:rFonts w:ascii="Arial" w:cs="Arial" w:eastAsia="Arial" w:hAnsi="Arial"/>
          <w:sz w:val="18"/>
          <w:szCs w:val="18"/>
          <w:b w:val="1"/>
          <w:bCs w:val="1"/>
          <w:i w:val="1"/>
          <w:iCs w:val="1"/>
          <w:color w:val="auto"/>
        </w:rPr>
        <w:t>Macroeconomic trends, including inflation, changes in interest rates and trade policies, as well as political events, trade and other international disputes, war, terrorism, natural disasters, public health issues and other business interruptions, can adversely affect our business, results of operations or financial condition.</w:t>
      </w:r>
    </w:p>
    <w:p>
      <w:pPr>
        <w:spacing w:after="0" w:line="162" w:lineRule="exact"/>
        <w:rPr>
          <w:sz w:val="20"/>
          <w:szCs w:val="20"/>
          <w:color w:val="auto"/>
        </w:rPr>
      </w:pPr>
    </w:p>
    <w:p>
      <w:pPr>
        <w:ind w:right="20"/>
        <w:spacing w:after="0" w:line="349" w:lineRule="auto"/>
        <w:rPr>
          <w:sz w:val="20"/>
          <w:szCs w:val="20"/>
          <w:color w:val="auto"/>
        </w:rPr>
      </w:pPr>
      <w:r>
        <w:rPr>
          <w:rFonts w:ascii="Arial" w:cs="Arial" w:eastAsia="Arial" w:hAnsi="Arial"/>
          <w:sz w:val="18"/>
          <w:szCs w:val="18"/>
          <w:color w:val="auto"/>
        </w:rPr>
        <w:t>Global economic events and other factors, such as accommodative monetary and fiscal policy, have contributed to significant inflation in many of the markets in which we operate over time. In particular, inflation in the United States, Europe and other geographies has in recent years risen to levels not experienced in decades and we have seen, and may continue to see, the impact of inflation on various aspects of our business. In some cases, such inflation has had, or could have in the future, a negative effect on our operations and financial condition. In order to combat inflation and restore price stability, a number of central banks around the world raised interest rates and, as inflation has moderated, have begun to reduce them. Potential trade wars, including tariffs and retaliatory actions, also may contribute to inflation and/or hinder economic growth. If interest rates fluctuate and/or inflation rates or trade barriers increase, economic growth in a number of markets where we do business may be hindered and may continue to have far-reaching effects on the global economy. Weakness in the economy and the possibility of a global recession has had, and may continue to have, a negative effect on our business and financial condition, including on the value of our ordinary shares. Additionally, fluctuations in short-term interest rates in our major markets can impact our interest income derived from the investment of our owned and fiduciary cash.</w:t>
      </w:r>
    </w:p>
    <w:p>
      <w:pPr>
        <w:spacing w:after="0" w:line="167" w:lineRule="exact"/>
        <w:rPr>
          <w:sz w:val="20"/>
          <w:szCs w:val="20"/>
          <w:color w:val="auto"/>
        </w:rPr>
      </w:pPr>
    </w:p>
    <w:p>
      <w:pPr>
        <w:ind w:right="40"/>
        <w:spacing w:after="0" w:line="350" w:lineRule="auto"/>
        <w:rPr>
          <w:sz w:val="20"/>
          <w:szCs w:val="20"/>
          <w:color w:val="auto"/>
        </w:rPr>
      </w:pPr>
      <w:r>
        <w:rPr>
          <w:rFonts w:ascii="Arial" w:cs="Arial" w:eastAsia="Arial" w:hAnsi="Arial"/>
          <w:sz w:val="18"/>
          <w:szCs w:val="18"/>
          <w:color w:val="auto"/>
        </w:rPr>
        <w:t>Moreover, U.S. and global economic conditions have the potential to create market uncertainty and volatility. Such general economic conditions, such as inflation, stagflation, political volatility, costs of labor, cost of capital, interest rates and tax rates, affect our operating and general and administrative expenses, and we have no control or limited ability to control such factors. If our costs grow significantly in excess of our ability to raise revenue, our margins and results of operations may be materially and adversely impacted and we may not be able to achieve our strategic and financial objectives. These conditions also affect our clients’ businesses and the markets that they serve and may reduce demand for our services, increase demands for pricing accommodations or cause a higher rate of delays in the collection of, or losses on, our accounts receivable, which could adversely affect our results of operations.</w:t>
      </w:r>
    </w:p>
    <w:p>
      <w:pPr>
        <w:spacing w:after="0" w:line="165" w:lineRule="exact"/>
        <w:rPr>
          <w:sz w:val="20"/>
          <w:szCs w:val="20"/>
          <w:color w:val="auto"/>
        </w:rPr>
      </w:pPr>
    </w:p>
    <w:p>
      <w:pPr>
        <w:ind w:right="120"/>
        <w:spacing w:after="0" w:line="350" w:lineRule="auto"/>
        <w:rPr>
          <w:sz w:val="20"/>
          <w:szCs w:val="20"/>
          <w:color w:val="auto"/>
        </w:rPr>
      </w:pPr>
      <w:r>
        <w:rPr>
          <w:rFonts w:ascii="Arial" w:cs="Arial" w:eastAsia="Arial" w:hAnsi="Arial"/>
          <w:sz w:val="18"/>
          <w:szCs w:val="18"/>
          <w:color w:val="auto"/>
        </w:rPr>
        <w:t>Major public health issues have adversely affected, and could in the future materially adversely affect, our business, results of operations and/or financial condition. We cannot predict the impact of future public health crises, nor the future developments that may give rise to such crises. Public health issues have disrupted and could continue to disrupt, possibly materially, our business operations and services that we provide or impact our business operations and results in the future. These disruptions can include office closures, travel restrictions, workforce availability challenges, changes in client priorities and budgets, interruption to technology and shared-service delivery, and delays by third-party vendors and service providers on whom we rely.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42 / 87</w:t>
      </w:r>
    </w:p>
    <w:p>
      <w:pPr>
        <w:sectPr>
          <w:pgSz w:w="11900" w:h="16838" w:orient="portrait"/>
          <w:cols w:equalWidth="0" w:num="1">
            <w:col w:w="9400"/>
          </w:cols>
          <w:pgMar w:left="1260" w:top="1440" w:right="1246" w:bottom="0" w:gutter="0" w:footer="0" w:header="0"/>
          <w:type w:val="continuous"/>
        </w:sectPr>
      </w:pPr>
    </w:p>
    <w:bookmarkStart w:id="42" w:name="page43"/>
    <w:bookmarkEnd w:id="42"/>
    <w:p>
      <w:pPr>
        <w:ind w:right="60"/>
        <w:spacing w:after="0" w:line="351" w:lineRule="auto"/>
        <w:rPr>
          <w:sz w:val="20"/>
          <w:szCs w:val="20"/>
          <w:color w:val="auto"/>
        </w:rPr>
      </w:pPr>
      <w:r>
        <w:rPr>
          <w:rFonts w:ascii="Arial" w:cs="Arial" w:eastAsia="Arial" w:hAnsi="Arial"/>
          <w:sz w:val="18"/>
          <w:szCs w:val="18"/>
          <w:color w:val="auto"/>
        </w:rPr>
        <w:t>We are exposed to various risks arising out of natural disasters, including fires, earthquakes, hurricanes, floods and tornadoes, many of which could be exacerbated by climate change. These consequences could, among other things, implicate other risks described herein, including without limitation: business continuity risks; human capital risks; regulatory and reputational risks; and risks relating to alleged errors and omissions in performing client work, and thereby adversely impact our business, results of operations or financial condition.</w:t>
      </w:r>
    </w:p>
    <w:p>
      <w:pPr>
        <w:spacing w:after="0" w:line="166" w:lineRule="exact"/>
        <w:rPr>
          <w:sz w:val="20"/>
          <w:szCs w:val="20"/>
          <w:color w:val="auto"/>
        </w:rPr>
      </w:pPr>
    </w:p>
    <w:p>
      <w:pPr>
        <w:spacing w:after="0" w:line="310" w:lineRule="auto"/>
        <w:rPr>
          <w:sz w:val="20"/>
          <w:szCs w:val="20"/>
          <w:color w:val="auto"/>
        </w:rPr>
      </w:pPr>
      <w:r>
        <w:rPr>
          <w:rFonts w:ascii="Arial" w:cs="Arial" w:eastAsia="Arial" w:hAnsi="Arial"/>
          <w:sz w:val="20"/>
          <w:szCs w:val="20"/>
          <w:color w:val="auto"/>
        </w:rPr>
        <w:t>Additionally, many of the markets in which we do business are affected by geopolitical conflict in highly unpredictable ways and are currently experiencing volatility and disruption as a result of the ongoing Russia-Ukraine war and other geopolitical conflicts and tensions. These ongoing wars and other geopolitical conflicts could lead to further market disruptions and could have a material adverse effect on our business, prospects, financial condition and operating results.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5535930</wp:posOffset>
                </wp:positionH>
                <wp:positionV relativeFrom="paragraph">
                  <wp:posOffset>-671830</wp:posOffset>
                </wp:positionV>
                <wp:extent cx="3175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 cy="4763"/>
                        </a:xfrm>
                        <a:prstGeom prst="line">
                          <a:avLst/>
                        </a:prstGeom>
                        <a:solidFill>
                          <a:srgbClr val="FFFFFF"/>
                        </a:solidFill>
                        <a:ln w="6325">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9pt,-52.8999pt" to="438.4pt,-52.8999pt" o:allowincell="f" strokecolor="#000000" strokeweight="0.498pt"/>
            </w:pict>
          </mc:Fallback>
        </mc:AlternateContent>
      </w:r>
    </w:p>
    <w:p>
      <w:pPr>
        <w:spacing w:after="0" w:line="175"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Further, a slowdown in the global economy, including a recession, or in a particular region or industry, inflation or a tightening of the credit markets could negatively impact our business, financial condition and liquidity, including by way of inhibiting our continued access to preferred sources of liquidity when we would like or by increasing our borrowing costs. In particular, tightening of the credit markets could limit our ability to obtain external financing to fund our operations and capital expenditures, if and when needed. In addition, we could experience losses on our holdings of cash and investments due to failures of financial institutions and other parties.</w:t>
      </w:r>
    </w:p>
    <w:p>
      <w:pPr>
        <w:spacing w:after="0" w:line="169" w:lineRule="exact"/>
        <w:rPr>
          <w:sz w:val="20"/>
          <w:szCs w:val="20"/>
          <w:color w:val="auto"/>
        </w:rPr>
      </w:pPr>
    </w:p>
    <w:p>
      <w:pPr>
        <w:spacing w:after="0" w:line="309" w:lineRule="auto"/>
        <w:rPr>
          <w:sz w:val="20"/>
          <w:szCs w:val="20"/>
          <w:color w:val="auto"/>
        </w:rPr>
      </w:pPr>
      <w:r>
        <w:rPr>
          <w:rFonts w:ascii="Arial" w:cs="Arial" w:eastAsia="Arial" w:hAnsi="Arial"/>
          <w:sz w:val="20"/>
          <w:szCs w:val="20"/>
          <w:color w:val="auto"/>
        </w:rPr>
        <w:t>We also depend on numerous third-party vendors, technology partners and other service providers to deliver our services and operate our business. Macroeconomic stress, labor shortages, supply-chain constraints, sanctions or geopolitical developments can impair the ability of our vendors and counterparties to perform on a timely basis or at agreed service levels, which could result in service</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73"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43 / 87</w:t>
      </w:r>
    </w:p>
    <w:p>
      <w:pPr>
        <w:sectPr>
          <w:pgSz w:w="11900" w:h="16838" w:orient="portrait"/>
          <w:cols w:equalWidth="0" w:num="1">
            <w:col w:w="9300"/>
          </w:cols>
          <w:pgMar w:left="1260" w:top="1173" w:right="1346" w:bottom="0" w:gutter="0" w:footer="0" w:header="0"/>
          <w:type w:val="continuous"/>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spacing w:after="0" w:line="330" w:lineRule="auto"/>
        <w:rPr>
          <w:sz w:val="20"/>
          <w:szCs w:val="20"/>
          <w:color w:val="auto"/>
        </w:rPr>
      </w:pPr>
      <w:r>
        <w:rPr>
          <w:rFonts w:ascii="Arial" w:cs="Arial" w:eastAsia="Arial" w:hAnsi="Arial"/>
          <w:sz w:val="19"/>
          <w:szCs w:val="19"/>
          <w:color w:val="auto"/>
        </w:rPr>
        <w:t>degradation, delays, contract penalties, additional costs or reputational harm. While we invest in operational resilience and third-party risk management, disruptions at our vendors or in our internal shared-service and technology environments could adversely affect our ability to serve clients and achieve our objectives. Thus, a deterioration or prolonged period of negative or stagnant macroeconomic conditions globally could adversely affect our business, results of operations or financial condition.</w:t>
      </w:r>
    </w:p>
    <w:p>
      <w:pPr>
        <w:spacing w:after="0" w:line="178" w:lineRule="exact"/>
        <w:rPr>
          <w:sz w:val="20"/>
          <w:szCs w:val="20"/>
          <w:color w:val="auto"/>
        </w:rPr>
      </w:pPr>
    </w:p>
    <w:p>
      <w:pPr>
        <w:ind w:right="140"/>
        <w:spacing w:after="0" w:line="307" w:lineRule="auto"/>
        <w:rPr>
          <w:sz w:val="20"/>
          <w:szCs w:val="20"/>
          <w:color w:val="auto"/>
        </w:rPr>
      </w:pPr>
      <w:r>
        <w:rPr>
          <w:rFonts w:ascii="Arial" w:cs="Arial" w:eastAsia="Arial" w:hAnsi="Arial"/>
          <w:sz w:val="20"/>
          <w:szCs w:val="20"/>
          <w:b w:val="1"/>
          <w:bCs w:val="1"/>
          <w:i w:val="1"/>
          <w:iCs w:val="1"/>
          <w:color w:val="auto"/>
        </w:rPr>
        <w:t>Demand for our services could decrease for various reasons, including a general economic downturn, increased competition, or a decline in a client’s or an industry’s financial condition or prospects, all of which could substantially and negatively affect us.</w:t>
      </w:r>
    </w:p>
    <w:p>
      <w:pPr>
        <w:spacing w:after="0" w:line="197" w:lineRule="exact"/>
        <w:rPr>
          <w:sz w:val="20"/>
          <w:szCs w:val="20"/>
          <w:color w:val="auto"/>
        </w:rPr>
      </w:pPr>
    </w:p>
    <w:p>
      <w:pPr>
        <w:jc w:val="both"/>
        <w:ind w:right="160"/>
        <w:spacing w:after="0" w:line="330" w:lineRule="auto"/>
        <w:rPr>
          <w:sz w:val="20"/>
          <w:szCs w:val="20"/>
          <w:color w:val="auto"/>
        </w:rPr>
      </w:pPr>
      <w:r>
        <w:rPr>
          <w:rFonts w:ascii="Arial" w:cs="Arial" w:eastAsia="Arial" w:hAnsi="Arial"/>
          <w:sz w:val="19"/>
          <w:szCs w:val="19"/>
          <w:color w:val="auto"/>
        </w:rPr>
        <w:t>The demand for our services may not grow or be maintained, and we may not be able to compete successfully with our existing competitors, new competitors or our clients’ internal capabilities. Client demand for our services may change based on the clients’ needs and financial conditions, among other factors.</w:t>
      </w:r>
    </w:p>
    <w:p>
      <w:pPr>
        <w:spacing w:after="0" w:line="179"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Our results of operations are affected directly by the level of business activity of our clients, which in turn is affected by the level of economic activity in the industries and markets that they serve. For example, any changes in U.S. trade policy (including any increases in tariffs or any retaliatory actions that result in a trade war), recessionary conditions in some of the markets where we do business, inflationary conditions, ongoing stock market volatility or an increase in, or unmet market expectations with respect to, interest rates could adversely affect the general economy. As a result, global financial markets may continue to experience disruptions, including increased volatility and reduced credit availability, which could substantially impact our results. While it is difficult to predict the consequences of any deterioration in global economic conditions on our business, any significant reduction or delay by our clients in purchasing our services or insurance or making payment of premiums could have a material adverse impact on our financial condition and results of operations. In addition, the potential for a significant insurer to fail, to be downgraded or to withdraw from writing certain lines of insurance coverage that we offer our clients could negatively impact overall capacity in the industry, which could then reduce the placement of certain lines and types of insurance and reduce our revenue and profitability. The potential for an insurer to fail or be downgraded could also result in errors and omissions claims by clients.</w:t>
      </w:r>
    </w:p>
    <w:p>
      <w:pPr>
        <w:spacing w:after="0" w:line="166" w:lineRule="exact"/>
        <w:rPr>
          <w:sz w:val="20"/>
          <w:szCs w:val="20"/>
          <w:color w:val="auto"/>
        </w:rPr>
      </w:pPr>
    </w:p>
    <w:p>
      <w:pPr>
        <w:ind w:right="80"/>
        <w:spacing w:after="0" w:line="309" w:lineRule="auto"/>
        <w:rPr>
          <w:sz w:val="20"/>
          <w:szCs w:val="20"/>
          <w:color w:val="auto"/>
        </w:rPr>
      </w:pPr>
      <w:r>
        <w:rPr>
          <w:rFonts w:ascii="Arial" w:cs="Arial" w:eastAsia="Arial" w:hAnsi="Arial"/>
          <w:sz w:val="20"/>
          <w:szCs w:val="20"/>
          <w:color w:val="auto"/>
        </w:rPr>
        <w:t>In addition, the markets for our principal services are highly competitive. Our competitors include other insurance brokerage, human capital and risk management consulting and actuarial firms, and the human capital and risk management divisions of diversified professional services, insurance, brokerage and accounting firms and specialty, regional and local firms.</w:t>
      </w:r>
    </w:p>
    <w:p>
      <w:pPr>
        <w:spacing w:after="0" w:line="196" w:lineRule="exact"/>
        <w:rPr>
          <w:sz w:val="20"/>
          <w:szCs w:val="20"/>
          <w:color w:val="auto"/>
        </w:rPr>
      </w:pPr>
    </w:p>
    <w:p>
      <w:pPr>
        <w:ind w:right="40"/>
        <w:spacing w:after="0" w:line="329" w:lineRule="auto"/>
        <w:rPr>
          <w:sz w:val="20"/>
          <w:szCs w:val="20"/>
          <w:color w:val="auto"/>
        </w:rPr>
      </w:pPr>
      <w:r>
        <w:rPr>
          <w:rFonts w:ascii="Arial" w:cs="Arial" w:eastAsia="Arial" w:hAnsi="Arial"/>
          <w:sz w:val="19"/>
          <w:szCs w:val="19"/>
          <w:color w:val="auto"/>
        </w:rPr>
        <w:t>Competition for business is intense in all of our business lines and in every insurance market, and some competitors have greater market share in certain lines of business than we do. Some of our competitors have greater financial, technical and marketing resources than us, which could enhance their ability to finance acquisitions, fund internal growth and respond more quickly to professional and technological changes. This gap in resources between us and some of our competitors has increased as they have made acquisitions. New competitors, as well as increasing and evolving consolidation or alliances among existing competitors, have created and could continue to create additional competition and could significantly reduce our market share further, resulting in a loss of business for us and a corresponding decline in revenue and profit margin. In order to respond to increased competition and pricing pressure, we may have to lower our prices, which would also have an adverse effect on our revenue and profit margin.</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44 / 87</w:t>
      </w:r>
    </w:p>
    <w:p>
      <w:pPr>
        <w:sectPr>
          <w:pgSz w:w="11900" w:h="16838" w:orient="portrait"/>
          <w:cols w:equalWidth="0" w:num="1">
            <w:col w:w="9360"/>
          </w:cols>
          <w:pgMar w:left="1260" w:top="1440" w:right="1286" w:bottom="0" w:gutter="0" w:footer="0" w:header="0"/>
          <w:type w:val="continuous"/>
        </w:sectPr>
      </w:pPr>
    </w:p>
    <w:bookmarkStart w:id="44" w:name="page45"/>
    <w:bookmarkEnd w:id="44"/>
    <w:p>
      <w:pPr>
        <w:spacing w:after="0" w:line="349" w:lineRule="auto"/>
        <w:rPr>
          <w:sz w:val="20"/>
          <w:szCs w:val="20"/>
          <w:color w:val="auto"/>
        </w:rPr>
      </w:pPr>
      <w:r>
        <w:rPr>
          <w:rFonts w:ascii="Arial" w:cs="Arial" w:eastAsia="Arial" w:hAnsi="Arial"/>
          <w:sz w:val="18"/>
          <w:szCs w:val="18"/>
          <w:color w:val="auto"/>
        </w:rPr>
        <w:t>In addition, existing and new competitors (whether traditional competitors or non-traditional competitors, such as technology companies) may continue to develop competing technologies or product or service offerings. Any new technology or product or service offering (including insurance companies selling their products directly to consumers or other insureds) that reduces or eliminates the need for intermediaries in insurance sales transactions could have a material adverse effect on our business and results of operations. Further, the increasing willingness of clients to either self-insure or maintain a captive insurance company, and the development of capital markets-based solutions and other alternative capital sources for traditional insurance needs, could also materially adversely affect us and our results of operations. See ‘</w:t>
      </w:r>
      <w:r>
        <w:rPr>
          <w:rFonts w:ascii="Arial" w:cs="Arial" w:eastAsia="Arial" w:hAnsi="Arial"/>
          <w:sz w:val="18"/>
          <w:szCs w:val="18"/>
          <w:i w:val="1"/>
          <w:iCs w:val="1"/>
          <w:color w:val="auto"/>
        </w:rPr>
        <w:t>Our business performance and growth plans could be negatively affected if we are not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able to develop and implement improvements in technology and effectively apply technology, data and analytics to drive value for our clients through technology-based solutions or gain internal efficiencies through the effective application of technology, analytics and related tools’ </w:t>
      </w:r>
      <w:r>
        <w:rPr>
          <w:rFonts w:ascii="Arial" w:cs="Arial" w:eastAsia="Arial" w:hAnsi="Arial"/>
          <w:sz w:val="18"/>
          <w:szCs w:val="18"/>
          <w:color w:val="auto"/>
        </w:rPr>
        <w:t>above for further discussion on the impact that technological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developments have on our business, operations and financial condition.</w:t>
      </w:r>
    </w:p>
    <w:p>
      <w:pPr>
        <w:spacing w:after="0" w:line="168" w:lineRule="exact"/>
        <w:rPr>
          <w:sz w:val="20"/>
          <w:szCs w:val="20"/>
          <w:color w:val="auto"/>
        </w:rPr>
      </w:pPr>
    </w:p>
    <w:p>
      <w:pPr>
        <w:ind w:right="40"/>
        <w:spacing w:after="0" w:line="329" w:lineRule="auto"/>
        <w:rPr>
          <w:sz w:val="20"/>
          <w:szCs w:val="20"/>
          <w:color w:val="auto"/>
        </w:rPr>
      </w:pPr>
      <w:r>
        <w:rPr>
          <w:rFonts w:ascii="Arial" w:cs="Arial" w:eastAsia="Arial" w:hAnsi="Arial"/>
          <w:sz w:val="19"/>
          <w:szCs w:val="19"/>
          <w:color w:val="auto"/>
        </w:rPr>
        <w:t>An example of a business that may be significantly impacted by changes in customer demand is our retirement consulting and actuarial business, which comprises a substantial portion of our revenue and profit. We provide clients with actuarial and consulting services relating to both defined benefit and defined contribution pension plans. Defined benefit pension plans generally require more actuarial services than defined contribution plans because defined benefit plans typically involve large asset pools, complex calculations to determine employer costs, funding requirements and sophisticated analysis to match liabilities and assets over long periods of time. If organizations shift to defined contribution plans more rapidly than we anticipate, or if we are unable to otherwise compensate for the decline in our business that results from employers moving away from defined benefit plans, our business, financial condition and results of operations could be materially adversely affected. Furthermore, large and complex consulting projects, often involving dedicated personnel, resources and expenses, comprise a significant portion of this business, which are based on our clients’ discretionary needs and may be reduced based on a decline in a client’s or an industry’s financial condition or prospects. We also face the risk that certain large and complex project contracts may be reduced or terminated based on dissatisfaction with service levels, which could result in reduced revenue, write-offs of assets associated with the project, and disputes over the contract, all of which may adversely impact our results and business.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45 / 87</w:t>
      </w:r>
    </w:p>
    <w:p>
      <w:pPr>
        <w:sectPr>
          <w:pgSz w:w="11900" w:h="16838" w:orient="portrait"/>
          <w:cols w:equalWidth="0" w:num="1">
            <w:col w:w="9400"/>
          </w:cols>
          <w:pgMar w:left="1260" w:top="1173" w:right="1246" w:bottom="0" w:gutter="0" w:footer="0" w:header="0"/>
          <w:type w:val="continuous"/>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spacing w:after="0" w:line="310" w:lineRule="auto"/>
        <w:rPr>
          <w:sz w:val="20"/>
          <w:szCs w:val="20"/>
          <w:color w:val="auto"/>
        </w:rPr>
      </w:pPr>
      <w:r>
        <w:rPr>
          <w:rFonts w:ascii="Arial" w:cs="Arial" w:eastAsia="Arial" w:hAnsi="Arial"/>
          <w:sz w:val="20"/>
          <w:szCs w:val="20"/>
          <w:color w:val="auto"/>
        </w:rPr>
        <w:t>In addition, the demand for many of our core benefit services, including compliance-related services, is affected by government regulation and taxation of employee benefit plans. Significant changes in tax or social welfare policy or other regulations could lead some employers to discontinue their employee benefit plans, including defined benefit pension plans, thereby reducing the demand for our services. A simplification of regulations or tax policy could also reduce the need for our services.</w:t>
      </w:r>
    </w:p>
    <w:p>
      <w:pPr>
        <w:spacing w:after="0" w:line="195" w:lineRule="exact"/>
        <w:rPr>
          <w:sz w:val="20"/>
          <w:szCs w:val="20"/>
          <w:color w:val="auto"/>
        </w:rPr>
      </w:pPr>
    </w:p>
    <w:p>
      <w:pPr>
        <w:spacing w:after="0" w:line="307" w:lineRule="auto"/>
        <w:rPr>
          <w:sz w:val="20"/>
          <w:szCs w:val="20"/>
          <w:color w:val="auto"/>
        </w:rPr>
      </w:pPr>
      <w:r>
        <w:rPr>
          <w:rFonts w:ascii="Arial" w:cs="Arial" w:eastAsia="Arial" w:hAnsi="Arial"/>
          <w:sz w:val="20"/>
          <w:szCs w:val="20"/>
          <w:b w:val="1"/>
          <w:bCs w:val="1"/>
          <w:i w:val="1"/>
          <w:iCs w:val="1"/>
          <w:color w:val="auto"/>
        </w:rPr>
        <w:t>Damage to our business, including to our reputation, arising from, among other things, the failure of third parties on whom we rely to perform services or maintain positive public perceptions, could adversely affect our business, operations and results.</w:t>
      </w:r>
    </w:p>
    <w:p>
      <w:pPr>
        <w:spacing w:after="0" w:line="197"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Maintaining a positive reputation is critical to our ability to attract and maintain relationships with clients and colleagues. Damage to our reputation could therefore cause significant harm to our business and prospects. Harm to our reputation can arise from numerous sources, including, among others: colleague misconduct; litigation or regulatory action; failure to deliver minimum standards of service and quality; compliance failures; and allegations of conflicts of interest and unethical behavior. Such harm could also arise from negative public opinion or political conditions arising from our association with third parties in any number of activities or circumstances. Negative perceptions or publicity, whether or not true, may result in harm to our prospects. In addition, the failure to deliver satisfactory service and quality performance, on time and within budget, in one line of business could cause clients to terminate the services we provide to those clients in many other lines of business. This risk has increased as the Company has become larger and more complex and as we take on increasingly complicated projects for our clients (such as complex outsourcing engagements and technology solutions development/implementation projects that require a significant amount of dedicated personnel, resources and expenses). It also has increased as the Company seeks to provide more services to individual clients directly or through business-to-business-to-consumer arrangements.</w:t>
      </w:r>
    </w:p>
    <w:p>
      <w:pPr>
        <w:spacing w:after="0" w:line="187" w:lineRule="exact"/>
        <w:rPr>
          <w:sz w:val="20"/>
          <w:szCs w:val="20"/>
          <w:color w:val="auto"/>
        </w:rPr>
      </w:pPr>
    </w:p>
    <w:p>
      <w:pPr>
        <w:ind w:right="140"/>
        <w:spacing w:after="0" w:line="311" w:lineRule="auto"/>
        <w:rPr>
          <w:sz w:val="20"/>
          <w:szCs w:val="20"/>
          <w:color w:val="auto"/>
        </w:rPr>
      </w:pPr>
      <w:r>
        <w:rPr>
          <w:rFonts w:ascii="Arial" w:cs="Arial" w:eastAsia="Arial" w:hAnsi="Arial"/>
          <w:sz w:val="20"/>
          <w:szCs w:val="20"/>
          <w:color w:val="auto"/>
        </w:rPr>
        <w:t>In addition, as part of providing services to clients and managing our business, we not only depend on a number of third-party service providers and suppliers today, but we expect to engage the services of new third parties in the future as our strategy evolves. Our ability to perform effectively depends in part on the ability of these service providers to meet their obligations, as well as on our effective oversight of their performance. The quality of our services could suffer, or we could be required to incur unanticipated costs if our third-party service providers do not perform as expected or their services are disrupted. This could have a material adverse effect on our reputation as well as our business and results of operations.</w:t>
      </w:r>
    </w:p>
    <w:p>
      <w:pPr>
        <w:spacing w:after="0" w:line="194" w:lineRule="exact"/>
        <w:rPr>
          <w:sz w:val="20"/>
          <w:szCs w:val="20"/>
          <w:color w:val="auto"/>
        </w:rPr>
      </w:pPr>
    </w:p>
    <w:p>
      <w:pPr>
        <w:ind w:right="120"/>
        <w:spacing w:after="0" w:line="302" w:lineRule="auto"/>
        <w:rPr>
          <w:sz w:val="20"/>
          <w:szCs w:val="20"/>
          <w:color w:val="auto"/>
        </w:rPr>
      </w:pPr>
      <w:r>
        <w:rPr>
          <w:rFonts w:ascii="Arial" w:cs="Arial" w:eastAsia="Arial" w:hAnsi="Arial"/>
          <w:sz w:val="20"/>
          <w:szCs w:val="20"/>
          <w:b w:val="1"/>
          <w:bCs w:val="1"/>
          <w:i w:val="1"/>
          <w:iCs w:val="1"/>
          <w:color w:val="auto"/>
        </w:rPr>
        <w:t>Our business may be harmed by any negative developments that may occur in the insurance industry or if we fail to maintain good relationships with insurance carriers.</w:t>
      </w:r>
    </w:p>
    <w:p>
      <w:pPr>
        <w:spacing w:after="0" w:line="201" w:lineRule="exact"/>
        <w:rPr>
          <w:sz w:val="20"/>
          <w:szCs w:val="20"/>
          <w:color w:val="auto"/>
        </w:rPr>
      </w:pPr>
    </w:p>
    <w:p>
      <w:pPr>
        <w:ind w:right="160"/>
        <w:spacing w:after="0" w:line="309" w:lineRule="auto"/>
        <w:rPr>
          <w:sz w:val="20"/>
          <w:szCs w:val="20"/>
          <w:color w:val="auto"/>
        </w:rPr>
      </w:pPr>
      <w:r>
        <w:rPr>
          <w:rFonts w:ascii="Arial" w:cs="Arial" w:eastAsia="Arial" w:hAnsi="Arial"/>
          <w:sz w:val="20"/>
          <w:szCs w:val="20"/>
          <w:color w:val="auto"/>
        </w:rPr>
        <w:t>Many of our businesses are heavily dependent on the insurance industry. Any negative developments that occur in the insurance industry may have a material adverse effect on our business and our results of operations. In addition, if we fail to maintain good relationships with insurance carriers, it may have a material adverse effect on our business and results of operations.</w:t>
      </w:r>
    </w:p>
    <w:p>
      <w:pPr>
        <w:spacing w:after="0" w:line="196" w:lineRule="exact"/>
        <w:rPr>
          <w:sz w:val="20"/>
          <w:szCs w:val="20"/>
          <w:color w:val="auto"/>
        </w:rPr>
      </w:pPr>
    </w:p>
    <w:p>
      <w:pPr>
        <w:ind w:right="80"/>
        <w:spacing w:after="0" w:line="355" w:lineRule="auto"/>
        <w:rPr>
          <w:sz w:val="20"/>
          <w:szCs w:val="20"/>
          <w:color w:val="auto"/>
        </w:rPr>
      </w:pPr>
      <w:r>
        <w:rPr>
          <w:rFonts w:ascii="Arial" w:cs="Arial" w:eastAsia="Arial" w:hAnsi="Arial"/>
          <w:sz w:val="18"/>
          <w:szCs w:val="18"/>
          <w:color w:val="auto"/>
        </w:rPr>
        <w:t>The private health insurance industry in the U.S. has experienced a substantial amount of consolidation over the past several years, resulting in a decrease in the number of insurance carriers. In the future, it may become necessary for us to offer insurance plans from a reduced number of insurance carriers or to derive a greater portion of our revenue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46 / 87</w:t>
      </w:r>
    </w:p>
    <w:p>
      <w:pPr>
        <w:sectPr>
          <w:pgSz w:w="11900" w:h="16838" w:orient="portrait"/>
          <w:cols w:equalWidth="0" w:num="1">
            <w:col w:w="9400"/>
          </w:cols>
          <w:pgMar w:left="1260" w:top="1440" w:right="1246" w:bottom="0" w:gutter="0" w:footer="0" w:header="0"/>
          <w:type w:val="continuous"/>
        </w:sectPr>
      </w:pPr>
    </w:p>
    <w:bookmarkStart w:id="46" w:name="page47"/>
    <w:bookmarkEnd w:id="46"/>
    <w:p>
      <w:pPr>
        <w:jc w:val="both"/>
        <w:ind w:right="220"/>
        <w:spacing w:after="0" w:line="330" w:lineRule="auto"/>
        <w:rPr>
          <w:sz w:val="20"/>
          <w:szCs w:val="20"/>
          <w:color w:val="auto"/>
        </w:rPr>
      </w:pPr>
      <w:r>
        <w:rPr>
          <w:rFonts w:ascii="Arial" w:cs="Arial" w:eastAsia="Arial" w:hAnsi="Arial"/>
          <w:sz w:val="19"/>
          <w:szCs w:val="19"/>
          <w:color w:val="auto"/>
        </w:rPr>
        <w:t>from a more concentrated number of carriers as our business and the health insurance industry continue to evolve. The termination, amendment or consolidation of our relationships with our insurance carriers in the U.S. or in any other jurisdiction could harm our business,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Human Capital Risks</w:t>
      </w:r>
    </w:p>
    <w:p>
      <w:pPr>
        <w:spacing w:after="0" w:line="260" w:lineRule="exact"/>
        <w:rPr>
          <w:sz w:val="20"/>
          <w:szCs w:val="20"/>
          <w:color w:val="auto"/>
        </w:rPr>
      </w:pPr>
    </w:p>
    <w:p>
      <w:pPr>
        <w:jc w:val="both"/>
        <w:ind w:right="200"/>
        <w:spacing w:after="0" w:line="307" w:lineRule="auto"/>
        <w:rPr>
          <w:sz w:val="20"/>
          <w:szCs w:val="20"/>
          <w:color w:val="auto"/>
        </w:rPr>
      </w:pPr>
      <w:r>
        <w:rPr>
          <w:rFonts w:ascii="Arial" w:cs="Arial" w:eastAsia="Arial" w:hAnsi="Arial"/>
          <w:sz w:val="20"/>
          <w:szCs w:val="20"/>
          <w:b w:val="1"/>
          <w:bCs w:val="1"/>
          <w:i w:val="1"/>
          <w:iCs w:val="1"/>
          <w:color w:val="auto"/>
        </w:rPr>
        <w:t>We depend on the continued services of our executive officers, senior management team, and skilled individual contributors, and any changes in our management structure and in senior leadership could affect our business and financial results.</w:t>
      </w:r>
    </w:p>
    <w:p>
      <w:pPr>
        <w:spacing w:after="0" w:line="197"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Our success has depended, and our future performance will continue to depend, largely upon the ongoing services of our executive officers, senior management, and other highly skilled personnel. We have relied on our leadership team to execute on our business plan, for strategy, growth, research and development, marketing, sales, provision, maintenance, and support of our products and services, and general and administrative functions, and on mission-critical individual contributors. From time to time, our executive management team and the groups of skilled individual contributors may change from the hiring or departure of executive officers or such contributors, which could disrupt our business. The employment-related agreements with our chief executive officer and certain of our executive officers (to the extent our officers are party to such agreements) and other key personnel may not require them to continue to work for us for any specified period; therefore, they could terminate their employment at any time. The loss of one or more of our executive officers, senior management members, or other key colleagues (including any limitation on the performance of their duties) could significantly delay or prevent the achievement of our development and strategic objectives.</w:t>
      </w:r>
    </w:p>
    <w:p>
      <w:pPr>
        <w:spacing w:after="0" w:line="186" w:lineRule="exact"/>
        <w:rPr>
          <w:sz w:val="20"/>
          <w:szCs w:val="20"/>
          <w:color w:val="auto"/>
        </w:rPr>
      </w:pPr>
    </w:p>
    <w:p>
      <w:pPr>
        <w:ind w:right="140"/>
        <w:spacing w:after="0" w:line="309" w:lineRule="auto"/>
        <w:rPr>
          <w:sz w:val="20"/>
          <w:szCs w:val="20"/>
          <w:color w:val="auto"/>
        </w:rPr>
      </w:pPr>
      <w:r>
        <w:rPr>
          <w:rFonts w:ascii="Arial" w:cs="Arial" w:eastAsia="Arial" w:hAnsi="Arial"/>
          <w:sz w:val="20"/>
          <w:szCs w:val="20"/>
          <w:color w:val="auto"/>
        </w:rPr>
        <w:t>A leadership transition may also increase the likelihood of turnover among our colleagues and result in changes in our business strategy, which may create uncertainty and negatively impact our ability to execute our business strategy quickly and effectively. Leadership transitions may also impact our relationships with customers and other market participants, and create uncertainty among</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47 / 87</w:t>
      </w:r>
    </w:p>
    <w:p>
      <w:pPr>
        <w:sectPr>
          <w:pgSz w:w="11900" w:h="16838" w:orient="portrait"/>
          <w:cols w:equalWidth="0" w:num="1">
            <w:col w:w="9340"/>
          </w:cols>
          <w:pgMar w:left="1260" w:top="1173" w:right="1306" w:bottom="0" w:gutter="0" w:footer="0" w:header="0"/>
          <w:type w:val="continuous"/>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620"/>
        <w:spacing w:after="0" w:line="307" w:lineRule="auto"/>
        <w:rPr>
          <w:sz w:val="20"/>
          <w:szCs w:val="20"/>
          <w:color w:val="auto"/>
        </w:rPr>
      </w:pPr>
      <w:r>
        <w:rPr>
          <w:rFonts w:ascii="Arial" w:cs="Arial" w:eastAsia="Arial" w:hAnsi="Arial"/>
          <w:sz w:val="20"/>
          <w:szCs w:val="20"/>
          <w:color w:val="auto"/>
        </w:rPr>
        <w:t>investors, colleagues, and others concerning our future direction and performance. Any significant disruption, uncertainty or change in business strategy could adversely affect our business, operating results and financial condition.</w:t>
      </w:r>
    </w:p>
    <w:p>
      <w:pPr>
        <w:spacing w:after="0" w:line="197" w:lineRule="exact"/>
        <w:rPr>
          <w:sz w:val="20"/>
          <w:szCs w:val="20"/>
          <w:color w:val="auto"/>
        </w:rPr>
      </w:pPr>
    </w:p>
    <w:p>
      <w:pPr>
        <w:ind w:right="1040"/>
        <w:spacing w:after="0" w:line="331" w:lineRule="auto"/>
        <w:rPr>
          <w:sz w:val="20"/>
          <w:szCs w:val="20"/>
          <w:color w:val="auto"/>
        </w:rPr>
      </w:pPr>
      <w:r>
        <w:rPr>
          <w:rFonts w:ascii="Arial" w:cs="Arial" w:eastAsia="Arial" w:hAnsi="Arial"/>
          <w:sz w:val="19"/>
          <w:szCs w:val="19"/>
          <w:b w:val="1"/>
          <w:bCs w:val="1"/>
          <w:i w:val="1"/>
          <w:iCs w:val="1"/>
          <w:color w:val="auto"/>
        </w:rPr>
        <w:t>The loss of key colleagues or a large number of colleagues could damage or result in the loss of client relationships and could result in such colleagues competing against us.</w:t>
      </w:r>
    </w:p>
    <w:p>
      <w:pPr>
        <w:spacing w:after="0" w:line="177" w:lineRule="exact"/>
        <w:rPr>
          <w:sz w:val="20"/>
          <w:szCs w:val="20"/>
          <w:color w:val="auto"/>
        </w:rPr>
      </w:pPr>
    </w:p>
    <w:p>
      <w:pPr>
        <w:spacing w:after="0" w:line="348" w:lineRule="auto"/>
        <w:rPr>
          <w:sz w:val="20"/>
          <w:szCs w:val="20"/>
          <w:color w:val="auto"/>
        </w:rPr>
      </w:pPr>
      <w:r>
        <w:rPr>
          <w:rFonts w:ascii="Arial" w:cs="Arial" w:eastAsia="Arial" w:hAnsi="Arial"/>
          <w:sz w:val="18"/>
          <w:szCs w:val="18"/>
          <w:color w:val="auto"/>
        </w:rPr>
        <w:t>Our success depends on our ability to attract, retain and motivate qualified personnel, including key managers and colleagues. In addition, our success largely depends upon our colleagues’ abilities to generate business and provide quality services. Our ability to provide services our clients demand requires such skills and training, in insurance, actuarial, human resources and other areas, which are also in high demand among our competitors. The market for talent in our industry is extremely competitive, and competitors for talent increasingly attempt to hire, and to varying degrees have been successful in hiring, our colleagues or employment candidates. In particular, our colleagues’ business relationships with our clients are a critical element of obtaining and maintaining client engagements. Labor markets have generally continued to tighten globally, and we have experienced intense competition and increased costs for certain types of colleagues, especially as new entrants in the insurance business (among others) continue to expend significant resources in their own hiring. Also, in the past, we have lost colleagues who manage substantial client relationships or possess substantial experience or expertise; if we lose additional colleagues such as those, or if we lose a large number of other colleagues, it could result in such colleagues competing against us. This risk has historically increased following significant mergers or acquisitions. It may take longer than expected to hire new colleagues to replace those who have left or these new colleagues may be subject to restrictive covenants from former employers that impact the amount of business they can generate while those covenants are in effect. Further, the increased availability of remote working arrangements has also expanded the pool of companies that can compete for our colleagues and employment candidates. Our business strategy requires us to attract, onboard and retain individuals relevant for those efforts and we may not be able to do that successfully. The failure to successfully attract and retain qualified personnel could materially adversely affect our ability to secure and complete engagements or could disrupt our business or cause increased operational risk, which would materially adversely affect our results of operations and prospects.</w:t>
      </w:r>
    </w:p>
    <w:p>
      <w:pPr>
        <w:spacing w:after="0" w:line="177" w:lineRule="exact"/>
        <w:rPr>
          <w:sz w:val="20"/>
          <w:szCs w:val="20"/>
          <w:color w:val="auto"/>
        </w:rPr>
      </w:pPr>
    </w:p>
    <w:p>
      <w:pPr>
        <w:ind w:right="140"/>
        <w:spacing w:after="0" w:line="302" w:lineRule="auto"/>
        <w:rPr>
          <w:sz w:val="20"/>
          <w:szCs w:val="20"/>
          <w:color w:val="auto"/>
        </w:rPr>
      </w:pPr>
      <w:r>
        <w:rPr>
          <w:rFonts w:ascii="Arial" w:cs="Arial" w:eastAsia="Arial" w:hAnsi="Arial"/>
          <w:sz w:val="20"/>
          <w:szCs w:val="20"/>
          <w:b w:val="1"/>
          <w:bCs w:val="1"/>
          <w:i w:val="1"/>
          <w:iCs w:val="1"/>
          <w:color w:val="auto"/>
        </w:rPr>
        <w:t>Failure to maintain our corporate culture, including in a remote or hybrid work environment, could damage our reputation.</w:t>
      </w:r>
    </w:p>
    <w:p>
      <w:pPr>
        <w:spacing w:after="0" w:line="201" w:lineRule="exact"/>
        <w:rPr>
          <w:sz w:val="20"/>
          <w:szCs w:val="20"/>
          <w:color w:val="auto"/>
        </w:rPr>
      </w:pPr>
    </w:p>
    <w:p>
      <w:pPr>
        <w:ind w:right="100"/>
        <w:spacing w:after="0" w:line="349" w:lineRule="auto"/>
        <w:rPr>
          <w:sz w:val="20"/>
          <w:szCs w:val="20"/>
          <w:color w:val="auto"/>
        </w:rPr>
      </w:pPr>
      <w:r>
        <w:rPr>
          <w:rFonts w:ascii="Arial" w:cs="Arial" w:eastAsia="Arial" w:hAnsi="Arial"/>
          <w:sz w:val="18"/>
          <w:szCs w:val="18"/>
          <w:color w:val="auto"/>
        </w:rPr>
        <w:t>We aim to foster a culture that is based on a strong client focus with an emphasis on teamwork, integrity, mutual respect and a drive for excellence. Our colleagues are the cornerstone of this culture, and acts of misconduct by any colleague, and particularly by senior management, could erode trust and confidence and damage our reputation among existing and potential clients and other stakeholders. Our business is managing people, risk and capital, and our success depends on our ability to develop and promote an ethical culture of trust, integrity and other important qualities in which our colleagues are comfortable speaking up about potential misconduct. While we do not believe we have experienced any material adverse cultural impacts as a result of our remote and hybrid work environment, this may manifest over time. As a result, remote and hybrid work arrangements may negatively impact our ability to maintain and promote our culture and increase related risks.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Intellectual Property, Technology, Cybersecurity and Data Protection Risks</w:t>
      </w:r>
    </w:p>
    <w:p>
      <w:pPr>
        <w:spacing w:after="0" w:line="260" w:lineRule="exact"/>
        <w:rPr>
          <w:sz w:val="20"/>
          <w:szCs w:val="20"/>
          <w:color w:val="auto"/>
        </w:rPr>
      </w:pPr>
    </w:p>
    <w:p>
      <w:pPr>
        <w:ind w:right="120"/>
        <w:spacing w:after="0" w:line="331" w:lineRule="auto"/>
        <w:rPr>
          <w:sz w:val="20"/>
          <w:szCs w:val="20"/>
          <w:color w:val="auto"/>
        </w:rPr>
      </w:pPr>
      <w:r>
        <w:rPr>
          <w:rFonts w:ascii="Arial" w:cs="Arial" w:eastAsia="Arial" w:hAnsi="Arial"/>
          <w:sz w:val="19"/>
          <w:szCs w:val="19"/>
          <w:b w:val="1"/>
          <w:bCs w:val="1"/>
          <w:i w:val="1"/>
          <w:iCs w:val="1"/>
          <w:color w:val="auto"/>
        </w:rPr>
        <w:t>Data and cybersecurity breaches or improper disclosure of confidential company or personal data could result in material financial loss, regulatory actions, reputational harm and/or legal liability.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48 / 87</w:t>
      </w:r>
    </w:p>
    <w:p>
      <w:pPr>
        <w:sectPr>
          <w:pgSz w:w="11900" w:h="16838" w:orient="portrait"/>
          <w:cols w:equalWidth="0" w:num="1">
            <w:col w:w="9400"/>
          </w:cols>
          <w:pgMar w:left="1260" w:top="1440" w:right="1246" w:bottom="0" w:gutter="0" w:footer="0" w:header="0"/>
          <w:type w:val="continuous"/>
        </w:sectPr>
      </w:pPr>
    </w:p>
    <w:bookmarkStart w:id="48" w:name="page49"/>
    <w:bookmarkEnd w:id="48"/>
    <w:p>
      <w:pPr>
        <w:spacing w:after="0" w:line="348" w:lineRule="auto"/>
        <w:rPr>
          <w:sz w:val="20"/>
          <w:szCs w:val="20"/>
          <w:color w:val="auto"/>
        </w:rPr>
      </w:pPr>
      <w:r>
        <w:rPr>
          <w:rFonts w:ascii="Arial" w:cs="Arial" w:eastAsia="Arial" w:hAnsi="Arial"/>
          <w:sz w:val="18"/>
          <w:szCs w:val="18"/>
          <w:color w:val="auto"/>
        </w:rPr>
        <w:t>We depend on information technology networks and systems to process, transmit and store electronic information and to communicate among our locations around the world and with our alliance partners, insurance carriers/ markets, clients and third-party vendors. We also maintain our clients’ confidential and proprietary information and the personal data of their customers and employees. Our information systems, and those of our third-party service providers and vendors, are vulnerable to an increasing threat of continually evolving cybersecurity risks. We regularly experience cyberattacks and are the target of computer viruses, hackers, distributed denial of service attacks, malware infections, ransomware attacks, phishing and spear-phishing campaigns, and other external hazards, as well as improper or inadvertent workforce behavior, which could expose confidential company and personal data systems and information, including information of our customers and employees, to security breaches. Further, the advance of both generative and agentic AI may give rise to additional vulnerabilities and potential entry points for cyber threats. With generative AI tools, threat actors may have additional tools to automate breaches or persistent attacks, evade detection, or generate sophisticated phishing emails or other forms of digital impersonation. In addition, increasing use of generative and agentic AI models in our internal systems may create new attack methods for adversaries. Because generative and agentic AI are new fields, our understanding of cybersecurity risks resulting from generative and agentic AI and protection methods continues to develop, and features that rely on generative or agentic AI, including in services provided to us by third parties, may be susceptible to unanticipated cybersecurity threats from sophisticated adversaries and other cybersecurity incidents.</w:t>
      </w:r>
    </w:p>
    <w:p>
      <w:pPr>
        <w:spacing w:after="0" w:line="178" w:lineRule="exact"/>
        <w:rPr>
          <w:sz w:val="20"/>
          <w:szCs w:val="20"/>
          <w:color w:val="auto"/>
        </w:rPr>
      </w:pPr>
    </w:p>
    <w:p>
      <w:pPr>
        <w:ind w:right="80"/>
        <w:spacing w:after="0" w:line="330" w:lineRule="auto"/>
        <w:rPr>
          <w:sz w:val="20"/>
          <w:szCs w:val="20"/>
          <w:color w:val="auto"/>
        </w:rPr>
      </w:pPr>
      <w:r>
        <w:rPr>
          <w:rFonts w:ascii="Arial" w:cs="Arial" w:eastAsia="Arial" w:hAnsi="Arial"/>
          <w:sz w:val="19"/>
          <w:szCs w:val="19"/>
          <w:color w:val="auto"/>
        </w:rPr>
        <w:t>Many of the software applications that we use in our business are licensed from, and supported, upgraded and maintained by, third-party vendors. Our third-party applications include, but are not limited to, enterprise cloud storage and cloud computing application services provided and maintained by third-party vendors. These third-party applications store or may afford access to confidential and proprietary data of the Company, our colleagues and our clients. We have processes designed to require third-party vendors that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 / 87</w:t>
      </w:r>
    </w:p>
    <w:p>
      <w:pPr>
        <w:sectPr>
          <w:pgSz w:w="11900" w:h="16838" w:orient="portrait"/>
          <w:cols w:equalWidth="0" w:num="1">
            <w:col w:w="9380"/>
          </w:cols>
          <w:pgMar w:left="1260" w:top="1173" w:right="1266" w:bottom="0" w:gutter="0" w:footer="0" w:header="0"/>
          <w:type w:val="continuous"/>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48" w:lineRule="auto"/>
        <w:rPr>
          <w:sz w:val="20"/>
          <w:szCs w:val="20"/>
          <w:color w:val="auto"/>
        </w:rPr>
      </w:pPr>
      <w:r>
        <w:rPr>
          <w:rFonts w:ascii="Arial" w:cs="Arial" w:eastAsia="Arial" w:hAnsi="Arial"/>
          <w:sz w:val="18"/>
          <w:szCs w:val="18"/>
          <w:color w:val="auto"/>
        </w:rPr>
        <w:t>provide information technology (‘IT’) outsourcing, offsite storage and other services to agree to maintain certain standards with respect to the storage, protection and transfer of confidential, personal and proprietary information, but our processes cannot eliminate all risk of compromise or unauthorized access or use of such information in the event of a breakdown of a vendor’s data protection processes, a data breach due to the intentional or unintentional non-compliance by a vendor’s employee or agent, or as a result of a cyber-attack on the product, software or information systems of a vendor in our software supply chain. Any compromise of the product, software, data or infrastructure of a Company vendor, including a software or IT vendor in our supply chain, has and could again, result in the compromise of Company data or infrastructure or result in material operational disruption, although no such known previous compromise has been material to our business or financial results. Further, the risk and potential impact of a data breach on our third-party vendors’ products, software or systems increase as we move more of our data and our clients’ data into our vendors’ cloud storage, engage in IT outsourcing, and consolidate the group of third-party vendors that provide cloud storage or other IT services for the Company. Over time, the frequency, severity and sophistication of the attacks against us and our vendors have increased, including due to the use of AI for purposes of cybercrime, and the broader range of threat actors, including state-sponsored actors and hacker activists. In addition, our contractual and insurance protections with vendors may be limited or unenforceable, and vendor outages, flawed updates or delayed patching could disrupt our operations.</w:t>
      </w:r>
    </w:p>
    <w:p>
      <w:pPr>
        <w:spacing w:after="0" w:line="178"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We and our vendors regularly experience cybersecurity incidents, including successful attacks from time to time, and we expect that to continue going forward. While we have experienced successful attacks by various types of hacking groups in which personal and commercially sensitive information, belonging to the Company or its clients, has been compromised, none of these cybersecurity incidents or attacks to our knowledge have been material to our business or financial results. Cybersecurity incidents include those resulting from human error or malfeasance, implantation of malware and viruses, phishing and spear-phishing attacks, unauthorized access to our information technology networks and systems, and unauthorized access to data or individual account funds through fraud or other means of deceiving our colleagues, clients, third-party service providers and vendors. We cannot ensure that such cybersecurity incidents or attacks will not have a material impact on our business or financial results in the future. When required by law, we have notified individuals, clients and/or relevant regulatory authorities (such as insurance and financial services regulators and privacy regulators) of such cybersecurity incidents or attacks. During an incident, we may need to disconnect systems or suspend certain services, and there can be delays before full scope and impact are understood. Our cyber insurance coverage may be unavailable or insufficient to cover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maintain policies, procedures and administrative, physical and technological safeguards and controls (such as,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color w:val="auto"/>
        </w:rPr>
        <w:t>where in place, multifactor authentication and encryption of data in transit and at rest) designed to protect the</w:t>
      </w:r>
    </w:p>
    <w:p>
      <w:pPr>
        <w:spacing w:after="0" w:line="82" w:lineRule="exact"/>
        <w:rPr>
          <w:sz w:val="20"/>
          <w:szCs w:val="20"/>
          <w:color w:val="auto"/>
        </w:rPr>
      </w:pPr>
    </w:p>
    <w:p>
      <w:pPr>
        <w:spacing w:after="0"/>
        <w:rPr>
          <w:sz w:val="20"/>
          <w:szCs w:val="20"/>
          <w:color w:val="auto"/>
        </w:rPr>
      </w:pPr>
      <w:r>
        <w:rPr>
          <w:rFonts w:ascii="Arial" w:cs="Arial" w:eastAsia="Arial" w:hAnsi="Arial"/>
          <w:sz w:val="19"/>
          <w:szCs w:val="19"/>
          <w:color w:val="auto"/>
        </w:rPr>
        <w:t>security and privacy of the data in our custody and control. However, such safeguards are time-consuming and</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expensive to deploy broadly and are not necessarily always in place or effective, and we cannot entirely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eliminate the risk of data security breaches, improper access to, takeover of or disclosure of confidential company or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personally identifiable information. We may not be able to detect and assess such issues, or implement appropriate</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color w:val="auto"/>
        </w:rPr>
        <w:t>mitigation or remediation, in a timely manner. We are engaged in an ongoing effort to enhance our protections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against such attacks; this effort will require significant expenditures, take time to execute and may not be successful.</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color w:val="auto"/>
        </w:rPr>
        <w:t>Our technology may fail to adequately secure the private information we hold and protect it from theft, computer</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viruses, hackers or inadvertent loss.</w:t>
      </w:r>
    </w:p>
    <w:p>
      <w:pPr>
        <w:spacing w:after="0" w:line="260" w:lineRule="exact"/>
        <w:rPr>
          <w:sz w:val="20"/>
          <w:szCs w:val="20"/>
          <w:color w:val="auto"/>
        </w:rPr>
      </w:pPr>
    </w:p>
    <w:p>
      <w:pPr>
        <w:ind w:right="320"/>
        <w:spacing w:after="0" w:line="383" w:lineRule="auto"/>
        <w:rPr>
          <w:sz w:val="20"/>
          <w:szCs w:val="20"/>
          <w:color w:val="auto"/>
        </w:rPr>
      </w:pPr>
      <w:r>
        <w:rPr>
          <w:rFonts w:ascii="Arial" w:cs="Arial" w:eastAsia="Arial" w:hAnsi="Arial"/>
          <w:sz w:val="17"/>
          <w:szCs w:val="17"/>
          <w:color w:val="auto"/>
        </w:rPr>
        <w:t>As has happened in the past, if any person, including any of our current or former colleagues, intentionally or unintentionally fails to comply with, disregards or intentionally breaches our established controls with respect to such data or otherwise mismanages or misappropriates that data, we could be subject to monetary damages, fines,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50 / 87</w:t>
      </w:r>
    </w:p>
    <w:p>
      <w:pPr>
        <w:sectPr>
          <w:pgSz w:w="11900" w:h="16838" w:orient="portrait"/>
          <w:cols w:equalWidth="0" w:num="1">
            <w:col w:w="9400"/>
          </w:cols>
          <w:pgMar w:left="1260" w:top="1440" w:right="1246" w:bottom="0" w:gutter="0" w:footer="0" w:header="0"/>
          <w:type w:val="continuous"/>
        </w:sectPr>
      </w:pPr>
    </w:p>
    <w:bookmarkStart w:id="50" w:name="page51"/>
    <w:bookmarkEnd w:id="50"/>
    <w:p>
      <w:pPr>
        <w:spacing w:after="0" w:line="349" w:lineRule="auto"/>
        <w:rPr>
          <w:sz w:val="20"/>
          <w:szCs w:val="20"/>
          <w:color w:val="auto"/>
        </w:rPr>
      </w:pPr>
      <w:r>
        <w:rPr>
          <w:rFonts w:ascii="Arial" w:cs="Arial" w:eastAsia="Arial" w:hAnsi="Arial"/>
          <w:sz w:val="18"/>
          <w:szCs w:val="18"/>
          <w:color w:val="auto"/>
        </w:rPr>
        <w:t>regulatory enforcement, and/or criminal prosecution. Prior instances of such activity have not been material to our business or financial results. Unauthorized disclosure of sensitive or confidential client, supplier or colleague data, whether through systems failure, accident, colleague negligence, fraud or misappropriation, could damage our reputation and cause us to lose clients. Similarly, unauthorized access to or through our information systems or those we develop for our clients, whether by our colleagues or third parties, could result in significant additional expenses (including expenses relating to incident response and investigation, remediation work, notification of data security breaches and costs of credit monitoring services), negative publicity, operational disruption, legal liability and/or damage to our reputation, as well as require substantial resources and effort of management, thereby diverting management’s focus and resources from business operations.</w:t>
      </w:r>
    </w:p>
    <w:p>
      <w:pPr>
        <w:spacing w:after="0" w:line="171"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The methods used to obtain unauthorized access to, disable or degrade service or sabotage the Company’s systems are also constantly evolving, are increasingly sophisticated, and may be difficult to anticipate or detect. For example, the U.S. Federal Bureau of Investigation, the Cybersecurity and Infrastructure Security Agency, and other U.S. federal agencies continue to issue warnings about trends in cybercriminal and nation-state activity and other threats that are consistent with some of the types of incidents we have experienced. To our knowledge, these incidents have not had a material impact on our business or operations thus far. However, our reputation could be harmed and our business and results of operations could be materially and adversely affected if we were to be the target of such attacks in the future, or if, despite our controls and efforts to detect breaches, we were to be the victim of an undetected breach. Threat actors have used, and in the future may continue to use, AI-enabled tools and advanced persistent techniques to evade detection over extended periods or to exploit third-party access.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51 / 87</w:t>
      </w:r>
    </w:p>
    <w:p>
      <w:pPr>
        <w:sectPr>
          <w:pgSz w:w="11900" w:h="16838" w:orient="portrait"/>
          <w:cols w:equalWidth="0" w:num="1">
            <w:col w:w="9340"/>
          </w:cols>
          <w:pgMar w:left="1260" w:top="1173" w:right="1306" w:bottom="0" w:gutter="0" w:footer="0" w:header="0"/>
          <w:type w:val="continuous"/>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We have implemented and regularly review and update processes and procedures to protect against fraud and unauthorized access to and use of secured data and to prevent data loss. The ever-evolving threats mean that we and our third-party service providers and vendors must continually evaluate, adapt, enhance and otherwise improve our respective systems and processes, especially as we grow our mobile, cloud and other internet-based services. There is no guarantee that such efforts will be adequate to safeguard against all fraud, data security breaches, unauthorized access, operational impacts or misuses of data. For example, our policies, colleague training (including phishing prevention training), and procedures and technical safeguards have not prevented or detected all improper access to confidential, personal or proprietary information by colleagues, vendors or other third parties with otherwise legitimate access to our systems, although, to date, such known improper access has not been material to our business or financial results. In addition, we may not be able to implement such efforts as quickly as desired if, for example, greater resources are required than originally expected or resources and management’s focus are insufficient. Any future significant compromise or breach of our data security or fraud, whether external or internal, or misuse of client, colleague, supplier or company data, could result in additional significant costs, lost revenue opportunities, disruption of operations and service, fines, lawsuits, and damage to our reputation with our clients and in the broader market</w:t>
      </w:r>
      <w:r>
        <w:rPr>
          <w:rFonts w:ascii="Arial" w:cs="Arial" w:eastAsia="Arial" w:hAnsi="Arial"/>
          <w:sz w:val="19"/>
          <w:szCs w:val="19"/>
          <w:b w:val="1"/>
          <w:bCs w:val="1"/>
          <w:i w:val="1"/>
          <w:iCs w:val="1"/>
          <w:color w:val="auto"/>
        </w:rPr>
        <w:t>.</w:t>
      </w:r>
    </w:p>
    <w:p>
      <w:pPr>
        <w:spacing w:after="0" w:line="187" w:lineRule="exact"/>
        <w:rPr>
          <w:sz w:val="20"/>
          <w:szCs w:val="20"/>
          <w:color w:val="auto"/>
        </w:rPr>
      </w:pPr>
    </w:p>
    <w:p>
      <w:pPr>
        <w:spacing w:after="0" w:line="311" w:lineRule="auto"/>
        <w:rPr>
          <w:sz w:val="20"/>
          <w:szCs w:val="20"/>
          <w:color w:val="auto"/>
        </w:rPr>
      </w:pPr>
      <w:r>
        <w:rPr>
          <w:rFonts w:ascii="Arial" w:cs="Arial" w:eastAsia="Arial" w:hAnsi="Arial"/>
          <w:sz w:val="20"/>
          <w:szCs w:val="20"/>
          <w:color w:val="auto"/>
        </w:rPr>
        <w:t>For further discussion of the commercial risks related to the cybersecurity and data protection technology we use, please see ‘</w:t>
      </w:r>
      <w:r>
        <w:rPr>
          <w:rFonts w:ascii="Arial" w:cs="Arial" w:eastAsia="Arial" w:hAnsi="Arial"/>
          <w:sz w:val="20"/>
          <w:szCs w:val="20"/>
          <w:i w:val="1"/>
          <w:iCs w:val="1"/>
          <w:color w:val="auto"/>
        </w:rPr>
        <w:t>Our business performance and growth plans could be negatively affected if we are not able to develop</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implement improvements in technology and effectively apply technology, data and analytics to drive value for our clients through technology-based solutions or gain internal efficiencies through the effective application of technology, analytics and related tools’ </w:t>
      </w:r>
      <w:r>
        <w:rPr>
          <w:rFonts w:ascii="Arial" w:cs="Arial" w:eastAsia="Arial" w:hAnsi="Arial"/>
          <w:sz w:val="20"/>
          <w:szCs w:val="20"/>
          <w:color w:val="auto"/>
        </w:rPr>
        <w:t>above. In addition, please see Part I, Item 1C Cybersecurity of this Form 10-K.</w:t>
      </w:r>
    </w:p>
    <w:p>
      <w:pPr>
        <w:spacing w:after="0" w:line="192" w:lineRule="exact"/>
        <w:rPr>
          <w:sz w:val="20"/>
          <w:szCs w:val="20"/>
          <w:color w:val="auto"/>
        </w:rPr>
      </w:pPr>
    </w:p>
    <w:p>
      <w:pPr>
        <w:ind w:right="60"/>
        <w:spacing w:after="0" w:line="398" w:lineRule="auto"/>
        <w:rPr>
          <w:sz w:val="20"/>
          <w:szCs w:val="20"/>
          <w:color w:val="auto"/>
        </w:rPr>
      </w:pPr>
      <w:r>
        <w:rPr>
          <w:rFonts w:ascii="Arial" w:cs="Arial" w:eastAsia="Arial" w:hAnsi="Arial"/>
          <w:sz w:val="17"/>
          <w:szCs w:val="17"/>
          <w:b w:val="1"/>
          <w:bCs w:val="1"/>
          <w:i w:val="1"/>
          <w:iCs w:val="1"/>
          <w:color w:val="auto"/>
        </w:rPr>
        <w:t>Our inability to comply with complex and evolving laws and regulations related to data privacy and cybersecurity could result in material financial loss, regulatory actions, reputational harm and/or legal liability.</w:t>
      </w:r>
    </w:p>
    <w:p>
      <w:pPr>
        <w:spacing w:after="0" w:line="132" w:lineRule="exact"/>
        <w:rPr>
          <w:sz w:val="20"/>
          <w:szCs w:val="20"/>
          <w:color w:val="auto"/>
        </w:rPr>
      </w:pPr>
    </w:p>
    <w:p>
      <w:pPr>
        <w:ind w:right="180"/>
        <w:spacing w:after="0" w:line="349" w:lineRule="auto"/>
        <w:rPr>
          <w:sz w:val="20"/>
          <w:szCs w:val="20"/>
          <w:color w:val="auto"/>
        </w:rPr>
      </w:pPr>
      <w:r>
        <w:rPr>
          <w:rFonts w:ascii="Arial" w:cs="Arial" w:eastAsia="Arial" w:hAnsi="Arial"/>
          <w:sz w:val="18"/>
          <w:szCs w:val="18"/>
          <w:color w:val="auto"/>
        </w:rPr>
        <w:t>We are subject to numerous laws and regulations in the U.S. and foreign jurisdictions, only certain of which are named here, designed to protect the personal information of client and company constituents and suppliers. These laws often develop in ways we cannot predict, and some laws may be in conflict with one another. This may significantly increase our cost of doing business, particularly as we expand our localization efforts. In addition, we may not be readily able to achieve compliance with the requirements of certain privacy and data security laws and regulations within the required periods for compliance. Certain laws and regulations we are subject to prohibit or restrict the transmission of data outside of certain countries’ borders, and certain others impose heightened obligations on specific categories of sensitive personal information, such as health or financial information. These laws have significantly increased our responsibilities when handling personal data including, without limitation, requiring us: to conduct privacy impact assessments or data protection impact assessments; to restrict the transmission or cross border transfers of data; to adopt and maintain new privacy policies and notices; to maintain detailed records of processing and vendor oversight; to respond to data subject rights requests within prescribed timelines; and to publicly disclose significant data breaches.</w:t>
      </w:r>
    </w:p>
    <w:p>
      <w:pPr>
        <w:spacing w:after="0" w:line="167" w:lineRule="exact"/>
        <w:rPr>
          <w:sz w:val="20"/>
          <w:szCs w:val="20"/>
          <w:color w:val="auto"/>
        </w:rPr>
      </w:pPr>
    </w:p>
    <w:p>
      <w:pPr>
        <w:ind w:right="220"/>
        <w:spacing w:after="0" w:line="350" w:lineRule="auto"/>
        <w:rPr>
          <w:sz w:val="20"/>
          <w:szCs w:val="20"/>
          <w:color w:val="auto"/>
        </w:rPr>
      </w:pPr>
      <w:r>
        <w:rPr>
          <w:rFonts w:ascii="Arial" w:cs="Arial" w:eastAsia="Arial" w:hAnsi="Arial"/>
          <w:sz w:val="18"/>
          <w:szCs w:val="18"/>
          <w:color w:val="auto"/>
        </w:rPr>
        <w:t>For example, we are subject to the European Union’s General Data Protection Regulation (the ‘E.U. GDPR’), violations of which may result in possible fines of up to 4% of global annual turnover for the preceding financial year or €20 million (whichever is higher). Furthermore, following Brexit, we became subject to the U.K.’s Data Protection Act (together with the E.U. GDPR, the ‘GDPR’). In June 2021, the European Commission formally approved an adequacy decision for the U.K. on data protection in which they deemed the U.K.’s data protection regime sufficient to protect E.U. personal data, but the U.K. is considering changes to the Data Protection Act and</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52 / 87</w:t>
      </w:r>
    </w:p>
    <w:p>
      <w:pPr>
        <w:sectPr>
          <w:pgSz w:w="11900" w:h="16838" w:orient="portrait"/>
          <w:cols w:equalWidth="0" w:num="1">
            <w:col w:w="9340"/>
          </w:cols>
          <w:pgMar w:left="1260" w:top="1440" w:right="1306" w:bottom="0" w:gutter="0" w:footer="0" w:header="0"/>
          <w:type w:val="continuous"/>
        </w:sectPr>
      </w:pPr>
    </w:p>
    <w:bookmarkStart w:id="52" w:name="page53"/>
    <w:bookmarkEnd w:id="52"/>
    <w:p>
      <w:pPr>
        <w:ind w:right="40"/>
        <w:spacing w:after="0" w:line="329" w:lineRule="auto"/>
        <w:rPr>
          <w:sz w:val="20"/>
          <w:szCs w:val="20"/>
          <w:color w:val="auto"/>
        </w:rPr>
      </w:pPr>
      <w:r>
        <w:rPr>
          <w:rFonts w:ascii="Arial" w:cs="Arial" w:eastAsia="Arial" w:hAnsi="Arial"/>
          <w:sz w:val="19"/>
          <w:szCs w:val="19"/>
          <w:color w:val="auto"/>
        </w:rPr>
        <w:t xml:space="preserve">there is no guarantee that the European Commission will continue to retain its adequacy decision with respect to U.K. data protection law in the future. Additionally, legal developments in Europe have created complexity and regulatory compliance uncertainty regarding certain transfers of personal information from the European Economic Area to the U.S. For example, a July 2020 judgment by the Court of Justice of the European Union on </w:t>
      </w:r>
      <w:r>
        <w:rPr>
          <w:rFonts w:ascii="Arial" w:cs="Arial" w:eastAsia="Arial" w:hAnsi="Arial"/>
          <w:sz w:val="19"/>
          <w:szCs w:val="19"/>
          <w:i w:val="1"/>
          <w:iCs w:val="1"/>
          <w:color w:val="auto"/>
        </w:rPr>
        <w:t>Schrems II</w:t>
      </w:r>
      <w:r>
        <w:rPr>
          <w:rFonts w:ascii="Arial" w:cs="Arial" w:eastAsia="Arial" w:hAnsi="Arial"/>
          <w:sz w:val="19"/>
          <w:szCs w:val="19"/>
          <w:color w:val="auto"/>
        </w:rPr>
        <w:t xml:space="preserve"> invalidated the E.U.-U.S. Data Privacy Shield and on July 10, 2023, the European Commission adopted a new adequacy decision on the E.U.-U.S. Data Privacy Framework (‘Data Privacy Framework’). The Data Privacy Framework created new privacy obligations allowing personal information to be transferred from the E.U. to U.S. entities who have self-certified under the framework. We currently rely on a mixture of mechanisms to lawfully transfer personal data from our U.K. and E.U. businesses to the U.S. and other countries, with standard contractual clauses being the preferred transfer mechanism. As supervisory authorities issue enforcement actions and further guidance on personal information export mechanisms, including circumstances where the standard contractual clauses cannot be used, we could suffer additional costs, or become subject to complaints, regulatory investigations and/or fines. Moreover, if we are otherwise unable to transfer personal information between and among countries and regions in which we operate, it could affect the manner in which we provide our services and could adversely affect our financial results.</w:t>
      </w:r>
    </w:p>
    <w:p>
      <w:pPr>
        <w:spacing w:after="0" w:line="187"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Additionally, U.S. states continue to adopt comprehensive state-level privacy laws, which began with the California Consumer Privacy Act (‘CCPA’) (effective January 1, 2020), as amended by the California Privacy Rights Act (‘CPRA’) (effective on January 1, 2023). These laws generally provide consumers with certain rights (including rights to correct their data, limit the use and disclosure of sensitive personal information, and opt out of the sharing of personal information for certain targeted behavioral advertising purposes), and require companies to make detailed disclosures to residents of those states about their data collection, use and sharing practices.</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73"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53 / 87</w:t>
      </w:r>
    </w:p>
    <w:p>
      <w:pPr>
        <w:sectPr>
          <w:pgSz w:w="11900" w:h="16838" w:orient="portrait"/>
          <w:cols w:equalWidth="0" w:num="1">
            <w:col w:w="9280"/>
          </w:cols>
          <w:pgMar w:left="1260" w:top="1173" w:right="1366" w:bottom="0" w:gutter="0" w:footer="0" w:header="0"/>
          <w:type w:val="continuous"/>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spacing w:after="0" w:line="332" w:lineRule="auto"/>
        <w:rPr>
          <w:sz w:val="20"/>
          <w:szCs w:val="20"/>
          <w:color w:val="auto"/>
        </w:rPr>
      </w:pPr>
      <w:r>
        <w:rPr>
          <w:rFonts w:ascii="Arial" w:cs="Arial" w:eastAsia="Arial" w:hAnsi="Arial"/>
          <w:sz w:val="19"/>
          <w:szCs w:val="19"/>
          <w:color w:val="auto"/>
        </w:rPr>
        <w:t>The Company is also subject to data privacy laws and regulations that apply to the collection, storage and use of personal health information, including, without limitation, the U.S. Health Insurance Portability and Accountability Act of 1996 (‘HIPAA’), enforced by the Office for Civil Rights within the Department of Health and Human Services, and the New York State Department of Financial Services’ cybersecurity regulations outlining required security measures for the protection of data, and numerous U.S. and foreign marketing and telecommunications laws and regulations designed to protect consumers from unwanted or fraudulent communications. A violation of any such law may lead to litigation or regulatory liability, including substantial financial damages or fines. The burdens imposed by the U.S. state-level privacy laws and other laws that may be enacted at the federal and state level in the future may require us to modify our data processing practices and policies and to incur substantial costs in order to comply with these laws and to investigate and defend against potential private class-action litigation or litigation brought by regulatory authorities. We expect that other U.S. states and other countries will continue to implement their own data privacy and data security laws. The People’s Republic of China and India, among other countries, have enacted stringent data protection laws that, among other things, may restrict data transfers out of each of those countries.</w:t>
      </w:r>
    </w:p>
    <w:p>
      <w:pPr>
        <w:spacing w:after="0" w:line="179" w:lineRule="exact"/>
        <w:rPr>
          <w:sz w:val="20"/>
          <w:szCs w:val="20"/>
          <w:color w:val="auto"/>
        </w:rPr>
      </w:pPr>
    </w:p>
    <w:p>
      <w:pPr>
        <w:ind w:right="60"/>
        <w:spacing w:after="0" w:line="329" w:lineRule="auto"/>
        <w:rPr>
          <w:sz w:val="20"/>
          <w:szCs w:val="20"/>
          <w:color w:val="auto"/>
        </w:rPr>
      </w:pPr>
      <w:r>
        <w:rPr>
          <w:rFonts w:ascii="Arial" w:cs="Arial" w:eastAsia="Arial" w:hAnsi="Arial"/>
          <w:sz w:val="19"/>
          <w:szCs w:val="19"/>
          <w:color w:val="auto"/>
        </w:rPr>
        <w:t>Additionally, as a part of our efforts to implement innovative technology, data and analytic solutions, we may invest in and develop technologies such as AI, digital platforms, data analytics, robotics and blockchain. The technologies underlying such technological innovations and their use cases are rapidly developing, and remain subject to existing laws, including privacy, consumer protection and federal equal opportunity laws. As a result, it is not possible to predict all the legal, operational or technological risks related to the use of these technological innovations. Moreover, these technologies are the subject of evolving review by various regulatory agencies, including the SEC and the U.S. Federal Trade Commission, and changes in the regulation of the use these technological innovations may adversely affect our ability to use them in a manner that is cost- and resource-effective, the nature of which cannot be determined at this time.</w:t>
      </w:r>
    </w:p>
    <w:p>
      <w:pPr>
        <w:spacing w:after="0" w:line="184"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The evolving and potentially conflicting interpretations of these laws and regulations in the U.S and abroad, as well as laws applicable to the Company that are not named in these risk factors, may restrict the manner in which we provide services to our clients, divert resources from other important initiatives, increase the risk of non-compliance, impose significant compliance and other costs that are likely to increase over time, and increase the risk of fines, lawsuits or other potential liability, all of which could have a material adverse effect on our business and results of operations. Enforcement remedies can include orders to suspend or restrict processing or transfers, mandatory audits, disgorgement, corrective actions and ongoing monitoring in addition to administrative fines and damages. Our failure to adhere to or successfully develop processes in response to legal or regulatory requirements, including legal or regulatory requirements that may be developed or revised due to economic or geopolitical changes such as Brexit, and changing customer expectations in this area, could result in substantial legal liability and impairment to our reputation or 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5377180</wp:posOffset>
                </wp:positionH>
                <wp:positionV relativeFrom="paragraph">
                  <wp:posOffset>-818515</wp:posOffset>
                </wp:positionV>
                <wp:extent cx="3175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50" cy="4763"/>
                        </a:xfrm>
                        <a:prstGeom prst="line">
                          <a:avLst/>
                        </a:prstGeom>
                        <a:solidFill>
                          <a:srgbClr val="FFFFFF"/>
                        </a:solidFill>
                        <a:ln w="6204">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pt,-64.4499pt" to="425.9pt,-64.4499pt" o:allowincell="f" strokecolor="#000000" strokeweight="0.4885pt"/>
            </w:pict>
          </mc:Fallback>
        </mc:AlternateContent>
      </w:r>
    </w:p>
    <w:p>
      <w:pPr>
        <w:spacing w:after="0" w:line="165" w:lineRule="exact"/>
        <w:rPr>
          <w:sz w:val="20"/>
          <w:szCs w:val="20"/>
          <w:color w:val="auto"/>
        </w:rPr>
      </w:pPr>
    </w:p>
    <w:p>
      <w:pPr>
        <w:ind w:right="20"/>
        <w:spacing w:after="0" w:line="350" w:lineRule="auto"/>
        <w:rPr>
          <w:sz w:val="20"/>
          <w:szCs w:val="20"/>
          <w:color w:val="auto"/>
        </w:rPr>
      </w:pPr>
      <w:r>
        <w:rPr>
          <w:rFonts w:ascii="Arial" w:cs="Arial" w:eastAsia="Arial" w:hAnsi="Arial"/>
          <w:sz w:val="18"/>
          <w:szCs w:val="18"/>
          <w:color w:val="auto"/>
        </w:rPr>
        <w:t>We are also subject to the terms of our privacy policies and contractual obligations to third parties related to privacy, data protection and information security. In addition to government regulation, privacy advocates and industry groups may propose new and different self-regulatory standards that either legally or contractually apply to us. We also expect that there will continue to be new proposed laws and regulations concerning privacy, data protection and information security, but cannot yet determine the impact such future laws, regulations and standards may have on our business. New laws, amendments to or re-interpretations of existing laws and regulations, industry standards, contractual obligations and other obligations may require us to incur additional costs and restrict our business operations. Because the interpretation and application of laws and other obligations relating to privacy and data</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 / 87</w:t>
      </w:r>
    </w:p>
    <w:p>
      <w:pPr>
        <w:sectPr>
          <w:pgSz w:w="11900" w:h="16838" w:orient="portrait"/>
          <w:cols w:equalWidth="0" w:num="1">
            <w:col w:w="9360"/>
          </w:cols>
          <w:pgMar w:left="1260" w:top="1440" w:right="1286" w:bottom="0" w:gutter="0" w:footer="0" w:header="0"/>
          <w:type w:val="continuous"/>
        </w:sectPr>
      </w:pPr>
    </w:p>
    <w:bookmarkStart w:id="54" w:name="page55"/>
    <w:bookmarkEnd w:id="54"/>
    <w:p>
      <w:pPr>
        <w:spacing w:after="0" w:line="349" w:lineRule="auto"/>
        <w:rPr>
          <w:sz w:val="20"/>
          <w:szCs w:val="20"/>
          <w:color w:val="auto"/>
        </w:rPr>
      </w:pPr>
      <w:r>
        <w:rPr>
          <w:rFonts w:ascii="Arial" w:cs="Arial" w:eastAsia="Arial" w:hAnsi="Arial"/>
          <w:sz w:val="18"/>
          <w:szCs w:val="18"/>
          <w:color w:val="auto"/>
        </w:rPr>
        <w:t>protection are still uncertain, it is possible that these laws and other obligations may be interpreted and applied in a manner that is inconsistent with our existing data management practices. If so, in addition to the possibility of fines, lawsuits and other claims, we could be required to fundamentally change our business activities and practices, which could harm our business. We may be unable to make such changes and modifications in a commercially reasonable manner or at all. Any inability to adequately address privacy concerns, even if unfounded, or comply with applicable privacy or data protection laws, regulations and policies, could result in additional cost and liability, damage to our reputation, or harm to our business. Further, emerging disclosure, controls and assurance requirements related to cybersecurity and privacy may require enhanced governance and attestations; if we cannot design and operate effective compliance controls, maintain accurate data inventories and maps, or obtain timely and reliable inputs from vendors and affiliates, our compliance, reporting and operational risks could increase.</w:t>
      </w:r>
    </w:p>
    <w:p>
      <w:pPr>
        <w:spacing w:after="0" w:line="170" w:lineRule="exact"/>
        <w:rPr>
          <w:sz w:val="20"/>
          <w:szCs w:val="20"/>
          <w:color w:val="auto"/>
        </w:rPr>
      </w:pPr>
    </w:p>
    <w:p>
      <w:pPr>
        <w:ind w:right="100"/>
        <w:spacing w:after="0" w:line="307" w:lineRule="auto"/>
        <w:rPr>
          <w:sz w:val="20"/>
          <w:szCs w:val="20"/>
          <w:color w:val="auto"/>
        </w:rPr>
      </w:pPr>
      <w:r>
        <w:rPr>
          <w:rFonts w:ascii="Arial" w:cs="Arial" w:eastAsia="Arial" w:hAnsi="Arial"/>
          <w:sz w:val="20"/>
          <w:szCs w:val="20"/>
          <w:b w:val="1"/>
          <w:bCs w:val="1"/>
          <w:i w:val="1"/>
          <w:iCs w:val="1"/>
          <w:color w:val="auto"/>
        </w:rPr>
        <w:t>Our inability to successfully mitigate and recover should we experience a disaster or other business continuity problem could cause material financial loss, loss of human capital, regulatory actions, reputational harm and/or legal liability.</w:t>
      </w:r>
    </w:p>
    <w:p>
      <w:pPr>
        <w:spacing w:after="0" w:line="197"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We are exposed to various risks arising out of disasters and business continuity problems, such as wildfires, earthquakes, hurricanes, terrorist attacks, acts of war, conflicts, or civil unrest, pandemics, security breaches, ransomware or destructive malware attacks, power loss or disruption, telecommunications failures or other natural or man-made disasters. Should we experience such an event, we may incur operational challenges, and our continued success will depend, in part, on the availability of our personnel, our office facilities, our outsourcing providers or other vendors, access to data, and the proper functioning of our computer, telecommunication and other related systems and operations.</w:t>
      </w:r>
    </w:p>
    <w:p>
      <w:pPr>
        <w:spacing w:after="0" w:line="183" w:lineRule="exact"/>
        <w:rPr>
          <w:sz w:val="20"/>
          <w:szCs w:val="20"/>
          <w:color w:val="auto"/>
        </w:rPr>
      </w:pPr>
    </w:p>
    <w:p>
      <w:pPr>
        <w:ind w:right="60"/>
        <w:spacing w:after="0" w:line="352" w:lineRule="auto"/>
        <w:rPr>
          <w:sz w:val="20"/>
          <w:szCs w:val="20"/>
          <w:color w:val="auto"/>
        </w:rPr>
      </w:pPr>
      <w:r>
        <w:rPr>
          <w:rFonts w:ascii="Arial" w:cs="Arial" w:eastAsia="Arial" w:hAnsi="Arial"/>
          <w:sz w:val="18"/>
          <w:szCs w:val="18"/>
          <w:color w:val="auto"/>
        </w:rPr>
        <w:t>A disaster or business continuity problem of a significant scale or affecting certain of our key operating areas within or across regions, or our inability to successfully recover from such an event, particularly if any of these problems occur during peak times, could materially interrupt our business operations and cause material financial loss, loss of human capital, regulatory actions, reputational harm, damaged client relationships or legal liability.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55 / 87</w:t>
      </w:r>
    </w:p>
    <w:p>
      <w:pPr>
        <w:sectPr>
          <w:pgSz w:w="11900" w:h="16838" w:orient="portrait"/>
          <w:cols w:equalWidth="0" w:num="1">
            <w:col w:w="9360"/>
          </w:cols>
          <w:pgMar w:left="1260" w:top="1173" w:right="1286" w:bottom="0" w:gutter="0" w:footer="0" w:header="0"/>
          <w:type w:val="continuous"/>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spacing w:after="0" w:line="307" w:lineRule="auto"/>
        <w:rPr>
          <w:sz w:val="20"/>
          <w:szCs w:val="20"/>
          <w:color w:val="auto"/>
        </w:rPr>
      </w:pPr>
      <w:r>
        <w:rPr>
          <w:rFonts w:ascii="Arial" w:cs="Arial" w:eastAsia="Arial" w:hAnsi="Arial"/>
          <w:sz w:val="20"/>
          <w:szCs w:val="20"/>
          <w:b w:val="1"/>
          <w:bCs w:val="1"/>
          <w:i w:val="1"/>
          <w:iCs w:val="1"/>
          <w:color w:val="auto"/>
        </w:rPr>
        <w:t>Material interruption to or loss of our information processing capabilities or failure to effectively maintain and upgrade our information processing hardware or systems could cause material financial loss, regulatory actions, reputational harm and/or legal liability.</w:t>
      </w:r>
    </w:p>
    <w:p>
      <w:pPr>
        <w:spacing w:after="0" w:line="197" w:lineRule="exact"/>
        <w:rPr>
          <w:sz w:val="20"/>
          <w:szCs w:val="20"/>
          <w:color w:val="auto"/>
        </w:rPr>
      </w:pPr>
    </w:p>
    <w:p>
      <w:pPr>
        <w:spacing w:after="0" w:line="356" w:lineRule="auto"/>
        <w:rPr>
          <w:sz w:val="20"/>
          <w:szCs w:val="20"/>
          <w:color w:val="auto"/>
        </w:rPr>
      </w:pPr>
      <w:r>
        <w:rPr>
          <w:rFonts w:ascii="Arial" w:cs="Arial" w:eastAsia="Arial" w:hAnsi="Arial"/>
          <w:sz w:val="18"/>
          <w:szCs w:val="18"/>
          <w:color w:val="auto"/>
        </w:rPr>
        <w:t>Our business and our capacity to serve our clients depend on effective information systems, including the effective storage, retrieval, processing and management of information. Maintaining and enhancing existing systems and developing and creating new systems and products in order to keep pace with evolving technologies and evolving industry and regulatory standards requires significant financial and other resources. We aim to be at the forefront of a range of technology options relevant to our business and staying ahead of the technology offered by our competitors, and attracting, developing and retaining skilled individuals in the cybersecurity space. The market for such qualified individuals is competitive and we may be unable to hire the talent needed to mitigate the foregoing risks.</w:t>
      </w:r>
    </w:p>
    <w:p>
      <w:pPr>
        <w:spacing w:after="0" w:line="161" w:lineRule="exact"/>
        <w:rPr>
          <w:sz w:val="20"/>
          <w:szCs w:val="20"/>
          <w:color w:val="auto"/>
        </w:rPr>
      </w:pPr>
    </w:p>
    <w:p>
      <w:pPr>
        <w:ind w:right="80"/>
        <w:spacing w:after="0" w:line="349" w:lineRule="auto"/>
        <w:rPr>
          <w:sz w:val="20"/>
          <w:szCs w:val="20"/>
          <w:color w:val="auto"/>
        </w:rPr>
      </w:pPr>
      <w:r>
        <w:rPr>
          <w:rFonts w:ascii="Arial" w:cs="Arial" w:eastAsia="Arial" w:hAnsi="Arial"/>
          <w:sz w:val="18"/>
          <w:szCs w:val="18"/>
          <w:color w:val="auto"/>
        </w:rPr>
        <w:t>In addition, many of the software applications, including enterprise cloud storage and cloud computing application services, that we use in our business are licensed from, and supported, upgraded and maintained by, third-party vendors. We are significantly increasing our use of such cloud services and expect this to continue over time. These third-party applications store confidential and proprietary data of the Company, our clients and our colleagues. A suspension or termination of certain of these licenses or the related support, upgrades and maintenance could cause temporary system delays or interruptions that could adversely impact our business. We also, from time to time, acquire other companies or divest certain of our existing businesses and companies, which requires us to manage complex integrations or dissolutions of information systems or the transfer of information from one system to another, and we may fail to identify, mitigate and address vulnerabilities in our targets’ information systems or in integrated components of our respective information systems. These transactions may make us more susceptible to cyberattacks and could result in the theft of Company intellectual property, the compromise of Company, colleague, and client data or operational disruption.</w:t>
      </w:r>
    </w:p>
    <w:p>
      <w:pPr>
        <w:spacing w:after="0" w:line="168" w:lineRule="exact"/>
        <w:rPr>
          <w:sz w:val="20"/>
          <w:szCs w:val="20"/>
          <w:color w:val="auto"/>
        </w:rPr>
      </w:pPr>
    </w:p>
    <w:p>
      <w:pPr>
        <w:ind w:right="100"/>
        <w:spacing w:after="0" w:line="330" w:lineRule="auto"/>
        <w:rPr>
          <w:sz w:val="20"/>
          <w:szCs w:val="20"/>
          <w:color w:val="auto"/>
        </w:rPr>
      </w:pPr>
      <w:r>
        <w:rPr>
          <w:rFonts w:ascii="Arial" w:cs="Arial" w:eastAsia="Arial" w:hAnsi="Arial"/>
          <w:sz w:val="19"/>
          <w:szCs w:val="19"/>
          <w:color w:val="auto"/>
        </w:rPr>
        <w:t>Any finding that the data we rely on to run our business is inaccurate or unreliable, that we fail to maintain effective and efficient systems (including through a telecommunications failure, failure to replace or update redundant or obsolete computer hardware, applications or software systems, or the loss of skilled people with the knowledge needed to operate our systems), or that we experience cost overruns, delays, or other disruptions, could result in material financial loss, regulatory action, reputational harm or legal liability.</w:t>
      </w:r>
    </w:p>
    <w:p>
      <w:pPr>
        <w:spacing w:after="0" w:line="178" w:lineRule="exact"/>
        <w:rPr>
          <w:sz w:val="20"/>
          <w:szCs w:val="20"/>
          <w:color w:val="auto"/>
        </w:rPr>
      </w:pPr>
    </w:p>
    <w:p>
      <w:pPr>
        <w:ind w:right="20"/>
        <w:spacing w:after="0" w:line="398" w:lineRule="auto"/>
        <w:rPr>
          <w:sz w:val="20"/>
          <w:szCs w:val="20"/>
          <w:color w:val="auto"/>
        </w:rPr>
      </w:pPr>
      <w:r>
        <w:rPr>
          <w:rFonts w:ascii="Arial" w:cs="Arial" w:eastAsia="Arial" w:hAnsi="Arial"/>
          <w:sz w:val="17"/>
          <w:szCs w:val="17"/>
          <w:b w:val="1"/>
          <w:bCs w:val="1"/>
          <w:i w:val="1"/>
          <w:iCs w:val="1"/>
          <w:color w:val="auto"/>
        </w:rPr>
        <w:t>Limited protection of our intellectual property could harm our business and our ability to compete effectively, and we face the risk that our services or products may infringe upon the intellectual property rights of others.</w:t>
      </w:r>
    </w:p>
    <w:p>
      <w:pPr>
        <w:spacing w:after="0" w:line="132" w:lineRule="exact"/>
        <w:rPr>
          <w:sz w:val="20"/>
          <w:szCs w:val="20"/>
          <w:color w:val="auto"/>
        </w:rPr>
      </w:pPr>
    </w:p>
    <w:p>
      <w:pPr>
        <w:ind w:right="40"/>
        <w:spacing w:after="0" w:line="371" w:lineRule="auto"/>
        <w:rPr>
          <w:sz w:val="20"/>
          <w:szCs w:val="20"/>
          <w:color w:val="auto"/>
        </w:rPr>
      </w:pPr>
      <w:r>
        <w:rPr>
          <w:rFonts w:ascii="Arial" w:cs="Arial" w:eastAsia="Arial" w:hAnsi="Arial"/>
          <w:sz w:val="17"/>
          <w:szCs w:val="17"/>
          <w:color w:val="auto"/>
        </w:rPr>
        <w:t>We cannot guarantee that trade secret, trademark, and copyright law protections, or our internal policies and procedures regarding our management of intellectual property, are adequate to deter misappropriation of our intellectual property (including our software, which may become an increasingly important part of our business). Existing laws of some countries in which we provide services or products may offer only limited protection of our intellectual property rights. Also, we may be unable to detect the unauthorized use of our intellectual property and take the necessary steps to enforce our rights, which may have a material adverse impact on our business, financial condition or results of operations. We cannot be sure that our services and products, or the products of others that we offer to our clients, do not infringe on the intellectual property rights of third parties, and we may have infringement claims asserted against us or our clients. These claims may harm our reputation, result in financial liability, consume financial resources to pursue or defend, and prevent us from offering some services or products. In addition, these claims, whether with or without merit, could be expensive, could require significant time and resource expenditure, and could divert management’s focus from business operations. Successful challenges against us could require us to</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 / 87</w:t>
      </w:r>
    </w:p>
    <w:p>
      <w:pPr>
        <w:sectPr>
          <w:pgSz w:w="11900" w:h="16838" w:orient="portrait"/>
          <w:cols w:equalWidth="0" w:num="1">
            <w:col w:w="9380"/>
          </w:cols>
          <w:pgMar w:left="1260" w:top="1440" w:right="1266" w:bottom="0" w:gutter="0" w:footer="0" w:header="0"/>
          <w:type w:val="continuous"/>
        </w:sectPr>
      </w:pPr>
    </w:p>
    <w:bookmarkStart w:id="56" w:name="page57"/>
    <w:bookmarkEnd w:id="56"/>
    <w:p>
      <w:pPr>
        <w:ind w:right="100"/>
        <w:spacing w:after="0" w:line="307" w:lineRule="auto"/>
        <w:rPr>
          <w:sz w:val="20"/>
          <w:szCs w:val="20"/>
          <w:color w:val="auto"/>
        </w:rPr>
      </w:pPr>
      <w:r>
        <w:rPr>
          <w:rFonts w:ascii="Arial" w:cs="Arial" w:eastAsia="Arial" w:hAnsi="Arial"/>
          <w:sz w:val="20"/>
          <w:szCs w:val="20"/>
          <w:color w:val="auto"/>
        </w:rPr>
        <w:t>modify or discontinue our use of technology or business processes where such use is found to infringe or violate the rights of others, or require us to purchase licenses from third parties, any of which could adversely affect our business, financial condition and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Legal, Non-Financial/Regulatory and Compliance Risks</w:t>
      </w:r>
    </w:p>
    <w:p>
      <w:pPr>
        <w:spacing w:after="0" w:line="260" w:lineRule="exact"/>
        <w:rPr>
          <w:sz w:val="20"/>
          <w:szCs w:val="20"/>
          <w:color w:val="auto"/>
        </w:rPr>
      </w:pPr>
    </w:p>
    <w:p>
      <w:pPr>
        <w:ind w:right="420"/>
        <w:spacing w:after="0" w:line="331" w:lineRule="auto"/>
        <w:rPr>
          <w:sz w:val="20"/>
          <w:szCs w:val="20"/>
          <w:color w:val="auto"/>
        </w:rPr>
      </w:pPr>
      <w:r>
        <w:rPr>
          <w:rFonts w:ascii="Arial" w:cs="Arial" w:eastAsia="Arial" w:hAnsi="Arial"/>
          <w:sz w:val="19"/>
          <w:szCs w:val="19"/>
          <w:b w:val="1"/>
          <w:bCs w:val="1"/>
          <w:i w:val="1"/>
          <w:iCs w:val="1"/>
          <w:color w:val="auto"/>
        </w:rPr>
        <w:t>From time to time, we receive claims and are party to lawsuits arising from our work, which could materially adversely affect our reputation, business, financial condition or results of operations.</w:t>
      </w:r>
    </w:p>
    <w:p>
      <w:pPr>
        <w:spacing w:after="0" w:line="177" w:lineRule="exact"/>
        <w:rPr>
          <w:sz w:val="20"/>
          <w:szCs w:val="20"/>
          <w:color w:val="auto"/>
        </w:rPr>
      </w:pPr>
    </w:p>
    <w:p>
      <w:pPr>
        <w:ind w:right="80"/>
        <w:spacing w:after="0" w:line="350" w:lineRule="auto"/>
        <w:rPr>
          <w:sz w:val="20"/>
          <w:szCs w:val="20"/>
          <w:color w:val="auto"/>
        </w:rPr>
      </w:pPr>
      <w:r>
        <w:rPr>
          <w:rFonts w:ascii="Arial" w:cs="Arial" w:eastAsia="Arial" w:hAnsi="Arial"/>
          <w:sz w:val="18"/>
          <w:szCs w:val="18"/>
          <w:color w:val="auto"/>
        </w:rPr>
        <w:t>Our business depends in large part on our relationships with clients and our reputation for high-quality services. Clients that become dissatisfied with our services may terminate their business relationships with us, and clients and third parties that claim they suffered damages caused by our services may bring lawsuits against us. Actual and potential claims, lawsuits, investigations and other proceedings against us principally relate to alleged errors and omissions in connection with the provision of our services or the placement of insurance and reinsurance in the ordinary course of business, though we face other types of claims, lawsuits, investigations and proceedings outside of errors and omissions claims from time to time. See Note 15 - Commitments and Contingencies within Item 8 of this Annual Report on Form 10-K for examples of claims to which we are subject.</w:t>
      </w:r>
    </w:p>
    <w:p>
      <w:pPr>
        <w:spacing w:after="0" w:line="165"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Because we often assist our clients with matters involving substantial amounts of money and complex regulatory requirements, including actuarial services, asset management, technology solutions development and implementation and the placement of insurance coverage, claims against us generally allege our potential liability for all or part of the substantial amounts in question. The nature of our work, particularly our actuarial services, necessarily involves the use of assumptions and the preparation of estimates relating to</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 / 87</w:t>
      </w:r>
    </w:p>
    <w:p>
      <w:pPr>
        <w:sectPr>
          <w:pgSz w:w="11900" w:h="16838" w:orient="portrait"/>
          <w:cols w:equalWidth="0" w:num="1">
            <w:col w:w="9380"/>
          </w:cols>
          <w:pgMar w:left="1260" w:top="1173" w:right="1266" w:bottom="0" w:gutter="0" w:footer="0" w:header="0"/>
          <w:type w:val="continuous"/>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0"/>
        <w:spacing w:after="0" w:line="351" w:lineRule="auto"/>
        <w:rPr>
          <w:sz w:val="20"/>
          <w:szCs w:val="20"/>
          <w:color w:val="auto"/>
        </w:rPr>
      </w:pPr>
      <w:r>
        <w:rPr>
          <w:rFonts w:ascii="Arial" w:cs="Arial" w:eastAsia="Arial" w:hAnsi="Arial"/>
          <w:sz w:val="18"/>
          <w:szCs w:val="18"/>
          <w:color w:val="auto"/>
        </w:rPr>
        <w:t>future and contingent events, the actual outcome of which we cannot know in advance. Our actuarial and brokerage services also rely on substantial amounts of data provided by clients, the accuracy and quality of which we cannot ensure. In addition, computational, software programming or data management errors occur from time to time in connection with the services we provide to clients. Clients may seek to hold us responsible for our alleged failures to comply with legal or professional duties, or for alleged conflicts of interest we may have in carrying out our work.</w:t>
      </w:r>
    </w:p>
    <w:p>
      <w:pPr>
        <w:spacing w:after="0" w:line="166" w:lineRule="exact"/>
        <w:rPr>
          <w:sz w:val="20"/>
          <w:szCs w:val="20"/>
          <w:color w:val="auto"/>
        </w:rPr>
      </w:pPr>
    </w:p>
    <w:p>
      <w:pPr>
        <w:spacing w:after="0" w:line="348" w:lineRule="auto"/>
        <w:rPr>
          <w:sz w:val="20"/>
          <w:szCs w:val="20"/>
          <w:color w:val="auto"/>
        </w:rPr>
      </w:pPr>
      <w:r>
        <w:rPr>
          <w:rFonts w:ascii="Arial" w:cs="Arial" w:eastAsia="Arial" w:hAnsi="Arial"/>
          <w:sz w:val="18"/>
          <w:szCs w:val="18"/>
          <w:color w:val="auto"/>
        </w:rPr>
        <w:t>Clients may seek to hold us responsible for alleged errors or omissions relating to any of the brokerage advice and services we provide, including when claims they submit to their insurance carriers are disputed or denied. This risk is likely to be higher in circumstances where there are significant disputes between clients and insurance carriers over coverage and clients allege that a failure by us is the reason. Such alleged failures can include that we misrepresented coverage terms to the client, that we failed to advise the client of key policy terms, that we failed to carry out client instructions, that we failed to procure insurance suitable to the client’s needs, and that we failed to timely present the client’s claims to their insurance carriers. In other cases, clients may allege that we have failed entirely to procure insurance coverage consistent with their instructions. Although we have established internal processes and controls to prevent all such errors and omissions, we cannot guarantee that these processes will always work as intended. Risk of errors or omissions may be higher in circumstances where we have significant numbers of departures or new joiners or other disruptions to our business, such as changes in ways of working. Such risks may also be higher in parts of our business that are not well-integrated with the rest of the Company for reasons of geography, culture, language, historical practice or other circumstances. Given that many of our clients have very high insurance policy limits to cover their risks, alleged errors and omissions claims against us arising from disputed or denied claims are often significant. Moreover, in certain circumstances, our agreements with brokerage, investment and certain other types of clients may not limit the maximum liability to which we may be exposed for claims involving alleged errors or omissions. As such, we would not have limited liability for the work we provide to these clients.</w:t>
      </w:r>
    </w:p>
    <w:p>
      <w:pPr>
        <w:spacing w:after="0" w:line="178" w:lineRule="exact"/>
        <w:rPr>
          <w:sz w:val="20"/>
          <w:szCs w:val="20"/>
          <w:color w:val="auto"/>
        </w:rPr>
      </w:pPr>
    </w:p>
    <w:p>
      <w:pPr>
        <w:ind w:right="60"/>
        <w:spacing w:after="0" w:line="311" w:lineRule="auto"/>
        <w:rPr>
          <w:sz w:val="20"/>
          <w:szCs w:val="20"/>
          <w:color w:val="auto"/>
        </w:rPr>
      </w:pPr>
      <w:r>
        <w:rPr>
          <w:rFonts w:ascii="Arial" w:cs="Arial" w:eastAsia="Arial" w:hAnsi="Arial"/>
          <w:sz w:val="20"/>
          <w:szCs w:val="20"/>
          <w:color w:val="auto"/>
        </w:rPr>
        <w:t>Further, given that we frequently work with large pension funds and insurance companies as well as other large clients, relatively small percentage errors or variances can create significant financial variances and may result in significant claims for unintended or unfunded liabilities. The risks from such variances or errors could be aggravated in an environment of declining pension fund asset values and insurance company capital levels. Our exposure to liability with respect to a particular engagement can be substantially greater than the revenue opportunity that the engagement generates for us.</w:t>
      </w:r>
    </w:p>
    <w:p>
      <w:pPr>
        <w:spacing w:after="0" w:line="192" w:lineRule="exact"/>
        <w:rPr>
          <w:sz w:val="20"/>
          <w:szCs w:val="20"/>
          <w:color w:val="auto"/>
        </w:rPr>
      </w:pPr>
    </w:p>
    <w:p>
      <w:pPr>
        <w:ind w:right="40"/>
        <w:spacing w:after="0" w:line="311" w:lineRule="auto"/>
        <w:rPr>
          <w:sz w:val="20"/>
          <w:szCs w:val="20"/>
          <w:color w:val="auto"/>
        </w:rPr>
      </w:pPr>
      <w:r>
        <w:rPr>
          <w:rFonts w:ascii="Arial" w:cs="Arial" w:eastAsia="Arial" w:hAnsi="Arial"/>
          <w:sz w:val="20"/>
          <w:szCs w:val="20"/>
          <w:color w:val="auto"/>
        </w:rPr>
        <w:t>Clients may seek to hold us responsible for the financial consequences of variances between assumptions and estimates and actual outcomes or for errors. For example, in the case of pension plan actuarial work, a client’s claims might focus on its alleged reliance on actuarial assumptions that it asserts in hindsight were unreasonable. The client might then argue that, based on such reliance, the client made benefit commitments that it may later claim are not affordable or funding decisions that resulted in plan underfunding if and when actual outcomes vary from actuarial assumptions.</w:t>
      </w:r>
    </w:p>
    <w:p>
      <w:pPr>
        <w:spacing w:after="0" w:line="192"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We also continue to create new products and services (including increasingly complex technology solutions) and to grow the business of providing products and services to institutional investors, financial services companies and other clients. We are also increasingly developing products and services where the end users are individuals. The risk of claims from these lines of business and related products and services may be greater than from our core products or services, and such claims may be for significant amounts as we take on increasingly complicated projects, including those with complex regulatory requirements.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58 / 87</w:t>
      </w:r>
    </w:p>
    <w:p>
      <w:pPr>
        <w:sectPr>
          <w:pgSz w:w="11900" w:h="16838" w:orient="portrait"/>
          <w:cols w:equalWidth="0" w:num="1">
            <w:col w:w="9400"/>
          </w:cols>
          <w:pgMar w:left="1260" w:top="1440" w:right="1246" w:bottom="0" w:gutter="0" w:footer="0" w:header="0"/>
          <w:type w:val="continuous"/>
        </w:sectPr>
      </w:pPr>
    </w:p>
    <w:bookmarkStart w:id="58" w:name="page59"/>
    <w:bookmarkEnd w:id="58"/>
    <w:p>
      <w:pPr>
        <w:spacing w:after="0" w:line="348" w:lineRule="auto"/>
        <w:rPr>
          <w:sz w:val="20"/>
          <w:szCs w:val="20"/>
          <w:color w:val="auto"/>
        </w:rPr>
      </w:pPr>
      <w:r>
        <w:rPr>
          <w:rFonts w:ascii="Arial" w:cs="Arial" w:eastAsia="Arial" w:hAnsi="Arial"/>
          <w:sz w:val="18"/>
          <w:szCs w:val="18"/>
          <w:color w:val="auto"/>
        </w:rPr>
        <w:t>We also provide advice on both asset allocation and selection of investment managers. Increasingly, for many clients, we are responsible for making decisions on both of these matters, or we may serve in a fiduciary capacity, either of which may increase liability exposure. In addition, the Company offers affiliated investment funds, including in the U.S. and Ireland, with plans to launch additional funds over time. Given that our Investments business may recommend affiliated investment funds or affirmatively invest such clients’ assets in such funds under delegated authority, this may increase our liability exposure. We may also be liable for actions of managers or other service providers to the funds. Further, for certain clients, we are responsible for some portions of cash and investment management, including rebalancing of investment portfolios and guidance to third parties on the structure of derivatives and securities transactions. Asset classes may experience poor absolute performance, and investment managers may underperform their benchmarks; in both cases the investment return shortfall can be significant. Clients experiencing this underperformance, including from our affiliated investment funds, may assert claims against us, and such claims may be for significant amounts. In addition, our failure to properly execute our role can cause monetary damage to our clients or such third parties for which we might be found liable, and such claims may be for significant amounts. As we continue to expand this business geographically and by way of new product, service, and advisory offerings (including expanded services to individuals either directly or through business-to-business-to-consumer arrangements), we will be subject to additional contractual exposures and obligations with investors, asset managers, and third-party service providers, as well as increased regulatory exposures. Overall, our ability to contractually limit our potential liability may be restrained in certain jurisdictions or markets or in connection with claims involving breaches of fiduciary duties or other alleged errors or omissions.</w:t>
      </w:r>
    </w:p>
    <w:p>
      <w:pPr>
        <w:spacing w:after="0" w:line="178"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color w:val="auto"/>
        </w:rPr>
        <w:t>The ultimate outcome of all of the above matters cannot be ascertained and liabilities in indeterminate amounts may be claimed or imposed on us. In addition, our insurance coverage may not be sufficient in type or amount to cover us against such liabilities. It is thus possible that future results of operations or cash flows for any particular quarterly or annual period could be materially adversely affected by an unfavorable resolution of these matters. In addition, these matters continue to divert management and personnel resources away from operating our business. Even if we do not experience significant monetary costs, there may be adverse publicity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 / 87</w:t>
      </w:r>
    </w:p>
    <w:p>
      <w:pPr>
        <w:sectPr>
          <w:pgSz w:w="11900" w:h="16838" w:orient="portrait"/>
          <w:cols w:equalWidth="0" w:num="1">
            <w:col w:w="9380"/>
          </w:cols>
          <w:pgMar w:left="1260" w:top="1173" w:right="1266" w:bottom="0" w:gutter="0" w:footer="0" w:header="0"/>
          <w:type w:val="continuous"/>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80"/>
        <w:spacing w:after="0" w:line="307" w:lineRule="auto"/>
        <w:rPr>
          <w:sz w:val="20"/>
          <w:szCs w:val="20"/>
          <w:color w:val="auto"/>
        </w:rPr>
      </w:pPr>
      <w:r>
        <w:rPr>
          <w:rFonts w:ascii="Arial" w:cs="Arial" w:eastAsia="Arial" w:hAnsi="Arial"/>
          <w:sz w:val="20"/>
          <w:szCs w:val="20"/>
          <w:color w:val="auto"/>
        </w:rPr>
        <w:t>associated with these matters that could result in reputational harm to the industries we operate in or to us in particular that may adversely affect our business, client or colleague relationships. Defending against these claims can involve potentially significant costs, including legal defense costs.</w:t>
      </w:r>
    </w:p>
    <w:p>
      <w:pPr>
        <w:spacing w:after="0" w:line="197" w:lineRule="exact"/>
        <w:rPr>
          <w:sz w:val="20"/>
          <w:szCs w:val="20"/>
          <w:color w:val="auto"/>
        </w:rPr>
      </w:pPr>
    </w:p>
    <w:p>
      <w:pPr>
        <w:ind w:right="140"/>
        <w:spacing w:after="0" w:line="331" w:lineRule="auto"/>
        <w:rPr>
          <w:sz w:val="20"/>
          <w:szCs w:val="20"/>
          <w:color w:val="auto"/>
        </w:rPr>
      </w:pPr>
      <w:r>
        <w:rPr>
          <w:rFonts w:ascii="Arial" w:cs="Arial" w:eastAsia="Arial" w:hAnsi="Arial"/>
          <w:sz w:val="19"/>
          <w:szCs w:val="19"/>
          <w:b w:val="1"/>
          <w:bCs w:val="1"/>
          <w:i w:val="1"/>
          <w:iCs w:val="1"/>
          <w:color w:val="auto"/>
        </w:rPr>
        <w:t>We are subject from time to time to inquiries or investigations by governmental agencies or regulators that could have a material adverse effect on our business, financial condition or results of operations.</w:t>
      </w:r>
    </w:p>
    <w:p>
      <w:pPr>
        <w:spacing w:after="0" w:line="177"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We have been and may continue to be subject to inquiries and investigations by federal, state, international, or other governmental agencies regarding aspects of our clients’ businesses and/or our own businesses, including (but not limited to) regulated businesses such as our insurance brokerage, Benefits Delivery &amp; Outsourcing reporting unit, and investment advisory services. Such inquiries or investigations can consume significant management time and result in regulatory sanctions, fines or other actions as well as significant legal fees, which could have a material adverse impact on our business, results of operations and liquidity. Also, we face additional regulatory scrutiny as we expand our businesses geographically as we increase the scope of new products and services that we offer and as we increase the scope and nature of our clients, including more individual clients in both our broking and investments businesses.</w:t>
      </w:r>
    </w:p>
    <w:p>
      <w:pPr>
        <w:spacing w:after="0" w:line="184" w:lineRule="exact"/>
        <w:rPr>
          <w:sz w:val="20"/>
          <w:szCs w:val="20"/>
          <w:color w:val="auto"/>
        </w:rPr>
      </w:pPr>
    </w:p>
    <w:p>
      <w:pPr>
        <w:ind w:right="100"/>
        <w:spacing w:after="0" w:line="351" w:lineRule="auto"/>
        <w:rPr>
          <w:sz w:val="20"/>
          <w:szCs w:val="20"/>
          <w:color w:val="auto"/>
        </w:rPr>
      </w:pPr>
      <w:r>
        <w:rPr>
          <w:rFonts w:ascii="Arial" w:cs="Arial" w:eastAsia="Arial" w:hAnsi="Arial"/>
          <w:sz w:val="18"/>
          <w:szCs w:val="18"/>
          <w:color w:val="auto"/>
        </w:rPr>
        <w:t>All of these items reflect an increased focus by government agencies (in the U.K., U.S., and elsewhere) on various aspects of the operations and affairs of our businesses. We are unable to predict the outcome of these inquiries or investigations. Any proposed changes that result from these investigations and inquiries, or any other investigations, inquiries or regulatory developments, or any potential fines or enforcement action or associated fees for external advisors, could materially adversely affect our business and our results of operations.</w:t>
      </w:r>
    </w:p>
    <w:p>
      <w:pPr>
        <w:spacing w:after="0" w:line="166" w:lineRule="exact"/>
        <w:rPr>
          <w:sz w:val="20"/>
          <w:szCs w:val="20"/>
          <w:color w:val="auto"/>
        </w:rPr>
      </w:pPr>
    </w:p>
    <w:p>
      <w:pPr>
        <w:ind w:right="360"/>
        <w:spacing w:after="0" w:line="302" w:lineRule="auto"/>
        <w:rPr>
          <w:sz w:val="20"/>
          <w:szCs w:val="20"/>
          <w:color w:val="auto"/>
        </w:rPr>
      </w:pPr>
      <w:r>
        <w:rPr>
          <w:rFonts w:ascii="Arial" w:cs="Arial" w:eastAsia="Arial" w:hAnsi="Arial"/>
          <w:sz w:val="20"/>
          <w:szCs w:val="20"/>
          <w:b w:val="1"/>
          <w:bCs w:val="1"/>
          <w:i w:val="1"/>
          <w:iCs w:val="1"/>
          <w:color w:val="auto"/>
        </w:rPr>
        <w:t>We are subject to political, geopolitical, economic, legal, regulatory, compliance, cultural, market, operational and other risks that are inherent in operating our global businesses.</w:t>
      </w:r>
    </w:p>
    <w:p>
      <w:pPr>
        <w:spacing w:after="0" w:line="201" w:lineRule="exact"/>
        <w:rPr>
          <w:sz w:val="20"/>
          <w:szCs w:val="20"/>
          <w:color w:val="auto"/>
        </w:rPr>
      </w:pPr>
    </w:p>
    <w:p>
      <w:pPr>
        <w:ind w:right="20"/>
        <w:spacing w:after="0" w:line="310" w:lineRule="auto"/>
        <w:rPr>
          <w:sz w:val="20"/>
          <w:szCs w:val="20"/>
          <w:color w:val="auto"/>
        </w:rPr>
      </w:pPr>
      <w:r>
        <w:rPr>
          <w:rFonts w:ascii="Arial" w:cs="Arial" w:eastAsia="Arial" w:hAnsi="Arial"/>
          <w:sz w:val="20"/>
          <w:szCs w:val="20"/>
          <w:color w:val="auto"/>
        </w:rPr>
        <w:t>We continue to expand our businesses and operations into new regions throughout the world, including emerging markets. In conducting our businesses and maintaining and supporting our global operations, we are subject to political, geopolitical, economic, legal, regulatory, compliance, cultural, market, operational and other risks. The possible effects of these disruptions throughout the world could have an adverse impact on our business and financial results. These risks include:</w:t>
      </w:r>
    </w:p>
    <w:p>
      <w:pPr>
        <w:spacing w:after="0" w:line="240" w:lineRule="exact"/>
        <w:rPr>
          <w:sz w:val="20"/>
          <w:szCs w:val="20"/>
          <w:color w:val="auto"/>
        </w:rPr>
      </w:pPr>
    </w:p>
    <w:p>
      <w:pPr>
        <w:ind w:left="620" w:right="60" w:hanging="313"/>
        <w:spacing w:after="0" w:line="365" w:lineRule="auto"/>
        <w:tabs>
          <w:tab w:leader="none" w:pos="6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general economic and political conditions in the U.S. and foreign countries (including political and social unrest in certain regions);</w:t>
      </w:r>
    </w:p>
    <w:p>
      <w:pPr>
        <w:spacing w:after="0" w:line="190" w:lineRule="exact"/>
        <w:rPr>
          <w:rFonts w:ascii="Arial" w:cs="Arial" w:eastAsia="Arial" w:hAnsi="Arial"/>
          <w:sz w:val="20"/>
          <w:szCs w:val="20"/>
          <w:color w:val="auto"/>
        </w:rPr>
      </w:pPr>
    </w:p>
    <w:p>
      <w:pPr>
        <w:ind w:left="620" w:hanging="313"/>
        <w:spacing w:after="0"/>
        <w:tabs>
          <w:tab w:leader="none" w:pos="6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geopolitical events, conflicts and tensions in a variety of geographies;</w:t>
      </w:r>
    </w:p>
    <w:p>
      <w:pPr>
        <w:spacing w:after="0" w:line="319" w:lineRule="exact"/>
        <w:rPr>
          <w:rFonts w:ascii="Arial" w:cs="Arial" w:eastAsia="Arial" w:hAnsi="Arial"/>
          <w:sz w:val="20"/>
          <w:szCs w:val="20"/>
          <w:color w:val="auto"/>
        </w:rPr>
      </w:pPr>
    </w:p>
    <w:p>
      <w:pPr>
        <w:ind w:left="620" w:right="260" w:hanging="313"/>
        <w:spacing w:after="0" w:line="365" w:lineRule="auto"/>
        <w:tabs>
          <w:tab w:leader="none" w:pos="6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imposition of controls or limitations on the conversion of foreign currencies or remittance of dividends and other payments by foreign subsidiaries;</w:t>
      </w:r>
    </w:p>
    <w:p>
      <w:pPr>
        <w:spacing w:after="0" w:line="190" w:lineRule="exact"/>
        <w:rPr>
          <w:rFonts w:ascii="Arial" w:cs="Arial" w:eastAsia="Arial" w:hAnsi="Arial"/>
          <w:sz w:val="20"/>
          <w:szCs w:val="20"/>
          <w:color w:val="auto"/>
        </w:rPr>
      </w:pPr>
    </w:p>
    <w:p>
      <w:pPr>
        <w:ind w:left="620" w:hanging="313"/>
        <w:spacing w:after="0"/>
        <w:tabs>
          <w:tab w:leader="none" w:pos="6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imposition of economic and trade sanctions by both the U.S. and foreign governments;</w:t>
      </w:r>
    </w:p>
    <w:p>
      <w:pPr>
        <w:spacing w:after="0" w:line="310" w:lineRule="exact"/>
        <w:rPr>
          <w:rFonts w:ascii="Arial" w:cs="Arial" w:eastAsia="Arial" w:hAnsi="Arial"/>
          <w:sz w:val="20"/>
          <w:szCs w:val="20"/>
          <w:color w:val="auto"/>
        </w:rPr>
      </w:pPr>
    </w:p>
    <w:p>
      <w:pPr>
        <w:ind w:left="620" w:hanging="313"/>
        <w:spacing w:after="0"/>
        <w:tabs>
          <w:tab w:leader="none" w:pos="6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imposition of trade restrictions or tariffs by both the U.S. and foreign governments;</w:t>
      </w:r>
    </w:p>
    <w:p>
      <w:pPr>
        <w:spacing w:after="0" w:line="310" w:lineRule="exact"/>
        <w:rPr>
          <w:rFonts w:ascii="Arial" w:cs="Arial" w:eastAsia="Arial" w:hAnsi="Arial"/>
          <w:sz w:val="20"/>
          <w:szCs w:val="20"/>
          <w:color w:val="auto"/>
        </w:rPr>
      </w:pPr>
    </w:p>
    <w:p>
      <w:pPr>
        <w:ind w:left="620" w:hanging="313"/>
        <w:spacing w:after="0"/>
        <w:tabs>
          <w:tab w:leader="none" w:pos="6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imposition of withholding and other taxes on remittances and other payments from subsidiaries;</w:t>
      </w:r>
    </w:p>
    <w:p>
      <w:pPr>
        <w:spacing w:after="0" w:line="310" w:lineRule="exact"/>
        <w:rPr>
          <w:rFonts w:ascii="Arial" w:cs="Arial" w:eastAsia="Arial" w:hAnsi="Arial"/>
          <w:sz w:val="20"/>
          <w:szCs w:val="20"/>
          <w:color w:val="auto"/>
        </w:rPr>
      </w:pPr>
    </w:p>
    <w:p>
      <w:pPr>
        <w:ind w:left="620" w:hanging="313"/>
        <w:spacing w:after="0"/>
        <w:tabs>
          <w:tab w:leader="none" w:pos="6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imposition or increase of investment and other restrictions by foreign governments;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60 / 87</w:t>
      </w:r>
    </w:p>
    <w:p>
      <w:pPr>
        <w:sectPr>
          <w:pgSz w:w="11900" w:h="16838" w:orient="portrait"/>
          <w:cols w:equalWidth="0" w:num="1">
            <w:col w:w="9400"/>
          </w:cols>
          <w:pgMar w:left="1260" w:top="1440" w:right="1246" w:bottom="0" w:gutter="0" w:footer="0" w:header="0"/>
          <w:type w:val="continuous"/>
        </w:sectPr>
      </w:pPr>
    </w:p>
    <w:bookmarkStart w:id="60" w:name="page61"/>
    <w:bookmarkEnd w:id="60"/>
    <w:p>
      <w:pPr>
        <w:ind w:left="620" w:hanging="313"/>
        <w:spacing w:after="0"/>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fluctuations in currency exchange rates or our tax rates;</w:t>
      </w:r>
    </w:p>
    <w:p>
      <w:pPr>
        <w:spacing w:after="0" w:line="319" w:lineRule="exact"/>
        <w:rPr>
          <w:rFonts w:ascii="Arial" w:cs="Arial" w:eastAsia="Arial" w:hAnsi="Arial"/>
          <w:sz w:val="20"/>
          <w:szCs w:val="20"/>
          <w:color w:val="auto"/>
        </w:rPr>
      </w:pPr>
    </w:p>
    <w:p>
      <w:pPr>
        <w:ind w:left="620" w:right="220" w:hanging="313"/>
        <w:spacing w:after="0" w:line="365" w:lineRule="auto"/>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difficulties in controlling operations and monitoring colleagues in geographically dispersed and culturally diverse locations;</w:t>
      </w:r>
    </w:p>
    <w:p>
      <w:pPr>
        <w:spacing w:after="0" w:line="200" w:lineRule="exact"/>
        <w:rPr>
          <w:rFonts w:ascii="Arial" w:cs="Arial" w:eastAsia="Arial" w:hAnsi="Arial"/>
          <w:sz w:val="20"/>
          <w:szCs w:val="20"/>
          <w:color w:val="auto"/>
        </w:rPr>
      </w:pPr>
    </w:p>
    <w:p>
      <w:pPr>
        <w:ind w:left="620" w:hanging="313"/>
        <w:spacing w:after="0" w:line="370" w:lineRule="auto"/>
        <w:tabs>
          <w:tab w:leader="none" w:pos="6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practical challenges and costs of complying, or monitoring compliance, with a wide variety of foreign laws (some of which are evolving or are not as well-developed as the laws of the U.S. or U.K. or which may conflict with U.S. or other sources of law);</w:t>
      </w:r>
    </w:p>
    <w:p>
      <w:pPr>
        <w:spacing w:after="0" w:line="196" w:lineRule="exact"/>
        <w:rPr>
          <w:rFonts w:ascii="Arial" w:cs="Arial" w:eastAsia="Arial" w:hAnsi="Arial"/>
          <w:sz w:val="20"/>
          <w:szCs w:val="20"/>
          <w:color w:val="auto"/>
        </w:rPr>
      </w:pPr>
    </w:p>
    <w:p>
      <w:pPr>
        <w:ind w:left="620" w:right="200" w:hanging="313"/>
        <w:spacing w:after="0" w:line="432"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practical challenges and costs of complying with regulations applicable to insurance brokers and other business operations in countries where we do business, including many in emerging markets; and</w:t>
      </w:r>
    </w:p>
    <w:p>
      <w:pPr>
        <w:spacing w:after="0" w:line="154" w:lineRule="exact"/>
        <w:rPr>
          <w:rFonts w:ascii="Arial" w:cs="Arial" w:eastAsia="Arial" w:hAnsi="Arial"/>
          <w:sz w:val="18"/>
          <w:szCs w:val="18"/>
          <w:color w:val="auto"/>
        </w:rPr>
      </w:pPr>
    </w:p>
    <w:p>
      <w:pPr>
        <w:ind w:left="620" w:right="360" w:hanging="313"/>
        <w:spacing w:after="0" w:line="396" w:lineRule="auto"/>
        <w:tabs>
          <w:tab w:leader="none" w:pos="6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practical challenges and costs of compliance with all other laws, rules and regulations relating to the conduct of business, including trade sanction laws administered by the U.S., E.U., U.K., and other governments, as well as the requirements of the U.S. Foreign Corrupt Practices Act (‘FCPA’) and anti-bribery and corruption laws in other countries where we carry out business.</w:t>
      </w:r>
    </w:p>
    <w:p>
      <w:pPr>
        <w:spacing w:after="0" w:line="132"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In addition, as a result of the global scale of our businesses and operations, we are exposed to many types of fraud-related risks that may be committed by colleagues, vendors, suppliers, distributors and other persons with whom we do business. Our businesses are</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388"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61 / 87</w:t>
      </w:r>
    </w:p>
    <w:p>
      <w:pPr>
        <w:sectPr>
          <w:pgSz w:w="11900" w:h="16838" w:orient="portrait"/>
          <w:cols w:equalWidth="0" w:num="1">
            <w:col w:w="9300"/>
          </w:cols>
          <w:pgMar w:left="1260" w:top="1388" w:right="1346" w:bottom="0" w:gutter="0" w:footer="0" w:header="0"/>
          <w:type w:val="continuous"/>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dependent on our ability to process a large number of increasingly complex transactions across the globe, which, when coupled with geographic and industry vulnerabilities in the different jurisdictions in which we operate, can subject us to potentially fraudulent activity. If, for example, any of our financial, accounting, or other data processing systems are subjected to fraudulent manipulation or purposeful sabotage by our colleagues or one or more outsiders, these systems could fail or have other significant shortcomings, which could materially adversely affect our ongoing business and operations both in the U.S. and abroad. We are similarly dependent on our colleagues. We could be materially adversely affected if one or more of our colleagues causes a significant operational break-down or failure, either as a result of human error or where an individual purposefully sabotages or fraudulently manipulates our operations or systems. Third parties with whom we do business could also be sources of operational risk to us, including by conducting fraudulent activities within such parties’ own systems or carried out by its employees. Any of these occurrences could adversely affect our ability to operate one or more of our businesses, while simultaneously exposing us to potential liability to clients and customers, reputational damage, as well as legal, judicial and regulatory intervention or fines.</w:t>
      </w:r>
    </w:p>
    <w:p>
      <w:pPr>
        <w:spacing w:after="0" w:line="167" w:lineRule="exact"/>
        <w:rPr>
          <w:sz w:val="20"/>
          <w:szCs w:val="20"/>
          <w:color w:val="auto"/>
        </w:rPr>
      </w:pPr>
    </w:p>
    <w:p>
      <w:pPr>
        <w:ind w:right="40"/>
        <w:spacing w:after="0" w:line="307" w:lineRule="auto"/>
        <w:rPr>
          <w:sz w:val="20"/>
          <w:szCs w:val="20"/>
          <w:color w:val="auto"/>
        </w:rPr>
      </w:pPr>
      <w:r>
        <w:rPr>
          <w:rFonts w:ascii="Arial" w:cs="Arial" w:eastAsia="Arial" w:hAnsi="Arial"/>
          <w:sz w:val="20"/>
          <w:szCs w:val="20"/>
          <w:b w:val="1"/>
          <w:bCs w:val="1"/>
          <w:i w:val="1"/>
          <w:iCs w:val="1"/>
          <w:color w:val="auto"/>
        </w:rPr>
        <w:t>Economic and trade sanctions imposed by governments, or changes to such sanction regulations (such as sanctions imposed on Russia and China), and related counter-sanctions, could have a material adverse impact on our operations or financial results.</w:t>
      </w:r>
    </w:p>
    <w:p>
      <w:pPr>
        <w:spacing w:after="0" w:line="197" w:lineRule="exact"/>
        <w:rPr>
          <w:sz w:val="20"/>
          <w:szCs w:val="20"/>
          <w:color w:val="auto"/>
        </w:rPr>
      </w:pPr>
    </w:p>
    <w:p>
      <w:pPr>
        <w:ind w:right="20"/>
        <w:spacing w:after="0" w:line="349" w:lineRule="auto"/>
        <w:rPr>
          <w:sz w:val="20"/>
          <w:szCs w:val="20"/>
          <w:color w:val="auto"/>
        </w:rPr>
      </w:pPr>
      <w:r>
        <w:rPr>
          <w:rFonts w:ascii="Arial" w:cs="Arial" w:eastAsia="Arial" w:hAnsi="Arial"/>
          <w:sz w:val="18"/>
          <w:szCs w:val="18"/>
          <w:color w:val="auto"/>
        </w:rPr>
        <w:t>International conflicts and related geopolitical tensions increase the risk of sanctions impacting our business. In February 2022, Russia invaded Ukraine, which led to a series of economic and other sanctions on Russia imposed by the U.S., the E.U., the U.K., and other authorities. There also continue to be diplomatic and trade tensions between the U.S. and a large number of countries including China, which have been exacerbated by geopolitical developments and military activity in the Asia-Pacific region, and which could lead to an increase in sanctions and the implementation of other trade or investment measures. There has been an increase in sanctions designations and other restrictive measures in relation to Russia and other jurisdictions, as well as counter-sanctions imposed in response. Additionally, sanctions issued in response to conflicts and instability in the Middle East as well as other existing or emerging conflicts or potential conflicts globally could have an adverse impact on our operations.</w:t>
      </w:r>
    </w:p>
    <w:p>
      <w:pPr>
        <w:spacing w:after="0" w:line="171"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Sanctions imposed by the U.S., the E.U., the U.K. and other authorities on Russia, as well as Russian counter-sanctions, are extensive. Russian actions and the resulting sanctions could adversely affect the global economy and financial markets and lead to instability and lack of liquidity in capital markets. The ramifications of the hostilities and sanctions, however, may not be limited to Russia and Russian companies but may spill over to and negatively impact other regional and global economic markets (including Europe and the United States), companies in other countries (particularly those that have done business with Russia) and various sectors, industries and markets for securities and commodities globally, including the energy and transportation sectors. Accordingly, the actions discussed above and the potential for a wider conflict could increase financial market volatility and could cause severe negative effects on regional and global economic markets, industries and companies. In addition, retaliatory actions and other countermeasures, including cyberattacks and espionage, may negatively impact more countries and companies like us. The extent and duration of the Russian actions or future escalation of such hostilities, the extent and impact of existing and future sanctions, market disruptions and volatility, and the result of any diplomatic negotiations cannot be predicted.</w:t>
      </w:r>
    </w:p>
    <w:p>
      <w:pPr>
        <w:spacing w:after="0" w:line="186" w:lineRule="exact"/>
        <w:rPr>
          <w:sz w:val="20"/>
          <w:szCs w:val="20"/>
          <w:color w:val="auto"/>
        </w:rPr>
      </w:pPr>
    </w:p>
    <w:p>
      <w:pPr>
        <w:ind w:right="240"/>
        <w:spacing w:after="0" w:line="378" w:lineRule="auto"/>
        <w:rPr>
          <w:sz w:val="20"/>
          <w:szCs w:val="20"/>
          <w:color w:val="auto"/>
        </w:rPr>
      </w:pPr>
      <w:r>
        <w:rPr>
          <w:rFonts w:ascii="Arial" w:cs="Arial" w:eastAsia="Arial" w:hAnsi="Arial"/>
          <w:sz w:val="17"/>
          <w:szCs w:val="17"/>
          <w:color w:val="auto"/>
        </w:rPr>
        <w:t>In addition, sanctions regimes are increasingly complex, evolve rapidly and may be imposed, relaxed, modified or reinstated in response to political or diplomatic developments, including in jurisdictions such as Venezuela and Syria. Governments have also increasingly proposed or implemented sector-specific and services-based sanctions, including measures affecting the transportation, insurance or financing of energy commodities. Touchpoints with</w:t>
      </w:r>
    </w:p>
    <w:p>
      <w:pPr>
        <w:sectPr>
          <w:pgSz w:w="11900" w:h="16838" w:orient="portrait"/>
          <w:cols w:equalWidth="0" w:num="1">
            <w:col w:w="9380"/>
          </w:cols>
          <w:pgMar w:left="1260" w:top="1440" w:right="1266" w:bottom="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 / 87</w:t>
      </w:r>
    </w:p>
    <w:p>
      <w:pPr>
        <w:sectPr>
          <w:pgSz w:w="11900" w:h="16838" w:orient="portrait"/>
          <w:cols w:equalWidth="0" w:num="1">
            <w:col w:w="9380"/>
          </w:cols>
          <w:pgMar w:left="1260" w:top="1440" w:right="1266" w:bottom="0" w:gutter="0" w:footer="0" w:header="0"/>
          <w:type w:val="continuous"/>
        </w:sectPr>
      </w:pPr>
    </w:p>
    <w:bookmarkStart w:id="62" w:name="page63"/>
    <w:bookmarkEnd w:id="62"/>
    <w:p>
      <w:pPr>
        <w:spacing w:after="0" w:line="350" w:lineRule="auto"/>
        <w:rPr>
          <w:sz w:val="20"/>
          <w:szCs w:val="20"/>
          <w:color w:val="auto"/>
        </w:rPr>
      </w:pPr>
      <w:r>
        <w:rPr>
          <w:rFonts w:ascii="Arial" w:cs="Arial" w:eastAsia="Arial" w:hAnsi="Arial"/>
          <w:sz w:val="18"/>
          <w:szCs w:val="18"/>
          <w:color w:val="auto"/>
        </w:rPr>
        <w:t>sanctioned individuals, entities or locations can be difficult to identify and, given the increased scope and complexity of sanctions and the pace of regulatory change, there is an increased risk of non-compliance. A number of volatile geopolitical events are likely to affect the implementation of sanctions such as Russia’s invasion of Ukraine, negotiations between the E.U., U.S. and Iran over a new nuclear deal, as well as continuing tensions between the U.S. and China with their sanctions and subsequent counter-sanctions. Some affected jurisdictions may include significant businesses or client activity for us. As a result, we cannot predict the impacts of any changes in the U.S., E.U., U.K. or other sanctions, counter-sanctions or related regulatory changes, and whether such changes could have a material adverse impact on our operations or financial results.</w:t>
      </w:r>
    </w:p>
    <w:p>
      <w:pPr>
        <w:spacing w:after="0" w:line="165" w:lineRule="exact"/>
        <w:rPr>
          <w:sz w:val="20"/>
          <w:szCs w:val="20"/>
          <w:color w:val="auto"/>
        </w:rPr>
      </w:pPr>
    </w:p>
    <w:p>
      <w:pPr>
        <w:ind w:right="60"/>
        <w:spacing w:after="0" w:line="307" w:lineRule="auto"/>
        <w:rPr>
          <w:sz w:val="20"/>
          <w:szCs w:val="20"/>
          <w:color w:val="auto"/>
        </w:rPr>
      </w:pPr>
      <w:r>
        <w:rPr>
          <w:rFonts w:ascii="Arial" w:cs="Arial" w:eastAsia="Arial" w:hAnsi="Arial"/>
          <w:sz w:val="20"/>
          <w:szCs w:val="20"/>
          <w:b w:val="1"/>
          <w:bCs w:val="1"/>
          <w:i w:val="1"/>
          <w:iCs w:val="1"/>
          <w:color w:val="auto"/>
        </w:rPr>
        <w:t>Our business will be negatively affected if we are not able to anticipate and keep pace with rapid changes in government laws or regulations, or if government laws or regulations decrease the need for our services, increase our costs or limit our compensation.</w:t>
      </w:r>
    </w:p>
    <w:p>
      <w:pPr>
        <w:spacing w:after="0" w:line="197"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A material portion of our revenue is affected by statutory or regulatory changes. Some examples of statutory or regulatory changes that could materially impact us are any changes to the U.S. Patient Protection and Affordable Care Act (‘PPACA’), the Healthcare and Education Reconciliation Act of 2010 (‘HCERA’), which we refer to collectively as ‘Healthcare Reform’, or to the Medicare laws and regulations. While the U.S. Congress has not passed legislation replacing or fundamentally amending Healthcare Reform (other than changes to the individual mandate), such legislation, or another version of Healthcare Reform, could be implemented in the future. In addition, some U.S. political candidates and representatives elected to office have expressed a desire to amend all or a portion of Healthcare Reform or otherwise establish alternatives to employer-sponsored health insurance or replace it with government-sponsored health insurance, often referred to as ‘Medicare for All’. If we are unable to adapt our services to potential new laws and regulations, or judicial modifications, with respect to Healthcare Reform or otherwise, our ability to provide effective services in these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 / 87</w:t>
      </w:r>
    </w:p>
    <w:p>
      <w:pPr>
        <w:sectPr>
          <w:pgSz w:w="11900" w:h="16838" w:orient="portrait"/>
          <w:cols w:equalWidth="0" w:num="1">
            <w:col w:w="9380"/>
          </w:cols>
          <w:pgMar w:left="1260" w:top="1173" w:right="1266" w:bottom="0" w:gutter="0" w:footer="0" w:header="0"/>
          <w:type w:val="continuous"/>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areas may be impacted. In addition, more restrictive marketing rules or interpretations of the Centers for Medicare and Medicaid Services (‘CMS’), or judicial decisions that restrict or otherwise change existing provisions of U.S. healthcare regulation, could have an adverse impact on our healthcare-related businesses if we are unable to adapt to such changes. CMS has recently proposed and finalized additional marketing-related requirements for Medicare Advantage and Part D plans, including Contract Year 2026 proposed rules released in November 2024 that expand the definition of ‘marketing’, increase compliance obligations, introduce new beneficiary-protection provisions, and heighten enforcement risk. CMS also issued earlier rules in April 2024 aimed at curbing marketing misconduct and agent/broker incentive structures, and certain elements of those April 2024 rules are currently on hold due to ongoing litigation. These developments contribute to increased regulatory uncertainty. Additionally, CMS finalized further program changes in April 2025, some of which apply beginning in 2025-2027 and include updated marketing and communication standards. We could also be adversely affected if changes in regulations or government policies impact us directly or indirectly, for example, by adversely impacting markets in which we participate, and we are not able to adapt to such changes.</w:t>
      </w:r>
    </w:p>
    <w:p>
      <w:pPr>
        <w:spacing w:after="0" w:line="186" w:lineRule="exact"/>
        <w:rPr>
          <w:sz w:val="20"/>
          <w:szCs w:val="20"/>
          <w:color w:val="auto"/>
        </w:rPr>
      </w:pPr>
    </w:p>
    <w:p>
      <w:pPr>
        <w:ind w:right="60"/>
        <w:spacing w:after="0" w:line="349" w:lineRule="auto"/>
        <w:rPr>
          <w:sz w:val="20"/>
          <w:szCs w:val="20"/>
          <w:color w:val="auto"/>
        </w:rPr>
      </w:pPr>
      <w:r>
        <w:rPr>
          <w:rFonts w:ascii="Arial" w:cs="Arial" w:eastAsia="Arial" w:hAnsi="Arial"/>
          <w:sz w:val="18"/>
          <w:szCs w:val="18"/>
          <w:color w:val="auto"/>
        </w:rPr>
        <w:t>In addition, on April 23, 2024, the United States Department of Labor (‘DOL’) released a final rule (the ‘Retirement Security Rule’) that, among other things, expands the definition of an investment advice fiduciary under the Employee Retirement Income Security Act (‘ERISA’) and broadens the scope of advice that must meet fiduciary standards. As we continue to review the Retirement Security Rule, uncertainty exists regarding the Retirement Security Rule’s impact on one or more of our businesses, the conduct of which may become subject to fiduciary standards. Industry trade groups brought legal challenges to the Retirement Security Rule and, in late July 2024, two federal district courts issued stays halting the implementation of the entirety of the Retirement Security Rule until further notice. The DOL appealed these decisions to the United States Court of Appeals for the Fifth Circuit in September 2024. However, in November 2025, the DOL withdrew its appeals, and the United States Court of Appeals for the Fifth Circuit dismissed the appeals, leaving the district court stays in place. As a result, the Retirement Security Rule remains stayed and is not currently in effect while the underlying litigation continues.</w:t>
      </w:r>
    </w:p>
    <w:p>
      <w:pPr>
        <w:spacing w:after="0" w:line="169"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Many other areas in which we provide services are the subject of government regulation, which is constantly evolving. For example, our activities in connection with insurance brokerage services are subject to regulation and supervision by national, state or other authorities. Insurance laws in the markets in which we operate are often complex and generally grant broad discretion to supervisory authorities in adopting regulations and supervising regulated activities. That supervision generally includes the licensing of insurance brokers and agents and the regulation of the handling and investment of client funds held in a fiduciary capacity. Our continuing ability to provide insurance brokerage in the markets in which we currently operate is dependent upon our compliance with the rules and regulations promulgated from time to time by the regulatory authorities in each of these locations.</w:t>
      </w:r>
    </w:p>
    <w:p>
      <w:pPr>
        <w:spacing w:after="0" w:line="165" w:lineRule="exact"/>
        <w:rPr>
          <w:sz w:val="20"/>
          <w:szCs w:val="20"/>
          <w:color w:val="auto"/>
        </w:rPr>
      </w:pPr>
    </w:p>
    <w:p>
      <w:pPr>
        <w:ind w:right="20"/>
        <w:spacing w:after="0" w:line="350" w:lineRule="auto"/>
        <w:rPr>
          <w:sz w:val="20"/>
          <w:szCs w:val="20"/>
          <w:color w:val="auto"/>
        </w:rPr>
      </w:pPr>
      <w:r>
        <w:rPr>
          <w:rFonts w:ascii="Arial" w:cs="Arial" w:eastAsia="Arial" w:hAnsi="Arial"/>
          <w:sz w:val="18"/>
          <w:szCs w:val="18"/>
          <w:color w:val="auto"/>
        </w:rPr>
        <w:t>Changes in government and accounting regulations in the U.S. and the U.K., two of our principal geographic markets, affecting the value, use or delivery of benefits and human capital programs, may materially adversely affect the demand for, or the profitability of, our various services if we are not able to adapt to such changes. In addition, we have significant operations throughout the world, which further subject us to applicable laws and regulations of countries outside the U.S. and the U.K. Changes in legislation or regulations and actions by regulators in particular countries, including changes in administration and enforcement policies, could require operational improvements or modifications, which may result in higher costs or hinder our ability to operate our business in those countries.</w:t>
      </w:r>
    </w:p>
    <w:p>
      <w:pPr>
        <w:spacing w:after="0" w:line="167"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auto"/>
        </w:rPr>
        <w:t>Given the uncertainties relating to legal, statutory and regulatory changes that affect health insurance plans across the globe, the impact is difficult to determine, but it could have material negative effects on us if we are not able to adapt to such changes, including:</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 / 87</w:t>
      </w:r>
    </w:p>
    <w:p>
      <w:pPr>
        <w:sectPr>
          <w:pgSz w:w="11900" w:h="16838" w:orient="portrait"/>
          <w:cols w:equalWidth="0" w:num="1">
            <w:col w:w="9380"/>
          </w:cols>
          <w:pgMar w:left="1260" w:top="1440" w:right="1266" w:bottom="0" w:gutter="0" w:footer="0" w:header="0"/>
          <w:type w:val="continuous"/>
        </w:sectPr>
      </w:pPr>
    </w:p>
    <w:bookmarkStart w:id="64" w:name="page65"/>
    <w:bookmarkEnd w:id="64"/>
    <w:p>
      <w:pPr>
        <w:ind w:left="620" w:hanging="313"/>
        <w:spacing w:after="0"/>
        <w:tabs>
          <w:tab w:leader="none" w:pos="6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increasing our competition;</w:t>
      </w:r>
    </w:p>
    <w:p>
      <w:pPr>
        <w:spacing w:after="0" w:line="319" w:lineRule="exact"/>
        <w:rPr>
          <w:rFonts w:ascii="Arial" w:cs="Arial" w:eastAsia="Arial" w:hAnsi="Arial"/>
          <w:sz w:val="20"/>
          <w:szCs w:val="20"/>
          <w:color w:val="auto"/>
        </w:rPr>
      </w:pPr>
    </w:p>
    <w:p>
      <w:pPr>
        <w:ind w:left="620" w:right="60" w:hanging="313"/>
        <w:spacing w:after="0" w:line="365" w:lineRule="auto"/>
        <w:tabs>
          <w:tab w:leader="none" w:pos="6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reducing or eliminating the need for health insurance agents and brokers or demand for the health insurance that we sell;</w:t>
      </w:r>
    </w:p>
    <w:p>
      <w:pPr>
        <w:spacing w:after="0" w:line="200" w:lineRule="exact"/>
        <w:rPr>
          <w:rFonts w:ascii="Arial" w:cs="Arial" w:eastAsia="Arial" w:hAnsi="Arial"/>
          <w:sz w:val="20"/>
          <w:szCs w:val="20"/>
          <w:color w:val="auto"/>
        </w:rPr>
      </w:pPr>
    </w:p>
    <w:p>
      <w:pPr>
        <w:ind w:left="620" w:right="300" w:hanging="313"/>
        <w:spacing w:after="0" w:line="365" w:lineRule="auto"/>
        <w:tabs>
          <w:tab w:leader="none" w:pos="6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decreasing the number of types of health insurance plans that we sell, as well as the number of insurance carriers offering such plans;</w:t>
      </w:r>
    </w:p>
    <w:p>
      <w:pPr>
        <w:spacing w:after="0" w:line="190" w:lineRule="exact"/>
        <w:rPr>
          <w:rFonts w:ascii="Arial" w:cs="Arial" w:eastAsia="Arial" w:hAnsi="Arial"/>
          <w:sz w:val="20"/>
          <w:szCs w:val="20"/>
          <w:color w:val="auto"/>
        </w:rPr>
      </w:pPr>
    </w:p>
    <w:p>
      <w:pPr>
        <w:ind w:left="620" w:hanging="313"/>
        <w:spacing w:after="0"/>
        <w:tabs>
          <w:tab w:leader="none" w:pos="6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causing insurance carriers to change the benefits and/or premiums for the plans they sell; or</w:t>
      </w:r>
    </w:p>
    <w:p>
      <w:pPr>
        <w:spacing w:after="0" w:line="319" w:lineRule="exact"/>
        <w:rPr>
          <w:rFonts w:ascii="Arial" w:cs="Arial" w:eastAsia="Arial" w:hAnsi="Arial"/>
          <w:sz w:val="20"/>
          <w:szCs w:val="20"/>
          <w:color w:val="auto"/>
        </w:rPr>
      </w:pPr>
    </w:p>
    <w:p>
      <w:pPr>
        <w:ind w:left="620" w:right="300" w:hanging="313"/>
        <w:spacing w:after="0" w:line="365" w:lineRule="auto"/>
        <w:tabs>
          <w:tab w:leader="none" w:pos="6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causing insurance carriers to reduce the amount they pay for our services or change our relationship with them in other ways.</w:t>
      </w:r>
    </w:p>
    <w:p>
      <w:pPr>
        <w:spacing w:after="0" w:line="155" w:lineRule="exact"/>
        <w:rPr>
          <w:sz w:val="20"/>
          <w:szCs w:val="20"/>
          <w:color w:val="auto"/>
        </w:rPr>
      </w:pPr>
    </w:p>
    <w:p>
      <w:pPr>
        <w:jc w:val="both"/>
        <w:spacing w:after="0" w:line="309" w:lineRule="auto"/>
        <w:rPr>
          <w:sz w:val="20"/>
          <w:szCs w:val="20"/>
          <w:color w:val="auto"/>
        </w:rPr>
      </w:pPr>
      <w:r>
        <w:rPr>
          <w:rFonts w:ascii="Arial" w:cs="Arial" w:eastAsia="Arial" w:hAnsi="Arial"/>
          <w:sz w:val="20"/>
          <w:szCs w:val="20"/>
          <w:color w:val="auto"/>
        </w:rPr>
        <w:t>Any of these effects could materially harm our business and results of operations without appropriate adaptation of our business. And, if such legal, statutory or regulatory changes do occur, or if insurance carriers decide to limit our ability to sell their plans or determine not to sell individual health insurance plans altogether, our business, results of operations and financial condition could be materially harmed.</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388"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65 / 87</w:t>
      </w:r>
    </w:p>
    <w:p>
      <w:pPr>
        <w:sectPr>
          <w:pgSz w:w="11900" w:h="16838" w:orient="portrait"/>
          <w:cols w:equalWidth="0" w:num="1">
            <w:col w:w="9300"/>
          </w:cols>
          <w:pgMar w:left="1260" w:top="1388" w:right="1346" w:bottom="0" w:gutter="0" w:footer="0" w:header="0"/>
          <w:type w:val="continuous"/>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0"/>
        <w:spacing w:after="0" w:line="309" w:lineRule="auto"/>
        <w:rPr>
          <w:sz w:val="20"/>
          <w:szCs w:val="20"/>
          <w:color w:val="auto"/>
        </w:rPr>
      </w:pPr>
      <w:r>
        <w:rPr>
          <w:rFonts w:ascii="Arial" w:cs="Arial" w:eastAsia="Arial" w:hAnsi="Arial"/>
          <w:sz w:val="20"/>
          <w:szCs w:val="20"/>
          <w:b w:val="1"/>
          <w:bCs w:val="1"/>
          <w:i w:val="1"/>
          <w:iCs w:val="1"/>
          <w:color w:val="auto"/>
        </w:rPr>
        <w:t>Our compliance systems and controls cannot guarantee that we comply fully with all applicable federal and state or foreign laws and regulations, and actions by regulatory authorities or changes in applicable laws and regulations in the jurisdictions in which we operate could impact our operations and/or have an adverse effect on our business.</w:t>
      </w:r>
    </w:p>
    <w:p>
      <w:pPr>
        <w:spacing w:after="0" w:line="196" w:lineRule="exact"/>
        <w:rPr>
          <w:sz w:val="20"/>
          <w:szCs w:val="20"/>
          <w:color w:val="auto"/>
        </w:rPr>
      </w:pPr>
    </w:p>
    <w:p>
      <w:pPr>
        <w:ind w:right="20"/>
        <w:spacing w:after="0" w:line="349" w:lineRule="auto"/>
        <w:rPr>
          <w:sz w:val="20"/>
          <w:szCs w:val="20"/>
          <w:color w:val="auto"/>
        </w:rPr>
      </w:pPr>
      <w:r>
        <w:rPr>
          <w:rFonts w:ascii="Arial" w:cs="Arial" w:eastAsia="Arial" w:hAnsi="Arial"/>
          <w:sz w:val="18"/>
          <w:szCs w:val="18"/>
          <w:color w:val="auto"/>
        </w:rPr>
        <w:t>Our activities are subject to extensive regulation under the laws of the U.S., the U.K., the E.U. and its member states, and the other jurisdictions around the world in which we operate. In addition, we own an interest in a number of associates and companies where we do not exercise management control. Regulators across the world also continue to seek to regulate brokers, fund managers and investment advisers who operate in their jurisdictions. The foreign and U.S. laws and regulations applicable to our operations are complex, continually evolving and may increase the costs of regulatory compliance, limit or restrict the products or services we sell or subject our business to the possibility of regulatory actions or proceedings. These laws and regulations include insurance and financial industry regulations, antitrust and competition laws, economic and trade sanctions laws relating to countries and regions in which certain subsidiaries do business or may do business (‘Sanctioned Jurisdictions’) such as Crimea, the Luhansk People’s Republic and the Donetsk People’s Republic (and other occupied territories of Ukraine), Cuba, Iran, North Korea, Russia, Sudan, Syria and Venezuela, anti-corruption laws such as the FCPA, the U.K. Bribery Act 2010, and similar local laws prohibiting corrupt payments to governmental officials and the Foreign Account Tax Compliance provisions of the Hiring Incentives to Restore Employment Act in the U.S., as well as laws and regulations related to fraud, data privacy, artificial intelligence, cybersecurity and telemarketing.</w:t>
      </w:r>
    </w:p>
    <w:p>
      <w:pPr>
        <w:spacing w:after="0" w:line="166" w:lineRule="exact"/>
        <w:rPr>
          <w:sz w:val="20"/>
          <w:szCs w:val="20"/>
          <w:color w:val="auto"/>
        </w:rPr>
      </w:pPr>
    </w:p>
    <w:p>
      <w:pPr>
        <w:spacing w:after="0" w:line="348" w:lineRule="auto"/>
        <w:rPr>
          <w:sz w:val="20"/>
          <w:szCs w:val="20"/>
          <w:color w:val="auto"/>
        </w:rPr>
      </w:pPr>
      <w:r>
        <w:rPr>
          <w:rFonts w:ascii="Arial" w:cs="Arial" w:eastAsia="Arial" w:hAnsi="Arial"/>
          <w:sz w:val="18"/>
          <w:szCs w:val="18"/>
          <w:color w:val="auto"/>
        </w:rPr>
        <w:t>In most jurisdictions, governmental and regulatory authorities have the ability to interpret and amend these laws and regulations and impose penalties for non-compliance, including sanctions, civil remedies, monetary fines, injunctions, revocation of licenses or approvals, suspension of individuals, limitations on business activities or redress to clients. While we believe that we have substantially increased our focus on the geographic breadth of regulations to which we are subject, maintain good relationships with our key regulators and our current systems and controls are adequate, we cannot assure that such systems and controls will prevent any violations of any applicable laws and regulations. While we strive to remain fully compliant with applicable laws and regulations, we cannot guarantee that we will fully comply at all times with all laws and regulations, especially in countries with developing or evolving legal systems or with evolving or extra-territorial regulations. In particular, given the challenges of integrating operations, many of which are decentralized and have manual processes, we cannot assure that business systems and controls, including those of acquired or decentralized entities, have prevented or will prevent any and all violations of applicable laws or regulations. Further, our policies and procedures may not be effective or may not be complied with consistency across the enterprise. In the event that we believe our colleagues or agents may have caused us or any of our subsidiaries to violate applicable sanctions laws or other laws or regulations, we may be required to investigate or have outside counsel investigate the relevant facts and circumstances which could be costly and require significant time and attention from senior management. Non-compliance with these laws can result in criminal or civil penalties, which could disrupt our business and result in a material adverse effect on our financial condition, results of operation, cash flows, and cause significant brand or reputational damage.</w:t>
      </w:r>
    </w:p>
    <w:p>
      <w:pPr>
        <w:spacing w:after="0" w:line="178" w:lineRule="exact"/>
        <w:rPr>
          <w:sz w:val="20"/>
          <w:szCs w:val="20"/>
          <w:color w:val="auto"/>
        </w:rPr>
      </w:pPr>
    </w:p>
    <w:p>
      <w:pPr>
        <w:ind w:right="300"/>
        <w:spacing w:after="0" w:line="307" w:lineRule="auto"/>
        <w:rPr>
          <w:sz w:val="20"/>
          <w:szCs w:val="20"/>
          <w:color w:val="auto"/>
        </w:rPr>
      </w:pPr>
      <w:r>
        <w:rPr>
          <w:rFonts w:ascii="Arial" w:cs="Arial" w:eastAsia="Arial" w:hAnsi="Arial"/>
          <w:sz w:val="20"/>
          <w:szCs w:val="20"/>
          <w:b w:val="1"/>
          <w:bCs w:val="1"/>
          <w:i w:val="1"/>
          <w:iCs w:val="1"/>
          <w:color w:val="auto"/>
        </w:rPr>
        <w:t>Allegations of conflicts of interest or anti-competitive behavior, including in connection with accepting market derived income (‘MDI’), may have a material adverse effect on our business, financial condition, results of operation or reputation.</w:t>
      </w:r>
    </w:p>
    <w:p>
      <w:pPr>
        <w:spacing w:after="0" w:line="197" w:lineRule="exact"/>
        <w:rPr>
          <w:sz w:val="20"/>
          <w:szCs w:val="20"/>
          <w:color w:val="auto"/>
        </w:rPr>
      </w:pPr>
    </w:p>
    <w:p>
      <w:pPr>
        <w:ind w:right="100"/>
        <w:spacing w:after="0" w:line="355" w:lineRule="auto"/>
        <w:rPr>
          <w:sz w:val="20"/>
          <w:szCs w:val="20"/>
          <w:color w:val="auto"/>
        </w:rPr>
      </w:pPr>
      <w:r>
        <w:rPr>
          <w:rFonts w:ascii="Arial" w:cs="Arial" w:eastAsia="Arial" w:hAnsi="Arial"/>
          <w:sz w:val="18"/>
          <w:szCs w:val="18"/>
          <w:color w:val="auto"/>
        </w:rPr>
        <w:t>The ways in which intermediaries are compensated can receive scrutiny from regulators, clients and other interested parties in part because of the potential for anti-competitive behavior and conflicts of interest. We could suffer significant financial or reputational harm if we fail to properly identify and manage any such potential conflicts of</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 / 87</w:t>
      </w:r>
    </w:p>
    <w:p>
      <w:pPr>
        <w:sectPr>
          <w:pgSz w:w="11900" w:h="16838" w:orient="portrait"/>
          <w:cols w:equalWidth="0" w:num="1">
            <w:col w:w="9380"/>
          </w:cols>
          <w:pgMar w:left="1260" w:top="1440" w:right="1266" w:bottom="0" w:gutter="0" w:footer="0" w:header="0"/>
          <w:type w:val="continuous"/>
        </w:sectPr>
      </w:pPr>
    </w:p>
    <w:bookmarkStart w:id="66" w:name="page67"/>
    <w:bookmarkEnd w:id="66"/>
    <w:p>
      <w:pPr>
        <w:spacing w:after="0" w:line="348" w:lineRule="auto"/>
        <w:rPr>
          <w:sz w:val="20"/>
          <w:szCs w:val="20"/>
          <w:color w:val="auto"/>
        </w:rPr>
      </w:pPr>
      <w:r>
        <w:rPr>
          <w:rFonts w:ascii="Arial" w:cs="Arial" w:eastAsia="Arial" w:hAnsi="Arial"/>
          <w:sz w:val="18"/>
          <w:szCs w:val="18"/>
          <w:color w:val="auto"/>
        </w:rPr>
        <w:t>interest or allegations of anti-competitive behavior. Conflicts of interest exist or could exist any time the Company or any of its colleagues have or may have an interest in a transaction or engagement that is inconsistent with our clients’ interests. This could occur, for example, when the Company is providing services to multiple parties in connection with a transaction. In addition, as we provide more solutions-based services, there is greater potential for conflicts with advisory services. Managing conflicts of interest is an important issue for the Company which can be a challenge for a large and complex company such as ours. Due to the broad scope of our businesses and our client base, we regularly address potential conflicts of interest, including, without limitation, situations where our services to a particular client or our own investments or other interests are in conflict, or could be perceived to be in conflict, with the interests of another client. If conflicts of interest are not carefully managed, it could lead to failure or perceived failure to protect the client’s interests, with attendant regulatory and reputational risks that could materially adversely affect us and our operations. There is no guarantee that all potential conflicts of interest will be identified, and undetected conflicts may result in damage to our professional reputation and result in legal liability, which may have a material adverse effect on our business. Identifying conflicts of interest may also prove difficult as we continue to bring systems and information together and integrate newly acquired businesses. We may not be able to adequately address such conflicts of interest.</w:t>
      </w:r>
    </w:p>
    <w:p>
      <w:pPr>
        <w:spacing w:after="0" w:line="178" w:lineRule="exact"/>
        <w:rPr>
          <w:sz w:val="20"/>
          <w:szCs w:val="20"/>
          <w:color w:val="auto"/>
        </w:rPr>
      </w:pPr>
    </w:p>
    <w:p>
      <w:pPr>
        <w:ind w:right="60"/>
        <w:spacing w:after="0" w:line="350" w:lineRule="auto"/>
        <w:rPr>
          <w:sz w:val="20"/>
          <w:szCs w:val="20"/>
          <w:color w:val="auto"/>
        </w:rPr>
      </w:pPr>
      <w:r>
        <w:rPr>
          <w:rFonts w:ascii="Arial" w:cs="Arial" w:eastAsia="Arial" w:hAnsi="Arial"/>
          <w:sz w:val="18"/>
          <w:szCs w:val="18"/>
          <w:color w:val="auto"/>
        </w:rPr>
        <w:t>In addition, insurance intermediaries have traditionally been remunerated by base commissions paid by insurance carriers in respect of placements we make for clients, or by fees paid by clients. Intermediaries also obtain other revenue from insurance carriers. This revenue, when derived from carriers in their capacity as insurance markets (as opposed to as corporate clients of the intermediaries where they may be purchasing insurance or reinsurance or other non-market-related services), is commonly known as market derived income or ‘MDI’. MDI is another example of an area in which allegations of conflicts of interest may arise. MDI takes a variety of</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67 / 87</w:t>
      </w:r>
    </w:p>
    <w:p>
      <w:pPr>
        <w:sectPr>
          <w:pgSz w:w="11900" w:h="16838" w:orient="portrait"/>
          <w:cols w:equalWidth="0" w:num="1">
            <w:col w:w="9400"/>
          </w:cols>
          <w:pgMar w:left="1260" w:top="1173" w:right="1246" w:bottom="0" w:gutter="0" w:footer="0" w:header="0"/>
          <w:type w:val="continuous"/>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80"/>
        <w:spacing w:after="0" w:line="302" w:lineRule="auto"/>
        <w:rPr>
          <w:sz w:val="20"/>
          <w:szCs w:val="20"/>
          <w:color w:val="auto"/>
        </w:rPr>
      </w:pPr>
      <w:r>
        <w:rPr>
          <w:rFonts w:ascii="Arial" w:cs="Arial" w:eastAsia="Arial" w:hAnsi="Arial"/>
          <w:sz w:val="20"/>
          <w:szCs w:val="20"/>
          <w:color w:val="auto"/>
        </w:rPr>
        <w:t>forms, including volume- or profit-based contingent commissions, facilities administration charges, business development agreements, and fees for providing certain data to carriers.</w:t>
      </w:r>
    </w:p>
    <w:p>
      <w:pPr>
        <w:spacing w:after="0" w:line="201" w:lineRule="exact"/>
        <w:rPr>
          <w:sz w:val="20"/>
          <w:szCs w:val="20"/>
          <w:color w:val="auto"/>
        </w:rPr>
      </w:pPr>
    </w:p>
    <w:p>
      <w:pPr>
        <w:ind w:right="80"/>
        <w:spacing w:after="0" w:line="350" w:lineRule="auto"/>
        <w:rPr>
          <w:sz w:val="20"/>
          <w:szCs w:val="20"/>
          <w:color w:val="auto"/>
        </w:rPr>
      </w:pPr>
      <w:r>
        <w:rPr>
          <w:rFonts w:ascii="Arial" w:cs="Arial" w:eastAsia="Arial" w:hAnsi="Arial"/>
          <w:sz w:val="18"/>
          <w:szCs w:val="18"/>
          <w:color w:val="auto"/>
        </w:rPr>
        <w:t>MDI creates various risks. Intermediaries in many markets have a duty to act in the best interests of their clients and payments from carriers can incentivize intermediaries to put carriers’ or their own interests ahead of their clients. Accordingly, MDI may be subject to scrutiny by various regulators under conflict of interest, anti-trust, unfair competition, conduct and anti-bribery laws and regulations. While accepting MDI is a lawful and acceptable business practice, and while we have established systems and controls to manage these risks, we cannot predict whether our position will result in regulatory or other scrutiny and our controls may not be effective.</w:t>
      </w:r>
    </w:p>
    <w:p>
      <w:pPr>
        <w:spacing w:after="0" w:line="169" w:lineRule="exact"/>
        <w:rPr>
          <w:sz w:val="20"/>
          <w:szCs w:val="20"/>
          <w:color w:val="auto"/>
        </w:rPr>
      </w:pPr>
    </w:p>
    <w:p>
      <w:pPr>
        <w:ind w:right="20"/>
        <w:spacing w:after="0" w:line="311" w:lineRule="auto"/>
        <w:rPr>
          <w:sz w:val="20"/>
          <w:szCs w:val="20"/>
          <w:color w:val="auto"/>
        </w:rPr>
      </w:pPr>
      <w:r>
        <w:rPr>
          <w:rFonts w:ascii="Arial" w:cs="Arial" w:eastAsia="Arial" w:hAnsi="Arial"/>
          <w:sz w:val="20"/>
          <w:szCs w:val="20"/>
          <w:color w:val="auto"/>
        </w:rPr>
        <w:t>In addition, the Company offers affiliated investment funds, with plans to launch additional funds over time. Given that our Investments business may recommend affiliated investment funds or affirmatively invest such clients’ assets in such funds under delegated authority, there may be a perceived conflict of interest. While the Company has processes, procedures, and controls in place intended to mitigate any such potential conflicts, such controls may not be effective and any public perception that our controls are not effective, regardless of whether such perception is based in fact, could trigger regulatory inquiries or could impact client demand and the business’ financial performance. In addition, underperformance by our affiliated investment funds could lead to lawsuits by clients that were invested in such funds.</w:t>
      </w:r>
    </w:p>
    <w:p>
      <w:pPr>
        <w:spacing w:after="0" w:line="196" w:lineRule="exact"/>
        <w:rPr>
          <w:sz w:val="20"/>
          <w:szCs w:val="20"/>
          <w:color w:val="auto"/>
        </w:rPr>
      </w:pPr>
    </w:p>
    <w:p>
      <w:pPr>
        <w:ind w:right="40"/>
        <w:spacing w:after="0" w:line="309" w:lineRule="auto"/>
        <w:rPr>
          <w:sz w:val="20"/>
          <w:szCs w:val="20"/>
          <w:color w:val="auto"/>
        </w:rPr>
      </w:pPr>
      <w:r>
        <w:rPr>
          <w:rFonts w:ascii="Arial" w:cs="Arial" w:eastAsia="Arial" w:hAnsi="Arial"/>
          <w:sz w:val="20"/>
          <w:szCs w:val="20"/>
          <w:color w:val="auto"/>
        </w:rPr>
        <w:t>The failure or perceived failure to adequately address actual or potential conflicts of interest or allegations of anti-competitive behavior could affect the willingness of clients to deal with us or give rise to litigation or enforcement actions. Conflicts of interest or anti-competitive activities may also arise in the future that could cause material harm to us.</w:t>
      </w:r>
    </w:p>
    <w:p>
      <w:pPr>
        <w:spacing w:after="0" w:line="196" w:lineRule="exact"/>
        <w:rPr>
          <w:sz w:val="20"/>
          <w:szCs w:val="20"/>
          <w:color w:val="auto"/>
        </w:rPr>
      </w:pPr>
    </w:p>
    <w:p>
      <w:pPr>
        <w:ind w:right="240"/>
        <w:spacing w:after="0" w:line="307" w:lineRule="auto"/>
        <w:rPr>
          <w:sz w:val="20"/>
          <w:szCs w:val="20"/>
          <w:color w:val="auto"/>
        </w:rPr>
      </w:pPr>
      <w:r>
        <w:rPr>
          <w:rFonts w:ascii="Arial" w:cs="Arial" w:eastAsia="Arial" w:hAnsi="Arial"/>
          <w:sz w:val="20"/>
          <w:szCs w:val="20"/>
          <w:b w:val="1"/>
          <w:bCs w:val="1"/>
          <w:i w:val="1"/>
          <w:iCs w:val="1"/>
          <w:color w:val="auto"/>
        </w:rPr>
        <w:t>Our global operations expose us to numerous, and sometimes conflicting, legal and regulatory requirements in environmental, social and governance (‘ESG’) matters, and violation of these regulations could harm our business.</w:t>
      </w:r>
    </w:p>
    <w:p>
      <w:pPr>
        <w:spacing w:after="0" w:line="197" w:lineRule="exact"/>
        <w:rPr>
          <w:sz w:val="20"/>
          <w:szCs w:val="20"/>
          <w:color w:val="auto"/>
        </w:rPr>
      </w:pPr>
    </w:p>
    <w:p>
      <w:pPr>
        <w:spacing w:after="0" w:line="348" w:lineRule="auto"/>
        <w:rPr>
          <w:sz w:val="20"/>
          <w:szCs w:val="20"/>
          <w:color w:val="auto"/>
        </w:rPr>
      </w:pPr>
      <w:r>
        <w:rPr>
          <w:rFonts w:ascii="Arial" w:cs="Arial" w:eastAsia="Arial" w:hAnsi="Arial"/>
          <w:sz w:val="18"/>
          <w:szCs w:val="18"/>
          <w:color w:val="auto"/>
        </w:rPr>
        <w:t>Divergent and evolving policy regimes across jurisdictions (including pro-ESG mandates and disclosure regimes in some markets and anti-ESG laws, procurement restrictions or ‘boycott’ statutes in others) can create conflicting obligations, increase the risk of non-compliance, constrain certain business activities or relationships, and negatively affect our reputation and results. As a result of our global operations, we can be subject to conflicting regulatory requirements from which conflicts may be exacerbated in markets with anti-ESG regulations. If new laws or regulations are more stringent than or conflict with current legal or regulatory requirements, we may experience increased compliance burdens and costs to meet such obligations. In addition, our selection of voluntary disclosure frameworks and standards, and the interpretation or application of those frameworks and standards, may change from time to time or may not meet the expectations of investors or other stakeholders. From time to time we may set, change or withdraw commitments or goals relating to sustainability (i.e., our ESG efforts relating to our internal operations) or our membership or support for certain sustainability-related organizations or initiatives. Our ability to develop and achieve our sustainability commitments and goals are subject to numerous risks, many of which are outside of our control, such as: the availability and cost of low- or non-greenhouse gas-intensive energy sources; infrastructure and technologies; evolving regulatory requirements affecting sustainability standards or disclosures; the sustainability posture of others in our value chain such as suppliers and other counterparties; and the availability and reliability of information upon which we determine our commitments, goals, and achievements.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68 / 87</w:t>
      </w:r>
    </w:p>
    <w:p>
      <w:pPr>
        <w:sectPr>
          <w:pgSz w:w="11900" w:h="16838" w:orient="portrait"/>
          <w:cols w:equalWidth="0" w:num="1">
            <w:col w:w="9360"/>
          </w:cols>
          <w:pgMar w:left="1260" w:top="1440" w:right="1286" w:bottom="0" w:gutter="0" w:footer="0" w:header="0"/>
          <w:type w:val="continuous"/>
        </w:sectPr>
      </w:pPr>
    </w:p>
    <w:bookmarkStart w:id="68" w:name="page69"/>
    <w:bookmarkEnd w:id="68"/>
    <w:p>
      <w:pPr>
        <w:spacing w:after="0" w:line="329" w:lineRule="auto"/>
        <w:rPr>
          <w:sz w:val="20"/>
          <w:szCs w:val="20"/>
          <w:color w:val="auto"/>
        </w:rPr>
      </w:pPr>
      <w:r>
        <w:rPr>
          <w:rFonts w:ascii="Arial" w:cs="Arial" w:eastAsia="Arial" w:hAnsi="Arial"/>
          <w:sz w:val="19"/>
          <w:szCs w:val="19"/>
          <w:color w:val="auto"/>
        </w:rPr>
        <w:t>Our processes and controls for reporting sustainability matters across our operations are evolving along with standards for identifying, measuring and reporting sustainability metrics, including sustainability-related disclosures that may be required by the SEC, European and other regulators, and such standards may change over time, which could result in significant revisions to our current goals, reported progress in achieving such goals, or ability to achieve such goals on a timely basis or at all. Methodologies for reporting sustainability data may be updated and previously-reported sustainability data may be adjusted to reflect: improvement in availability, measurement or quality of data, changing assumptions and use of estimates, changes in the nature and scope of our operations and other changes in circumstances. As we continue our work to prepare to comply with new and amended applicable legal and regulatory requirements, including European Sustainability Reporting Standards under the E.U. Corporate Sustainability Reporting Directive (‘CSRD’), the E.U. Corporate Sustainability Due Diligence Directive, California’s S.B. 253 and IFRS Sustainability Standards issued by the International Sustainability Standards Board that may become applicable to us in our global operations, as well as focus on our own sustainability assessments and priorities, we may disclose additional metrics against which we may measure ourselves or be measured and tracked by others over time. We cannot predict future legal, regulatory and other developments in these areas, and any changes to the regulatory framework or our disclosure obligations could also negatively impact our business and results.</w:t>
      </w:r>
    </w:p>
    <w:p>
      <w:pPr>
        <w:spacing w:after="0" w:line="188" w:lineRule="exact"/>
        <w:rPr>
          <w:sz w:val="20"/>
          <w:szCs w:val="20"/>
          <w:color w:val="auto"/>
        </w:rPr>
      </w:pPr>
    </w:p>
    <w:p>
      <w:pPr>
        <w:ind w:right="180"/>
        <w:spacing w:after="0" w:line="307" w:lineRule="auto"/>
        <w:rPr>
          <w:sz w:val="20"/>
          <w:szCs w:val="20"/>
          <w:color w:val="auto"/>
        </w:rPr>
      </w:pPr>
      <w:r>
        <w:rPr>
          <w:rFonts w:ascii="Arial" w:cs="Arial" w:eastAsia="Arial" w:hAnsi="Arial"/>
          <w:sz w:val="20"/>
          <w:szCs w:val="20"/>
          <w:b w:val="1"/>
          <w:bCs w:val="1"/>
          <w:i w:val="1"/>
          <w:iCs w:val="1"/>
          <w:color w:val="auto"/>
        </w:rPr>
        <w:t>Increasing scrutiny and changing or competing expectations from governmental authorities, investors, clients and our colleagues with respect to our sustainability practices can impose additional costs on us or expose us to reputational, litigation or other risks.</w:t>
      </w:r>
    </w:p>
    <w:p>
      <w:pPr>
        <w:spacing w:after="0" w:line="197" w:lineRule="exact"/>
        <w:rPr>
          <w:sz w:val="20"/>
          <w:szCs w:val="20"/>
          <w:color w:val="auto"/>
        </w:rPr>
      </w:pPr>
    </w:p>
    <w:p>
      <w:pPr>
        <w:ind w:right="80"/>
        <w:spacing w:after="0" w:line="350" w:lineRule="auto"/>
        <w:rPr>
          <w:sz w:val="20"/>
          <w:szCs w:val="20"/>
          <w:color w:val="auto"/>
        </w:rPr>
      </w:pPr>
      <w:r>
        <w:rPr>
          <w:rFonts w:ascii="Arial" w:cs="Arial" w:eastAsia="Arial" w:hAnsi="Arial"/>
          <w:sz w:val="18"/>
          <w:szCs w:val="18"/>
          <w:color w:val="auto"/>
        </w:rPr>
        <w:t>There is increased and sometimes conflicting focus, including from governments, non-governmental organizations, investors, colleagues and clients, on sustainability matters such as environmental stewardship, climate change, inclusion and diversity, racial justice and workplace conduct. Negative public perception, adverse publicity or negative comments in social media and other forums could damage our reputation if we do not, or are not perceived to, adequately or appropriately address any one or more of these issues. Any harm to our reputation relating to sustainability matters could impact colleague engagement and retention and the willingness of clients and others to do business with us. In addition, with anti-ESG regulations and sentiment present in some of our markets, we</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69 / 87</w:t>
      </w:r>
    </w:p>
    <w:p>
      <w:pPr>
        <w:sectPr>
          <w:pgSz w:w="11900" w:h="16838" w:orient="portrait"/>
          <w:cols w:equalWidth="0" w:num="1">
            <w:col w:w="9340"/>
          </w:cols>
          <w:pgMar w:left="1260" w:top="1173" w:right="1306" w:bottom="0" w:gutter="0" w:footer="0" w:header="0"/>
          <w:type w:val="continuous"/>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60"/>
        <w:spacing w:after="0" w:line="330" w:lineRule="auto"/>
        <w:rPr>
          <w:sz w:val="20"/>
          <w:szCs w:val="20"/>
          <w:color w:val="auto"/>
        </w:rPr>
      </w:pPr>
      <w:r>
        <w:rPr>
          <w:rFonts w:ascii="Arial" w:cs="Arial" w:eastAsia="Arial" w:hAnsi="Arial"/>
          <w:sz w:val="19"/>
          <w:szCs w:val="19"/>
          <w:color w:val="auto"/>
        </w:rPr>
        <w:t>could experience reduced revenue and reputational harm if we are targeted by government actors, private groups or influential individuals who disagree with our public positions on social or environmental issues, including our membership or commitments to sustainability-related organizations or initiatives. Similarly, we could become the target of litigation or investigations initiated by government authorities or private actors alleging that our sustainability-related activities are anti-competitive, discriminatory or otherwise unlawful.</w:t>
      </w:r>
    </w:p>
    <w:p>
      <w:pPr>
        <w:spacing w:after="0" w:line="178" w:lineRule="exact"/>
        <w:rPr>
          <w:sz w:val="20"/>
          <w:szCs w:val="20"/>
          <w:color w:val="auto"/>
        </w:rPr>
      </w:pPr>
    </w:p>
    <w:p>
      <w:pPr>
        <w:ind w:right="320"/>
        <w:spacing w:after="0" w:line="329" w:lineRule="auto"/>
        <w:rPr>
          <w:sz w:val="20"/>
          <w:szCs w:val="20"/>
          <w:color w:val="auto"/>
        </w:rPr>
      </w:pPr>
      <w:r>
        <w:rPr>
          <w:rFonts w:ascii="Arial" w:cs="Arial" w:eastAsia="Arial" w:hAnsi="Arial"/>
          <w:sz w:val="19"/>
          <w:szCs w:val="19"/>
          <w:color w:val="auto"/>
        </w:rPr>
        <w:t>Disclosures around our sustainability-related activities combined with increased demand for and scrutiny of sustainability-related strategies and advice may increase the risk that we could be perceived as, or accused of, making inaccurate or misleading statements, commonly referred to as ‘greenwashing,’ or that we have otherwise violated regulations. We may also face heightened scrutiny if we provide advice to our clients on or otherwise advocate in favor of particular sustainability strategies but do not implement them within our own business. Such perceptions or accusations could damage our reputation, result in litigation or regulatory enforcement actions and adversely affect our business.</w:t>
      </w:r>
    </w:p>
    <w:p>
      <w:pPr>
        <w:spacing w:after="0" w:line="183"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Investors, in particular, have increased their emphasis on the sustainability practices of companies across all industries, including with respect to climate and human capital management. Certain investors have developed their own sustainability ratings while others use third-party benchmarks or scores to measure a company’s sustainability practices and make investment decisions or otherwise engage with the company to influence its practices in these areas. Additionally, our clients may evaluate our sustainability practices and/or request that we adopt certain sustainability-related policies in order to work with us. Also, organizations that provide ratings information to certain investors on sustainability-related matters may assign unfavorable ratings to the Company, which may lead to negative investor sentiment and the diversion of investment capital to other companies or industries, which could have a negative impact on the price of our ordinary shares and our costs of capital.</w:t>
      </w:r>
    </w:p>
    <w:p>
      <w:pPr>
        <w:spacing w:after="0" w:line="171" w:lineRule="exact"/>
        <w:rPr>
          <w:sz w:val="20"/>
          <w:szCs w:val="20"/>
          <w:color w:val="auto"/>
        </w:rPr>
      </w:pPr>
    </w:p>
    <w:p>
      <w:pPr>
        <w:ind w:right="320"/>
        <w:spacing w:after="0" w:line="330" w:lineRule="auto"/>
        <w:rPr>
          <w:sz w:val="20"/>
          <w:szCs w:val="20"/>
          <w:color w:val="auto"/>
        </w:rPr>
      </w:pPr>
      <w:r>
        <w:rPr>
          <w:rFonts w:ascii="Arial" w:cs="Arial" w:eastAsia="Arial" w:hAnsi="Arial"/>
          <w:sz w:val="19"/>
          <w:szCs w:val="19"/>
          <w:color w:val="auto"/>
        </w:rPr>
        <w:t>New government regulations could also result in new or more stringent forms of sustainability oversight and new mandatory and voluntary reporting, diligence and disclosure and related assurance. These new laws, rules and regulations could affect our operations or require significant expenditures.</w:t>
      </w:r>
    </w:p>
    <w:p>
      <w:pPr>
        <w:spacing w:after="0" w:line="179" w:lineRule="exact"/>
        <w:rPr>
          <w:sz w:val="20"/>
          <w:szCs w:val="20"/>
          <w:color w:val="auto"/>
        </w:rPr>
      </w:pPr>
    </w:p>
    <w:p>
      <w:pPr>
        <w:ind w:right="80"/>
        <w:spacing w:after="0" w:line="330" w:lineRule="auto"/>
        <w:rPr>
          <w:sz w:val="20"/>
          <w:szCs w:val="20"/>
          <w:color w:val="auto"/>
        </w:rPr>
      </w:pPr>
      <w:r>
        <w:rPr>
          <w:rFonts w:ascii="Arial" w:cs="Arial" w:eastAsia="Arial" w:hAnsi="Arial"/>
          <w:sz w:val="19"/>
          <w:szCs w:val="19"/>
          <w:color w:val="auto"/>
        </w:rPr>
        <w:t>As the nature, scope, and complexity of sustainability reporting, diligence and disclosure requirements expand, we may have to undertake additional costs to control, assess and report on sustainability metrics. Any failure or perceived failure, whether valid or not, to meet expectations or metrics, whether such expectations or metrics are set by us or by investors or other stakeholders, or to any other failure to make progress in this area on a timely basis, or at all, could negatively impact our reputation and our business.</w:t>
      </w:r>
    </w:p>
    <w:p>
      <w:pPr>
        <w:spacing w:after="0" w:line="178"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Finally, in addition to the management, reporting, diligence and disclosure obligations governing our ESG practices, we are exposed to the business, operational and financial risks arising out of natural disasters, many of which could be exacerbated by climate change. See the Risk Factor under the heading ‘</w:t>
      </w:r>
      <w:r>
        <w:rPr>
          <w:rFonts w:ascii="Arial" w:cs="Arial" w:eastAsia="Arial" w:hAnsi="Arial"/>
          <w:sz w:val="18"/>
          <w:szCs w:val="18"/>
          <w:i w:val="1"/>
          <w:iCs w:val="1"/>
          <w:color w:val="auto"/>
        </w:rPr>
        <w:t>Macroeconomic trends,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inflation, changes in interest rates and trade policies, as well as political events, trade and other international disputes, war, terrorism, natural disasters, public health issues and other business interruptions, can adversely affect our business, results of operations or financial condition’ </w:t>
      </w:r>
      <w:r>
        <w:rPr>
          <w:rFonts w:ascii="Arial" w:cs="Arial" w:eastAsia="Arial" w:hAnsi="Arial"/>
          <w:sz w:val="18"/>
          <w:szCs w:val="18"/>
          <w:color w:val="auto"/>
        </w:rPr>
        <w:t>for more information.</w:t>
      </w:r>
    </w:p>
    <w:p>
      <w:pPr>
        <w:spacing w:after="0" w:line="169" w:lineRule="exact"/>
        <w:rPr>
          <w:sz w:val="20"/>
          <w:szCs w:val="20"/>
          <w:color w:val="auto"/>
        </w:rPr>
      </w:pPr>
    </w:p>
    <w:p>
      <w:pPr>
        <w:ind w:right="700"/>
        <w:spacing w:after="0" w:line="331" w:lineRule="auto"/>
        <w:rPr>
          <w:sz w:val="20"/>
          <w:szCs w:val="20"/>
          <w:color w:val="auto"/>
        </w:rPr>
      </w:pPr>
      <w:r>
        <w:rPr>
          <w:rFonts w:ascii="Arial" w:cs="Arial" w:eastAsia="Arial" w:hAnsi="Arial"/>
          <w:sz w:val="19"/>
          <w:szCs w:val="19"/>
          <w:b w:val="1"/>
          <w:bCs w:val="1"/>
          <w:i w:val="1"/>
          <w:iCs w:val="1"/>
          <w:color w:val="auto"/>
        </w:rPr>
        <w:t>The economic, regulatory and political impact of the United Kingdom’s exit from the European Union on January 31, 2020 has adversely affected and may continue to affect our business.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 / 87</w:t>
      </w:r>
    </w:p>
    <w:p>
      <w:pPr>
        <w:sectPr>
          <w:pgSz w:w="11900" w:h="16838" w:orient="portrait"/>
          <w:cols w:equalWidth="0" w:num="1">
            <w:col w:w="9380"/>
          </w:cols>
          <w:pgMar w:left="1260" w:top="1440" w:right="1266" w:bottom="0" w:gutter="0" w:footer="0" w:header="0"/>
          <w:type w:val="continuous"/>
        </w:sectPr>
      </w:pPr>
    </w:p>
    <w:bookmarkStart w:id="70" w:name="page71"/>
    <w:bookmarkEnd w:id="70"/>
    <w:p>
      <w:pPr>
        <w:ind w:right="20"/>
        <w:spacing w:after="0" w:line="350" w:lineRule="auto"/>
        <w:rPr>
          <w:sz w:val="20"/>
          <w:szCs w:val="20"/>
          <w:color w:val="auto"/>
        </w:rPr>
      </w:pPr>
      <w:r>
        <w:rPr>
          <w:rFonts w:ascii="Arial" w:cs="Arial" w:eastAsia="Arial" w:hAnsi="Arial"/>
          <w:sz w:val="18"/>
          <w:szCs w:val="18"/>
          <w:color w:val="auto"/>
        </w:rPr>
        <w:t>The Company is heavily invested in the U.K. through our businesses and activities. Brexit has resulted in greater restrictions on business conducted between the U.K. and E.U. countries and has increased regulatory complexities. Uncertainty remains as to how changes to the U.K.’s access to the E.U. Single Market and the wider trading, legal, regulatory, tax, social and labor environments, especially in the U.K. and E.U., will be impacted over time, including the resulting impacts on our business and that of our clients. In addition, due to the nature of our Brexit model, we require additional administration, document production, qualifications, supervision, regulatory engagement and governance across our U.K. and E.U. businesses, which has adversely affected our operations and financial results.</w:t>
      </w:r>
    </w:p>
    <w:p>
      <w:pPr>
        <w:spacing w:after="0" w:line="287" w:lineRule="exact"/>
        <w:rPr>
          <w:sz w:val="20"/>
          <w:szCs w:val="20"/>
          <w:color w:val="auto"/>
        </w:rPr>
      </w:pPr>
    </w:p>
    <w:p>
      <w:pPr>
        <w:ind w:right="440"/>
        <w:spacing w:after="0" w:line="330" w:lineRule="auto"/>
        <w:rPr>
          <w:sz w:val="20"/>
          <w:szCs w:val="20"/>
          <w:color w:val="auto"/>
        </w:rPr>
      </w:pPr>
      <w:r>
        <w:rPr>
          <w:rFonts w:ascii="Arial" w:cs="Arial" w:eastAsia="Arial" w:hAnsi="Arial"/>
          <w:sz w:val="19"/>
          <w:szCs w:val="19"/>
          <w:color w:val="auto"/>
        </w:rPr>
        <w:t>We believe we have implemented appropriate arrangements for the continued servicing of client business in the countries most affected. However, various significant risks remain in relation to the effects of the post-Brexit arrangements between the E.U. and U.K. including the following, among others:</w:t>
      </w:r>
    </w:p>
    <w:p>
      <w:pPr>
        <w:spacing w:after="0" w:line="224" w:lineRule="exact"/>
        <w:rPr>
          <w:sz w:val="20"/>
          <w:szCs w:val="20"/>
          <w:color w:val="auto"/>
        </w:rPr>
      </w:pPr>
    </w:p>
    <w:p>
      <w:pPr>
        <w:ind w:left="620" w:right="140" w:hanging="313"/>
        <w:spacing w:after="0" w:line="373" w:lineRule="auto"/>
        <w:tabs>
          <w:tab w:leader="none" w:pos="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risk that regulators in the U.K. or E.U. may issue amended guidance or regulations in relation to those solutions (including any amended E.U. regulatory guidance in connection with the use of third-country branches of E.U.-domiciled insurance intermediary entities, whether following supervisory statements such as that issued by European Insurance and Occupational Pensions Authority (‘EIOPA’) on February 3, 2023 or otherwise) or that we fail to gain regulatory authorizations which could affect our business, operations or strategic plans;</w:t>
      </w:r>
    </w:p>
    <w:p>
      <w:pPr>
        <w:spacing w:after="0" w:line="195" w:lineRule="exact"/>
        <w:rPr>
          <w:rFonts w:ascii="Arial" w:cs="Arial" w:eastAsia="Arial" w:hAnsi="Arial"/>
          <w:sz w:val="20"/>
          <w:szCs w:val="20"/>
          <w:color w:val="auto"/>
        </w:rPr>
      </w:pPr>
    </w:p>
    <w:p>
      <w:pPr>
        <w:ind w:left="620" w:hanging="313"/>
        <w:spacing w:after="0" w:line="365" w:lineRule="auto"/>
        <w:tabs>
          <w:tab w:leader="none" w:pos="6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 risk that we may require further changes to client contract terms and have to address additional regulatory requirements, including with respect to data protection and privacy standards;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 / 87</w:t>
      </w:r>
    </w:p>
    <w:p>
      <w:pPr>
        <w:sectPr>
          <w:pgSz w:w="11900" w:h="16838" w:orient="portrait"/>
          <w:cols w:equalWidth="0" w:num="1">
            <w:col w:w="9380"/>
          </w:cols>
          <w:pgMar w:left="1260" w:top="1173" w:right="1266" w:bottom="0" w:gutter="0" w:footer="0" w:header="0"/>
          <w:type w:val="continuous"/>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0" w:right="360" w:hanging="313"/>
        <w:spacing w:after="0" w:line="396" w:lineRule="auto"/>
        <w:tabs>
          <w:tab w:leader="none" w:pos="62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risk over time of a loss of key talent, or an inability to hire sufficient and qualified talent, or the disruption to client servicing as a result of a need to relocate talent or roles or both between or within the E.U. and the U.K. as the regulatory and business environment changes following Brexit;</w:t>
      </w:r>
    </w:p>
    <w:p>
      <w:pPr>
        <w:spacing w:after="0" w:line="178" w:lineRule="exact"/>
        <w:rPr>
          <w:rFonts w:ascii="Arial" w:cs="Arial" w:eastAsia="Arial" w:hAnsi="Arial"/>
          <w:sz w:val="19"/>
          <w:szCs w:val="19"/>
          <w:color w:val="auto"/>
        </w:rPr>
      </w:pPr>
    </w:p>
    <w:p>
      <w:pPr>
        <w:ind w:left="620" w:right="20" w:hanging="313"/>
        <w:spacing w:after="0" w:line="370" w:lineRule="auto"/>
        <w:tabs>
          <w:tab w:leader="none" w:pos="6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risk that the business solutions implemented by our market counterparties change as the U.K.-E.U. regulatory environment evolves in a way that necessitates further alterations to our business models, with the risks described above;</w:t>
      </w:r>
    </w:p>
    <w:p>
      <w:pPr>
        <w:spacing w:after="0" w:line="196" w:lineRule="exact"/>
        <w:rPr>
          <w:rFonts w:ascii="Arial" w:cs="Arial" w:eastAsia="Arial" w:hAnsi="Arial"/>
          <w:sz w:val="20"/>
          <w:szCs w:val="20"/>
          <w:color w:val="auto"/>
        </w:rPr>
      </w:pPr>
    </w:p>
    <w:p>
      <w:pPr>
        <w:ind w:left="620" w:right="500" w:hanging="313"/>
        <w:spacing w:after="0" w:line="370" w:lineRule="auto"/>
        <w:tabs>
          <w:tab w:leader="none" w:pos="6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risk that the U.K. will continue to have in place a limited number of trade agreements with the E.U. member states and/or any non-E.U. states leading to potentially adverse trading conditions with other territories; and</w:t>
      </w:r>
    </w:p>
    <w:p>
      <w:pPr>
        <w:spacing w:after="0" w:line="196" w:lineRule="exact"/>
        <w:rPr>
          <w:rFonts w:ascii="Arial" w:cs="Arial" w:eastAsia="Arial" w:hAnsi="Arial"/>
          <w:sz w:val="20"/>
          <w:szCs w:val="20"/>
          <w:color w:val="auto"/>
        </w:rPr>
      </w:pPr>
    </w:p>
    <w:p>
      <w:pPr>
        <w:ind w:left="620" w:right="100" w:hanging="313"/>
        <w:spacing w:after="0" w:line="370" w:lineRule="auto"/>
        <w:tabs>
          <w:tab w:leader="none" w:pos="6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risk that the way in which the U.K.-E.U. regulatory and legal environment evolves differs from current expectations, resulting in the need to quickly and materially change our plans, and the risks described above with respect to any associated changes in such plans.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and Related Regulatory Risks</w:t>
      </w:r>
    </w:p>
    <w:p>
      <w:pPr>
        <w:spacing w:after="0" w:line="260"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b w:val="1"/>
          <w:bCs w:val="1"/>
          <w:i w:val="1"/>
          <w:iCs w:val="1"/>
          <w:color w:val="auto"/>
        </w:rPr>
        <w:t>We have material pension liabilities that can fluctuate significantly and adversely affect our financial position or net income or result in other financial impacts.</w:t>
      </w:r>
    </w:p>
    <w:p>
      <w:pPr>
        <w:spacing w:after="0" w:line="201"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We have material pension liabilities, some of which represent unfunded and underfunded pension and postretirement liabilities. Movements in the interest rate environment, investment returns, inflation, changes in other assumptions that are used to estimate our benefit obligations, changes to existing legislation or interpretation thereof, the outcome of current or future litigation, and other factors could have a material effect on the level of liabilities in these pension plans and schemes at any given time. Most pension plans and schemes have minimum funding requirements that may require material amounts of periodic additional funding and accounting requirements that may result in increased pension expense. Depending on the foregoing factors, among others, we could be required to recognize further pension expense in the future. Increased pension expense could adversely affect our earnings or cause earnings volatility. In addition, the need to make additional cash contributions may reduce our financial flexibility and increase liquidity risk by reducing the cash available to meet our other obligations, including the payment obligations under our credit facilities and other long-term debt or other needs of our business.</w:t>
      </w:r>
    </w:p>
    <w:p>
      <w:pPr>
        <w:spacing w:after="0" w:line="169" w:lineRule="exact"/>
        <w:rPr>
          <w:sz w:val="20"/>
          <w:szCs w:val="20"/>
          <w:color w:val="auto"/>
        </w:rPr>
      </w:pPr>
    </w:p>
    <w:p>
      <w:pPr>
        <w:ind w:right="300"/>
        <w:spacing w:after="0" w:line="302" w:lineRule="auto"/>
        <w:rPr>
          <w:sz w:val="20"/>
          <w:szCs w:val="20"/>
          <w:color w:val="auto"/>
        </w:rPr>
      </w:pPr>
      <w:r>
        <w:rPr>
          <w:rFonts w:ascii="Arial" w:cs="Arial" w:eastAsia="Arial" w:hAnsi="Arial"/>
          <w:sz w:val="20"/>
          <w:szCs w:val="20"/>
          <w:b w:val="1"/>
          <w:bCs w:val="1"/>
          <w:i w:val="1"/>
          <w:iCs w:val="1"/>
          <w:color w:val="auto"/>
        </w:rPr>
        <w:t>Our outstanding debt could adversely affect our cash flows and financial flexibility, and we may not be able to obtain financing on favorable terms or at all.</w:t>
      </w:r>
    </w:p>
    <w:p>
      <w:pPr>
        <w:spacing w:after="0" w:line="201" w:lineRule="exact"/>
        <w:rPr>
          <w:sz w:val="20"/>
          <w:szCs w:val="20"/>
          <w:color w:val="auto"/>
        </w:rPr>
      </w:pPr>
    </w:p>
    <w:p>
      <w:pPr>
        <w:ind w:right="520"/>
        <w:spacing w:after="0" w:line="302" w:lineRule="auto"/>
        <w:rPr>
          <w:sz w:val="20"/>
          <w:szCs w:val="20"/>
          <w:color w:val="auto"/>
        </w:rPr>
      </w:pPr>
      <w:r>
        <w:rPr>
          <w:rFonts w:ascii="Arial" w:cs="Arial" w:eastAsia="Arial" w:hAnsi="Arial"/>
          <w:sz w:val="20"/>
          <w:szCs w:val="20"/>
          <w:color w:val="auto"/>
        </w:rPr>
        <w:t>WTW had total consolidated debt outstanding of approximately $6.3 billion as of December 31, 2025, and our related interest expense was $259 million for the year ended December 31, 2025.</w:t>
      </w:r>
    </w:p>
    <w:p>
      <w:pPr>
        <w:spacing w:after="0" w:line="201" w:lineRule="exact"/>
        <w:rPr>
          <w:sz w:val="20"/>
          <w:szCs w:val="20"/>
          <w:color w:val="auto"/>
        </w:rPr>
      </w:pPr>
    </w:p>
    <w:p>
      <w:pPr>
        <w:spacing w:after="0" w:line="302" w:lineRule="auto"/>
        <w:rPr>
          <w:sz w:val="20"/>
          <w:szCs w:val="20"/>
          <w:color w:val="auto"/>
        </w:rPr>
      </w:pPr>
      <w:r>
        <w:rPr>
          <w:rFonts w:ascii="Arial" w:cs="Arial" w:eastAsia="Arial" w:hAnsi="Arial"/>
          <w:sz w:val="20"/>
          <w:szCs w:val="20"/>
          <w:color w:val="auto"/>
        </w:rPr>
        <w:t>Although management believes that our cash flows will be sufficient to service this debt, there may be circumstances in which required payments of principal and/or interest on this level of indebtedness may:</w:t>
      </w:r>
    </w:p>
    <w:p>
      <w:pPr>
        <w:spacing w:after="0" w:line="247" w:lineRule="exact"/>
        <w:rPr>
          <w:sz w:val="20"/>
          <w:szCs w:val="20"/>
          <w:color w:val="auto"/>
        </w:rPr>
      </w:pPr>
    </w:p>
    <w:p>
      <w:pPr>
        <w:ind w:left="620" w:right="280" w:hanging="313"/>
        <w:spacing w:after="0" w:line="396" w:lineRule="auto"/>
        <w:tabs>
          <w:tab w:leader="none" w:pos="6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require us to dedicate a significant portion of our cash flow to payments on our debt, thereby reducing the availability of cash flow to fund capital expenditures, to pursue other acquisitions or investments, to buy back Company shares, to pay dividends and for general corporate purposes;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72 / 87</w:t>
      </w:r>
    </w:p>
    <w:p>
      <w:pPr>
        <w:sectPr>
          <w:pgSz w:w="11900" w:h="16838" w:orient="portrait"/>
          <w:cols w:equalWidth="0" w:num="1">
            <w:col w:w="9360"/>
          </w:cols>
          <w:pgMar w:left="1260" w:top="1440" w:right="1286" w:bottom="0" w:gutter="0" w:footer="0" w:header="0"/>
          <w:type w:val="continuous"/>
        </w:sectPr>
      </w:pPr>
    </w:p>
    <w:bookmarkStart w:id="72" w:name="page73"/>
    <w:bookmarkEnd w:id="72"/>
    <w:p>
      <w:pPr>
        <w:ind w:left="620" w:hanging="313"/>
        <w:spacing w:after="0"/>
        <w:tabs>
          <w:tab w:leader="none" w:pos="6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limit our flexibility in reacting to changes or challenges relating to our business and industry; and</w:t>
      </w:r>
    </w:p>
    <w:p>
      <w:pPr>
        <w:spacing w:after="0" w:line="319" w:lineRule="exact"/>
        <w:rPr>
          <w:rFonts w:ascii="Arial" w:cs="Arial" w:eastAsia="Arial" w:hAnsi="Arial"/>
          <w:sz w:val="20"/>
          <w:szCs w:val="20"/>
          <w:color w:val="auto"/>
        </w:rPr>
      </w:pPr>
    </w:p>
    <w:p>
      <w:pPr>
        <w:ind w:left="620" w:right="640" w:hanging="313"/>
        <w:spacing w:after="0" w:line="365" w:lineRule="auto"/>
        <w:tabs>
          <w:tab w:leader="none" w:pos="6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put us at a competitive disadvantage against competitors who have less indebtedness or are in a more favorable position to access additional capital resources.</w:t>
      </w:r>
    </w:p>
    <w:p>
      <w:pPr>
        <w:spacing w:after="0" w:line="155" w:lineRule="exact"/>
        <w:rPr>
          <w:sz w:val="20"/>
          <w:szCs w:val="20"/>
          <w:color w:val="auto"/>
        </w:rPr>
      </w:pPr>
    </w:p>
    <w:p>
      <w:pPr>
        <w:spacing w:after="0" w:line="311" w:lineRule="auto"/>
        <w:rPr>
          <w:sz w:val="20"/>
          <w:szCs w:val="20"/>
          <w:color w:val="auto"/>
        </w:rPr>
      </w:pPr>
      <w:r>
        <w:rPr>
          <w:rFonts w:ascii="Arial" w:cs="Arial" w:eastAsia="Arial" w:hAnsi="Arial"/>
          <w:sz w:val="20"/>
          <w:szCs w:val="20"/>
          <w:color w:val="auto"/>
        </w:rPr>
        <w:t>The terms of our current financings also include certain limitations. For example, the agreements relating to our debt arrangements and our revolving credit facility contain numerous operating and financial covenants, including requirements to maintain minimum ratios of consolidated EBITDA to consolidated cash interest expense and maximum levels of consolidated funded indebtedness to consolidated EBITDA, in each case subject to certain adjustments. The operating restrictions and financial covenants in our credit facility do, and any future financing agreements may, limit our ability to finance future operations or capital needs or to engage in other business activities.</w:t>
      </w:r>
    </w:p>
    <w:p>
      <w:pPr>
        <w:spacing w:after="0" w:line="194" w:lineRule="exact"/>
        <w:rPr>
          <w:sz w:val="20"/>
          <w:szCs w:val="20"/>
          <w:color w:val="auto"/>
        </w:rPr>
      </w:pPr>
    </w:p>
    <w:p>
      <w:pPr>
        <w:ind w:right="100"/>
        <w:spacing w:after="0" w:line="351" w:lineRule="auto"/>
        <w:rPr>
          <w:sz w:val="20"/>
          <w:szCs w:val="20"/>
          <w:color w:val="auto"/>
        </w:rPr>
      </w:pPr>
      <w:r>
        <w:rPr>
          <w:rFonts w:ascii="Arial" w:cs="Arial" w:eastAsia="Arial" w:hAnsi="Arial"/>
          <w:sz w:val="18"/>
          <w:szCs w:val="18"/>
          <w:color w:val="auto"/>
        </w:rPr>
        <w:t>A failure to comply with the restrictions under our credit facility and outstanding notes could result in a default or a cross-default under the financing obligations or could require us to obtain waivers from our lenders or noteholders, as applicable, for failure to comply with these restrictions. The occurrence of a default that is not cured, or the inability to secure a necessary consent or waiver, could cause our obligations with respect to our debt to be accelerated and have a material adverse effect on our business, financial condition or results of operations.</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388"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73 / 87</w:t>
      </w:r>
    </w:p>
    <w:p>
      <w:pPr>
        <w:sectPr>
          <w:pgSz w:w="11900" w:h="16838" w:orient="portrait"/>
          <w:cols w:equalWidth="0" w:num="1">
            <w:col w:w="9340"/>
          </w:cols>
          <w:pgMar w:left="1260" w:top="1388" w:right="1306" w:bottom="0" w:gutter="0" w:footer="0" w:header="0"/>
          <w:type w:val="continuous"/>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The maintenance and growth of our business depend on our access to capital, which will depend in large part on cash flow generated by our business and the availability of equity and debt financing. Also, we could be at risk to rising interest rates in the future to the extent that we borrow at floating rates under our existing borrowing agreements or refinance existing debt at higher rates. There can be no assurance that our operations will generate sufficient positive cash flow to finance all of our capital needs or that we will be able to obtain equity or debt financing on favorable terms or at all, which could have a material adverse effect on us.</w:t>
      </w:r>
    </w:p>
    <w:p>
      <w:pPr>
        <w:spacing w:after="0" w:line="183"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b w:val="1"/>
          <w:bCs w:val="1"/>
          <w:i w:val="1"/>
          <w:iCs w:val="1"/>
          <w:color w:val="auto"/>
        </w:rPr>
        <w:t>A downgrade to our corporate credit rating, the credit ratings of our outstanding debt or other market speculation may adversely affect our borrowing costs and financial flexibility and, under certain circumstances, may require us to offer to buy back some of our outstanding debt.</w:t>
      </w:r>
    </w:p>
    <w:p>
      <w:pPr>
        <w:spacing w:after="0" w:line="197"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A downgrade in our corporate credit rating or the credit ratings of our debt would increase our borrowing costs, including those under our credit facility, and reduce our financial flexibility. Real or anticipated changes in our credit ratings will generally affect any trading market for, or trading value of, our securities. Such changes could result from any number of factors, including the modification by a credit rating agency of the criteria or methodology it applies to particular issuers, a change in the agency’s view of us or our industry, or as a consequence of actions we take to implement our corporate strategies. If we need to raise capital in the future, any credit rating downgrade could negatively affect our financing costs or access to financing sources. A change in our credit rating could also adversely impact our competitive position.</w:t>
      </w:r>
    </w:p>
    <w:p>
      <w:pPr>
        <w:spacing w:after="0" w:line="184"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In addition, under the indentures for our 4.400% senior notes due 2026, our 4.650% senior notes due 2027, our 4.500% senior notes due 2028, our 2.950% senior notes due 2029, our 4.550% senior notes due 2031, our 5.350% senior notes due 2033, our 5.150% senior notes due 2036, our 6.125% senior notes due 2043, our 5.050% senior notes due 2048, our 3.875% senior notes due 2049 and our 5.900% senior notes due 2054, if we experience a ratings decline together with a change of control event, we would be required to offer to purchase these notes from holders unless we had previously redeemed those notes. We may not have sufficient funds available or access to funding to repurchase tendered notes in the event of a ratings decline together with a change of control event, which could result in a default under the notes. Any future debt that we incur may contain covenants regarding, among other things, repurchases in the event of a change of control triggering event.</w:t>
      </w:r>
    </w:p>
    <w:p>
      <w:pPr>
        <w:spacing w:after="0" w:line="171" w:lineRule="exact"/>
        <w:rPr>
          <w:sz w:val="20"/>
          <w:szCs w:val="20"/>
          <w:color w:val="auto"/>
        </w:rPr>
      </w:pPr>
    </w:p>
    <w:p>
      <w:pPr>
        <w:ind w:right="480"/>
        <w:spacing w:after="0" w:line="302" w:lineRule="auto"/>
        <w:rPr>
          <w:sz w:val="20"/>
          <w:szCs w:val="20"/>
          <w:color w:val="auto"/>
        </w:rPr>
      </w:pPr>
      <w:r>
        <w:rPr>
          <w:rFonts w:ascii="Arial" w:cs="Arial" w:eastAsia="Arial" w:hAnsi="Arial"/>
          <w:sz w:val="20"/>
          <w:szCs w:val="20"/>
          <w:b w:val="1"/>
          <w:bCs w:val="1"/>
          <w:i w:val="1"/>
          <w:iCs w:val="1"/>
          <w:color w:val="auto"/>
        </w:rPr>
        <w:t>Our significant non-U.S. operations, particularly our London market operations, expose us to exchange rate fluctuations and various other risks that could impact our business.</w:t>
      </w:r>
    </w:p>
    <w:p>
      <w:pPr>
        <w:spacing w:after="0" w:line="201" w:lineRule="exact"/>
        <w:rPr>
          <w:sz w:val="20"/>
          <w:szCs w:val="20"/>
          <w:color w:val="auto"/>
        </w:rPr>
      </w:pPr>
    </w:p>
    <w:p>
      <w:pPr>
        <w:ind w:right="80"/>
        <w:spacing w:after="0" w:line="311" w:lineRule="auto"/>
        <w:rPr>
          <w:sz w:val="20"/>
          <w:szCs w:val="20"/>
          <w:color w:val="auto"/>
        </w:rPr>
      </w:pPr>
      <w:r>
        <w:rPr>
          <w:rFonts w:ascii="Arial" w:cs="Arial" w:eastAsia="Arial" w:hAnsi="Arial"/>
          <w:sz w:val="20"/>
          <w:szCs w:val="20"/>
          <w:color w:val="auto"/>
        </w:rPr>
        <w:t>A significant portion of our operations is conducted outside of the U.S. Accordingly, we are subject to legal, economic and market risks associated with operating in foreign countries, including devaluations and fluctuations in currency exchange rates; imposition of limitations on conversion of foreign currencies into Pounds sterling or U.S. dollars or remittance of dividends and other payments by foreign subsidiaries; hyperinflation in certain foreign countries; adverse or unexpected impacts of fiscal and monetary policies of foreign countries; imposition or increase of investment and other restrictions by foreign governments; and the requirement of complying with a wide variety of foreign laws.</w:t>
      </w:r>
    </w:p>
    <w:p>
      <w:pPr>
        <w:spacing w:after="0" w:line="194" w:lineRule="exact"/>
        <w:rPr>
          <w:sz w:val="20"/>
          <w:szCs w:val="20"/>
          <w:color w:val="auto"/>
        </w:rPr>
      </w:pPr>
    </w:p>
    <w:p>
      <w:pPr>
        <w:ind w:right="240"/>
        <w:spacing w:after="0" w:line="352" w:lineRule="auto"/>
        <w:rPr>
          <w:sz w:val="20"/>
          <w:szCs w:val="20"/>
          <w:color w:val="auto"/>
        </w:rPr>
      </w:pPr>
      <w:r>
        <w:rPr>
          <w:rFonts w:ascii="Arial" w:cs="Arial" w:eastAsia="Arial" w:hAnsi="Arial"/>
          <w:sz w:val="18"/>
          <w:szCs w:val="18"/>
          <w:color w:val="auto"/>
        </w:rPr>
        <w:t>We report our operating results and financial condition in U.S. dollars. Our U.S. operations earn revenue and incur expenses primarily in U.S. dollars. In our London market operations however, we earn revenue in a number of different currencies, but expenses are almost entirely incurred in Pounds sterling. Outside of the U.S. and our London market operations, we predominantly generate revenue and expenses in local currencies.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74 / 87</w:t>
      </w:r>
    </w:p>
    <w:p>
      <w:pPr>
        <w:sectPr>
          <w:pgSz w:w="11900" w:h="16838" w:orient="portrait"/>
          <w:cols w:equalWidth="0" w:num="1">
            <w:col w:w="9400"/>
          </w:cols>
          <w:pgMar w:left="1260" w:top="1440" w:right="1246" w:bottom="0" w:gutter="0" w:footer="0" w:header="0"/>
          <w:type w:val="continuous"/>
        </w:sectPr>
      </w:pPr>
    </w:p>
    <w:bookmarkStart w:id="74" w:name="page75"/>
    <w:bookmarkEnd w:id="74"/>
    <w:p>
      <w:pPr>
        <w:spacing w:after="0" w:line="350" w:lineRule="auto"/>
        <w:rPr>
          <w:sz w:val="20"/>
          <w:szCs w:val="20"/>
          <w:color w:val="auto"/>
        </w:rPr>
      </w:pPr>
      <w:r>
        <w:rPr>
          <w:rFonts w:ascii="Arial" w:cs="Arial" w:eastAsia="Arial" w:hAnsi="Arial"/>
          <w:sz w:val="18"/>
          <w:szCs w:val="18"/>
          <w:color w:val="auto"/>
        </w:rPr>
        <w:t>Because of devaluations and fluctuations in currency exchange rates or the imposition of limitations on conversion of foreign currencies into U.S. dollars, we are subject to currency translation exposure on the profits of our operations, in addition to economic exposure. Furthermore, the mismatch between Pounds sterling revenue and expenses, together with any net Pounds sterling balance sheet position we hold in our U.S. dollar-denominated London market operations, creates an exchange exposure. While we do utilize hedging strategies to attempt to reduce the impact of foreign currency fluctuations, there can be no assurance that our hedging strategies will be effective.</w:t>
      </w:r>
    </w:p>
    <w:p>
      <w:pPr>
        <w:spacing w:after="0" w:line="169" w:lineRule="exact"/>
        <w:rPr>
          <w:sz w:val="20"/>
          <w:szCs w:val="20"/>
          <w:color w:val="auto"/>
        </w:rPr>
      </w:pPr>
    </w:p>
    <w:p>
      <w:pPr>
        <w:ind w:right="400"/>
        <w:spacing w:after="0" w:line="302" w:lineRule="auto"/>
        <w:rPr>
          <w:sz w:val="20"/>
          <w:szCs w:val="20"/>
          <w:color w:val="auto"/>
        </w:rPr>
      </w:pPr>
      <w:r>
        <w:rPr>
          <w:rFonts w:ascii="Arial" w:cs="Arial" w:eastAsia="Arial" w:hAnsi="Arial"/>
          <w:sz w:val="20"/>
          <w:szCs w:val="20"/>
          <w:b w:val="1"/>
          <w:bCs w:val="1"/>
          <w:i w:val="1"/>
          <w:iCs w:val="1"/>
          <w:color w:val="auto"/>
        </w:rPr>
        <w:t>Changes in accounting principles or in our accounting estimates and assumptions could negatively affect our financial position and results of operations.</w:t>
      </w:r>
    </w:p>
    <w:p>
      <w:pPr>
        <w:spacing w:after="0" w:line="201" w:lineRule="exact"/>
        <w:rPr>
          <w:sz w:val="20"/>
          <w:szCs w:val="20"/>
          <w:color w:val="auto"/>
        </w:rPr>
      </w:pPr>
    </w:p>
    <w:p>
      <w:pPr>
        <w:ind w:right="880"/>
        <w:spacing w:after="0" w:line="363" w:lineRule="auto"/>
        <w:rPr>
          <w:sz w:val="20"/>
          <w:szCs w:val="20"/>
          <w:color w:val="auto"/>
        </w:rPr>
      </w:pPr>
      <w:r>
        <w:rPr>
          <w:rFonts w:ascii="Arial" w:cs="Arial" w:eastAsia="Arial" w:hAnsi="Arial"/>
          <w:sz w:val="18"/>
          <w:szCs w:val="18"/>
          <w:color w:val="auto"/>
        </w:rPr>
        <w:t>We prepare our financial statements in accordance with U.S. GAAP. Any change to accounting principles, particularly to U.S. GAAP, could have a material adverse effect on us or our results of operations.</w:t>
      </w:r>
    </w:p>
    <w:p>
      <w:pPr>
        <w:spacing w:after="0" w:line="154" w:lineRule="exact"/>
        <w:rPr>
          <w:sz w:val="20"/>
          <w:szCs w:val="20"/>
          <w:color w:val="auto"/>
        </w:rPr>
      </w:pPr>
    </w:p>
    <w:p>
      <w:pPr>
        <w:ind w:right="80"/>
        <w:spacing w:after="0" w:line="350" w:lineRule="auto"/>
        <w:rPr>
          <w:sz w:val="20"/>
          <w:szCs w:val="20"/>
          <w:color w:val="auto"/>
        </w:rPr>
      </w:pPr>
      <w:r>
        <w:rPr>
          <w:rFonts w:ascii="Arial" w:cs="Arial" w:eastAsia="Arial" w:hAnsi="Arial"/>
          <w:sz w:val="18"/>
          <w:szCs w:val="18"/>
          <w:color w:val="auto"/>
        </w:rPr>
        <w:t>U.S. GAAP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 and expenses during each reporting period. We periodically evaluate our estimates and assumptions, including those relating to revenue recognition, valuation of billed and unbilled receivables from clients, discretionary compensation, incurred-but-not-reported liabilities, restructuring, pensions, goodwill and other intangible assets, contingencies, share-based payments and income taxes. We base our estimates on historical experience and various assumptions that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75 / 87</w:t>
      </w:r>
    </w:p>
    <w:p>
      <w:pPr>
        <w:sectPr>
          <w:pgSz w:w="11900" w:h="16838" w:orient="portrait"/>
          <w:cols w:equalWidth="0" w:num="1">
            <w:col w:w="9400"/>
          </w:cols>
          <w:pgMar w:left="1260" w:top="1173" w:right="1246" w:bottom="0" w:gutter="0" w:footer="0" w:header="0"/>
          <w:type w:val="continuous"/>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00"/>
        <w:spacing w:after="0" w:line="307" w:lineRule="auto"/>
        <w:rPr>
          <w:sz w:val="20"/>
          <w:szCs w:val="20"/>
          <w:color w:val="auto"/>
        </w:rPr>
      </w:pPr>
      <w:r>
        <w:rPr>
          <w:rFonts w:ascii="Arial" w:cs="Arial" w:eastAsia="Arial" w:hAnsi="Arial"/>
          <w:sz w:val="20"/>
          <w:szCs w:val="20"/>
          <w:color w:val="auto"/>
        </w:rPr>
        <w:t>we believe to be reasonable based on specific circumstances. Actual results could differ from these estimates, and changes in accounting standards could have an adverse impact on our future financial position and results of operations.</w:t>
      </w:r>
    </w:p>
    <w:p>
      <w:pPr>
        <w:spacing w:after="0" w:line="197" w:lineRule="exact"/>
        <w:rPr>
          <w:sz w:val="20"/>
          <w:szCs w:val="20"/>
          <w:color w:val="auto"/>
        </w:rPr>
      </w:pPr>
    </w:p>
    <w:p>
      <w:pPr>
        <w:ind w:right="20"/>
        <w:spacing w:after="0" w:line="350" w:lineRule="auto"/>
        <w:rPr>
          <w:sz w:val="20"/>
          <w:szCs w:val="20"/>
          <w:color w:val="auto"/>
        </w:rPr>
      </w:pPr>
      <w:r>
        <w:rPr>
          <w:rFonts w:ascii="Arial" w:cs="Arial" w:eastAsia="Arial" w:hAnsi="Arial"/>
          <w:sz w:val="18"/>
          <w:szCs w:val="18"/>
          <w:color w:val="auto"/>
        </w:rPr>
        <w:t>In addition, we have a substantial amount of goodwill on our consolidated balance sheet as a result of acquisitions we have completed. We review goodwill for impairment annually or whenever events or circumstances indicate impairment may have occurred. Application of the impairment test requires judgment, including the identification of reporting units, assignment of assets, liabilities and goodwill to reporting units and the determination of the fair value of each reporting unit. A significant deterioration in a key estimate or assumption or a less significant deterioration to a combination of assumptions, or the sale of a part of a reporting unit, could result in an impairment charge in the future, which could have a significant adverse impact on our reported earnings.</w:t>
      </w:r>
    </w:p>
    <w:p>
      <w:pPr>
        <w:spacing w:after="0" w:line="167"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b w:val="1"/>
          <w:bCs w:val="1"/>
          <w:i w:val="1"/>
          <w:iCs w:val="1"/>
          <w:color w:val="auto"/>
        </w:rPr>
        <w:t>Our quarterly revenue and cash flow could fluctuate, including as a result of factors outside of our control, while our expenses may remain relatively fixed or be higher than expected.</w:t>
      </w:r>
    </w:p>
    <w:p>
      <w:pPr>
        <w:spacing w:after="0" w:line="201"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Quarterly variations in our revenue, cash flow and results of operations have occurred in the past and could occur as a result of a number of factors, such as: the significance of client engagements commenced and completed during a quarter; seasonality of certain types of services; the number of business days in a quarter; colleague hiring and utilization rates; our clients’ ability to terminate engagements without penalty; the size and scope of assignments; our ability to enhance our billing, collection and working capital management efforts; differences in timing of renewals; duration and timing of large scale projects on quarterly revenue; non-recurring revenue from disposals and book-of-business sales; and general economic conditions.</w:t>
      </w:r>
    </w:p>
    <w:p>
      <w:pPr>
        <w:spacing w:after="0" w:line="183" w:lineRule="exact"/>
        <w:rPr>
          <w:sz w:val="20"/>
          <w:szCs w:val="20"/>
          <w:color w:val="auto"/>
        </w:rPr>
      </w:pPr>
    </w:p>
    <w:p>
      <w:pPr>
        <w:spacing w:after="0" w:line="348" w:lineRule="auto"/>
        <w:rPr>
          <w:sz w:val="20"/>
          <w:szCs w:val="20"/>
          <w:color w:val="auto"/>
        </w:rPr>
      </w:pPr>
      <w:r>
        <w:rPr>
          <w:rFonts w:ascii="Arial" w:cs="Arial" w:eastAsia="Arial" w:hAnsi="Arial"/>
          <w:sz w:val="18"/>
          <w:szCs w:val="18"/>
          <w:color w:val="auto"/>
        </w:rPr>
        <w:t>We derive significant revenue from commissions for brokerage services, but do not determine the insurance premiums on which our commissions are generally based. Commission levels generally follow the same trend as premium levels, as they are a percentage of the premiums paid by the insureds. Fluctuations in the premiums charged by the insurance carriers can therefore have a direct and potentially material impact on our results of operations. Due to the cyclical nature of the insurance market and the impact of other market conditions on insurance premiums, commission levels may vary widely between accounting periods. A period of low or declining premium rates, generally known as a ‘soft’ or ‘softening’ market, generally leads to downward pressure on commission revenue and can have a material adverse impact on our commission revenue and operating margin. Soft market conditions across certain sectors and geographic regions would negatively impact our business. In addition, insurance carriers may seek to reduce their expenses by reducing the commission rates payable to insurance agents or brokers such as us. The reduction of these commission rates, along with general volatility and/or declines in premiums, may significantly undermine our profitability. Because we do not determine the timing or extent of premium pricing changes, it is difficult to accurately forecast our commission revenue, including whether they will significantly decline. As a result, we may have to adjust our plans for future acquisitions, capital expenditures, dividend payments, loan repayments and other expenditures to account for unexpected changes in revenue, and any decreases in premium rates may adversely affect the results of our operations.</w:t>
      </w:r>
    </w:p>
    <w:p>
      <w:pPr>
        <w:spacing w:after="0" w:line="178" w:lineRule="exact"/>
        <w:rPr>
          <w:sz w:val="20"/>
          <w:szCs w:val="20"/>
          <w:color w:val="auto"/>
        </w:rPr>
      </w:pPr>
    </w:p>
    <w:p>
      <w:pPr>
        <w:ind w:right="100"/>
        <w:spacing w:after="0" w:line="375" w:lineRule="auto"/>
        <w:rPr>
          <w:sz w:val="20"/>
          <w:szCs w:val="20"/>
          <w:color w:val="auto"/>
        </w:rPr>
      </w:pPr>
      <w:r>
        <w:rPr>
          <w:rFonts w:ascii="Arial" w:cs="Arial" w:eastAsia="Arial" w:hAnsi="Arial"/>
          <w:sz w:val="17"/>
          <w:szCs w:val="17"/>
          <w:color w:val="auto"/>
        </w:rPr>
        <w:t>In addition to movements in premium rates, our ability to generate premium-based commission revenue may be challenged by disintermediation and the growing availability of alternative methods for clients to meet their risk-protection needs. This trend includes a greater willingness on the part of corporations to self-insure, the use of captive insurers, and the presence of capital markets-based solutions for traditional insurance and reinsurance needs. Further, the profitability of our risk and broking businesses depends in part on our ability to be compensated for the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76 / 87</w:t>
      </w:r>
    </w:p>
    <w:p>
      <w:pPr>
        <w:sectPr>
          <w:pgSz w:w="11900" w:h="16838" w:orient="portrait"/>
          <w:cols w:equalWidth="0" w:num="1">
            <w:col w:w="9400"/>
          </w:cols>
          <w:pgMar w:left="1260" w:top="1440" w:right="1246" w:bottom="0" w:gutter="0" w:footer="0" w:header="0"/>
          <w:type w:val="continuous"/>
        </w:sectPr>
      </w:pPr>
    </w:p>
    <w:bookmarkStart w:id="76" w:name="page77"/>
    <w:bookmarkEnd w:id="76"/>
    <w:p>
      <w:pPr>
        <w:ind w:right="120"/>
        <w:spacing w:after="0" w:line="307" w:lineRule="auto"/>
        <w:rPr>
          <w:sz w:val="20"/>
          <w:szCs w:val="20"/>
          <w:color w:val="auto"/>
        </w:rPr>
      </w:pPr>
      <w:r>
        <w:rPr>
          <w:rFonts w:ascii="Arial" w:cs="Arial" w:eastAsia="Arial" w:hAnsi="Arial"/>
          <w:sz w:val="20"/>
          <w:szCs w:val="20"/>
          <w:color w:val="auto"/>
        </w:rPr>
        <w:t>analytical services and other advice that we provide, including the consulting and analytics services that we provide to insurers. If we are unable to achieve and maintain adequate billing rates for all of our services, our margins and profitability could decline.</w:t>
      </w:r>
    </w:p>
    <w:p>
      <w:pPr>
        <w:spacing w:after="0" w:line="197" w:lineRule="exact"/>
        <w:rPr>
          <w:sz w:val="20"/>
          <w:szCs w:val="20"/>
          <w:color w:val="auto"/>
        </w:rPr>
      </w:pPr>
    </w:p>
    <w:p>
      <w:pPr>
        <w:spacing w:after="0" w:line="371" w:lineRule="auto"/>
        <w:rPr>
          <w:sz w:val="20"/>
          <w:szCs w:val="20"/>
          <w:color w:val="auto"/>
        </w:rPr>
      </w:pPr>
      <w:r>
        <w:rPr>
          <w:rFonts w:ascii="Arial" w:cs="Arial" w:eastAsia="Arial" w:hAnsi="Arial"/>
          <w:sz w:val="17"/>
          <w:szCs w:val="17"/>
          <w:color w:val="auto"/>
        </w:rPr>
        <w:t>We account for certain joint ventures or other significant investments in businesses under the equity method of accounting. This means that our share of net income or loss in the investee increases or decreases, as applicable, the carrying value of the investment. By operating a business through this arrangement, we do not have the same level of control over operating decisions as we would if we owned the business outright. We generally recognize these types of equity method investments within other assets on the consolidated balance sheets and their proportionate share of earnings in interest in earnings of associates, net of tax in the consolidated statements of operations. Where we have significant operating losses and a required minimum funding agreement in place, we recognize a liability for these losses which cannot exceed the remaining required minimum funding. As a result, the amount of net equity income or loss recognized from these investments can vary substantially from period to period. Any losses experienced by these entities could cause significant variations in our quarterly operating results and the value of our investment.</w:t>
      </w:r>
    </w:p>
    <w:p>
      <w:pPr>
        <w:spacing w:after="0" w:line="158" w:lineRule="exact"/>
        <w:rPr>
          <w:sz w:val="20"/>
          <w:szCs w:val="20"/>
          <w:color w:val="auto"/>
        </w:rPr>
      </w:pPr>
    </w:p>
    <w:p>
      <w:pPr>
        <w:ind w:right="100"/>
        <w:spacing w:after="0" w:line="350" w:lineRule="auto"/>
        <w:rPr>
          <w:sz w:val="20"/>
          <w:szCs w:val="20"/>
          <w:color w:val="auto"/>
        </w:rPr>
      </w:pPr>
      <w:r>
        <w:rPr>
          <w:rFonts w:ascii="Arial" w:cs="Arial" w:eastAsia="Arial" w:hAnsi="Arial"/>
          <w:sz w:val="18"/>
          <w:szCs w:val="18"/>
          <w:color w:val="auto"/>
        </w:rPr>
        <w:t>A sizeable portion of our total operating expenses is relatively fixed or may even be higher than expected, encompassing the majority of administrative, occupancy, communications and other expenses, depreciation and amortization, and salaries and employee benefits excluding fiscal year-end incentive bonuses. Therefore, a variation in the number of client assignments and collection of accounts receivable, or in the timing of the initiation or the completion of client assignments, or our inability to forecast demand, can cause significant variations in quarterly operating results and could result in losses and volatility in the price of our ordinary shares.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 / 87</w:t>
      </w:r>
    </w:p>
    <w:p>
      <w:pPr>
        <w:sectPr>
          <w:pgSz w:w="11900" w:h="16838" w:orient="portrait"/>
          <w:cols w:equalWidth="0" w:num="1">
            <w:col w:w="9380"/>
          </w:cols>
          <w:pgMar w:left="1260" w:top="1173" w:right="1266" w:bottom="0" w:gutter="0" w:footer="0" w:header="0"/>
          <w:type w:val="continuous"/>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80"/>
        <w:spacing w:after="0" w:line="302" w:lineRule="auto"/>
        <w:rPr>
          <w:sz w:val="20"/>
          <w:szCs w:val="20"/>
          <w:color w:val="auto"/>
        </w:rPr>
      </w:pPr>
      <w:r>
        <w:rPr>
          <w:rFonts w:ascii="Arial" w:cs="Arial" w:eastAsia="Arial" w:hAnsi="Arial"/>
          <w:sz w:val="20"/>
          <w:szCs w:val="20"/>
          <w:b w:val="1"/>
          <w:bCs w:val="1"/>
          <w:i w:val="1"/>
          <w:iCs w:val="1"/>
          <w:color w:val="auto"/>
        </w:rPr>
        <w:t>We are a holding company and therefore, may not be able to receive dividends or other distributions in needed amounts from our subsidiaries.</w:t>
      </w:r>
    </w:p>
    <w:p>
      <w:pPr>
        <w:spacing w:after="0" w:line="201"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The Company is organized as a holding company, a legal entity that is separate and distinct from our operating subsidiaries. As a holding company without significant operations of our own, we are dependent upon dividends and other payments from our operating subsidiaries to meet our obligations for paying principal and interest on outstanding debt obligations, for paying dividends to shareholders, for repurchasing our ordinary shares and for corporate expenses. Legal and regulatory restrictions, foreign exchange controls, as well as operating requirements of our subsidiaries, may limit our ability to obtain cash from these subsidiaries. For example, Willis Limited, our U.K. brokerage subsidiary regulated by the FCA, is currently required to maintain $100 million in unencumbered and available financial resources, of which at least $53 million must be in cash, for regulatory purposes. In the event our operating subsidiaries are unable to pay dividends and other payments to the Company, we may not be able to service debt, pay obligations or pay dividends on, or repurchase, our ordinary shares. In the event we are unable to generate cash from our operating subsidiaries for any of the reasons discussed above, our overall liquidity could deteriorate.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Tax Risks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U.S. person is treated as owning at least 10% of our shares, such a holder may be subject to adverse U.S.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federal income tax consequences.</w:t>
      </w:r>
    </w:p>
    <w:p>
      <w:pPr>
        <w:spacing w:after="0" w:line="260"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Under current U.S. federal tax law, many of our non-U.S. subsidiaries are now classified as ‘controlled foreign corporations’ (‘CFCs’) for U.S. federal income tax purposes due to the expanded application of certain ownership attribution rules within a multinational corporate group. If a U.S. person is treated as owning (directly, indirectly or constructively) at least 10% of the value or voting power of our shares, such a person may be treated as a U.S. shareholder with respect to one or more of our CFC subsidiaries. In addition, if our shares are treated as owned more than 50% by U.S. shareholders, we would be treated as a CFC. A U.S. shareholder of a CFC may be required to annually report and include in its U.S. taxable income, as ordinary income, its pro-rata share of Subpart F income, global intangible low-taxed income, and investments in U.S. property by CFCs, whether or not we make any distributions to such U.S. shareholder. An individual U.S. shareholder generally would not be allowed certain tax deductions or foreign tax credits that would be allowed to a corporate U.S. shareholder with respect to a CFC. A failure by a U.S. shareholder to comply with its reporting obligations may subject the U.S. shareholder to significant monetary penalties and may extend the statute of limitations with respect to the U.S. shareholder’s U.S. federal income tax return for the year for which such reporting was due. We cannot provide any assurances that we will assist investors in determining whether we or any of our non-U.S. subsidiaries are CFCs or whether any investor is a U.S. shareholder with respect to any such CFCs. We also cannot guarantee that we will furnish to U.S. shareholders any or all of the information that may be necessary for them to comply with the aforementioned obligations. U.S. investors should consult their own advisors regarding the potential application of these rules to their investments in us.</w:t>
      </w:r>
    </w:p>
    <w:p>
      <w:pPr>
        <w:spacing w:after="0" w:line="189" w:lineRule="exact"/>
        <w:rPr>
          <w:sz w:val="20"/>
          <w:szCs w:val="20"/>
          <w:color w:val="auto"/>
        </w:rPr>
      </w:pPr>
    </w:p>
    <w:p>
      <w:pPr>
        <w:ind w:right="560"/>
        <w:spacing w:after="0" w:line="302" w:lineRule="auto"/>
        <w:rPr>
          <w:sz w:val="20"/>
          <w:szCs w:val="20"/>
          <w:color w:val="auto"/>
        </w:rPr>
      </w:pPr>
      <w:r>
        <w:rPr>
          <w:rFonts w:ascii="Arial" w:cs="Arial" w:eastAsia="Arial" w:hAnsi="Arial"/>
          <w:sz w:val="20"/>
          <w:szCs w:val="20"/>
          <w:b w:val="1"/>
          <w:bCs w:val="1"/>
          <w:i w:val="1"/>
          <w:iCs w:val="1"/>
          <w:color w:val="auto"/>
        </w:rPr>
        <w:t>Legislative or regulatory action or developments in case law in the U.S. or elsewhere could have a material adverse impact on our worldwide effective corporate tax rate.</w:t>
      </w:r>
    </w:p>
    <w:p>
      <w:pPr>
        <w:spacing w:after="0" w:line="201" w:lineRule="exact"/>
        <w:rPr>
          <w:sz w:val="20"/>
          <w:szCs w:val="20"/>
          <w:color w:val="auto"/>
        </w:rPr>
      </w:pPr>
    </w:p>
    <w:p>
      <w:pPr>
        <w:ind w:right="80"/>
        <w:spacing w:after="0" w:line="307" w:lineRule="auto"/>
        <w:rPr>
          <w:sz w:val="20"/>
          <w:szCs w:val="20"/>
          <w:color w:val="auto"/>
        </w:rPr>
      </w:pPr>
      <w:r>
        <w:rPr>
          <w:rFonts w:ascii="Arial" w:cs="Arial" w:eastAsia="Arial" w:hAnsi="Arial"/>
          <w:sz w:val="20"/>
          <w:szCs w:val="20"/>
          <w:color w:val="auto"/>
        </w:rPr>
        <w:t>We cannot give any assurance as to what our effective tax rate will be in the future, because of, among other things, uncertainty regarding the tax laws and policies of the jurisdictions where we operate. Our actual effective tax rate may vary from expectations, and that variance may be material.</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78 / 87</w:t>
      </w:r>
    </w:p>
    <w:p>
      <w:pPr>
        <w:sectPr>
          <w:pgSz w:w="11900" w:h="16838" w:orient="portrait"/>
          <w:cols w:equalWidth="0" w:num="1">
            <w:col w:w="9340"/>
          </w:cols>
          <w:pgMar w:left="1260" w:top="1440" w:right="1306" w:bottom="0" w:gutter="0" w:footer="0" w:header="0"/>
          <w:type w:val="continuous"/>
        </w:sectPr>
      </w:pPr>
    </w:p>
    <w:bookmarkStart w:id="78" w:name="page79"/>
    <w:bookmarkEnd w:id="78"/>
    <w:p>
      <w:pPr>
        <w:ind w:right="20"/>
        <w:spacing w:after="0" w:line="309" w:lineRule="auto"/>
        <w:rPr>
          <w:sz w:val="20"/>
          <w:szCs w:val="20"/>
          <w:color w:val="auto"/>
        </w:rPr>
      </w:pPr>
      <w:r>
        <w:rPr>
          <w:rFonts w:ascii="Arial" w:cs="Arial" w:eastAsia="Arial" w:hAnsi="Arial"/>
          <w:sz w:val="20"/>
          <w:szCs w:val="20"/>
          <w:color w:val="auto"/>
        </w:rPr>
        <w:t>The tax laws of Ireland and other jurisdictions could change in the future. There may be an enactment of additional, or the revision of existing, state, federal and/or non-U.S. regulatory and tax laws, and/or a development of case law, regulations and policy changes in the jurisdictions in which we operate. Any such changes could cause a material change in our effective tax rate.</w:t>
      </w:r>
    </w:p>
    <w:p>
      <w:pPr>
        <w:spacing w:after="0" w:line="196" w:lineRule="exact"/>
        <w:rPr>
          <w:sz w:val="20"/>
          <w:szCs w:val="20"/>
          <w:color w:val="auto"/>
        </w:rPr>
      </w:pPr>
    </w:p>
    <w:p>
      <w:pPr>
        <w:ind w:right="300"/>
        <w:spacing w:after="0" w:line="355" w:lineRule="auto"/>
        <w:rPr>
          <w:sz w:val="20"/>
          <w:szCs w:val="20"/>
          <w:color w:val="auto"/>
        </w:rPr>
      </w:pPr>
      <w:r>
        <w:rPr>
          <w:rFonts w:ascii="Arial" w:cs="Arial" w:eastAsia="Arial" w:hAnsi="Arial"/>
          <w:sz w:val="18"/>
          <w:szCs w:val="18"/>
          <w:color w:val="auto"/>
        </w:rPr>
        <w:t>Further, it is possible that taxing authorities may propose significant changes, which, if executed, could limit the availability of tax benefits or deductions that we currently claim, override tax treaties upon which we rely, or otherwise affect the taxes that Ireland, the U.S. or other territories impose on our worldwide operations.</w:t>
      </w:r>
    </w:p>
    <w:p>
      <w:pPr>
        <w:spacing w:after="0" w:line="162" w:lineRule="exact"/>
        <w:rPr>
          <w:sz w:val="20"/>
          <w:szCs w:val="20"/>
          <w:color w:val="auto"/>
        </w:rPr>
      </w:pPr>
    </w:p>
    <w:p>
      <w:pPr>
        <w:ind w:right="40"/>
        <w:spacing w:after="0" w:line="330" w:lineRule="auto"/>
        <w:rPr>
          <w:sz w:val="20"/>
          <w:szCs w:val="20"/>
          <w:color w:val="auto"/>
        </w:rPr>
      </w:pPr>
      <w:r>
        <w:rPr>
          <w:rFonts w:ascii="Arial" w:cs="Arial" w:eastAsia="Arial" w:hAnsi="Arial"/>
          <w:sz w:val="19"/>
          <w:szCs w:val="19"/>
          <w:color w:val="auto"/>
        </w:rPr>
        <w:t>Such new legislation (or changes to existing legislation or interpretation thereof) could materially adversely affect our effective tax rate and/or require us to take further action, at potentially significant additional expense, to seek to preserve our effective tax rate. Relatedly, if proposals were enacted that have the effect of limiting our ability as an Irish company to take advantage of tax treaties with the U.S. or other territories, we could incur additional tax expense and/or otherwise experience business detriment.</w:t>
      </w:r>
    </w:p>
    <w:p>
      <w:pPr>
        <w:spacing w:after="0" w:line="178" w:lineRule="exact"/>
        <w:rPr>
          <w:sz w:val="20"/>
          <w:szCs w:val="20"/>
          <w:color w:val="auto"/>
        </w:rPr>
      </w:pPr>
    </w:p>
    <w:p>
      <w:pPr>
        <w:spacing w:after="0" w:line="310" w:lineRule="auto"/>
        <w:rPr>
          <w:sz w:val="20"/>
          <w:szCs w:val="20"/>
          <w:color w:val="auto"/>
        </w:rPr>
      </w:pPr>
      <w:r>
        <w:rPr>
          <w:rFonts w:ascii="Arial" w:cs="Arial" w:eastAsia="Arial" w:hAnsi="Arial"/>
          <w:sz w:val="20"/>
          <w:szCs w:val="20"/>
          <w:color w:val="auto"/>
        </w:rPr>
        <w:t>On July 4, 2025, the ‘Act to provide for reconciliation pursuant to title II of H. Con. Res. 14’ (‘H.R. 1’) was enacted into law and generally became effective on January 1, 2026, with certain exceptions. H.R. 1 included numerous changes to existing tax law affecting businesses, including extending and modifying certain key provisions of the Tax Cuts and Jobs Act of 2017, both domestic and international, expanding certain Investment Retirement Account incentives while accelerating the phase-out of others.</w:t>
      </w: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73"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79 / 87</w:t>
      </w:r>
    </w:p>
    <w:p>
      <w:pPr>
        <w:sectPr>
          <w:pgSz w:w="11900" w:h="16838" w:orient="portrait"/>
          <w:cols w:equalWidth="0" w:num="1">
            <w:col w:w="9280"/>
          </w:cols>
          <w:pgMar w:left="1260" w:top="1173" w:right="1366" w:bottom="0" w:gutter="0" w:footer="0" w:header="0"/>
          <w:type w:val="continuous"/>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In addition, the U.S. Congress, the Organization for Economic Co-operation and Development (‘OECD’), the World Trade Organization and other government agencies in non-U.S. jurisdictions where we and our affiliates do business have had an extended focus on issues related to the taxation of multinational corporations. One example is around base erosion and profit shifting, where payments are made between affiliates from a jurisdiction with high tax rates to a jurisdiction with lower tax rates. In January 2026, the OECD announced the release of a new package of administrative guidance under the Pillar Two global minimum tax rules (the ‘side-by-side’ package). As countries in which we do business enact legislation consistent with the OECD’s Pillar Two global minimum tax rules, WTW’s income may be subject to additional taxation or other unfavorable tax consequences. The Pillar Two rules and related guidance, as well as how specific jurisdictions in which we do business may address or implement the Pillar Two recommendations, is a developing area with significant uncertainty.</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Future developments related to Pillar Two or other legislative enactments may adversely impact WTW.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Being an Irish-Incorporated Company</w:t>
      </w:r>
    </w:p>
    <w:p>
      <w:pPr>
        <w:spacing w:after="0" w:line="260"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b w:val="1"/>
          <w:bCs w:val="1"/>
          <w:i w:val="1"/>
          <w:iCs w:val="1"/>
          <w:color w:val="auto"/>
        </w:rPr>
        <w:t>The laws of Ireland differ from the laws in effect in the United States and may afford less protection to holders of our securities.</w:t>
      </w:r>
    </w:p>
    <w:p>
      <w:pPr>
        <w:spacing w:after="0" w:line="201" w:lineRule="exact"/>
        <w:rPr>
          <w:sz w:val="20"/>
          <w:szCs w:val="20"/>
          <w:color w:val="auto"/>
        </w:rPr>
      </w:pPr>
    </w:p>
    <w:p>
      <w:pPr>
        <w:ind w:right="40"/>
        <w:spacing w:after="0" w:line="350" w:lineRule="auto"/>
        <w:rPr>
          <w:sz w:val="20"/>
          <w:szCs w:val="20"/>
          <w:color w:val="auto"/>
        </w:rPr>
      </w:pPr>
      <w:r>
        <w:rPr>
          <w:rFonts w:ascii="Arial" w:cs="Arial" w:eastAsia="Arial" w:hAnsi="Arial"/>
          <w:sz w:val="18"/>
          <w:szCs w:val="18"/>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165" w:lineRule="exact"/>
        <w:rPr>
          <w:sz w:val="20"/>
          <w:szCs w:val="20"/>
          <w:color w:val="auto"/>
        </w:rPr>
      </w:pPr>
    </w:p>
    <w:p>
      <w:pPr>
        <w:ind w:right="60"/>
        <w:spacing w:after="0" w:line="311" w:lineRule="auto"/>
        <w:rPr>
          <w:sz w:val="20"/>
          <w:szCs w:val="20"/>
          <w:color w:val="auto"/>
        </w:rPr>
      </w:pPr>
      <w:r>
        <w:rPr>
          <w:rFonts w:ascii="Arial" w:cs="Arial" w:eastAsia="Arial" w:hAnsi="Arial"/>
          <w:sz w:val="20"/>
          <w:szCs w:val="20"/>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196" w:lineRule="exact"/>
        <w:rPr>
          <w:sz w:val="20"/>
          <w:szCs w:val="20"/>
          <w:color w:val="auto"/>
        </w:rPr>
      </w:pPr>
    </w:p>
    <w:p>
      <w:pPr>
        <w:ind w:right="180"/>
        <w:spacing w:after="0" w:line="302" w:lineRule="auto"/>
        <w:rPr>
          <w:sz w:val="20"/>
          <w:szCs w:val="20"/>
          <w:color w:val="auto"/>
        </w:rPr>
      </w:pPr>
      <w:r>
        <w:rPr>
          <w:rFonts w:ascii="Arial" w:cs="Arial" w:eastAsia="Arial" w:hAnsi="Arial"/>
          <w:sz w:val="20"/>
          <w:szCs w:val="20"/>
          <w:b w:val="1"/>
          <w:bCs w:val="1"/>
          <w:i w:val="1"/>
          <w:iCs w:val="1"/>
          <w:color w:val="auto"/>
        </w:rPr>
        <w:t>As an Irish public limited company, certain decisions related to our capital structure will require the approval of shareholders, which may limit our flexibility to manage our capital structure.</w:t>
      </w:r>
    </w:p>
    <w:p>
      <w:pPr>
        <w:spacing w:after="0" w:line="201" w:lineRule="exact"/>
        <w:rPr>
          <w:sz w:val="20"/>
          <w:szCs w:val="20"/>
          <w:color w:val="auto"/>
        </w:rPr>
      </w:pPr>
    </w:p>
    <w:p>
      <w:pPr>
        <w:ind w:right="20"/>
        <w:spacing w:after="0" w:line="350" w:lineRule="auto"/>
        <w:rPr>
          <w:sz w:val="20"/>
          <w:szCs w:val="20"/>
          <w:color w:val="auto"/>
        </w:rPr>
      </w:pPr>
      <w:r>
        <w:rPr>
          <w:rFonts w:ascii="Arial" w:cs="Arial" w:eastAsia="Arial" w:hAnsi="Arial"/>
          <w:sz w:val="18"/>
          <w:szCs w:val="18"/>
          <w:color w:val="auto"/>
        </w:rPr>
        <w:t>Irish law generally provides that a board of directors may allot and issue shares (or rights to subscribe for or convert into shares) if authorized to do so by a company’s constitution or by an ordinary resolution of shareholders. Such authorization may be granted in respect of up to the entirety of a company’s authorized but unissued share capital and for a maximum period of five years, at which point it must be renewed by an ordinary resolution of shareholders. In addition, when an Irish company issues shares for cash to new shareholders, it is generally required first to offer those shares on the same or more favorable terms to existing shareholders on a pro-rata basis. It is possible for such statutory pre-emption rights to be disapplied in a company’s constitution or by a special resolution of shareholders.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80 / 87</w:t>
      </w:r>
    </w:p>
    <w:p>
      <w:pPr>
        <w:sectPr>
          <w:pgSz w:w="11900" w:h="16838" w:orient="portrait"/>
          <w:cols w:equalWidth="0" w:num="1">
            <w:col w:w="9400"/>
          </w:cols>
          <w:pgMar w:left="1260" w:top="1440" w:right="1246" w:bottom="0" w:gutter="0" w:footer="0" w:header="0"/>
          <w:type w:val="continuous"/>
        </w:sectPr>
      </w:pPr>
    </w:p>
    <w:bookmarkStart w:id="80" w:name="page81"/>
    <w:bookmarkEnd w:id="80"/>
    <w:p>
      <w:pPr>
        <w:ind w:right="40"/>
        <w:spacing w:after="0" w:line="311" w:lineRule="auto"/>
        <w:rPr>
          <w:sz w:val="20"/>
          <w:szCs w:val="20"/>
          <w:color w:val="auto"/>
        </w:rPr>
      </w:pPr>
      <w:r>
        <w:rPr>
          <w:rFonts w:ascii="Arial" w:cs="Arial" w:eastAsia="Arial" w:hAnsi="Arial"/>
          <w:sz w:val="20"/>
          <w:szCs w:val="20"/>
          <w:color w:val="auto"/>
        </w:rPr>
        <w:t>The Company’s constitution, when originally adopted, authorized our directors to allot shares up to the maximum of the Company’s authorized but unissued share capital and disapplied statutory pre-emption rights for a period of five years. Since the expiry of this initial five-year period, we seek these allotment and pre-emption shareholder authorizations at appropriate levels and intervals. However, if we are unable to obtain these authorizations from our shareholders or are otherwise limited by the terms of our authorizations, then our ability to issue shares under our equity compensation plans and, if applicable, facilitate funding acquisitions or otherwise raise capital could be adversely affected.</w:t>
      </w:r>
    </w:p>
    <w:p>
      <w:pPr>
        <w:spacing w:after="0" w:line="194"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Additionally, under Irish law, we may only pay dividends and, generally, make share repurchases and redemptions from distributable profits. Distributable profits may be created through the earnings of the Company or other methods (including certain intragroup reorganizations involving the capitalization of the Company’s undistributable profits and their subsequent reduction). While it is our intention to maintain a sufficient level of distributable profits in order to pay dividends on our ordinary shares and make share repurchases, there is no assurance that the Company will maintain the necessary level of distributable profits to do so.</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81 / 87</w:t>
      </w:r>
    </w:p>
    <w:p>
      <w:pPr>
        <w:sectPr>
          <w:pgSz w:w="11900" w:h="16838" w:orient="portrait"/>
          <w:cols w:equalWidth="0" w:num="1">
            <w:col w:w="9360"/>
          </w:cols>
          <w:pgMar w:left="1260" w:top="1173" w:right="1286" w:bottom="0" w:gutter="0" w:footer="0" w:header="0"/>
          <w:type w:val="continuous"/>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60" w:lineRule="exact"/>
        <w:rPr>
          <w:sz w:val="20"/>
          <w:szCs w:val="20"/>
          <w:color w:val="auto"/>
        </w:rPr>
      </w:pPr>
    </w:p>
    <w:p>
      <w:pPr>
        <w:ind w:right="320"/>
        <w:spacing w:after="0" w:line="310" w:lineRule="auto"/>
        <w:rPr>
          <w:sz w:val="20"/>
          <w:szCs w:val="20"/>
          <w:color w:val="auto"/>
        </w:rPr>
      </w:pPr>
      <w:r>
        <w:rPr>
          <w:rFonts w:ascii="Arial" w:cs="Arial" w:eastAsia="Arial" w:hAnsi="Arial"/>
          <w:sz w:val="20"/>
          <w:szCs w:val="20"/>
          <w:color w:val="auto"/>
        </w:rPr>
        <w:t>WTW’s management is responsible for the day-to-day management of risks, and the board, including through its committees, is responsible for understanding and overseeing the various risks facing WTW. As a professional services firm providing advice, broking and solutions in the areas of people, risk and capital, and often involving confidential and sensitive information, cybersecurity risk management is an integral part of our enterprise risk management (‘ERM’) strategy.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Cybersecurity Risk Management and Strategy</w:t>
      </w:r>
    </w:p>
    <w:p>
      <w:pPr>
        <w:spacing w:after="0" w:line="260" w:lineRule="exact"/>
        <w:rPr>
          <w:sz w:val="20"/>
          <w:szCs w:val="20"/>
          <w:color w:val="auto"/>
        </w:rPr>
      </w:pPr>
    </w:p>
    <w:p>
      <w:pPr>
        <w:ind w:right="20"/>
        <w:spacing w:after="0" w:line="330" w:lineRule="auto"/>
        <w:rPr>
          <w:sz w:val="20"/>
          <w:szCs w:val="20"/>
          <w:color w:val="auto"/>
        </w:rPr>
      </w:pPr>
      <w:r>
        <w:rPr>
          <w:rFonts w:ascii="Arial" w:cs="Arial" w:eastAsia="Arial" w:hAnsi="Arial"/>
          <w:sz w:val="19"/>
          <w:szCs w:val="19"/>
          <w:color w:val="auto"/>
        </w:rPr>
        <w:t>Increased global cybersecurity vulnerabilities, threats and more sophisticated and targeted cyber-related attacks pose an ongoing risk to the security of our information systems and networks. WTW seeks to manage cybersecurity risks consistent with its general approach to ERM. As further described below, our cybersecurity risk management program is coordinated by cross-functional teams. Technology and cyber risks that meet certain thresholds are escalated and tracked by the ERM team within the WTW Risk function.</w:t>
      </w:r>
    </w:p>
    <w:p>
      <w:pPr>
        <w:spacing w:after="0" w:line="298" w:lineRule="exact"/>
        <w:rPr>
          <w:sz w:val="20"/>
          <w:szCs w:val="20"/>
          <w:color w:val="auto"/>
        </w:rPr>
      </w:pPr>
    </w:p>
    <w:p>
      <w:pPr>
        <w:jc w:val="both"/>
        <w:spacing w:after="0" w:line="352" w:lineRule="auto"/>
        <w:rPr>
          <w:sz w:val="20"/>
          <w:szCs w:val="20"/>
          <w:color w:val="auto"/>
        </w:rPr>
      </w:pPr>
      <w:r>
        <w:rPr>
          <w:rFonts w:ascii="Arial" w:cs="Arial" w:eastAsia="Arial" w:hAnsi="Arial"/>
          <w:sz w:val="18"/>
          <w:szCs w:val="18"/>
          <w:color w:val="auto"/>
        </w:rPr>
        <w:t>WTW has been certified by ISO 27001 and identifies, categorizes and manages cyber risks according to frameworks such as SOC 2 - Type 2 and the National Institute of Standards and Technology (‘NIST’) Framework. Additionally, WTW undertakes vulnerability scanning, and engages third parties from time-to-time to conduct penetration testing to help WTW identify and reduce the threat of known and emerging cybersecurity risks.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Board Oversight and Governance</w:t>
      </w:r>
    </w:p>
    <w:p>
      <w:pPr>
        <w:spacing w:after="0" w:line="260"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WTW’s board of directors has delegated the oversight of cybersecurity risks to the Risk and Operational Oversight Committee (the ‘Risk Committee’). The Risk Committee assists the board of directors in its oversight of the ERM framework, policies, and practices used by WTW to identify, assess, and manage WTW’s key operational risks, including without limitation: cybersecurity, technology, information security, privacy, and artificial intelligence risk. WTW’s Chief Information Security Officer (‘CISO’) and Global Head of Technology report to the Risk Committee on cybersecurity matters, including key risks. The Risk Committee reports to the board of directors at each formal board meeting and the board of directors discusses those reports.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Management Oversight and Governance</w:t>
      </w:r>
    </w:p>
    <w:p>
      <w:pPr>
        <w:spacing w:after="0" w:line="260" w:lineRule="exact"/>
        <w:rPr>
          <w:sz w:val="20"/>
          <w:szCs w:val="20"/>
          <w:color w:val="auto"/>
        </w:rPr>
      </w:pPr>
    </w:p>
    <w:p>
      <w:pPr>
        <w:ind w:right="40"/>
        <w:spacing w:after="0" w:line="350" w:lineRule="auto"/>
        <w:rPr>
          <w:sz w:val="20"/>
          <w:szCs w:val="20"/>
          <w:color w:val="auto"/>
        </w:rPr>
      </w:pPr>
      <w:r>
        <w:rPr>
          <w:rFonts w:ascii="Arial" w:cs="Arial" w:eastAsia="Arial" w:hAnsi="Arial"/>
          <w:sz w:val="18"/>
          <w:szCs w:val="18"/>
          <w:color w:val="auto"/>
        </w:rPr>
        <w:t>Management plays an important role in assessing and managing WTW’s material risks from cybersecurity threats. The CISO is responsible for designing and implementing a security program and strategy. WTW's CISO has served in various roles in information technology and information security for over 23 years, including serving as CISO of several public companies. The CISO holds undergraduate and graduate degrees in business. The CISO reports to the Global Head of Technology. WTW’s Global Head of Technology has served in various roles in information technology for over 25 years. The Global Head of Technology holds a graduate degree in business.</w:t>
      </w:r>
    </w:p>
    <w:p>
      <w:pPr>
        <w:spacing w:after="0" w:line="169" w:lineRule="exact"/>
        <w:rPr>
          <w:sz w:val="20"/>
          <w:szCs w:val="20"/>
          <w:color w:val="auto"/>
        </w:rPr>
      </w:pPr>
    </w:p>
    <w:p>
      <w:pPr>
        <w:ind w:right="100"/>
        <w:spacing w:after="0" w:line="329" w:lineRule="auto"/>
        <w:rPr>
          <w:sz w:val="20"/>
          <w:szCs w:val="20"/>
          <w:color w:val="auto"/>
        </w:rPr>
      </w:pPr>
      <w:r>
        <w:rPr>
          <w:rFonts w:ascii="Arial" w:cs="Arial" w:eastAsia="Arial" w:hAnsi="Arial"/>
          <w:sz w:val="19"/>
          <w:szCs w:val="19"/>
          <w:color w:val="auto"/>
        </w:rPr>
        <w:t>As part of the WTW cybersecurity program, cross-functional teams throughout WTW, including enterprise risk management, operational resilience, legal, compliance and information security, coordinate to monitor, consider, and, when appropriate, address cybersecurity threats and respond to cybersecurity incidents. Through ongoing communications among these teams, the CISO, the Global Head of Technology, and other members of senior management, as appropriate, are informed about and monitor the prevention, detection, mitigation, and remediation of cybersecurity threats and incidents and escalate such threats and incidents as appropriate through the processes described in more detail below.</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82 / 87</w:t>
      </w:r>
    </w:p>
    <w:p>
      <w:pPr>
        <w:sectPr>
          <w:pgSz w:w="11900" w:h="16838" w:orient="portrait"/>
          <w:cols w:equalWidth="0" w:num="1">
            <w:col w:w="9340"/>
          </w:cols>
          <w:pgMar w:left="1260" w:top="1440" w:right="1306" w:bottom="0" w:gutter="0" w:footer="0" w:header="0"/>
          <w:type w:val="continuous"/>
        </w:sectPr>
      </w:pPr>
    </w:p>
    <w:bookmarkStart w:id="82" w:name="page83"/>
    <w:bookmarkEnd w:id="82"/>
    <w:p>
      <w:pPr>
        <w:ind w:right="160"/>
        <w:spacing w:after="0" w:line="307" w:lineRule="auto"/>
        <w:rPr>
          <w:sz w:val="20"/>
          <w:szCs w:val="20"/>
          <w:color w:val="auto"/>
        </w:rPr>
      </w:pPr>
      <w:r>
        <w:rPr>
          <w:rFonts w:ascii="Arial" w:cs="Arial" w:eastAsia="Arial" w:hAnsi="Arial"/>
          <w:sz w:val="20"/>
          <w:szCs w:val="20"/>
          <w:color w:val="auto"/>
        </w:rPr>
        <w:t>WTW’s cybersecurity program is an ongoing process designed to identify, assess and manage WTW’s risk exposures over the short-, intermediate- and long-term. Management’s cybersecurity risk management strategy and processes include the following areas of focus:</w:t>
      </w:r>
    </w:p>
    <w:p>
      <w:pPr>
        <w:spacing w:after="0" w:line="243" w:lineRule="exact"/>
        <w:rPr>
          <w:sz w:val="20"/>
          <w:szCs w:val="20"/>
          <w:color w:val="auto"/>
        </w:rPr>
      </w:pPr>
    </w:p>
    <w:p>
      <w:pPr>
        <w:ind w:left="620" w:right="240" w:hanging="313"/>
        <w:spacing w:after="0" w:line="373" w:lineRule="auto"/>
        <w:tabs>
          <w:tab w:leader="none" w:pos="620" w:val="left"/>
        </w:tabs>
        <w:numPr>
          <w:ilvl w:val="0"/>
          <w:numId w:val="27"/>
        </w:numPr>
        <w:rPr>
          <w:rFonts w:ascii="Arial" w:cs="Arial" w:eastAsia="Arial" w:hAnsi="Arial"/>
          <w:sz w:val="20"/>
          <w:szCs w:val="20"/>
          <w:color w:val="auto"/>
        </w:rPr>
      </w:pPr>
      <w:r>
        <w:rPr>
          <w:rFonts w:ascii="Arial" w:cs="Arial" w:eastAsia="Arial" w:hAnsi="Arial"/>
          <w:sz w:val="20"/>
          <w:szCs w:val="20"/>
          <w:b w:val="1"/>
          <w:bCs w:val="1"/>
          <w:color w:val="auto"/>
        </w:rPr>
        <w:t>Incident Response Planning</w:t>
      </w:r>
      <w:r>
        <w:rPr>
          <w:rFonts w:ascii="Arial" w:cs="Arial" w:eastAsia="Arial" w:hAnsi="Arial"/>
          <w:sz w:val="20"/>
          <w:szCs w:val="20"/>
          <w:color w:val="auto"/>
        </w:rPr>
        <w:t>: WTW has a global Information and Cyber Security Incident Response Plan</w:t>
      </w:r>
      <w:r>
        <w:rPr>
          <w:rFonts w:ascii="Arial" w:cs="Arial" w:eastAsia="Arial" w:hAnsi="Arial"/>
          <w:sz w:val="20"/>
          <w:szCs w:val="20"/>
          <w:b w:val="1"/>
          <w:bCs w:val="1"/>
          <w:color w:val="auto"/>
        </w:rPr>
        <w:t xml:space="preserve"> </w:t>
      </w:r>
      <w:r>
        <w:rPr>
          <w:rFonts w:ascii="Arial" w:cs="Arial" w:eastAsia="Arial" w:hAnsi="Arial"/>
          <w:sz w:val="20"/>
          <w:szCs w:val="20"/>
          <w:color w:val="auto"/>
        </w:rPr>
        <w:t>(‘ICSIRP’ or ‘Plan’) for identifying and managing cyber and data security threats. The ICSIRP defines the roles and responsibilities of WTW stakeholders involved in responding to cyber and data security events, severity levels and incident categories, and it outlines a process for incident management, including escalation and communication procedures.</w:t>
      </w:r>
    </w:p>
    <w:p>
      <w:pPr>
        <w:spacing w:after="0" w:line="192" w:lineRule="exact"/>
        <w:rPr>
          <w:rFonts w:ascii="Arial" w:cs="Arial" w:eastAsia="Arial" w:hAnsi="Arial"/>
          <w:sz w:val="20"/>
          <w:szCs w:val="20"/>
          <w:color w:val="auto"/>
        </w:rPr>
      </w:pPr>
    </w:p>
    <w:p>
      <w:pPr>
        <w:ind w:left="620" w:hanging="313"/>
        <w:spacing w:after="0" w:line="395" w:lineRule="auto"/>
        <w:tabs>
          <w:tab w:leader="none" w:pos="620" w:val="left"/>
        </w:tabs>
        <w:numPr>
          <w:ilvl w:val="0"/>
          <w:numId w:val="27"/>
        </w:numPr>
        <w:rPr>
          <w:rFonts w:ascii="Arial" w:cs="Arial" w:eastAsia="Arial" w:hAnsi="Arial"/>
          <w:sz w:val="19"/>
          <w:szCs w:val="19"/>
          <w:color w:val="auto"/>
        </w:rPr>
      </w:pPr>
      <w:r>
        <w:rPr>
          <w:rFonts w:ascii="Arial" w:cs="Arial" w:eastAsia="Arial" w:hAnsi="Arial"/>
          <w:sz w:val="19"/>
          <w:szCs w:val="19"/>
          <w:b w:val="1"/>
          <w:bCs w:val="1"/>
          <w:color w:val="auto"/>
        </w:rPr>
        <w:t>Technical Safeguards</w:t>
      </w:r>
      <w:r>
        <w:rPr>
          <w:rFonts w:ascii="Arial" w:cs="Arial" w:eastAsia="Arial" w:hAnsi="Arial"/>
          <w:sz w:val="19"/>
          <w:szCs w:val="19"/>
          <w:color w:val="auto"/>
        </w:rPr>
        <w:t>: WTW seeks to continuously improve implemented technical safeguards that are</w:t>
      </w:r>
      <w:r>
        <w:rPr>
          <w:rFonts w:ascii="Arial" w:cs="Arial" w:eastAsia="Arial" w:hAnsi="Arial"/>
          <w:sz w:val="19"/>
          <w:szCs w:val="19"/>
          <w:b w:val="1"/>
          <w:bCs w:val="1"/>
          <w:color w:val="auto"/>
        </w:rPr>
        <w:t xml:space="preserve"> </w:t>
      </w:r>
      <w:r>
        <w:rPr>
          <w:rFonts w:ascii="Arial" w:cs="Arial" w:eastAsia="Arial" w:hAnsi="Arial"/>
          <w:sz w:val="19"/>
          <w:szCs w:val="19"/>
          <w:color w:val="auto"/>
        </w:rPr>
        <w:t>designed to protect WTW’s information systems. Standards include controls for access management, cyber threat and incident management, data security, encryption, human resource security, network and device security, secure asset management, secure system development, security operations and third-party security. While WTW seeks to maintain adequate controls, they may not always be effective or at the level of maturity that the Company ultimately wishes to maintain. See Part I, Item 1A Risk Factors under the heading ‘</w:t>
      </w:r>
      <w:r>
        <w:rPr>
          <w:rFonts w:ascii="Arial" w:cs="Arial" w:eastAsia="Arial" w:hAnsi="Arial"/>
          <w:sz w:val="19"/>
          <w:szCs w:val="19"/>
          <w:i w:val="1"/>
          <w:iCs w:val="1"/>
          <w:color w:val="auto"/>
        </w:rPr>
        <w:t>Data</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and cybersecurity breaches or improper disclosure of confidential company or personal data could result in material financial loss, regulatory actions, reputational harm and/or legal liability’ </w:t>
      </w:r>
      <w:r>
        <w:rPr>
          <w:rFonts w:ascii="Arial" w:cs="Arial" w:eastAsia="Arial" w:hAnsi="Arial"/>
          <w:sz w:val="19"/>
          <w:szCs w:val="19"/>
          <w:color w:val="auto"/>
        </w:rPr>
        <w:t>for more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about WTW’s technical controls, management, mitigation, and security practices as well as the risks related thereto.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 / 87</w:t>
      </w:r>
    </w:p>
    <w:p>
      <w:pPr>
        <w:sectPr>
          <w:pgSz w:w="11900" w:h="16838" w:orient="portrait"/>
          <w:cols w:equalWidth="0" w:num="1">
            <w:col w:w="9380"/>
          </w:cols>
          <w:pgMar w:left="1260" w:top="1173" w:right="1266" w:bottom="0" w:gutter="0" w:footer="0" w:header="0"/>
          <w:type w:val="continuous"/>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20" w:right="340" w:hanging="313"/>
        <w:spacing w:after="0" w:line="302" w:lineRule="auto"/>
        <w:tabs>
          <w:tab w:leader="none" w:pos="620"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Education and Awareness</w:t>
      </w:r>
      <w:r>
        <w:rPr>
          <w:rFonts w:ascii="Arial" w:cs="Arial" w:eastAsia="Arial" w:hAnsi="Arial"/>
          <w:sz w:val="20"/>
          <w:szCs w:val="20"/>
          <w:color w:val="auto"/>
        </w:rPr>
        <w:t>: WTW’s policy requires annual, mandatory privacy and information security</w:t>
      </w:r>
      <w:r>
        <w:rPr>
          <w:rFonts w:ascii="Arial" w:cs="Arial" w:eastAsia="Arial" w:hAnsi="Arial"/>
          <w:sz w:val="20"/>
          <w:szCs w:val="20"/>
          <w:b w:val="1"/>
          <w:bCs w:val="1"/>
          <w:color w:val="auto"/>
        </w:rPr>
        <w:t xml:space="preserve"> </w:t>
      </w:r>
      <w:r>
        <w:rPr>
          <w:rFonts w:ascii="Arial" w:cs="Arial" w:eastAsia="Arial" w:hAnsi="Arial"/>
          <w:sz w:val="20"/>
          <w:szCs w:val="20"/>
          <w:color w:val="auto"/>
        </w:rPr>
        <w:t>training for all WTW colleagues.</w:t>
      </w:r>
    </w:p>
    <w:p>
      <w:pPr>
        <w:spacing w:after="0" w:line="201" w:lineRule="exact"/>
        <w:rPr>
          <w:rFonts w:ascii="Arial" w:cs="Arial" w:eastAsia="Arial" w:hAnsi="Arial"/>
          <w:sz w:val="20"/>
          <w:szCs w:val="20"/>
          <w:color w:val="auto"/>
        </w:rPr>
      </w:pPr>
    </w:p>
    <w:p>
      <w:pPr>
        <w:ind w:left="620" w:hanging="313"/>
        <w:spacing w:after="0" w:line="307" w:lineRule="auto"/>
        <w:tabs>
          <w:tab w:leader="none" w:pos="620"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Third-Party Risk Management</w:t>
      </w:r>
      <w:r>
        <w:rPr>
          <w:rFonts w:ascii="Arial" w:cs="Arial" w:eastAsia="Arial" w:hAnsi="Arial"/>
          <w:sz w:val="20"/>
          <w:szCs w:val="20"/>
          <w:color w:val="auto"/>
        </w:rPr>
        <w:t>: WTW’s risk management strategy includes a risk management process</w:t>
      </w:r>
      <w:r>
        <w:rPr>
          <w:rFonts w:ascii="Arial" w:cs="Arial" w:eastAsia="Arial" w:hAnsi="Arial"/>
          <w:sz w:val="20"/>
          <w:szCs w:val="20"/>
          <w:b w:val="1"/>
          <w:bCs w:val="1"/>
          <w:color w:val="auto"/>
        </w:rPr>
        <w:t xml:space="preserve"> </w:t>
      </w:r>
      <w:r>
        <w:rPr>
          <w:rFonts w:ascii="Arial" w:cs="Arial" w:eastAsia="Arial" w:hAnsi="Arial"/>
          <w:sz w:val="20"/>
          <w:szCs w:val="20"/>
          <w:color w:val="auto"/>
        </w:rPr>
        <w:t>focused on third-party service providers and other parties with which we engage that is intended to align with the technology security key controls across the organization.</w:t>
      </w:r>
    </w:p>
    <w:p>
      <w:pPr>
        <w:spacing w:after="0" w:line="243" w:lineRule="exact"/>
        <w:rPr>
          <w:rFonts w:ascii="Arial" w:cs="Arial" w:eastAsia="Arial" w:hAnsi="Arial"/>
          <w:sz w:val="20"/>
          <w:szCs w:val="20"/>
          <w:color w:val="auto"/>
        </w:rPr>
      </w:pPr>
    </w:p>
    <w:p>
      <w:pPr>
        <w:ind w:left="620" w:right="180" w:hanging="313"/>
        <w:spacing w:after="0" w:line="370" w:lineRule="auto"/>
        <w:tabs>
          <w:tab w:leader="none" w:pos="620" w:val="left"/>
        </w:tabs>
        <w:numPr>
          <w:ilvl w:val="0"/>
          <w:numId w:val="28"/>
        </w:numPr>
        <w:rPr>
          <w:rFonts w:ascii="Arial" w:cs="Arial" w:eastAsia="Arial" w:hAnsi="Arial"/>
          <w:sz w:val="20"/>
          <w:szCs w:val="20"/>
          <w:color w:val="auto"/>
        </w:rPr>
      </w:pPr>
      <w:r>
        <w:rPr>
          <w:rFonts w:ascii="Arial" w:cs="Arial" w:eastAsia="Arial" w:hAnsi="Arial"/>
          <w:sz w:val="20"/>
          <w:szCs w:val="20"/>
          <w:b w:val="1"/>
          <w:bCs w:val="1"/>
          <w:color w:val="auto"/>
        </w:rPr>
        <w:t>Threat Intelligence</w:t>
      </w:r>
      <w:r>
        <w:rPr>
          <w:rFonts w:ascii="Arial" w:cs="Arial" w:eastAsia="Arial" w:hAnsi="Arial"/>
          <w:sz w:val="20"/>
          <w:szCs w:val="20"/>
          <w:color w:val="auto"/>
        </w:rPr>
        <w:t>: Through its regular monitoring processes, WTW obtains intelligence on cyber threats</w:t>
      </w:r>
      <w:r>
        <w:rPr>
          <w:rFonts w:ascii="Arial" w:cs="Arial" w:eastAsia="Arial" w:hAnsi="Arial"/>
          <w:sz w:val="20"/>
          <w:szCs w:val="20"/>
          <w:b w:val="1"/>
          <w:bCs w:val="1"/>
          <w:color w:val="auto"/>
        </w:rPr>
        <w:t xml:space="preserve"> </w:t>
      </w:r>
      <w:r>
        <w:rPr>
          <w:rFonts w:ascii="Arial" w:cs="Arial" w:eastAsia="Arial" w:hAnsi="Arial"/>
          <w:sz w:val="20"/>
          <w:szCs w:val="20"/>
          <w:color w:val="auto"/>
        </w:rPr>
        <w:t>relevant to the Company at strategic, operational and tactical levels to help inform and reassess its cybersecurity risk management priorities.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Material Effects of Cybersecurity Incidents</w:t>
      </w:r>
    </w:p>
    <w:p>
      <w:pPr>
        <w:spacing w:after="0" w:line="260" w:lineRule="exact"/>
        <w:rPr>
          <w:sz w:val="20"/>
          <w:szCs w:val="20"/>
          <w:color w:val="auto"/>
        </w:rPr>
      </w:pPr>
    </w:p>
    <w:p>
      <w:pPr>
        <w:ind w:right="40"/>
        <w:spacing w:after="0" w:line="350" w:lineRule="auto"/>
        <w:rPr>
          <w:sz w:val="20"/>
          <w:szCs w:val="20"/>
          <w:color w:val="auto"/>
        </w:rPr>
      </w:pPr>
      <w:r>
        <w:rPr>
          <w:rFonts w:ascii="Arial" w:cs="Arial" w:eastAsia="Arial" w:hAnsi="Arial"/>
          <w:sz w:val="18"/>
          <w:szCs w:val="18"/>
          <w:color w:val="auto"/>
        </w:rPr>
        <w:t>Although we and our vendors regularly experience cybersecurity incidents, we do not believe that risks from cybersecurity threats, including as a result of any previous cybersecurity incidents, have materially affected our business strategy, results of operations or financial condition. However, there is no guarantee that a future cyber incident would not materially affect our business strategy, results of operations or financial condition. To learn more about risks from cybersecurity threats, review the risk factors included in Part I, Item 1A Risk Factors in this Annual Report on Form 10-K, as updated by WTW’s subsequent SEC filings. The risks described in such filings are not the only risks facing WTW. Additional risks and uncertainties not currently known or not currently deemed material may, in the future, materially adversely affect WTW’s business, financial condition or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60" w:lineRule="exact"/>
        <w:rPr>
          <w:sz w:val="20"/>
          <w:szCs w:val="20"/>
          <w:color w:val="auto"/>
        </w:rPr>
      </w:pPr>
    </w:p>
    <w:p>
      <w:pPr>
        <w:ind w:right="80"/>
        <w:spacing w:after="0" w:line="350" w:lineRule="auto"/>
        <w:rPr>
          <w:sz w:val="20"/>
          <w:szCs w:val="20"/>
          <w:color w:val="auto"/>
        </w:rPr>
      </w:pPr>
      <w:r>
        <w:rPr>
          <w:rFonts w:ascii="Arial" w:cs="Arial" w:eastAsia="Arial" w:hAnsi="Arial"/>
          <w:sz w:val="18"/>
          <w:szCs w:val="18"/>
          <w:color w:val="auto"/>
        </w:rPr>
        <w:t>We operate offices in many countries throughout the world and believe that our properties are generally suitable and adequate for the purposes for which they are used. The principal properties are located in the United States and the United Kingdom. In addition, we have other offices in various locations, including among others, Europe, Asia, Australia and Latin America. Operations of each of our segments are carried out in owned or leased offices under operating leases that typically do not exceed 10 years in length, except for certain properties in key locations. We do not anticipate difficulty in meeting our space needs at lease expiration.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60" w:lineRule="exact"/>
        <w:rPr>
          <w:sz w:val="20"/>
          <w:szCs w:val="20"/>
          <w:color w:val="auto"/>
        </w:rPr>
      </w:pPr>
    </w:p>
    <w:p>
      <w:pPr>
        <w:jc w:val="both"/>
        <w:ind w:right="340"/>
        <w:spacing w:after="0" w:line="355" w:lineRule="auto"/>
        <w:rPr>
          <w:sz w:val="20"/>
          <w:szCs w:val="20"/>
          <w:color w:val="auto"/>
        </w:rPr>
      </w:pPr>
      <w:r>
        <w:rPr>
          <w:rFonts w:ascii="Arial" w:cs="Arial" w:eastAsia="Arial" w:hAnsi="Arial"/>
          <w:sz w:val="18"/>
          <w:szCs w:val="18"/>
          <w:color w:val="auto"/>
        </w:rPr>
        <w:t xml:space="preserve">From time to time, we are party to various lawsuits, arbitrations or mediations that arise in the ordinary course of business. The disclosure called for by Item 3 regarding our legal proceedings is incorporated by reference herein from </w:t>
      </w:r>
      <w:r>
        <w:rPr>
          <w:rFonts w:ascii="Arial" w:cs="Arial" w:eastAsia="Arial" w:hAnsi="Arial"/>
          <w:sz w:val="18"/>
          <w:szCs w:val="18"/>
          <w:u w:val="single" w:color="auto"/>
          <w:color w:val="0563C1"/>
        </w:rPr>
        <w:t>Note 15 — Commitments and Contingencies, within Item 8 in this Annual Report on Form 10-K</w:t>
      </w:r>
      <w:r>
        <w:rPr>
          <w:rFonts w:ascii="Arial" w:cs="Arial" w:eastAsia="Arial" w:hAnsi="Arial"/>
          <w:sz w:val="18"/>
          <w:szCs w:val="18"/>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 / 87</w:t>
      </w:r>
    </w:p>
    <w:p>
      <w:pPr>
        <w:sectPr>
          <w:pgSz w:w="11900" w:h="16838" w:orient="portrait"/>
          <w:cols w:equalWidth="0" w:num="1">
            <w:col w:w="9380"/>
          </w:cols>
          <w:pgMar w:left="1260" w:top="1440" w:right="1266" w:bottom="0" w:gutter="0" w:footer="0" w:header="0"/>
          <w:type w:val="continuous"/>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260"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Data</w:t>
      </w:r>
    </w:p>
    <w:p>
      <w:pPr>
        <w:spacing w:after="0" w:line="260" w:lineRule="exact"/>
        <w:rPr>
          <w:sz w:val="20"/>
          <w:szCs w:val="20"/>
          <w:color w:val="auto"/>
        </w:rPr>
      </w:pPr>
    </w:p>
    <w:p>
      <w:pPr>
        <w:ind w:right="60"/>
        <w:spacing w:after="0" w:line="307" w:lineRule="auto"/>
        <w:rPr>
          <w:sz w:val="20"/>
          <w:szCs w:val="20"/>
          <w:color w:val="auto"/>
        </w:rPr>
      </w:pPr>
      <w:r>
        <w:rPr>
          <w:rFonts w:ascii="Arial" w:cs="Arial" w:eastAsia="Arial" w:hAnsi="Arial"/>
          <w:sz w:val="20"/>
          <w:szCs w:val="20"/>
          <w:color w:val="auto"/>
        </w:rPr>
        <w:t>Our ordinary shares have traded on the NASDAQ Global Select Market under the symbol ‘WTW’ since January 10, 2022. As of February 23, 2026, there were 912 shareholders of record of our ordinary shares, not including those ordinary shares held in street or nominee name.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60"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We normally pay dividends on a quarterly basis to shareholders of record on March 31, June 30, September 30 and December 31. In February 2026, the board of directors approved a quarterly cash dividend of $0.96 per share ($3.84 per share annualized rate), which will be paid on or around April 15, 2026 to shareholders of record as of March 31, 2026.</w:t>
      </w:r>
    </w:p>
    <w:p>
      <w:pPr>
        <w:spacing w:after="0" w:line="196" w:lineRule="exact"/>
        <w:rPr>
          <w:sz w:val="20"/>
          <w:szCs w:val="20"/>
          <w:color w:val="auto"/>
        </w:rPr>
      </w:pPr>
    </w:p>
    <w:p>
      <w:pPr>
        <w:ind w:right="240"/>
        <w:spacing w:after="0" w:line="302" w:lineRule="auto"/>
        <w:rPr>
          <w:sz w:val="20"/>
          <w:szCs w:val="20"/>
          <w:color w:val="auto"/>
        </w:rPr>
      </w:pPr>
      <w:r>
        <w:rPr>
          <w:rFonts w:ascii="Arial" w:cs="Arial" w:eastAsia="Arial" w:hAnsi="Arial"/>
          <w:sz w:val="20"/>
          <w:szCs w:val="20"/>
          <w:color w:val="auto"/>
        </w:rPr>
        <w:t>There are no governmental laws, decrees or regulations in Ireland that restrict the remittance of dividends or other payments to non-resident holders of the Company’s shares.</w:t>
      </w:r>
    </w:p>
    <w:p>
      <w:pPr>
        <w:spacing w:after="0" w:line="201"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In circumstances where one of Ireland’s many exemptions from dividend withholding tax (‘DWT’) does not apply, dividends paid by the Company will be subject to Irish DWT (currently 20 percent). Residents of the United States should be exempt from Irish DWT provided relevant documentation supporting the exemption has been put in place. While the U.S.-Ireland Double Tax Treaty contains provisions reducing the rate of Irish DWT in prescribed circumstances, it should generally be unnecessary for U.S. residents to rely on the provisions of this treaty due to the wide scope of exemptions from Irish DWT available under Irish domestic law. Irish income tax may also arise in respect of dividends paid by the Company. However, U.S. residents entitled to an exemption from Irish DWT generally have no Irish income tax liability on dividends.</w:t>
      </w:r>
    </w:p>
    <w:p>
      <w:pPr>
        <w:spacing w:after="0" w:line="184"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With respect to non-corporate U.S. shareholders, certain dividends from a qualified foreign corporation may be subject to reduced rates of taxation. A foreign corporation is treated as a qualified foreign corporation with respect to dividends received from that corporation on shares that are readily tradeable on an established securities market in the United States, such as our shares. Non-corporate U.S. shareholders that do not meet a minimum holding period requirement for our shares during which they are not protected from the risk of loss or that elect to treat the dividend income as investment income pursuant to section 163(d)(4) of the Code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U.S. shareholders should consult their own tax advisors regarding the application of these rules given their particular circumstances.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85 / 87</w:t>
      </w:r>
    </w:p>
    <w:p>
      <w:pPr>
        <w:sectPr>
          <w:pgSz w:w="11900" w:h="16838" w:orient="portrait"/>
          <w:cols w:equalWidth="0" w:num="1">
            <w:col w:w="9360"/>
          </w:cols>
          <w:pgMar w:left="1260" w:top="1440" w:right="1286" w:bottom="0" w:gutter="0" w:footer="0" w:header="0"/>
          <w:type w:val="continuous"/>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Five-Year Cumulative Total Shareholder Return</w:t>
      </w:r>
    </w:p>
    <w:p>
      <w:pPr>
        <w:spacing w:after="0" w:line="260" w:lineRule="exact"/>
        <w:rPr>
          <w:sz w:val="20"/>
          <w:szCs w:val="20"/>
          <w:color w:val="auto"/>
        </w:rPr>
      </w:pPr>
    </w:p>
    <w:p>
      <w:pPr>
        <w:ind w:right="400"/>
        <w:spacing w:after="0" w:line="302" w:lineRule="auto"/>
        <w:rPr>
          <w:sz w:val="20"/>
          <w:szCs w:val="20"/>
          <w:color w:val="auto"/>
        </w:rPr>
      </w:pPr>
      <w:r>
        <w:rPr>
          <w:rFonts w:ascii="Arial" w:cs="Arial" w:eastAsia="Arial" w:hAnsi="Arial"/>
          <w:sz w:val="20"/>
          <w:szCs w:val="20"/>
          <w:color w:val="auto"/>
        </w:rPr>
        <w:t>The graph below depicts cumulative total shareholder returns for WTW for the period from December 31, 2020 through December 31, 2025.</w:t>
      </w:r>
    </w:p>
    <w:p>
      <w:pPr>
        <w:spacing w:after="0" w:line="201" w:lineRule="exact"/>
        <w:rPr>
          <w:sz w:val="20"/>
          <w:szCs w:val="20"/>
          <w:color w:val="auto"/>
        </w:rPr>
      </w:pPr>
    </w:p>
    <w:p>
      <w:pPr>
        <w:spacing w:after="0" w:line="311" w:lineRule="auto"/>
        <w:rPr>
          <w:sz w:val="20"/>
          <w:szCs w:val="20"/>
          <w:color w:val="auto"/>
        </w:rPr>
      </w:pPr>
      <w:r>
        <w:rPr>
          <w:rFonts w:ascii="Arial" w:cs="Arial" w:eastAsia="Arial" w:hAnsi="Arial"/>
          <w:sz w:val="20"/>
          <w:szCs w:val="20"/>
          <w:color w:val="auto"/>
        </w:rPr>
        <w:t>The graph also depicts the total return for the S&amp;P 500 and for a peer group for WTW comprised of Aon plc, Arch Capital Group Ltd., Arthur J. Gallagher &amp; Co., Automatic Data Processing, Inc., Booz Allen Hamilton Holding Corporation, Brown &amp; Brown Inc., Cognizant Technology Solutions Corporation, Fidelity National Financial, Inc., Fidelity National Information Services, Inc., First American Financial Corporation, Fiserv, Inc., Marsh &amp; McLennan Companies, Inc., Principal Financial Group, Inc., Robert Half International Inc., S&amp;P Global Inc., and Unum Group. The graph charts the performance of $100 invested on the initial date indicated, December 31, 2020, assuming full dividend reinvestment.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5967730" cy="38100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6">
                      <a:extLst>
                        <a:ext uri="{28A0092B-C50C-407E-A947-70E740481C1C}"/>
                      </a:extLst>
                    </a:blip>
                    <a:srcRect/>
                    <a:stretch>
                      <a:fillRect/>
                    </a:stretch>
                  </pic:blipFill>
                  <pic:spPr bwMode="auto">
                    <a:xfrm>
                      <a:off x="0" y="0"/>
                      <a:ext cx="5967730" cy="3810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Unregistered Sales of Equity Securities and Use of Proceeds</w:t>
      </w:r>
    </w:p>
    <w:p>
      <w:pPr>
        <w:spacing w:after="0" w:line="260" w:lineRule="exact"/>
        <w:rPr>
          <w:sz w:val="20"/>
          <w:szCs w:val="20"/>
          <w:color w:val="auto"/>
        </w:rPr>
      </w:pPr>
    </w:p>
    <w:p>
      <w:pPr>
        <w:ind w:right="300"/>
        <w:spacing w:after="0" w:line="302" w:lineRule="auto"/>
        <w:rPr>
          <w:sz w:val="20"/>
          <w:szCs w:val="20"/>
          <w:color w:val="auto"/>
        </w:rPr>
      </w:pPr>
      <w:r>
        <w:rPr>
          <w:rFonts w:ascii="Arial" w:cs="Arial" w:eastAsia="Arial" w:hAnsi="Arial"/>
          <w:sz w:val="20"/>
          <w:szCs w:val="20"/>
          <w:color w:val="auto"/>
        </w:rPr>
        <w:t>During the year ended December 31, 2025, no shares were issued by the Company without registration under the Securities Act of 1933, as amended.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the Issuer and Affiliated Purchasers</w:t>
      </w:r>
    </w:p>
    <w:p>
      <w:pPr>
        <w:spacing w:after="0" w:line="260" w:lineRule="exact"/>
        <w:rPr>
          <w:sz w:val="20"/>
          <w:szCs w:val="20"/>
          <w:color w:val="auto"/>
        </w:rPr>
      </w:pPr>
    </w:p>
    <w:p>
      <w:pPr>
        <w:ind w:right="300"/>
        <w:spacing w:after="0" w:line="302" w:lineRule="auto"/>
        <w:rPr>
          <w:sz w:val="20"/>
          <w:szCs w:val="20"/>
          <w:color w:val="auto"/>
        </w:rPr>
      </w:pPr>
      <w:r>
        <w:rPr>
          <w:rFonts w:ascii="Arial" w:cs="Arial" w:eastAsia="Arial" w:hAnsi="Arial"/>
          <w:sz w:val="20"/>
          <w:szCs w:val="20"/>
          <w:color w:val="auto"/>
        </w:rPr>
        <w:t>The Company is authorized to repurchase shares, by way of redemption, and will consider whether to do so from time to time, based on many factors, including market conditions.</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86 / 87</w:t>
      </w:r>
    </w:p>
    <w:p>
      <w:pPr>
        <w:sectPr>
          <w:pgSz w:w="11900" w:h="16838" w:orient="portrait"/>
          <w:cols w:equalWidth="0" w:num="1">
            <w:col w:w="9340"/>
          </w:cols>
          <w:pgMar w:left="1260" w:top="1440" w:right="1306" w:bottom="0" w:gutter="0" w:footer="0" w:header="0"/>
          <w:type w:val="continuous"/>
        </w:sectPr>
      </w:pPr>
    </w:p>
    <w:bookmarkStart w:id="86" w:name="page87"/>
    <w:bookmarkEnd w:id="86"/>
    <w:p>
      <w:pPr>
        <w:spacing w:after="0" w:line="307" w:lineRule="auto"/>
        <w:rPr>
          <w:sz w:val="20"/>
          <w:szCs w:val="20"/>
          <w:color w:val="auto"/>
        </w:rPr>
      </w:pPr>
      <w:r>
        <w:rPr>
          <w:rFonts w:ascii="Arial" w:cs="Arial" w:eastAsia="Arial" w:hAnsi="Arial"/>
          <w:sz w:val="20"/>
          <w:szCs w:val="20"/>
          <w:color w:val="auto"/>
        </w:rPr>
        <w:t>There are no expiration dates for these repurchase plans or programs. The following table presents specified information about the Company’s repurchases of ordinary shares in the fourth quarter and the Company’s repurchase authority.</w:t>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Period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October 1, 2025 through October 31, 2025</w:t>
      </w:r>
    </w:p>
    <w:p>
      <w:pPr>
        <w:spacing w:after="0" w:line="116"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color w:val="auto"/>
        </w:rPr>
        <w:t>November 1, 2025 through November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2875915" cy="3429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7">
                      <a:extLst>
                        <a:ext uri="{28A0092B-C50C-407E-A947-70E740481C1C}"/>
                      </a:extLst>
                    </a:blip>
                    <a:srcRect/>
                    <a:stretch>
                      <a:fillRect/>
                    </a:stretch>
                  </pic:blipFill>
                  <pic:spPr bwMode="auto">
                    <a:xfrm>
                      <a:off x="0" y="0"/>
                      <a:ext cx="2875915" cy="342900"/>
                    </a:xfrm>
                    <a:prstGeom prst="rect">
                      <a:avLst/>
                    </a:prstGeom>
                    <a:noFill/>
                  </pic:spPr>
                </pic:pic>
              </a:graphicData>
            </a:graphic>
          </wp:anchor>
        </w:drawing>
      </w:r>
    </w:p>
    <w:p>
      <w:pPr>
        <w:ind w:right="80"/>
        <w:spacing w:after="0" w:line="303" w:lineRule="auto"/>
        <w:rPr>
          <w:sz w:val="20"/>
          <w:szCs w:val="20"/>
          <w:color w:val="auto"/>
        </w:rPr>
      </w:pPr>
      <w:r>
        <w:rPr>
          <w:rFonts w:ascii="Arial" w:cs="Arial" w:eastAsia="Arial" w:hAnsi="Arial"/>
          <w:sz w:val="18"/>
          <w:szCs w:val="18"/>
          <w:color w:val="auto"/>
        </w:rPr>
        <w:t>December 1, 2025 through December 31, 2025</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4"/>
              </w:rPr>
              <w:t>Maximum number</w:t>
            </w:r>
          </w:p>
        </w:tc>
      </w:tr>
      <w:tr>
        <w:trPr>
          <w:trHeight w:val="240"/>
        </w:trPr>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9"/>
              </w:rPr>
              <w:t>of shares that may</w:t>
            </w:r>
          </w:p>
        </w:tc>
      </w:tr>
      <w:tr>
        <w:trPr>
          <w:trHeight w:val="240"/>
        </w:trPr>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as part of</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8"/>
              </w:rPr>
              <w:t>yet be purchased</w:t>
            </w:r>
          </w:p>
        </w:tc>
      </w:tr>
      <w:tr>
        <w:trPr>
          <w:trHeight w:val="240"/>
        </w:trPr>
        <w:tc>
          <w:tcPr>
            <w:tcW w:w="1280" w:type="dxa"/>
            <w:vAlign w:val="bottom"/>
          </w:tcPr>
          <w:p>
            <w:pPr>
              <w:jc w:val="right"/>
              <w:ind w:right="68"/>
              <w:spacing w:after="0"/>
              <w:rPr>
                <w:sz w:val="20"/>
                <w:szCs w:val="20"/>
                <w:color w:val="auto"/>
              </w:rPr>
            </w:pPr>
            <w:r>
              <w:rPr>
                <w:rFonts w:ascii="Arial" w:cs="Arial" w:eastAsia="Arial" w:hAnsi="Arial"/>
                <w:sz w:val="16"/>
                <w:szCs w:val="16"/>
                <w:b w:val="1"/>
                <w:bCs w:val="1"/>
                <w:color w:val="auto"/>
                <w:w w:val="90"/>
              </w:rPr>
              <w:t>Total number of</w:t>
            </w: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Average price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publicly announced</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0"/>
              </w:rPr>
              <w:t>under the plans or</w:t>
            </w:r>
          </w:p>
        </w:tc>
      </w:tr>
      <w:tr>
        <w:trPr>
          <w:trHeight w:val="240"/>
        </w:trPr>
        <w:tc>
          <w:tcPr>
            <w:tcW w:w="1280" w:type="dxa"/>
            <w:vAlign w:val="bottom"/>
          </w:tcPr>
          <w:p>
            <w:pPr>
              <w:jc w:val="right"/>
              <w:ind w:right="8"/>
              <w:spacing w:after="0"/>
              <w:rPr>
                <w:sz w:val="20"/>
                <w:szCs w:val="20"/>
                <w:color w:val="auto"/>
              </w:rPr>
            </w:pPr>
            <w:r>
              <w:rPr>
                <w:rFonts w:ascii="Arial" w:cs="Arial" w:eastAsia="Arial" w:hAnsi="Arial"/>
                <w:sz w:val="16"/>
                <w:szCs w:val="16"/>
                <w:b w:val="1"/>
                <w:bCs w:val="1"/>
                <w:color w:val="auto"/>
                <w:w w:val="84"/>
              </w:rPr>
              <w:t>shares purchased</w:t>
            </w: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w w:val="98"/>
              </w:rPr>
              <w:t>paid per share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plans or programs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r>
      <w:tr>
        <w:trPr>
          <w:trHeight w:val="301"/>
        </w:trPr>
        <w:tc>
          <w:tcPr>
            <w:tcW w:w="1280" w:type="dxa"/>
            <w:vAlign w:val="bottom"/>
          </w:tcPr>
          <w:p>
            <w:pPr>
              <w:jc w:val="right"/>
              <w:ind w:right="8"/>
              <w:spacing w:after="0"/>
              <w:rPr>
                <w:sz w:val="20"/>
                <w:szCs w:val="20"/>
                <w:color w:val="auto"/>
              </w:rPr>
            </w:pPr>
            <w:r>
              <w:rPr>
                <w:rFonts w:ascii="Arial" w:cs="Arial" w:eastAsia="Arial" w:hAnsi="Arial"/>
                <w:sz w:val="20"/>
                <w:szCs w:val="20"/>
                <w:color w:val="auto"/>
              </w:rPr>
              <w:t>400,835</w:t>
            </w:r>
          </w:p>
        </w:tc>
        <w:tc>
          <w:tcPr>
            <w:tcW w:w="380" w:type="dxa"/>
            <w:vAlign w:val="bottom"/>
          </w:tcPr>
          <w:p>
            <w:pPr>
              <w:ind w:left="1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335.49</w:t>
            </w:r>
          </w:p>
        </w:tc>
        <w:tc>
          <w:tcPr>
            <w:tcW w:w="1920" w:type="dxa"/>
            <w:vAlign w:val="bottom"/>
          </w:tcPr>
          <w:p>
            <w:pPr>
              <w:jc w:val="right"/>
              <w:ind w:right="53"/>
              <w:spacing w:after="0"/>
              <w:rPr>
                <w:sz w:val="20"/>
                <w:szCs w:val="20"/>
                <w:color w:val="auto"/>
              </w:rPr>
            </w:pPr>
            <w:r>
              <w:rPr>
                <w:rFonts w:ascii="Arial" w:cs="Arial" w:eastAsia="Arial" w:hAnsi="Arial"/>
                <w:sz w:val="20"/>
                <w:szCs w:val="20"/>
                <w:color w:val="auto"/>
              </w:rPr>
              <w:t>400,835</w:t>
            </w:r>
          </w:p>
        </w:tc>
        <w:tc>
          <w:tcPr>
            <w:tcW w:w="1540" w:type="dxa"/>
            <w:vAlign w:val="bottom"/>
          </w:tcPr>
          <w:p>
            <w:pPr>
              <w:jc w:val="right"/>
              <w:spacing w:after="0"/>
              <w:rPr>
                <w:sz w:val="20"/>
                <w:szCs w:val="20"/>
                <w:color w:val="auto"/>
              </w:rPr>
            </w:pPr>
            <w:r>
              <w:rPr>
                <w:rFonts w:ascii="Arial" w:cs="Arial" w:eastAsia="Arial" w:hAnsi="Arial"/>
                <w:sz w:val="20"/>
                <w:szCs w:val="20"/>
                <w:color w:val="auto"/>
              </w:rPr>
              <w:t>4,599,053</w:t>
            </w:r>
          </w:p>
        </w:tc>
      </w:tr>
      <w:tr>
        <w:trPr>
          <w:trHeight w:val="540"/>
        </w:trPr>
        <w:tc>
          <w:tcPr>
            <w:tcW w:w="1280" w:type="dxa"/>
            <w:vAlign w:val="bottom"/>
          </w:tcPr>
          <w:p>
            <w:pPr>
              <w:jc w:val="right"/>
              <w:ind w:right="8"/>
              <w:spacing w:after="0"/>
              <w:rPr>
                <w:sz w:val="20"/>
                <w:szCs w:val="20"/>
                <w:color w:val="auto"/>
              </w:rPr>
            </w:pPr>
            <w:r>
              <w:rPr>
                <w:rFonts w:ascii="Arial" w:cs="Arial" w:eastAsia="Arial" w:hAnsi="Arial"/>
                <w:sz w:val="20"/>
                <w:szCs w:val="20"/>
                <w:color w:val="auto"/>
              </w:rPr>
              <w:t>547,165</w:t>
            </w:r>
          </w:p>
        </w:tc>
        <w:tc>
          <w:tcPr>
            <w:tcW w:w="380" w:type="dxa"/>
            <w:vAlign w:val="bottom"/>
          </w:tcPr>
          <w:p>
            <w:pPr>
              <w:ind w:left="120"/>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321.79</w:t>
            </w:r>
          </w:p>
        </w:tc>
        <w:tc>
          <w:tcPr>
            <w:tcW w:w="1920" w:type="dxa"/>
            <w:vAlign w:val="bottom"/>
          </w:tcPr>
          <w:p>
            <w:pPr>
              <w:jc w:val="right"/>
              <w:ind w:right="53"/>
              <w:spacing w:after="0"/>
              <w:rPr>
                <w:sz w:val="20"/>
                <w:szCs w:val="20"/>
                <w:color w:val="auto"/>
              </w:rPr>
            </w:pPr>
            <w:r>
              <w:rPr>
                <w:rFonts w:ascii="Arial" w:cs="Arial" w:eastAsia="Arial" w:hAnsi="Arial"/>
                <w:sz w:val="20"/>
                <w:szCs w:val="20"/>
                <w:color w:val="auto"/>
              </w:rPr>
              <w:t>547,165</w:t>
            </w:r>
          </w:p>
        </w:tc>
        <w:tc>
          <w:tcPr>
            <w:tcW w:w="1540" w:type="dxa"/>
            <w:vAlign w:val="bottom"/>
          </w:tcPr>
          <w:p>
            <w:pPr>
              <w:jc w:val="right"/>
              <w:spacing w:after="0"/>
              <w:rPr>
                <w:sz w:val="20"/>
                <w:szCs w:val="20"/>
                <w:color w:val="auto"/>
              </w:rPr>
            </w:pPr>
            <w:r>
              <w:rPr>
                <w:rFonts w:ascii="Arial" w:cs="Arial" w:eastAsia="Arial" w:hAnsi="Arial"/>
                <w:sz w:val="20"/>
                <w:szCs w:val="20"/>
                <w:color w:val="auto"/>
              </w:rPr>
              <w:t>4,051,888</w:t>
            </w:r>
          </w:p>
        </w:tc>
      </w:tr>
      <w:tr>
        <w:trPr>
          <w:trHeight w:val="530"/>
        </w:trPr>
        <w:tc>
          <w:tcPr>
            <w:tcW w:w="1280" w:type="dxa"/>
            <w:vAlign w:val="bottom"/>
          </w:tcPr>
          <w:p>
            <w:pPr>
              <w:jc w:val="right"/>
              <w:ind w:right="8"/>
              <w:spacing w:after="0"/>
              <w:rPr>
                <w:sz w:val="20"/>
                <w:szCs w:val="20"/>
                <w:color w:val="auto"/>
              </w:rPr>
            </w:pPr>
            <w:r>
              <w:rPr>
                <w:rFonts w:ascii="Arial" w:cs="Arial" w:eastAsia="Arial" w:hAnsi="Arial"/>
                <w:sz w:val="20"/>
                <w:szCs w:val="20"/>
                <w:color w:val="auto"/>
              </w:rPr>
              <w:t>120,789</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-2124075</wp:posOffset>
            </wp:positionH>
            <wp:positionV relativeFrom="paragraph">
              <wp:posOffset>-849630</wp:posOffset>
            </wp:positionV>
            <wp:extent cx="5967730" cy="196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8">
                      <a:extLst>
                        <a:ext uri="{28A0092B-C50C-407E-A947-70E740481C1C}"/>
                      </a:extLst>
                    </a:blip>
                    <a:srcRect/>
                    <a:stretch>
                      <a:fillRect/>
                    </a:stretch>
                  </pic:blipFill>
                  <pic:spPr bwMode="auto">
                    <a:xfrm>
                      <a:off x="0" y="0"/>
                      <a:ext cx="5967730" cy="196850"/>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3060" w:space="280"/>
            <w:col w:w="6020"/>
          </w:cols>
          <w:pgMar w:left="1260" w:top="1173" w:right="128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87 / 87</w:t>
      </w:r>
    </w:p>
    <w:p>
      <w:pPr>
        <w:sectPr>
          <w:pgSz w:w="11900" w:h="16838" w:orient="portrait"/>
          <w:cols w:equalWidth="0" w:num="1">
            <w:col w:w="9360"/>
          </w:cols>
          <w:pgMar w:left="1260" w:top="1173" w:right="1286" w:bottom="0" w:gutter="0" w:footer="0" w:header="0"/>
          <w:type w:val="continuous"/>
        </w:sectPr>
      </w:pPr>
    </w:p>
    <w:bookmarkStart w:id="87" w:name="page88"/>
    <w:bookmarkEnd w:id="87"/>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326.54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120,789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3,931,099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1,068,789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327.47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1,068,789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47</w:t>
      </w:r>
    </w:p>
    <w:p>
      <w:pPr>
        <w:sectPr>
          <w:pgSz w:w="11900" w:h="16838" w:orient="portrait"/>
          <w:cols w:equalWidth="0" w:num="1">
            <w:col w:w="9400"/>
          </w:cols>
          <w:pgMar w:left="1260" w:top="1440" w:right="1246" w:bottom="0" w:gutter="0" w:footer="0" w:header="0"/>
          <w:type w:val="continuous"/>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The board of directors has authorized the current open-ended repurchase program for a total of up to $11.7 billion, which was most recently increased by $1.5 billion on September 16, 2025. At December 31, 2025, the maximum number of shares that may be purchased under the existing stock repurchase program is 3,931,099, with approximately $1.3 billion remaining on the current open-ended repurchase authority granted by the board. An estimate of the maximum number of shares under the existing authorities was determined using the closing price of our ordinary shares on December 31, 2025 of $328.60.</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60" w:lineRule="exact"/>
        <w:rPr>
          <w:sz w:val="20"/>
          <w:szCs w:val="20"/>
          <w:color w:val="auto"/>
        </w:rPr>
      </w:pPr>
    </w:p>
    <w:p>
      <w:pPr>
        <w:ind w:right="60"/>
        <w:spacing w:after="0" w:line="307" w:lineRule="auto"/>
        <w:rPr>
          <w:sz w:val="20"/>
          <w:szCs w:val="20"/>
          <w:color w:val="auto"/>
        </w:rPr>
      </w:pPr>
      <w:r>
        <w:rPr>
          <w:rFonts w:ascii="Arial" w:cs="Arial" w:eastAsia="Arial" w:hAnsi="Arial"/>
          <w:sz w:val="20"/>
          <w:szCs w:val="20"/>
          <w:color w:val="auto"/>
        </w:rPr>
        <w:t>For information on our securities authorized for issuance under our existing equity compensation plans, see ‘Securities Authorized for Issuance under Equity Compensation Plans’ in our year-end 2025 proxy statement to be filed with the SEC in the first half of 2026.</w:t>
      </w:r>
    </w:p>
    <w:p>
      <w:pPr>
        <w:spacing w:after="0" w:line="200" w:lineRule="exact"/>
        <w:rPr>
          <w:sz w:val="20"/>
          <w:szCs w:val="20"/>
          <w:color w:val="auto"/>
        </w:rPr>
      </w:pPr>
    </w:p>
    <w:p>
      <w:pPr>
        <w:spacing w:after="0" w:line="34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260" w:top="1440" w:right="14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 / 47</w:t>
      </w:r>
    </w:p>
    <w:p>
      <w:pPr>
        <w:sectPr>
          <w:pgSz w:w="11900" w:h="16838" w:orient="portrait"/>
          <w:cols w:equalWidth="0" w:num="1">
            <w:col w:w="9220"/>
          </w:cols>
          <w:pgMar w:left="1260" w:top="1440" w:right="1426" w:bottom="0" w:gutter="0" w:footer="0" w:header="0"/>
          <w:type w:val="continuous"/>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3"/>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596773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3 / 47</w:t>
      </w:r>
    </w:p>
    <w:p>
      <w:pPr>
        <w:sectPr>
          <w:pgSz w:w="11900" w:h="16838" w:orient="portrait"/>
          <w:cols w:equalWidth="0" w:num="1">
            <w:col w:w="9206"/>
          </w:cols>
          <w:pgMar w:left="1260" w:top="1440" w:right="1440" w:bottom="0" w:gutter="0" w:footer="0" w:header="0"/>
          <w:type w:val="continuous"/>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880"/>
        <w:spacing w:after="0" w:line="302"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01" w:lineRule="exact"/>
        <w:rPr>
          <w:sz w:val="20"/>
          <w:szCs w:val="20"/>
          <w:color w:val="auto"/>
        </w:rPr>
      </w:pPr>
    </w:p>
    <w:p>
      <w:pPr>
        <w:jc w:val="both"/>
        <w:ind w:right="200"/>
        <w:spacing w:after="0" w:line="355" w:lineRule="auto"/>
        <w:rPr>
          <w:sz w:val="20"/>
          <w:szCs w:val="20"/>
          <w:color w:val="auto"/>
        </w:rPr>
      </w:pPr>
      <w:r>
        <w:rPr>
          <w:rFonts w:ascii="Arial" w:cs="Arial" w:eastAsia="Arial" w:hAnsi="Arial"/>
          <w:sz w:val="18"/>
          <w:szCs w:val="18"/>
          <w:i w:val="1"/>
          <w:iCs w:val="1"/>
          <w:color w:val="auto"/>
        </w:rPr>
        <w:t>This discussion includes forward-looking statements. See ‘Disclaimer Regarding Forward-looking Statements’ for certain cautionary information regarding forward-looking statements and Part I, Item 1A Risk Factors for a list of factors that could cause actual results to differ materially from those predicted in those statements.</w:t>
      </w:r>
    </w:p>
    <w:p>
      <w:pPr>
        <w:spacing w:after="0" w:line="162" w:lineRule="exact"/>
        <w:rPr>
          <w:sz w:val="20"/>
          <w:szCs w:val="20"/>
          <w:color w:val="auto"/>
        </w:rPr>
      </w:pPr>
    </w:p>
    <w:p>
      <w:pPr>
        <w:ind w:right="20"/>
        <w:spacing w:after="0" w:line="311" w:lineRule="auto"/>
        <w:rPr>
          <w:sz w:val="20"/>
          <w:szCs w:val="20"/>
          <w:color w:val="auto"/>
        </w:rPr>
      </w:pPr>
      <w:r>
        <w:rPr>
          <w:rFonts w:ascii="Arial" w:cs="Arial" w:eastAsia="Arial" w:hAnsi="Arial"/>
          <w:sz w:val="20"/>
          <w:szCs w:val="20"/>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92" w:lineRule="exact"/>
        <w:rPr>
          <w:sz w:val="20"/>
          <w:szCs w:val="20"/>
          <w:color w:val="auto"/>
        </w:rPr>
      </w:pPr>
    </w:p>
    <w:p>
      <w:pPr>
        <w:ind w:right="880"/>
        <w:spacing w:after="0" w:line="307" w:lineRule="auto"/>
        <w:rPr>
          <w:sz w:val="20"/>
          <w:szCs w:val="20"/>
          <w:color w:val="auto"/>
        </w:rPr>
      </w:pPr>
      <w:r>
        <w:rPr>
          <w:rFonts w:ascii="Arial" w:cs="Arial" w:eastAsia="Arial" w:hAnsi="Arial"/>
          <w:sz w:val="20"/>
          <w:szCs w:val="20"/>
          <w:i w:val="1"/>
          <w:iCs w:val="1"/>
          <w:color w:val="auto"/>
        </w:rPr>
        <w:t>Our methods of calculating these measures may differ from those used by other companies and therefore comparability may be limited. These financial measures should be viewed in addition to, not in lieu of, the consolidated financial statements for the year ended December 31, 2025.</w:t>
      </w:r>
    </w:p>
    <w:p>
      <w:pPr>
        <w:spacing w:after="0" w:line="197" w:lineRule="exact"/>
        <w:rPr>
          <w:sz w:val="20"/>
          <w:szCs w:val="20"/>
          <w:color w:val="auto"/>
        </w:rPr>
      </w:pPr>
    </w:p>
    <w:p>
      <w:pPr>
        <w:ind w:right="240"/>
        <w:spacing w:after="0" w:line="302" w:lineRule="auto"/>
        <w:rPr>
          <w:sz w:val="20"/>
          <w:szCs w:val="20"/>
          <w:color w:val="auto"/>
        </w:rPr>
      </w:pPr>
      <w:r>
        <w:rPr>
          <w:rFonts w:ascii="Arial" w:cs="Arial" w:eastAsia="Arial" w:hAnsi="Arial"/>
          <w:sz w:val="20"/>
          <w:szCs w:val="20"/>
          <w:i w:val="1"/>
          <w:iCs w:val="1"/>
          <w:color w:val="auto"/>
        </w:rPr>
        <w:t>See ‘Non-GAAP Financial Measures’ below for further discussion of our adjusted, constant currency and organic non-GAAP financial measures.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Overview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Impact of Market Conditions on Our Business</w:t>
      </w:r>
    </w:p>
    <w:p>
      <w:pPr>
        <w:spacing w:after="0" w:line="260" w:lineRule="exact"/>
        <w:rPr>
          <w:sz w:val="20"/>
          <w:szCs w:val="20"/>
          <w:color w:val="auto"/>
        </w:rPr>
      </w:pPr>
    </w:p>
    <w:p>
      <w:pPr>
        <w:spacing w:after="0" w:line="352" w:lineRule="auto"/>
        <w:rPr>
          <w:sz w:val="20"/>
          <w:szCs w:val="20"/>
          <w:color w:val="auto"/>
        </w:rPr>
      </w:pPr>
      <w:r>
        <w:rPr>
          <w:rFonts w:ascii="Arial" w:cs="Arial" w:eastAsia="Arial" w:hAnsi="Arial"/>
          <w:sz w:val="18"/>
          <w:szCs w:val="18"/>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166" w:lineRule="exact"/>
        <w:rPr>
          <w:sz w:val="20"/>
          <w:szCs w:val="20"/>
          <w:color w:val="auto"/>
        </w:rPr>
      </w:pPr>
    </w:p>
    <w:p>
      <w:pPr>
        <w:ind w:right="80"/>
        <w:spacing w:after="0" w:line="329" w:lineRule="auto"/>
        <w:rPr>
          <w:sz w:val="20"/>
          <w:szCs w:val="20"/>
          <w:color w:val="auto"/>
        </w:rPr>
      </w:pPr>
      <w:r>
        <w:rPr>
          <w:rFonts w:ascii="Arial" w:cs="Arial" w:eastAsia="Arial" w:hAnsi="Arial"/>
          <w:sz w:val="19"/>
          <w:szCs w:val="19"/>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at the time of filing this Annual Report, we are seeing a softening market.</w:t>
      </w:r>
    </w:p>
    <w:p>
      <w:pPr>
        <w:spacing w:after="0" w:line="184" w:lineRule="exact"/>
        <w:rPr>
          <w:sz w:val="20"/>
          <w:szCs w:val="20"/>
          <w:color w:val="auto"/>
        </w:rPr>
      </w:pPr>
    </w:p>
    <w:p>
      <w:pPr>
        <w:jc w:val="both"/>
        <w:ind w:right="180"/>
        <w:spacing w:after="0" w:line="307" w:lineRule="auto"/>
        <w:rPr>
          <w:sz w:val="20"/>
          <w:szCs w:val="20"/>
          <w:color w:val="auto"/>
        </w:rPr>
      </w:pPr>
      <w:r>
        <w:rPr>
          <w:rFonts w:ascii="Arial" w:cs="Arial" w:eastAsia="Arial" w:hAnsi="Arial"/>
          <w:sz w:val="20"/>
          <w:szCs w:val="20"/>
          <w:color w:val="auto"/>
        </w:rPr>
        <w:t>Market conditions in the broking industry in which we operate are generally defined by factors such as the strength of the various geographical economies which we serve around the world, insurance rate movements, and insurance and reinsurance buying patterns of our clients.</w:t>
      </w:r>
    </w:p>
    <w:p>
      <w:pPr>
        <w:spacing w:after="0" w:line="197" w:lineRule="exact"/>
        <w:rPr>
          <w:sz w:val="20"/>
          <w:szCs w:val="20"/>
          <w:color w:val="auto"/>
        </w:rPr>
      </w:pPr>
    </w:p>
    <w:p>
      <w:pPr>
        <w:ind w:right="20"/>
        <w:spacing w:after="0" w:line="350" w:lineRule="auto"/>
        <w:rPr>
          <w:sz w:val="20"/>
          <w:szCs w:val="20"/>
          <w:color w:val="auto"/>
        </w:rPr>
      </w:pPr>
      <w:r>
        <w:rPr>
          <w:rFonts w:ascii="Arial" w:cs="Arial" w:eastAsia="Arial" w:hAnsi="Arial"/>
          <w:sz w:val="18"/>
          <w:szCs w:val="18"/>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company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 / 47</w:t>
      </w:r>
    </w:p>
    <w:p>
      <w:pPr>
        <w:sectPr>
          <w:pgSz w:w="11900" w:h="16838" w:orient="portrait"/>
          <w:cols w:equalWidth="0" w:num="1">
            <w:col w:w="9380"/>
          </w:cols>
          <w:pgMar w:left="1260" w:top="1440" w:right="1266" w:bottom="0" w:gutter="0" w:footer="0" w:header="0"/>
          <w:type w:val="continuous"/>
        </w:sectPr>
      </w:pPr>
    </w:p>
    <w:bookmarkStart w:id="91" w:name="page92"/>
    <w:bookmarkEnd w:id="91"/>
    <w:p>
      <w:pPr>
        <w:ind w:right="40"/>
        <w:spacing w:after="0" w:line="307" w:lineRule="auto"/>
        <w:rPr>
          <w:sz w:val="20"/>
          <w:szCs w:val="20"/>
          <w:color w:val="auto"/>
        </w:rPr>
      </w:pPr>
      <w:r>
        <w:rPr>
          <w:rFonts w:ascii="Arial" w:cs="Arial" w:eastAsia="Arial" w:hAnsi="Arial"/>
          <w:sz w:val="20"/>
          <w:szCs w:val="20"/>
          <w:color w:val="auto"/>
        </w:rPr>
        <w:t>and for maintaining industry standards and meeting client preferences. We have made such investments from time to time and may decide, based on perceived business needs, to make investments in the future that may be different from past practice or our current expectations.</w:t>
      </w:r>
    </w:p>
    <w:p>
      <w:pPr>
        <w:spacing w:after="0" w:line="197"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With regard to the market for exchanges, we believe that clients base their decisions on a variety of factors that include the role of health care coverage in recruiting/retaining employees and transitioning employees to retirement, the availability of price competitive individual insurance policies, the array of coverage choices available through the exchange provider and its ability to deliver measurable cost savings for corporate clients, and to both execute efficiently and deliver high quality service. Since the individual insurance market for Medicare policies is well-established and a significant portion of corporate employers have already implemented an exchange for their Medicare retirees, growth in this population segment will be derived from public employers and educational and other not-for-profit institutions. This growth may be more episodic in nature. Growth in other population segments is likely to remain low unless a more competitive individual insurance market emerges for these segments.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 / 47</w:t>
      </w:r>
    </w:p>
    <w:p>
      <w:pPr>
        <w:sectPr>
          <w:pgSz w:w="11900" w:h="16838" w:orient="portrait"/>
          <w:cols w:equalWidth="0" w:num="1">
            <w:col w:w="9380"/>
          </w:cols>
          <w:pgMar w:left="1260" w:top="1173" w:right="1266" w:bottom="0" w:gutter="0" w:footer="0" w:header="0"/>
          <w:type w:val="continuous"/>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Risks and Uncertainties of the Economic Environment</w:t>
      </w:r>
    </w:p>
    <w:p>
      <w:pPr>
        <w:spacing w:after="0" w:line="260" w:lineRule="exact"/>
        <w:rPr>
          <w:sz w:val="20"/>
          <w:szCs w:val="20"/>
          <w:color w:val="auto"/>
        </w:rPr>
      </w:pPr>
    </w:p>
    <w:p>
      <w:pPr>
        <w:ind w:right="20"/>
        <w:spacing w:after="0" w:line="348" w:lineRule="auto"/>
        <w:rPr>
          <w:sz w:val="20"/>
          <w:szCs w:val="20"/>
          <w:color w:val="auto"/>
        </w:rPr>
      </w:pPr>
      <w:r>
        <w:rPr>
          <w:rFonts w:ascii="Arial" w:cs="Arial" w:eastAsia="Arial" w:hAnsi="Arial"/>
          <w:sz w:val="18"/>
          <w:szCs w:val="18"/>
          <w:color w:val="auto"/>
        </w:rPr>
        <w:t>U.S. and global markets are continuing to experience uncertainty, volatility and disruption as a result of uncertain macroeconomic conditions including tariff actions and uncertainties relating to global trade, fluctuations in currency exchange rates, volatility in debt and equity markets, uncertainty around interest rates, softening consumer confidence and labor markets, changes in U.S. policies across a broad range of subjects and the speed with which such changes are or may be implemented, and the ongoing Russia-Ukraine and other geopolitical conflicts and tensions. Although the length and impact of these situations are highly unpredictable, the ongoing uncertainty and volatility of the global economy and capital markets, which has resulted in persistent inflation and fluctuating interest rates in many of the markets in which we operate, could accelerate recessionary pressures and continue to lead to further market disruptions. Further, in addition to the direct impact of the continuing dynamic tariff environment on our business (which we do not expect to be significant, so long as retaliatory actions do not extend to services), recent U.S. legislation and other U.S. federal government actions continue to create uncertainty for the business as well as accounting and tax matters. Other indirect impacts from changes in tariffs or from legislative or regulatory developments, such as changes in consumer sentiment, trade relations, economic activity, disruption of U.S. federal government operations, willingness to do business with U.S.-listed firms, inflationary pressures and employee distraction, among others, could negatively affect our business, operations and financial condition.</w:t>
      </w:r>
    </w:p>
    <w:p>
      <w:pPr>
        <w:spacing w:after="0" w:line="178"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These general economic conditions, including inflation, stagflation, political volatility, costs of labor, cost of capital, interest rates, bank stability, credit availability and tax rates, affect not only the cost of and access to liquidity, but also our costs to run and invest in our business, including our operating and general and administrative expenses, and we have no control or limited ability to control such factors. These general economic conditions impact revenue from customers, as well as income from funds we hold on behalf of customers and pension-related income. While parts of our business could benefit from uncertainty or regulatory change, we may see increased caution in spending on services we provide that are more discretionary in nature or where there are alternatives, such as self-insurance. Other parts of our business, such as M&amp;A-related services, may be adversely impacted when there is lower economic activity or transaction volumes.</w:t>
      </w:r>
    </w:p>
    <w:p>
      <w:pPr>
        <w:spacing w:after="0" w:line="184" w:lineRule="exact"/>
        <w:rPr>
          <w:sz w:val="20"/>
          <w:szCs w:val="20"/>
          <w:color w:val="auto"/>
        </w:rPr>
      </w:pPr>
    </w:p>
    <w:p>
      <w:pPr>
        <w:ind w:right="140"/>
        <w:spacing w:after="0" w:line="307" w:lineRule="auto"/>
        <w:rPr>
          <w:sz w:val="20"/>
          <w:szCs w:val="20"/>
          <w:color w:val="auto"/>
        </w:rPr>
      </w:pPr>
      <w:r>
        <w:rPr>
          <w:rFonts w:ascii="Arial" w:cs="Arial" w:eastAsia="Arial" w:hAnsi="Arial"/>
          <w:sz w:val="20"/>
          <w:szCs w:val="20"/>
          <w:color w:val="auto"/>
        </w:rPr>
        <w:t>If our costs grow significantly in excess of our ability to raise revenue, whether as a result of the foregoing global economic factors or otherwise, our margins and results of operations may be materially and adversely impacted and we may not be able to achieve our strategic and financial objectives.</w:t>
      </w:r>
    </w:p>
    <w:p>
      <w:pPr>
        <w:spacing w:after="0" w:line="197" w:lineRule="exact"/>
        <w:rPr>
          <w:sz w:val="20"/>
          <w:szCs w:val="20"/>
          <w:color w:val="auto"/>
        </w:rPr>
      </w:pPr>
    </w:p>
    <w:p>
      <w:pPr>
        <w:ind w:right="600"/>
        <w:spacing w:after="0" w:line="331" w:lineRule="auto"/>
        <w:rPr>
          <w:sz w:val="20"/>
          <w:szCs w:val="20"/>
          <w:color w:val="auto"/>
        </w:rPr>
      </w:pPr>
      <w:r>
        <w:rPr>
          <w:rFonts w:ascii="Arial" w:cs="Arial" w:eastAsia="Arial" w:hAnsi="Arial"/>
          <w:sz w:val="19"/>
          <w:szCs w:val="19"/>
          <w:color w:val="auto"/>
        </w:rPr>
        <w:t>See Part I, Item 1A Risk Factors in this Annual Report on Form 10-K for a discussion of risks that may affect, among other things, our growth relative to expectation and our ability to achieve our objectives.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47</w:t>
      </w:r>
    </w:p>
    <w:p>
      <w:pPr>
        <w:sectPr>
          <w:pgSz w:w="11900" w:h="16838" w:orient="portrait"/>
          <w:cols w:equalWidth="0" w:num="1">
            <w:col w:w="9400"/>
          </w:cols>
          <w:pgMar w:left="1260" w:top="1440" w:right="1246" w:bottom="0" w:gutter="0" w:footer="0" w:header="0"/>
          <w:type w:val="continuous"/>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 w:right="100"/>
        <w:spacing w:after="0" w:line="307" w:lineRule="auto"/>
        <w:rPr>
          <w:sz w:val="20"/>
          <w:szCs w:val="20"/>
          <w:color w:val="auto"/>
        </w:rPr>
      </w:pPr>
      <w:r>
        <w:rPr>
          <w:rFonts w:ascii="Arial" w:cs="Arial" w:eastAsia="Arial" w:hAnsi="Arial"/>
          <w:sz w:val="20"/>
          <w:szCs w:val="20"/>
          <w:color w:val="auto"/>
        </w:rPr>
        <w:t>For management’s discussion of our results of operations for the year ended December 31, 2024 in comparison with the year ended December 31, 2023, please see our Annual Report on Form 10-K filed with the SEC on February 25, 2025.</w:t>
      </w:r>
    </w:p>
    <w:p>
      <w:pPr>
        <w:spacing w:after="0" w:line="18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Financial Statement Overview</w:t>
      </w:r>
    </w:p>
    <w:p>
      <w:pPr>
        <w:spacing w:after="0" w:line="260" w:lineRule="exact"/>
        <w:rPr>
          <w:sz w:val="20"/>
          <w:szCs w:val="20"/>
          <w:color w:val="auto"/>
        </w:rPr>
      </w:pPr>
    </w:p>
    <w:p>
      <w:pPr>
        <w:ind w:left="6" w:right="840"/>
        <w:spacing w:after="0" w:line="302" w:lineRule="auto"/>
        <w:rPr>
          <w:sz w:val="20"/>
          <w:szCs w:val="20"/>
          <w:color w:val="auto"/>
        </w:rPr>
      </w:pPr>
      <w:r>
        <w:rPr>
          <w:rFonts w:ascii="Arial" w:cs="Arial" w:eastAsia="Arial" w:hAnsi="Arial"/>
          <w:sz w:val="20"/>
          <w:szCs w:val="20"/>
          <w:color w:val="auto"/>
        </w:rPr>
        <w:t>The tables below set forth our summarized consolidated statements of comprehensive income and data as a percentage of revenue for the periods indicated.</w:t>
      </w:r>
    </w:p>
    <w:p>
      <w:pPr>
        <w:spacing w:after="0" w:line="191"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 in millions, except per share data)</w:t>
      </w:r>
    </w:p>
    <w:p>
      <w:pPr>
        <w:spacing w:after="0" w:line="229"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80" w:type="dxa"/>
            <w:vAlign w:val="bottom"/>
            <w:gridSpan w:val="3"/>
          </w:tcPr>
          <w:p>
            <w:pPr>
              <w:jc w:val="right"/>
              <w:ind w:right="521"/>
              <w:spacing w:after="0"/>
              <w:rPr>
                <w:sz w:val="20"/>
                <w:szCs w:val="20"/>
                <w:color w:val="auto"/>
              </w:rPr>
            </w:pPr>
            <w:r>
              <w:rPr>
                <w:rFonts w:ascii="Arial" w:cs="Arial" w:eastAsia="Arial" w:hAnsi="Arial"/>
                <w:sz w:val="16"/>
                <w:szCs w:val="16"/>
                <w:b w:val="1"/>
                <w:bCs w:val="1"/>
                <w:color w:val="auto"/>
                <w:w w:val="90"/>
              </w:rPr>
              <w:t>Years ended December 31,</w:t>
            </w:r>
          </w:p>
        </w:tc>
        <w:tc>
          <w:tcPr>
            <w:tcW w:w="800" w:type="dxa"/>
            <w:vAlign w:val="bottom"/>
          </w:tcPr>
          <w:p>
            <w:pPr>
              <w:spacing w:after="0"/>
              <w:rPr>
                <w:sz w:val="16"/>
                <w:szCs w:val="16"/>
                <w:color w:val="auto"/>
              </w:rPr>
            </w:pPr>
          </w:p>
        </w:tc>
      </w:tr>
      <w:tr>
        <w:trPr>
          <w:trHeight w:val="264"/>
        </w:trPr>
        <w:tc>
          <w:tcPr>
            <w:tcW w:w="4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141"/>
              <w:spacing w:after="0"/>
              <w:rPr>
                <w:sz w:val="20"/>
                <w:szCs w:val="20"/>
                <w:color w:val="auto"/>
              </w:rPr>
            </w:pPr>
            <w:r>
              <w:rPr>
                <w:rFonts w:ascii="Arial" w:cs="Arial" w:eastAsia="Arial" w:hAnsi="Arial"/>
                <w:sz w:val="16"/>
                <w:szCs w:val="16"/>
                <w:b w:val="1"/>
                <w:bCs w:val="1"/>
                <w:color w:val="auto"/>
              </w:rPr>
              <w:t>2024</w:t>
            </w:r>
          </w:p>
        </w:tc>
        <w:tc>
          <w:tcPr>
            <w:tcW w:w="800" w:type="dxa"/>
            <w:vAlign w:val="bottom"/>
          </w:tcPr>
          <w:p>
            <w:pPr>
              <w:spacing w:after="0"/>
              <w:rPr>
                <w:sz w:val="22"/>
                <w:szCs w:val="22"/>
                <w:color w:val="auto"/>
              </w:rPr>
            </w:pPr>
          </w:p>
        </w:tc>
      </w:tr>
      <w:tr>
        <w:trPr>
          <w:trHeight w:val="296"/>
        </w:trPr>
        <w:tc>
          <w:tcPr>
            <w:tcW w:w="4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4"/>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Revenue</w:t>
            </w:r>
          </w:p>
        </w:tc>
        <w:tc>
          <w:tcPr>
            <w:tcW w:w="6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9,708</w:t>
            </w:r>
          </w:p>
        </w:tc>
        <w:tc>
          <w:tcPr>
            <w:tcW w:w="106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100%</w:t>
            </w:r>
          </w:p>
        </w:tc>
        <w:tc>
          <w:tcPr>
            <w:tcW w:w="4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261"/>
              <w:spacing w:after="0"/>
              <w:rPr>
                <w:sz w:val="20"/>
                <w:szCs w:val="20"/>
                <w:color w:val="auto"/>
              </w:rPr>
            </w:pPr>
            <w:r>
              <w:rPr>
                <w:rFonts w:ascii="Arial" w:cs="Arial" w:eastAsia="Arial" w:hAnsi="Arial"/>
                <w:sz w:val="20"/>
                <w:szCs w:val="20"/>
                <w:color w:val="auto"/>
              </w:rPr>
              <w:t>9,930</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w:t>
            </w:r>
          </w:p>
        </w:tc>
      </w:tr>
      <w:tr>
        <w:trPr>
          <w:trHeight w:val="274"/>
        </w:trPr>
        <w:tc>
          <w:tcPr>
            <w:tcW w:w="4680" w:type="dxa"/>
            <w:vAlign w:val="bottom"/>
          </w:tcPr>
          <w:p>
            <w:pPr>
              <w:spacing w:after="0"/>
              <w:rPr>
                <w:sz w:val="20"/>
                <w:szCs w:val="20"/>
                <w:color w:val="auto"/>
              </w:rPr>
            </w:pPr>
            <w:r>
              <w:rPr>
                <w:rFonts w:ascii="Arial" w:cs="Arial" w:eastAsia="Arial" w:hAnsi="Arial"/>
                <w:sz w:val="20"/>
                <w:szCs w:val="20"/>
                <w:color w:val="auto"/>
              </w:rPr>
              <w:t>Costs of providing services</w:t>
            </w: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41"/>
        </w:trPr>
        <w:tc>
          <w:tcPr>
            <w:tcW w:w="4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46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Salaries and benefits</w:t>
            </w:r>
          </w:p>
        </w:tc>
        <w:tc>
          <w:tcPr>
            <w:tcW w:w="6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5,625</w:t>
            </w:r>
          </w:p>
        </w:tc>
        <w:tc>
          <w:tcPr>
            <w:tcW w:w="106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58%</w:t>
            </w:r>
          </w:p>
        </w:tc>
        <w:tc>
          <w:tcPr>
            <w:tcW w:w="4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61"/>
              <w:spacing w:after="0"/>
              <w:rPr>
                <w:sz w:val="20"/>
                <w:szCs w:val="20"/>
                <w:color w:val="auto"/>
              </w:rPr>
            </w:pPr>
            <w:r>
              <w:rPr>
                <w:rFonts w:ascii="Arial" w:cs="Arial" w:eastAsia="Arial" w:hAnsi="Arial"/>
                <w:sz w:val="20"/>
                <w:szCs w:val="20"/>
                <w:color w:val="auto"/>
              </w:rPr>
              <w:t>5,502</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55%</w:t>
            </w:r>
          </w:p>
        </w:tc>
      </w:tr>
      <w:tr>
        <w:trPr>
          <w:trHeight w:val="274"/>
        </w:trPr>
        <w:tc>
          <w:tcPr>
            <w:tcW w:w="4680" w:type="dxa"/>
            <w:vAlign w:val="bottom"/>
          </w:tcPr>
          <w:p>
            <w:pPr>
              <w:ind w:left="80"/>
              <w:spacing w:after="0"/>
              <w:rPr>
                <w:sz w:val="20"/>
                <w:szCs w:val="20"/>
                <w:color w:val="auto"/>
              </w:rPr>
            </w:pPr>
            <w:r>
              <w:rPr>
                <w:rFonts w:ascii="Arial" w:cs="Arial" w:eastAsia="Arial" w:hAnsi="Arial"/>
                <w:sz w:val="20"/>
                <w:szCs w:val="20"/>
                <w:color w:val="auto"/>
              </w:rPr>
              <w:t>Other operating expenses</w:t>
            </w:r>
          </w:p>
        </w:tc>
        <w:tc>
          <w:tcPr>
            <w:tcW w:w="62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1,408</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15%</w:t>
            </w:r>
          </w:p>
        </w:tc>
        <w:tc>
          <w:tcPr>
            <w:tcW w:w="400" w:type="dxa"/>
            <w:vAlign w:val="bottom"/>
          </w:tcPr>
          <w:p>
            <w:pPr>
              <w:spacing w:after="0"/>
              <w:rPr>
                <w:sz w:val="23"/>
                <w:szCs w:val="23"/>
                <w:color w:val="auto"/>
              </w:rPr>
            </w:pPr>
          </w:p>
        </w:tc>
        <w:tc>
          <w:tcPr>
            <w:tcW w:w="1020" w:type="dxa"/>
            <w:vAlign w:val="bottom"/>
          </w:tcPr>
          <w:p>
            <w:pPr>
              <w:jc w:val="right"/>
              <w:ind w:right="261"/>
              <w:spacing w:after="0"/>
              <w:rPr>
                <w:sz w:val="20"/>
                <w:szCs w:val="20"/>
                <w:color w:val="auto"/>
              </w:rPr>
            </w:pPr>
            <w:r>
              <w:rPr>
                <w:rFonts w:ascii="Arial" w:cs="Arial" w:eastAsia="Arial" w:hAnsi="Arial"/>
                <w:sz w:val="20"/>
                <w:szCs w:val="20"/>
                <w:color w:val="auto"/>
              </w:rPr>
              <w:t>1,833</w:t>
            </w:r>
          </w:p>
        </w:tc>
        <w:tc>
          <w:tcPr>
            <w:tcW w:w="80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41"/>
        </w:trPr>
        <w:tc>
          <w:tcPr>
            <w:tcW w:w="4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314"/>
        </w:trPr>
        <w:tc>
          <w:tcPr>
            <w:tcW w:w="4680" w:type="dxa"/>
            <w:vAlign w:val="bottom"/>
            <w:shd w:val="clear" w:color="auto" w:fill="CFF0FC"/>
          </w:tcPr>
          <w:p>
            <w:pPr>
              <w:ind w:left="80"/>
              <w:spacing w:after="0"/>
              <w:rPr>
                <w:sz w:val="20"/>
                <w:szCs w:val="20"/>
                <w:color w:val="auto"/>
              </w:rPr>
            </w:pPr>
            <w:r>
              <w:rPr>
                <w:rFonts w:ascii="Arial" w:cs="Arial" w:eastAsia="Arial" w:hAnsi="Arial"/>
                <w:sz w:val="20"/>
                <w:szCs w:val="20"/>
                <w:color w:val="auto"/>
              </w:rPr>
              <w:t xml:space="preserve">Impairment </w:t>
            </w:r>
            <w:r>
              <w:rPr>
                <w:rFonts w:ascii="Arial" w:cs="Arial" w:eastAsia="Arial" w:hAnsi="Arial"/>
                <w:sz w:val="26"/>
                <w:szCs w:val="26"/>
                <w:color w:val="auto"/>
                <w:vertAlign w:val="superscript"/>
              </w:rPr>
              <w:t>(i)</w:t>
            </w:r>
          </w:p>
        </w:tc>
        <w:tc>
          <w:tcPr>
            <w:tcW w:w="62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rPr>
              <w:t>1,042</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w:t>
            </w:r>
          </w:p>
        </w:tc>
      </w:tr>
      <w:tr>
        <w:trPr>
          <w:trHeight w:val="274"/>
        </w:trPr>
        <w:tc>
          <w:tcPr>
            <w:tcW w:w="4680" w:type="dxa"/>
            <w:vAlign w:val="bottom"/>
          </w:tcPr>
          <w:p>
            <w:pPr>
              <w:ind w:left="80"/>
              <w:spacing w:after="0"/>
              <w:rPr>
                <w:sz w:val="20"/>
                <w:szCs w:val="20"/>
                <w:color w:val="auto"/>
              </w:rPr>
            </w:pPr>
            <w:r>
              <w:rPr>
                <w:rFonts w:ascii="Arial" w:cs="Arial" w:eastAsia="Arial" w:hAnsi="Arial"/>
                <w:sz w:val="20"/>
                <w:szCs w:val="20"/>
                <w:color w:val="auto"/>
              </w:rPr>
              <w:t>Depreciation</w:t>
            </w:r>
          </w:p>
        </w:tc>
        <w:tc>
          <w:tcPr>
            <w:tcW w:w="62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226</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2%</w:t>
            </w:r>
          </w:p>
        </w:tc>
        <w:tc>
          <w:tcPr>
            <w:tcW w:w="400" w:type="dxa"/>
            <w:vAlign w:val="bottom"/>
          </w:tcPr>
          <w:p>
            <w:pPr>
              <w:spacing w:after="0"/>
              <w:rPr>
                <w:sz w:val="23"/>
                <w:szCs w:val="23"/>
                <w:color w:val="auto"/>
              </w:rPr>
            </w:pPr>
          </w:p>
        </w:tc>
        <w:tc>
          <w:tcPr>
            <w:tcW w:w="1020" w:type="dxa"/>
            <w:vAlign w:val="bottom"/>
          </w:tcPr>
          <w:p>
            <w:pPr>
              <w:jc w:val="right"/>
              <w:ind w:right="261"/>
              <w:spacing w:after="0"/>
              <w:rPr>
                <w:sz w:val="20"/>
                <w:szCs w:val="20"/>
                <w:color w:val="auto"/>
              </w:rPr>
            </w:pPr>
            <w:r>
              <w:rPr>
                <w:rFonts w:ascii="Arial" w:cs="Arial" w:eastAsia="Arial" w:hAnsi="Arial"/>
                <w:sz w:val="20"/>
                <w:szCs w:val="20"/>
                <w:color w:val="auto"/>
              </w:rPr>
              <w:t>230</w:t>
            </w:r>
          </w:p>
        </w:tc>
        <w:tc>
          <w:tcPr>
            <w:tcW w:w="8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1"/>
        </w:trPr>
        <w:tc>
          <w:tcPr>
            <w:tcW w:w="4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46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Amortization</w:t>
            </w:r>
          </w:p>
        </w:tc>
        <w:tc>
          <w:tcPr>
            <w:tcW w:w="6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192</w:t>
            </w:r>
          </w:p>
        </w:tc>
        <w:tc>
          <w:tcPr>
            <w:tcW w:w="106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2%</w:t>
            </w:r>
          </w:p>
        </w:tc>
        <w:tc>
          <w:tcPr>
            <w:tcW w:w="4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61"/>
              <w:spacing w:after="0"/>
              <w:rPr>
                <w:sz w:val="20"/>
                <w:szCs w:val="20"/>
                <w:color w:val="auto"/>
              </w:rPr>
            </w:pPr>
            <w:r>
              <w:rPr>
                <w:rFonts w:ascii="Arial" w:cs="Arial" w:eastAsia="Arial" w:hAnsi="Arial"/>
                <w:sz w:val="20"/>
                <w:szCs w:val="20"/>
                <w:color w:val="auto"/>
              </w:rPr>
              <w:t>226</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r>
      <w:tr>
        <w:trPr>
          <w:trHeight w:val="274"/>
        </w:trPr>
        <w:tc>
          <w:tcPr>
            <w:tcW w:w="4680" w:type="dxa"/>
            <w:vAlign w:val="bottom"/>
          </w:tcPr>
          <w:p>
            <w:pPr>
              <w:ind w:left="80"/>
              <w:spacing w:after="0"/>
              <w:rPr>
                <w:sz w:val="20"/>
                <w:szCs w:val="20"/>
                <w:color w:val="auto"/>
              </w:rPr>
            </w:pPr>
            <w:r>
              <w:rPr>
                <w:rFonts w:ascii="Arial" w:cs="Arial" w:eastAsia="Arial" w:hAnsi="Arial"/>
                <w:sz w:val="20"/>
                <w:szCs w:val="20"/>
                <w:color w:val="auto"/>
              </w:rPr>
              <w:t>Restructuring costs</w:t>
            </w:r>
          </w:p>
        </w:tc>
        <w:tc>
          <w:tcPr>
            <w:tcW w:w="62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3"/>
                <w:szCs w:val="23"/>
                <w:color w:val="auto"/>
              </w:rPr>
            </w:pPr>
          </w:p>
        </w:tc>
        <w:tc>
          <w:tcPr>
            <w:tcW w:w="1020" w:type="dxa"/>
            <w:vAlign w:val="bottom"/>
          </w:tcPr>
          <w:p>
            <w:pPr>
              <w:jc w:val="right"/>
              <w:ind w:right="261"/>
              <w:spacing w:after="0"/>
              <w:rPr>
                <w:sz w:val="20"/>
                <w:szCs w:val="20"/>
                <w:color w:val="auto"/>
              </w:rPr>
            </w:pPr>
            <w:r>
              <w:rPr>
                <w:rFonts w:ascii="Arial" w:cs="Arial" w:eastAsia="Arial" w:hAnsi="Arial"/>
                <w:sz w:val="20"/>
                <w:szCs w:val="20"/>
                <w:color w:val="auto"/>
              </w:rPr>
              <w:t>61</w:t>
            </w:r>
          </w:p>
        </w:tc>
        <w:tc>
          <w:tcPr>
            <w:tcW w:w="8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1"/>
        </w:trPr>
        <w:tc>
          <w:tcPr>
            <w:tcW w:w="4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304"/>
        </w:trPr>
        <w:tc>
          <w:tcPr>
            <w:tcW w:w="46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Transaction and transformation</w:t>
            </w:r>
          </w:p>
        </w:tc>
        <w:tc>
          <w:tcPr>
            <w:tcW w:w="6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23</w:t>
            </w:r>
          </w:p>
        </w:tc>
        <w:tc>
          <w:tcPr>
            <w:tcW w:w="106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61"/>
              <w:spacing w:after="0"/>
              <w:rPr>
                <w:sz w:val="20"/>
                <w:szCs w:val="20"/>
                <w:color w:val="auto"/>
              </w:rPr>
            </w:pPr>
            <w:r>
              <w:rPr>
                <w:rFonts w:ascii="Arial" w:cs="Arial" w:eastAsia="Arial" w:hAnsi="Arial"/>
                <w:sz w:val="20"/>
                <w:szCs w:val="20"/>
                <w:color w:val="auto"/>
              </w:rPr>
              <w:t>409</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w:t>
            </w:r>
          </w:p>
        </w:tc>
      </w:tr>
      <w:tr>
        <w:trPr>
          <w:trHeight w:val="274"/>
        </w:trPr>
        <w:tc>
          <w:tcPr>
            <w:tcW w:w="4680" w:type="dxa"/>
            <w:vAlign w:val="bottom"/>
          </w:tcPr>
          <w:p>
            <w:pPr>
              <w:spacing w:after="0"/>
              <w:rPr>
                <w:sz w:val="20"/>
                <w:szCs w:val="20"/>
                <w:color w:val="auto"/>
              </w:rPr>
            </w:pPr>
            <w:r>
              <w:rPr>
                <w:rFonts w:ascii="Arial" w:cs="Arial" w:eastAsia="Arial" w:hAnsi="Arial"/>
                <w:sz w:val="20"/>
                <w:szCs w:val="20"/>
                <w:color w:val="auto"/>
              </w:rPr>
              <w:t>Total costs of providing services</w:t>
            </w:r>
          </w:p>
        </w:tc>
        <w:tc>
          <w:tcPr>
            <w:tcW w:w="62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7,474</w:t>
            </w: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jc w:val="right"/>
              <w:ind w:right="261"/>
              <w:spacing w:after="0"/>
              <w:rPr>
                <w:sz w:val="20"/>
                <w:szCs w:val="20"/>
                <w:color w:val="auto"/>
              </w:rPr>
            </w:pPr>
            <w:r>
              <w:rPr>
                <w:rFonts w:ascii="Arial" w:cs="Arial" w:eastAsia="Arial" w:hAnsi="Arial"/>
                <w:sz w:val="20"/>
                <w:szCs w:val="20"/>
                <w:color w:val="auto"/>
              </w:rPr>
              <w:t>9,303</w:t>
            </w:r>
          </w:p>
        </w:tc>
        <w:tc>
          <w:tcPr>
            <w:tcW w:w="800" w:type="dxa"/>
            <w:vAlign w:val="bottom"/>
          </w:tcPr>
          <w:p>
            <w:pPr>
              <w:spacing w:after="0"/>
              <w:rPr>
                <w:sz w:val="23"/>
                <w:szCs w:val="23"/>
                <w:color w:val="auto"/>
              </w:rPr>
            </w:pPr>
          </w:p>
        </w:tc>
      </w:tr>
      <w:tr>
        <w:trPr>
          <w:trHeight w:val="51"/>
        </w:trPr>
        <w:tc>
          <w:tcPr>
            <w:tcW w:w="4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94"/>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Income from operations</w:t>
            </w:r>
          </w:p>
        </w:tc>
        <w:tc>
          <w:tcPr>
            <w:tcW w:w="6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2,234</w:t>
            </w:r>
          </w:p>
        </w:tc>
        <w:tc>
          <w:tcPr>
            <w:tcW w:w="106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23%</w:t>
            </w:r>
          </w:p>
        </w:tc>
        <w:tc>
          <w:tcPr>
            <w:tcW w:w="4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61"/>
              <w:spacing w:after="0"/>
              <w:rPr>
                <w:sz w:val="20"/>
                <w:szCs w:val="20"/>
                <w:color w:val="auto"/>
              </w:rPr>
            </w:pPr>
            <w:r>
              <w:rPr>
                <w:rFonts w:ascii="Arial" w:cs="Arial" w:eastAsia="Arial" w:hAnsi="Arial"/>
                <w:sz w:val="20"/>
                <w:szCs w:val="20"/>
                <w:color w:val="auto"/>
              </w:rPr>
              <w:t>627</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w:t>
            </w:r>
          </w:p>
        </w:tc>
      </w:tr>
      <w:tr>
        <w:trPr>
          <w:trHeight w:val="274"/>
        </w:trPr>
        <w:tc>
          <w:tcPr>
            <w:tcW w:w="4680" w:type="dxa"/>
            <w:vAlign w:val="bottom"/>
          </w:tcPr>
          <w:p>
            <w:pPr>
              <w:spacing w:after="0"/>
              <w:rPr>
                <w:sz w:val="20"/>
                <w:szCs w:val="20"/>
                <w:color w:val="auto"/>
              </w:rPr>
            </w:pPr>
            <w:r>
              <w:rPr>
                <w:rFonts w:ascii="Arial" w:cs="Arial" w:eastAsia="Arial" w:hAnsi="Arial"/>
                <w:sz w:val="20"/>
                <w:szCs w:val="20"/>
                <w:color w:val="auto"/>
              </w:rPr>
              <w:t>Interest expense</w:t>
            </w:r>
          </w:p>
        </w:tc>
        <w:tc>
          <w:tcPr>
            <w:tcW w:w="6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(260)</w:t>
            </w:r>
          </w:p>
        </w:tc>
        <w:tc>
          <w:tcPr>
            <w:tcW w:w="1060" w:type="dxa"/>
            <w:vAlign w:val="bottom"/>
          </w:tcPr>
          <w:p>
            <w:pPr>
              <w:jc w:val="right"/>
              <w:spacing w:after="0"/>
              <w:rPr>
                <w:sz w:val="20"/>
                <w:szCs w:val="20"/>
                <w:color w:val="auto"/>
              </w:rPr>
            </w:pPr>
            <w:r>
              <w:rPr>
                <w:rFonts w:ascii="Arial" w:cs="Arial" w:eastAsia="Arial" w:hAnsi="Arial"/>
                <w:sz w:val="20"/>
                <w:szCs w:val="20"/>
                <w:color w:val="auto"/>
              </w:rPr>
              <w:t>(3)%</w:t>
            </w:r>
          </w:p>
        </w:tc>
        <w:tc>
          <w:tcPr>
            <w:tcW w:w="400" w:type="dxa"/>
            <w:vAlign w:val="bottom"/>
          </w:tcPr>
          <w:p>
            <w:pPr>
              <w:spacing w:after="0"/>
              <w:rPr>
                <w:sz w:val="23"/>
                <w:szCs w:val="23"/>
                <w:color w:val="auto"/>
              </w:rPr>
            </w:pPr>
          </w:p>
        </w:tc>
        <w:tc>
          <w:tcPr>
            <w:tcW w:w="1020" w:type="dxa"/>
            <w:vAlign w:val="bottom"/>
          </w:tcPr>
          <w:p>
            <w:pPr>
              <w:jc w:val="right"/>
              <w:ind w:right="181"/>
              <w:spacing w:after="0"/>
              <w:rPr>
                <w:sz w:val="20"/>
                <w:szCs w:val="20"/>
                <w:color w:val="auto"/>
              </w:rPr>
            </w:pPr>
            <w:r>
              <w:rPr>
                <w:rFonts w:ascii="Arial" w:cs="Arial" w:eastAsia="Arial" w:hAnsi="Arial"/>
                <w:sz w:val="20"/>
                <w:szCs w:val="20"/>
                <w:color w:val="auto"/>
              </w:rPr>
              <w:t>(263)</w:t>
            </w:r>
          </w:p>
        </w:tc>
        <w:tc>
          <w:tcPr>
            <w:tcW w:w="8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41"/>
        </w:trPr>
        <w:tc>
          <w:tcPr>
            <w:tcW w:w="4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324"/>
        </w:trPr>
        <w:tc>
          <w:tcPr>
            <w:tcW w:w="468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Other loss, net </w:t>
            </w:r>
            <w:r>
              <w:rPr>
                <w:rFonts w:ascii="Arial" w:cs="Arial" w:eastAsia="Arial" w:hAnsi="Arial"/>
                <w:sz w:val="26"/>
                <w:szCs w:val="26"/>
                <w:color w:val="auto"/>
                <w:vertAlign w:val="superscript"/>
              </w:rPr>
              <w:t>(i)</w:t>
            </w:r>
          </w:p>
        </w:tc>
        <w:tc>
          <w:tcPr>
            <w:tcW w:w="620" w:type="dxa"/>
            <w:vAlign w:val="bottom"/>
            <w:shd w:val="clear" w:color="auto" w:fill="CFF0FC"/>
          </w:tcPr>
          <w:p>
            <w:pPr>
              <w:spacing w:after="0"/>
              <w:rPr>
                <w:sz w:val="24"/>
                <w:szCs w:val="2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w:t>
            </w:r>
          </w:p>
        </w:tc>
        <w:tc>
          <w:tcPr>
            <w:tcW w:w="10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(262)</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w:t>
            </w:r>
          </w:p>
        </w:tc>
      </w:tr>
      <w:tr>
        <w:trPr>
          <w:trHeight w:val="274"/>
        </w:trPr>
        <w:tc>
          <w:tcPr>
            <w:tcW w:w="4680" w:type="dxa"/>
            <w:vAlign w:val="bottom"/>
          </w:tcPr>
          <w:p>
            <w:pPr>
              <w:spacing w:after="0"/>
              <w:rPr>
                <w:sz w:val="20"/>
                <w:szCs w:val="20"/>
                <w:color w:val="auto"/>
              </w:rPr>
            </w:pPr>
            <w:r>
              <w:rPr>
                <w:rFonts w:ascii="Arial" w:cs="Arial" w:eastAsia="Arial" w:hAnsi="Arial"/>
                <w:sz w:val="20"/>
                <w:szCs w:val="20"/>
                <w:color w:val="auto"/>
              </w:rPr>
              <w:t>INCOME FROM OPERATIONS BEFORE INCOME</w:t>
            </w:r>
          </w:p>
        </w:tc>
        <w:tc>
          <w:tcPr>
            <w:tcW w:w="6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300"/>
        </w:trPr>
        <w:tc>
          <w:tcPr>
            <w:tcW w:w="4680" w:type="dxa"/>
            <w:vAlign w:val="bottom"/>
          </w:tcPr>
          <w:p>
            <w:pPr>
              <w:spacing w:after="0"/>
              <w:rPr>
                <w:sz w:val="20"/>
                <w:szCs w:val="20"/>
                <w:color w:val="auto"/>
              </w:rPr>
            </w:pPr>
            <w:r>
              <w:rPr>
                <w:rFonts w:ascii="Arial" w:cs="Arial" w:eastAsia="Arial" w:hAnsi="Arial"/>
                <w:sz w:val="20"/>
                <w:szCs w:val="20"/>
                <w:color w:val="auto"/>
              </w:rPr>
              <w:t>TAXES AND</w:t>
            </w: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0"/>
        </w:trPr>
        <w:tc>
          <w:tcPr>
            <w:tcW w:w="4680" w:type="dxa"/>
            <w:vAlign w:val="bottom"/>
          </w:tcPr>
          <w:p>
            <w:pPr>
              <w:ind w:left="140"/>
              <w:spacing w:after="0"/>
              <w:rPr>
                <w:sz w:val="20"/>
                <w:szCs w:val="20"/>
                <w:color w:val="auto"/>
              </w:rPr>
            </w:pPr>
            <w:r>
              <w:rPr>
                <w:rFonts w:ascii="Arial" w:cs="Arial" w:eastAsia="Arial" w:hAnsi="Arial"/>
                <w:sz w:val="20"/>
                <w:szCs w:val="20"/>
                <w:color w:val="auto"/>
              </w:rPr>
              <w:t>INTEREST IN EARNINGS OF ASSOCIATES</w:t>
            </w:r>
          </w:p>
        </w:tc>
        <w:tc>
          <w:tcPr>
            <w:tcW w:w="620" w:type="dxa"/>
            <w:vAlign w:val="bottom"/>
          </w:tcPr>
          <w:p>
            <w:pPr>
              <w:spacing w:after="0"/>
              <w:rPr>
                <w:sz w:val="24"/>
                <w:szCs w:val="24"/>
                <w:color w:val="auto"/>
              </w:rPr>
            </w:pP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1,953</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20%</w:t>
            </w:r>
          </w:p>
        </w:tc>
        <w:tc>
          <w:tcPr>
            <w:tcW w:w="400" w:type="dxa"/>
            <w:vAlign w:val="bottom"/>
          </w:tcPr>
          <w:p>
            <w:pPr>
              <w:spacing w:after="0"/>
              <w:rPr>
                <w:sz w:val="24"/>
                <w:szCs w:val="24"/>
                <w:color w:val="auto"/>
              </w:rPr>
            </w:pPr>
          </w:p>
        </w:tc>
        <w:tc>
          <w:tcPr>
            <w:tcW w:w="1020" w:type="dxa"/>
            <w:vAlign w:val="bottom"/>
          </w:tcPr>
          <w:p>
            <w:pPr>
              <w:jc w:val="right"/>
              <w:ind w:right="261"/>
              <w:spacing w:after="0"/>
              <w:rPr>
                <w:sz w:val="20"/>
                <w:szCs w:val="20"/>
                <w:color w:val="auto"/>
              </w:rPr>
            </w:pPr>
            <w:r>
              <w:rPr>
                <w:rFonts w:ascii="Arial" w:cs="Arial" w:eastAsia="Arial" w:hAnsi="Arial"/>
                <w:sz w:val="20"/>
                <w:szCs w:val="20"/>
                <w:color w:val="auto"/>
              </w:rPr>
              <w:t>102</w:t>
            </w:r>
          </w:p>
        </w:tc>
        <w:tc>
          <w:tcPr>
            <w:tcW w:w="8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1"/>
        </w:trPr>
        <w:tc>
          <w:tcPr>
            <w:tcW w:w="4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Provision for income taxes</w:t>
            </w:r>
          </w:p>
        </w:tc>
        <w:tc>
          <w:tcPr>
            <w:tcW w:w="6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(318)</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w:t>
            </w:r>
          </w:p>
        </w:tc>
        <w:tc>
          <w:tcPr>
            <w:tcW w:w="4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(192)</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r>
      <w:tr>
        <w:trPr>
          <w:trHeight w:val="274"/>
        </w:trPr>
        <w:tc>
          <w:tcPr>
            <w:tcW w:w="4680" w:type="dxa"/>
            <w:vAlign w:val="bottom"/>
          </w:tcPr>
          <w:p>
            <w:pPr>
              <w:spacing w:after="0"/>
              <w:rPr>
                <w:sz w:val="20"/>
                <w:szCs w:val="20"/>
                <w:color w:val="auto"/>
              </w:rPr>
            </w:pPr>
            <w:r>
              <w:rPr>
                <w:rFonts w:ascii="Arial" w:cs="Arial" w:eastAsia="Arial" w:hAnsi="Arial"/>
                <w:sz w:val="20"/>
                <w:szCs w:val="20"/>
                <w:color w:val="auto"/>
              </w:rPr>
              <w:t>Interest in earnings of associates, net of tax</w:t>
            </w:r>
          </w:p>
        </w:tc>
        <w:tc>
          <w:tcPr>
            <w:tcW w:w="6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(22)</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3"/>
                <w:szCs w:val="23"/>
                <w:color w:val="auto"/>
              </w:rPr>
            </w:pPr>
          </w:p>
        </w:tc>
        <w:tc>
          <w:tcPr>
            <w:tcW w:w="1020" w:type="dxa"/>
            <w:vAlign w:val="bottom"/>
          </w:tcPr>
          <w:p>
            <w:pPr>
              <w:jc w:val="right"/>
              <w:ind w:right="261"/>
              <w:spacing w:after="0"/>
              <w:rPr>
                <w:sz w:val="20"/>
                <w:szCs w:val="20"/>
                <w:color w:val="auto"/>
              </w:rPr>
            </w:pPr>
            <w:r>
              <w:rPr>
                <w:rFonts w:ascii="Arial" w:cs="Arial" w:eastAsia="Arial" w:hAnsi="Arial"/>
                <w:sz w:val="20"/>
                <w:szCs w:val="20"/>
                <w:color w:val="auto"/>
              </w:rPr>
              <w:t>2</w:t>
            </w: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1"/>
        </w:trPr>
        <w:tc>
          <w:tcPr>
            <w:tcW w:w="4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304"/>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Income attributable to non-controlling interests</w:t>
            </w:r>
          </w:p>
        </w:tc>
        <w:tc>
          <w:tcPr>
            <w:tcW w:w="6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w:t>
            </w:r>
          </w:p>
        </w:tc>
        <w:tc>
          <w:tcPr>
            <w:tcW w:w="106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20"/>
                <w:szCs w:val="20"/>
                <w:color w:val="auto"/>
              </w:rPr>
              <w:t>(10)</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319"/>
        </w:trPr>
        <w:tc>
          <w:tcPr>
            <w:tcW w:w="4680" w:type="dxa"/>
            <w:vAlign w:val="bottom"/>
          </w:tcPr>
          <w:p>
            <w:pPr>
              <w:spacing w:after="0"/>
              <w:rPr>
                <w:sz w:val="20"/>
                <w:szCs w:val="20"/>
                <w:color w:val="auto"/>
              </w:rPr>
            </w:pPr>
            <w:r>
              <w:rPr>
                <w:rFonts w:ascii="Arial" w:cs="Arial" w:eastAsia="Arial" w:hAnsi="Arial"/>
                <w:sz w:val="20"/>
                <w:szCs w:val="20"/>
                <w:color w:val="auto"/>
              </w:rPr>
              <w:t>NET INCOME/(LOSS) ATTRIBUTABLE TO WTW</w:t>
            </w:r>
          </w:p>
        </w:tc>
        <w:tc>
          <w:tcPr>
            <w:tcW w:w="62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61"/>
              <w:spacing w:after="0"/>
              <w:rPr>
                <w:sz w:val="20"/>
                <w:szCs w:val="20"/>
                <w:color w:val="auto"/>
              </w:rPr>
            </w:pPr>
            <w:r>
              <w:rPr>
                <w:rFonts w:ascii="Arial" w:cs="Arial" w:eastAsia="Arial" w:hAnsi="Arial"/>
                <w:sz w:val="20"/>
                <w:szCs w:val="20"/>
                <w:color w:val="auto"/>
              </w:rPr>
              <w:t>1,605</w:t>
            </w:r>
          </w:p>
        </w:tc>
        <w:tc>
          <w:tcPr>
            <w:tcW w:w="1060" w:type="dxa"/>
            <w:vAlign w:val="bottom"/>
          </w:tcPr>
          <w:p>
            <w:pPr>
              <w:jc w:val="right"/>
              <w:ind w:right="41"/>
              <w:spacing w:after="0"/>
              <w:rPr>
                <w:sz w:val="20"/>
                <w:szCs w:val="20"/>
                <w:color w:val="auto"/>
              </w:rPr>
            </w:pPr>
            <w:r>
              <w:rPr>
                <w:rFonts w:ascii="Arial" w:cs="Arial" w:eastAsia="Arial" w:hAnsi="Arial"/>
                <w:sz w:val="20"/>
                <w:szCs w:val="20"/>
                <w:color w:val="auto"/>
              </w:rPr>
              <w:t>17%</w:t>
            </w:r>
          </w:p>
        </w:tc>
        <w:tc>
          <w:tcPr>
            <w:tcW w:w="40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181"/>
              <w:spacing w:after="0"/>
              <w:rPr>
                <w:sz w:val="20"/>
                <w:szCs w:val="20"/>
                <w:color w:val="auto"/>
              </w:rPr>
            </w:pPr>
            <w:r>
              <w:rPr>
                <w:rFonts w:ascii="Arial" w:cs="Arial" w:eastAsia="Arial" w:hAnsi="Arial"/>
                <w:sz w:val="20"/>
                <w:szCs w:val="20"/>
                <w:color w:val="auto"/>
              </w:rPr>
              <w:t>(98)</w:t>
            </w:r>
          </w:p>
        </w:tc>
        <w:tc>
          <w:tcPr>
            <w:tcW w:w="8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1"/>
        </w:trPr>
        <w:tc>
          <w:tcPr>
            <w:tcW w:w="4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74"/>
        </w:trPr>
        <w:tc>
          <w:tcPr>
            <w:tcW w:w="4680" w:type="dxa"/>
            <w:vAlign w:val="bottom"/>
            <w:shd w:val="clear" w:color="auto" w:fill="CFF0FC"/>
          </w:tcPr>
          <w:p>
            <w:pPr>
              <w:spacing w:after="0"/>
              <w:rPr>
                <w:sz w:val="20"/>
                <w:szCs w:val="20"/>
                <w:color w:val="auto"/>
              </w:rPr>
            </w:pPr>
            <w:r>
              <w:rPr>
                <w:rFonts w:ascii="Arial" w:cs="Arial" w:eastAsia="Arial" w:hAnsi="Arial"/>
                <w:sz w:val="20"/>
                <w:szCs w:val="20"/>
                <w:color w:val="auto"/>
              </w:rPr>
              <w:t>Diluted earnings/(loss) per share</w:t>
            </w:r>
          </w:p>
        </w:tc>
        <w:tc>
          <w:tcPr>
            <w:tcW w:w="62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16.26</w:t>
            </w:r>
          </w:p>
        </w:tc>
        <w:tc>
          <w:tcPr>
            <w:tcW w:w="1060" w:type="dxa"/>
            <w:vAlign w:val="bottom"/>
            <w:shd w:val="clear" w:color="auto" w:fill="CFF0FC"/>
          </w:tcPr>
          <w:p>
            <w:pPr>
              <w:spacing w:after="0"/>
              <w:rPr>
                <w:sz w:val="23"/>
                <w:szCs w:val="23"/>
                <w:color w:val="auto"/>
              </w:rPr>
            </w:pPr>
          </w:p>
        </w:tc>
        <w:tc>
          <w:tcPr>
            <w:tcW w:w="40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(0.96)</w:t>
            </w:r>
          </w:p>
        </w:tc>
        <w:tc>
          <w:tcPr>
            <w:tcW w:w="800" w:type="dxa"/>
            <w:vAlign w:val="bottom"/>
            <w:shd w:val="clear" w:color="auto" w:fill="CFF0FC"/>
          </w:tcPr>
          <w:p>
            <w:pPr>
              <w:spacing w:after="0"/>
              <w:rPr>
                <w:sz w:val="23"/>
                <w:szCs w:val="23"/>
                <w:color w:val="auto"/>
              </w:rPr>
            </w:pPr>
          </w:p>
        </w:tc>
      </w:tr>
      <w:tr>
        <w:trPr>
          <w:trHeight w:val="86"/>
        </w:trPr>
        <w:tc>
          <w:tcPr>
            <w:tcW w:w="468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3175635</wp:posOffset>
            </wp:positionH>
            <wp:positionV relativeFrom="paragraph">
              <wp:posOffset>-4598035</wp:posOffset>
            </wp:positionV>
            <wp:extent cx="279209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4">
                      <a:extLst>
                        <a:ext uri="{28A0092B-C50C-407E-A947-70E740481C1C}"/>
                      </a:extLst>
                    </a:blip>
                    <a:srcRect/>
                    <a:stretch>
                      <a:fillRect/>
                    </a:stretch>
                  </pic:blipFill>
                  <pic:spPr bwMode="auto">
                    <a:xfrm>
                      <a:off x="0" y="0"/>
                      <a:ext cx="2792095" cy="635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-4430395</wp:posOffset>
            </wp:positionV>
            <wp:extent cx="279209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5">
                      <a:extLst>
                        <a:ext uri="{28A0092B-C50C-407E-A947-70E740481C1C}"/>
                      </a:extLst>
                    </a:blip>
                    <a:srcRect/>
                    <a:stretch>
                      <a:fillRect/>
                    </a:stretch>
                  </pic:blipFill>
                  <pic:spPr bwMode="auto">
                    <a:xfrm>
                      <a:off x="0" y="0"/>
                      <a:ext cx="2792095" cy="635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-4062730</wp:posOffset>
            </wp:positionV>
            <wp:extent cx="75501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6">
                      <a:extLst>
                        <a:ext uri="{28A0092B-C50C-407E-A947-70E740481C1C}"/>
                      </a:extLst>
                    </a:blip>
                    <a:srcRect/>
                    <a:stretch>
                      <a:fillRect/>
                    </a:stretch>
                  </pic:blipFill>
                  <pic:spPr bwMode="auto">
                    <a:xfrm>
                      <a:off x="0" y="0"/>
                      <a:ext cx="755015" cy="635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-4062730</wp:posOffset>
            </wp:positionV>
            <wp:extent cx="76390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7">
                      <a:extLst>
                        <a:ext uri="{28A0092B-C50C-407E-A947-70E740481C1C}"/>
                      </a:extLst>
                    </a:blip>
                    <a:srcRect/>
                    <a:stretch>
                      <a:fillRect/>
                    </a:stretch>
                  </pic:blipFill>
                  <pic:spPr bwMode="auto">
                    <a:xfrm>
                      <a:off x="0" y="0"/>
                      <a:ext cx="763905" cy="635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-2459355</wp:posOffset>
            </wp:positionV>
            <wp:extent cx="75501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8">
                      <a:extLst>
                        <a:ext uri="{28A0092B-C50C-407E-A947-70E740481C1C}"/>
                      </a:extLst>
                    </a:blip>
                    <a:srcRect/>
                    <a:stretch>
                      <a:fillRect/>
                    </a:stretch>
                  </pic:blipFill>
                  <pic:spPr bwMode="auto">
                    <a:xfrm>
                      <a:off x="0" y="0"/>
                      <a:ext cx="755015" cy="635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-2459355</wp:posOffset>
            </wp:positionV>
            <wp:extent cx="76390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9">
                      <a:extLst>
                        <a:ext uri="{28A0092B-C50C-407E-A947-70E740481C1C}"/>
                      </a:extLst>
                    </a:blip>
                    <a:srcRect/>
                    <a:stretch>
                      <a:fillRect/>
                    </a:stretch>
                  </pic:blipFill>
                  <pic:spPr bwMode="auto">
                    <a:xfrm>
                      <a:off x="0" y="0"/>
                      <a:ext cx="763905" cy="635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-2253615</wp:posOffset>
            </wp:positionV>
            <wp:extent cx="68643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0">
                      <a:extLst>
                        <a:ext uri="{28A0092B-C50C-407E-A947-70E740481C1C}"/>
                      </a:extLst>
                    </a:blip>
                    <a:srcRect/>
                    <a:stretch>
                      <a:fillRect/>
                    </a:stretch>
                  </pic:blipFill>
                  <pic:spPr bwMode="auto">
                    <a:xfrm>
                      <a:off x="0" y="0"/>
                      <a:ext cx="686435" cy="635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-2253615</wp:posOffset>
            </wp:positionV>
            <wp:extent cx="686435"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1">
                      <a:extLst>
                        <a:ext uri="{28A0092B-C50C-407E-A947-70E740481C1C}"/>
                      </a:extLst>
                    </a:blip>
                    <a:srcRect/>
                    <a:stretch>
                      <a:fillRect/>
                    </a:stretch>
                  </pic:blipFill>
                  <pic:spPr bwMode="auto">
                    <a:xfrm>
                      <a:off x="0" y="0"/>
                      <a:ext cx="686435" cy="635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-1647825</wp:posOffset>
            </wp:positionV>
            <wp:extent cx="75501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2">
                      <a:extLst>
                        <a:ext uri="{28A0092B-C50C-407E-A947-70E740481C1C}"/>
                      </a:extLst>
                    </a:blip>
                    <a:srcRect/>
                    <a:stretch>
                      <a:fillRect/>
                    </a:stretch>
                  </pic:blipFill>
                  <pic:spPr bwMode="auto">
                    <a:xfrm>
                      <a:off x="0" y="0"/>
                      <a:ext cx="755015" cy="635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-1647825</wp:posOffset>
            </wp:positionV>
            <wp:extent cx="76390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3">
                      <a:extLst>
                        <a:ext uri="{28A0092B-C50C-407E-A947-70E740481C1C}"/>
                      </a:extLst>
                    </a:blip>
                    <a:srcRect/>
                    <a:stretch>
                      <a:fillRect/>
                    </a:stretch>
                  </pic:blipFill>
                  <pic:spPr bwMode="auto">
                    <a:xfrm>
                      <a:off x="0" y="0"/>
                      <a:ext cx="763905" cy="635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-462280</wp:posOffset>
            </wp:positionV>
            <wp:extent cx="75501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4">
                      <a:extLst>
                        <a:ext uri="{28A0092B-C50C-407E-A947-70E740481C1C}"/>
                      </a:extLst>
                    </a:blip>
                    <a:srcRect/>
                    <a:stretch>
                      <a:fillRect/>
                    </a:stretch>
                  </pic:blipFill>
                  <pic:spPr bwMode="auto">
                    <a:xfrm>
                      <a:off x="0" y="0"/>
                      <a:ext cx="755015" cy="635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-462280</wp:posOffset>
            </wp:positionV>
            <wp:extent cx="76390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5">
                      <a:extLst>
                        <a:ext uri="{28A0092B-C50C-407E-A947-70E740481C1C}"/>
                      </a:extLst>
                    </a:blip>
                    <a:srcRect/>
                    <a:stretch>
                      <a:fillRect/>
                    </a:stretch>
                  </pic:blipFill>
                  <pic:spPr bwMode="auto">
                    <a:xfrm>
                      <a:off x="0" y="0"/>
                      <a:ext cx="763905" cy="6350"/>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-255905</wp:posOffset>
            </wp:positionV>
            <wp:extent cx="686435" cy="28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6">
                      <a:extLst>
                        <a:ext uri="{28A0092B-C50C-407E-A947-70E740481C1C}"/>
                      </a:extLst>
                    </a:blip>
                    <a:srcRect/>
                    <a:stretch>
                      <a:fillRect/>
                    </a:stretch>
                  </pic:blipFill>
                  <pic:spPr bwMode="auto">
                    <a:xfrm>
                      <a:off x="0" y="0"/>
                      <a:ext cx="686435" cy="2857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-255905</wp:posOffset>
            </wp:positionV>
            <wp:extent cx="686435" cy="28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7">
                      <a:extLst>
                        <a:ext uri="{28A0092B-C50C-407E-A947-70E740481C1C}"/>
                      </a:extLst>
                    </a:blip>
                    <a:srcRect/>
                    <a:stretch>
                      <a:fillRect/>
                    </a:stretch>
                  </pic:blipFill>
                  <pic:spPr bwMode="auto">
                    <a:xfrm>
                      <a:off x="0" y="0"/>
                      <a:ext cx="686435" cy="28575"/>
                    </a:xfrm>
                    <a:prstGeom prst="rect">
                      <a:avLst/>
                    </a:prstGeom>
                    <a:noFill/>
                  </pic:spPr>
                </pic:pic>
              </a:graphicData>
            </a:graphic>
          </wp:anchor>
        </w:drawing>
        <w:drawing>
          <wp:anchor simplePos="0" relativeHeight="251657728" behindDoc="1" locked="0" layoutInCell="0" allowOverlap="1">
            <wp:simplePos x="0" y="0"/>
            <wp:positionH relativeFrom="column">
              <wp:posOffset>3175635</wp:posOffset>
            </wp:positionH>
            <wp:positionV relativeFrom="paragraph">
              <wp:posOffset>-27940</wp:posOffset>
            </wp:positionV>
            <wp:extent cx="755015" cy="285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8">
                      <a:extLst>
                        <a:ext uri="{28A0092B-C50C-407E-A947-70E740481C1C}"/>
                      </a:extLst>
                    </a:blip>
                    <a:srcRect/>
                    <a:stretch>
                      <a:fillRect/>
                    </a:stretch>
                  </pic:blipFill>
                  <pic:spPr bwMode="auto">
                    <a:xfrm>
                      <a:off x="0" y="0"/>
                      <a:ext cx="755015" cy="2857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-27940</wp:posOffset>
            </wp:positionV>
            <wp:extent cx="763905" cy="285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9">
                      <a:extLst>
                        <a:ext uri="{28A0092B-C50C-407E-A947-70E740481C1C}"/>
                      </a:extLst>
                    </a:blip>
                    <a:srcRect/>
                    <a:stretch>
                      <a:fillRect/>
                    </a:stretch>
                  </pic:blipFill>
                  <pic:spPr bwMode="auto">
                    <a:xfrm>
                      <a:off x="0" y="0"/>
                      <a:ext cx="763905"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79565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0">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26" w:right="160" w:hanging="226"/>
        <w:spacing w:after="0" w:line="464" w:lineRule="auto"/>
        <w:tabs>
          <w:tab w:leader="none" w:pos="226"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the year ended December 31, 2024, Impairment and Other loss, net include goodwill-related impairment expense and loss on disposal, respectively, associated with the sale of our TRANZACT business (see Note 3 — Acquisitions and Divestitures within Item 8 of this Annual Report on Form 10-K).</w:t>
      </w:r>
    </w:p>
    <w:p>
      <w:pPr>
        <w:spacing w:after="0" w:line="10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Consolidated Revenue</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7 / 47</w:t>
      </w:r>
    </w:p>
    <w:p>
      <w:pPr>
        <w:sectPr>
          <w:pgSz w:w="11900" w:h="16838" w:orient="portrait"/>
          <w:cols w:equalWidth="0" w:num="1">
            <w:col w:w="9406"/>
          </w:cols>
          <w:pgMar w:left="1254" w:top="1440" w:right="1246" w:bottom="0" w:gutter="0" w:footer="0" w:header="0"/>
          <w:type w:val="continuous"/>
        </w:sectPr>
      </w:pPr>
    </w:p>
    <w:bookmarkStart w:id="94" w:name="page95"/>
    <w:bookmarkEnd w:id="94"/>
    <w:p>
      <w:pPr>
        <w:ind w:right="140"/>
        <w:spacing w:after="0" w:line="307" w:lineRule="auto"/>
        <w:rPr>
          <w:sz w:val="20"/>
          <w:szCs w:val="20"/>
          <w:color w:val="auto"/>
        </w:rPr>
      </w:pPr>
      <w:r>
        <w:rPr>
          <w:rFonts w:ascii="Arial" w:cs="Arial" w:eastAsia="Arial" w:hAnsi="Arial"/>
          <w:sz w:val="20"/>
          <w:szCs w:val="20"/>
          <w:color w:val="auto"/>
        </w:rPr>
        <w:t>We derive the majority of our revenue from commissions from our brokerage services and fees for consulting and administration services. No single client represented a significant concentration of our consolidated revenue for any of our three most recent fiscal years.</w:t>
      </w:r>
    </w:p>
    <w:p>
      <w:pPr>
        <w:spacing w:after="0" w:line="197" w:lineRule="exact"/>
        <w:rPr>
          <w:sz w:val="20"/>
          <w:szCs w:val="20"/>
          <w:color w:val="auto"/>
        </w:rPr>
      </w:pPr>
    </w:p>
    <w:p>
      <w:pPr>
        <w:jc w:val="both"/>
        <w:ind w:right="180"/>
        <w:spacing w:after="0" w:line="307" w:lineRule="auto"/>
        <w:rPr>
          <w:sz w:val="20"/>
          <w:szCs w:val="20"/>
          <w:color w:val="auto"/>
        </w:rPr>
      </w:pPr>
      <w:r>
        <w:rPr>
          <w:rFonts w:ascii="Arial" w:cs="Arial" w:eastAsia="Arial" w:hAnsi="Arial"/>
          <w:sz w:val="20"/>
          <w:szCs w:val="20"/>
          <w:color w:val="auto"/>
        </w:rPr>
        <w:t>The following table details our top five markets based on percentage of consolidated revenue (in U.S. dollars) from the countries where work was performed for the year ended December 31, 2025. These figures do not represent the currency of the related revenue, which is presented in the next table.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20"/>
                <w:szCs w:val="20"/>
                <w:color w:val="auto"/>
              </w:rPr>
            </w:pPr>
            <w:r>
              <w:rPr>
                <w:rFonts w:ascii="Arial" w:cs="Arial" w:eastAsia="Arial" w:hAnsi="Arial"/>
                <w:sz w:val="16"/>
                <w:szCs w:val="16"/>
                <w:b w:val="1"/>
                <w:bCs w:val="1"/>
                <w:color w:val="auto"/>
              </w:rPr>
              <w:t>Geographic Region</w:t>
            </w:r>
          </w:p>
        </w:tc>
        <w:tc>
          <w:tcPr>
            <w:tcW w:w="6440" w:type="dxa"/>
            <w:vAlign w:val="bottom"/>
          </w:tcPr>
          <w:p>
            <w:pPr>
              <w:jc w:val="right"/>
              <w:ind w:right="403"/>
              <w:spacing w:after="0"/>
              <w:rPr>
                <w:sz w:val="20"/>
                <w:szCs w:val="20"/>
                <w:color w:val="auto"/>
              </w:rPr>
            </w:pPr>
            <w:r>
              <w:rPr>
                <w:rFonts w:ascii="Arial" w:cs="Arial" w:eastAsia="Arial" w:hAnsi="Arial"/>
                <w:sz w:val="16"/>
                <w:szCs w:val="16"/>
                <w:b w:val="1"/>
                <w:bCs w:val="1"/>
                <w:color w:val="auto"/>
              </w:rPr>
              <w:t>% of Revenue</w:t>
            </w:r>
          </w:p>
        </w:tc>
      </w:tr>
      <w:tr>
        <w:trPr>
          <w:trHeight w:val="42"/>
        </w:trPr>
        <w:tc>
          <w:tcPr>
            <w:tcW w:w="2960" w:type="dxa"/>
            <w:vAlign w:val="bottom"/>
          </w:tcPr>
          <w:p>
            <w:pPr>
              <w:spacing w:after="0"/>
              <w:rPr>
                <w:sz w:val="3"/>
                <w:szCs w:val="3"/>
                <w:color w:val="auto"/>
              </w:rPr>
            </w:pPr>
          </w:p>
        </w:tc>
        <w:tc>
          <w:tcPr>
            <w:tcW w:w="6440" w:type="dxa"/>
            <w:vAlign w:val="bottom"/>
          </w:tcPr>
          <w:p>
            <w:pPr>
              <w:spacing w:after="0"/>
              <w:rPr>
                <w:sz w:val="3"/>
                <w:szCs w:val="3"/>
                <w:color w:val="auto"/>
              </w:rPr>
            </w:pPr>
          </w:p>
        </w:tc>
      </w:tr>
      <w:tr>
        <w:trPr>
          <w:trHeight w:val="280"/>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United States</w:t>
            </w:r>
          </w:p>
        </w:tc>
        <w:tc>
          <w:tcPr>
            <w:tcW w:w="6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46%</w:t>
            </w:r>
          </w:p>
        </w:tc>
      </w:tr>
      <w:tr>
        <w:trPr>
          <w:trHeight w:val="259"/>
        </w:trPr>
        <w:tc>
          <w:tcPr>
            <w:tcW w:w="2960" w:type="dxa"/>
            <w:vAlign w:val="bottom"/>
          </w:tcPr>
          <w:p>
            <w:pPr>
              <w:spacing w:after="0"/>
              <w:rPr>
                <w:sz w:val="20"/>
                <w:szCs w:val="20"/>
                <w:color w:val="auto"/>
              </w:rPr>
            </w:pPr>
            <w:r>
              <w:rPr>
                <w:rFonts w:ascii="Arial" w:cs="Arial" w:eastAsia="Arial" w:hAnsi="Arial"/>
                <w:sz w:val="20"/>
                <w:szCs w:val="20"/>
                <w:color w:val="auto"/>
              </w:rPr>
              <w:t>United Kingdom</w:t>
            </w:r>
          </w:p>
        </w:tc>
        <w:tc>
          <w:tcPr>
            <w:tcW w:w="644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41"/>
        </w:trPr>
        <w:tc>
          <w:tcPr>
            <w:tcW w:w="2960" w:type="dxa"/>
            <w:vAlign w:val="bottom"/>
          </w:tcPr>
          <w:p>
            <w:pPr>
              <w:spacing w:after="0"/>
              <w:rPr>
                <w:sz w:val="3"/>
                <w:szCs w:val="3"/>
                <w:color w:val="auto"/>
              </w:rPr>
            </w:pPr>
          </w:p>
        </w:tc>
        <w:tc>
          <w:tcPr>
            <w:tcW w:w="6440" w:type="dxa"/>
            <w:vAlign w:val="bottom"/>
          </w:tcPr>
          <w:p>
            <w:pPr>
              <w:spacing w:after="0"/>
              <w:rPr>
                <w:sz w:val="3"/>
                <w:szCs w:val="3"/>
                <w:color w:val="auto"/>
              </w:rPr>
            </w:pPr>
          </w:p>
        </w:tc>
      </w:tr>
      <w:tr>
        <w:trPr>
          <w:trHeight w:val="280"/>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France</w:t>
            </w:r>
          </w:p>
        </w:tc>
        <w:tc>
          <w:tcPr>
            <w:tcW w:w="6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w:t>
            </w:r>
          </w:p>
        </w:tc>
      </w:tr>
      <w:tr>
        <w:trPr>
          <w:trHeight w:val="259"/>
        </w:trPr>
        <w:tc>
          <w:tcPr>
            <w:tcW w:w="2960" w:type="dxa"/>
            <w:vAlign w:val="bottom"/>
          </w:tcPr>
          <w:p>
            <w:pPr>
              <w:spacing w:after="0"/>
              <w:rPr>
                <w:sz w:val="20"/>
                <w:szCs w:val="20"/>
                <w:color w:val="auto"/>
              </w:rPr>
            </w:pPr>
            <w:r>
              <w:rPr>
                <w:rFonts w:ascii="Arial" w:cs="Arial" w:eastAsia="Arial" w:hAnsi="Arial"/>
                <w:sz w:val="20"/>
                <w:szCs w:val="20"/>
                <w:color w:val="auto"/>
              </w:rPr>
              <w:t>Canada</w:t>
            </w:r>
          </w:p>
        </w:tc>
        <w:tc>
          <w:tcPr>
            <w:tcW w:w="64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41"/>
        </w:trPr>
        <w:tc>
          <w:tcPr>
            <w:tcW w:w="2960" w:type="dxa"/>
            <w:vAlign w:val="bottom"/>
          </w:tcPr>
          <w:p>
            <w:pPr>
              <w:spacing w:after="0"/>
              <w:rPr>
                <w:sz w:val="3"/>
                <w:szCs w:val="3"/>
                <w:color w:val="auto"/>
              </w:rPr>
            </w:pPr>
          </w:p>
        </w:tc>
        <w:tc>
          <w:tcPr>
            <w:tcW w:w="6440" w:type="dxa"/>
            <w:vAlign w:val="bottom"/>
          </w:tcPr>
          <w:p>
            <w:pPr>
              <w:spacing w:after="0"/>
              <w:rPr>
                <w:sz w:val="3"/>
                <w:szCs w:val="3"/>
                <w:color w:val="auto"/>
              </w:rPr>
            </w:pPr>
          </w:p>
        </w:tc>
      </w:tr>
      <w:tr>
        <w:trPr>
          <w:trHeight w:val="280"/>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Germany</w:t>
            </w:r>
          </w:p>
        </w:tc>
        <w:tc>
          <w:tcPr>
            <w:tcW w:w="6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w:t>
            </w:r>
          </w:p>
        </w:tc>
      </w:tr>
      <w:tr>
        <w:trPr>
          <w:trHeight w:val="799"/>
        </w:trPr>
        <w:tc>
          <w:tcPr>
            <w:tcW w:w="2960" w:type="dxa"/>
            <w:vAlign w:val="bottom"/>
          </w:tcPr>
          <w:p>
            <w:pPr>
              <w:spacing w:after="0"/>
              <w:rPr>
                <w:sz w:val="24"/>
                <w:szCs w:val="24"/>
                <w:color w:val="auto"/>
              </w:rPr>
            </w:pPr>
          </w:p>
        </w:tc>
        <w:tc>
          <w:tcPr>
            <w:tcW w:w="6440" w:type="dxa"/>
            <w:vAlign w:val="bottom"/>
          </w:tcPr>
          <w:p>
            <w:pPr>
              <w:jc w:val="right"/>
              <w:ind w:right="4503"/>
              <w:spacing w:after="0"/>
              <w:rPr>
                <w:sz w:val="20"/>
                <w:szCs w:val="20"/>
                <w:color w:val="auto"/>
              </w:rPr>
            </w:pPr>
            <w:r>
              <w:rPr>
                <w:rFonts w:ascii="Arial" w:cs="Arial" w:eastAsia="Arial" w:hAnsi="Arial"/>
                <w:sz w:val="20"/>
                <w:szCs w:val="20"/>
                <w:color w:val="auto"/>
              </w:rPr>
              <w:t>48</w:t>
            </w:r>
          </w:p>
        </w:tc>
      </w:tr>
      <w:tr>
        <w:trPr>
          <w:trHeight w:val="891"/>
        </w:trPr>
        <w:tc>
          <w:tcPr>
            <w:tcW w:w="2960" w:type="dxa"/>
            <w:vAlign w:val="bottom"/>
            <w:tcBorders>
              <w:bottom w:val="single" w:sz="8" w:color="010101"/>
            </w:tcBorders>
          </w:tcPr>
          <w:p>
            <w:pPr>
              <w:spacing w:after="0"/>
              <w:rPr>
                <w:sz w:val="24"/>
                <w:szCs w:val="24"/>
                <w:color w:val="auto"/>
              </w:rPr>
            </w:pPr>
          </w:p>
        </w:tc>
        <w:tc>
          <w:tcPr>
            <w:tcW w:w="64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2">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-2044065</wp:posOffset>
            </wp:positionV>
            <wp:extent cx="596773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3">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47</w:t>
      </w:r>
    </w:p>
    <w:p>
      <w:pPr>
        <w:sectPr>
          <w:pgSz w:w="11900" w:h="16838" w:orient="portrait"/>
          <w:cols w:equalWidth="0" w:num="1">
            <w:col w:w="9400"/>
          </w:cols>
          <w:pgMar w:left="1260" w:top="1173" w:right="1246" w:bottom="0" w:gutter="0" w:footer="0" w:header="0"/>
          <w:type w:val="continuous"/>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 w:right="300"/>
        <w:spacing w:after="0" w:line="302" w:lineRule="auto"/>
        <w:rPr>
          <w:sz w:val="20"/>
          <w:szCs w:val="20"/>
          <w:color w:val="auto"/>
        </w:rPr>
      </w:pPr>
      <w:r>
        <w:rPr>
          <w:rFonts w:ascii="Arial" w:cs="Arial" w:eastAsia="Arial" w:hAnsi="Arial"/>
          <w:sz w:val="20"/>
          <w:szCs w:val="20"/>
          <w:color w:val="auto"/>
        </w:rPr>
        <w:t>The table below details the approximate percentage of our revenue and expenses by transactional currency for the year ended December 31, 2025.</w:t>
      </w:r>
    </w:p>
    <w:p>
      <w:pPr>
        <w:spacing w:after="0" w:line="200" w:lineRule="exact"/>
        <w:rPr>
          <w:sz w:val="20"/>
          <w:szCs w:val="20"/>
          <w:color w:val="auto"/>
        </w:rPr>
      </w:pPr>
    </w:p>
    <w:p>
      <w:pPr>
        <w:spacing w:after="0" w:line="355" w:lineRule="exact"/>
        <w:rPr>
          <w:sz w:val="20"/>
          <w:szCs w:val="20"/>
          <w:color w:val="auto"/>
        </w:rPr>
      </w:pPr>
    </w:p>
    <w:tbl>
      <w:tblPr>
        <w:tblLayout w:type="fixed"/>
        <w:tblInd w:w="6" w:type="dxa"/>
        <w:tblCellMar>
          <w:top w:w="0" w:type="dxa"/>
          <w:left w:w="0" w:type="dxa"/>
          <w:bottom w:w="0" w:type="dxa"/>
          <w:right w:w="0" w:type="dxa"/>
        </w:tblCellMar>
      </w:tblPr>
      <w:tr>
        <w:trPr>
          <w:trHeight w:val="247"/>
        </w:trPr>
        <w:tc>
          <w:tcPr>
            <w:tcW w:w="4160" w:type="dxa"/>
            <w:vAlign w:val="bottom"/>
          </w:tcPr>
          <w:p>
            <w:pPr>
              <w:spacing w:after="0"/>
              <w:rPr>
                <w:sz w:val="20"/>
                <w:szCs w:val="20"/>
                <w:color w:val="auto"/>
              </w:rPr>
            </w:pPr>
            <w:r>
              <w:rPr>
                <w:rFonts w:ascii="Arial" w:cs="Arial" w:eastAsia="Arial" w:hAnsi="Arial"/>
                <w:sz w:val="16"/>
                <w:szCs w:val="16"/>
                <w:b w:val="1"/>
                <w:bCs w:val="1"/>
                <w:color w:val="auto"/>
              </w:rPr>
              <w:t>Transactional Currency</w:t>
            </w:r>
          </w:p>
        </w:tc>
        <w:tc>
          <w:tcPr>
            <w:tcW w:w="3820" w:type="dxa"/>
            <w:vAlign w:val="bottom"/>
          </w:tcPr>
          <w:p>
            <w:pPr>
              <w:jc w:val="right"/>
              <w:ind w:right="644"/>
              <w:spacing w:after="0"/>
              <w:rPr>
                <w:sz w:val="20"/>
                <w:szCs w:val="20"/>
                <w:color w:val="auto"/>
              </w:rPr>
            </w:pPr>
            <w:r>
              <w:rPr>
                <w:rFonts w:ascii="Arial" w:cs="Arial" w:eastAsia="Arial" w:hAnsi="Arial"/>
                <w:sz w:val="16"/>
                <w:szCs w:val="16"/>
                <w:b w:val="1"/>
                <w:bCs w:val="1"/>
                <w:color w:val="auto"/>
              </w:rPr>
              <w:t>Revenue</w:t>
            </w:r>
          </w:p>
        </w:tc>
        <w:tc>
          <w:tcPr>
            <w:tcW w:w="1420" w:type="dxa"/>
            <w:vAlign w:val="bottom"/>
          </w:tcPr>
          <w:p>
            <w:pPr>
              <w:jc w:val="right"/>
              <w:ind w:right="364"/>
              <w:spacing w:after="0"/>
              <w:rPr>
                <w:sz w:val="20"/>
                <w:szCs w:val="20"/>
                <w:color w:val="auto"/>
              </w:rPr>
            </w:pPr>
            <w:r>
              <w:rPr>
                <w:rFonts w:ascii="Arial" w:cs="Arial" w:eastAsia="Arial" w:hAnsi="Arial"/>
                <w:sz w:val="16"/>
                <w:szCs w:val="16"/>
                <w:b w:val="1"/>
                <w:bCs w:val="1"/>
                <w:color w:val="auto"/>
              </w:rPr>
              <w:t xml:space="preserve">Expenses </w:t>
            </w:r>
            <w:r>
              <w:rPr>
                <w:rFonts w:ascii="Arial" w:cs="Arial" w:eastAsia="Arial" w:hAnsi="Arial"/>
                <w:sz w:val="21"/>
                <w:szCs w:val="21"/>
                <w:b w:val="1"/>
                <w:bCs w:val="1"/>
                <w:color w:val="auto"/>
                <w:vertAlign w:val="superscript"/>
              </w:rPr>
              <w:t>(i)</w:t>
            </w:r>
          </w:p>
        </w:tc>
      </w:tr>
      <w:tr>
        <w:trPr>
          <w:trHeight w:val="280"/>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U.S. dollars</w:t>
            </w:r>
          </w:p>
        </w:tc>
        <w:tc>
          <w:tcPr>
            <w:tcW w:w="3820" w:type="dxa"/>
            <w:vAlign w:val="bottom"/>
            <w:tcBorders>
              <w:bottom w:val="single" w:sz="8" w:color="CFF0FC"/>
            </w:tcBorders>
            <w:shd w:val="clear" w:color="auto" w:fill="CFF0FC"/>
          </w:tcPr>
          <w:p>
            <w:pPr>
              <w:jc w:val="right"/>
              <w:ind w:right="104"/>
              <w:spacing w:after="0"/>
              <w:rPr>
                <w:sz w:val="20"/>
                <w:szCs w:val="20"/>
                <w:color w:val="auto"/>
              </w:rPr>
            </w:pPr>
            <w:r>
              <w:rPr>
                <w:rFonts w:ascii="Arial" w:cs="Arial" w:eastAsia="Arial" w:hAnsi="Arial"/>
                <w:sz w:val="20"/>
                <w:szCs w:val="20"/>
                <w:color w:val="auto"/>
              </w:rPr>
              <w:t>54%</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47%</w:t>
            </w:r>
          </w:p>
        </w:tc>
      </w:tr>
      <w:tr>
        <w:trPr>
          <w:trHeight w:val="259"/>
        </w:trPr>
        <w:tc>
          <w:tcPr>
            <w:tcW w:w="4160" w:type="dxa"/>
            <w:vAlign w:val="bottom"/>
          </w:tcPr>
          <w:p>
            <w:pPr>
              <w:spacing w:after="0"/>
              <w:rPr>
                <w:sz w:val="20"/>
                <w:szCs w:val="20"/>
                <w:color w:val="auto"/>
              </w:rPr>
            </w:pPr>
            <w:r>
              <w:rPr>
                <w:rFonts w:ascii="Arial" w:cs="Arial" w:eastAsia="Arial" w:hAnsi="Arial"/>
                <w:sz w:val="20"/>
                <w:szCs w:val="20"/>
                <w:color w:val="auto"/>
              </w:rPr>
              <w:t>Pounds sterling</w:t>
            </w:r>
          </w:p>
        </w:tc>
        <w:tc>
          <w:tcPr>
            <w:tcW w:w="3820" w:type="dxa"/>
            <w:vAlign w:val="bottom"/>
          </w:tcPr>
          <w:p>
            <w:pPr>
              <w:jc w:val="right"/>
              <w:ind w:right="104"/>
              <w:spacing w:after="0"/>
              <w:rPr>
                <w:sz w:val="20"/>
                <w:szCs w:val="20"/>
                <w:color w:val="auto"/>
              </w:rPr>
            </w:pPr>
            <w:r>
              <w:rPr>
                <w:rFonts w:ascii="Arial" w:cs="Arial" w:eastAsia="Arial" w:hAnsi="Arial"/>
                <w:sz w:val="20"/>
                <w:szCs w:val="20"/>
                <w:color w:val="auto"/>
              </w:rPr>
              <w:t>13%</w:t>
            </w:r>
          </w:p>
        </w:tc>
        <w:tc>
          <w:tcPr>
            <w:tcW w:w="14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41"/>
        </w:trPr>
        <w:tc>
          <w:tcPr>
            <w:tcW w:w="4160" w:type="dxa"/>
            <w:vAlign w:val="bottom"/>
          </w:tcPr>
          <w:p>
            <w:pPr>
              <w:spacing w:after="0"/>
              <w:rPr>
                <w:sz w:val="3"/>
                <w:szCs w:val="3"/>
                <w:color w:val="auto"/>
              </w:rPr>
            </w:pPr>
          </w:p>
        </w:tc>
        <w:tc>
          <w:tcPr>
            <w:tcW w:w="38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80"/>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Euro</w:t>
            </w:r>
          </w:p>
        </w:tc>
        <w:tc>
          <w:tcPr>
            <w:tcW w:w="3820" w:type="dxa"/>
            <w:vAlign w:val="bottom"/>
            <w:tcBorders>
              <w:bottom w:val="single" w:sz="8" w:color="CFF0FC"/>
            </w:tcBorders>
            <w:shd w:val="clear" w:color="auto" w:fill="CFF0FC"/>
          </w:tcPr>
          <w:p>
            <w:pPr>
              <w:jc w:val="right"/>
              <w:ind w:right="104"/>
              <w:spacing w:after="0"/>
              <w:rPr>
                <w:sz w:val="20"/>
                <w:szCs w:val="20"/>
                <w:color w:val="auto"/>
              </w:rPr>
            </w:pPr>
            <w:r>
              <w:rPr>
                <w:rFonts w:ascii="Arial" w:cs="Arial" w:eastAsia="Arial" w:hAnsi="Arial"/>
                <w:sz w:val="20"/>
                <w:szCs w:val="20"/>
                <w:color w:val="auto"/>
              </w:rPr>
              <w:t>16%</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w:t>
            </w:r>
          </w:p>
        </w:tc>
      </w:tr>
      <w:tr>
        <w:trPr>
          <w:trHeight w:val="259"/>
        </w:trPr>
        <w:tc>
          <w:tcPr>
            <w:tcW w:w="4160" w:type="dxa"/>
            <w:vAlign w:val="bottom"/>
          </w:tcPr>
          <w:p>
            <w:pPr>
              <w:spacing w:after="0"/>
              <w:rPr>
                <w:sz w:val="20"/>
                <w:szCs w:val="20"/>
                <w:color w:val="auto"/>
              </w:rPr>
            </w:pPr>
            <w:r>
              <w:rPr>
                <w:rFonts w:ascii="Arial" w:cs="Arial" w:eastAsia="Arial" w:hAnsi="Arial"/>
                <w:sz w:val="20"/>
                <w:szCs w:val="20"/>
                <w:color w:val="auto"/>
              </w:rPr>
              <w:t>Other currencies</w:t>
            </w:r>
          </w:p>
        </w:tc>
        <w:tc>
          <w:tcPr>
            <w:tcW w:w="3820" w:type="dxa"/>
            <w:vAlign w:val="bottom"/>
          </w:tcPr>
          <w:p>
            <w:pPr>
              <w:jc w:val="right"/>
              <w:ind w:right="104"/>
              <w:spacing w:after="0"/>
              <w:rPr>
                <w:sz w:val="20"/>
                <w:szCs w:val="20"/>
                <w:color w:val="auto"/>
              </w:rPr>
            </w:pPr>
            <w:r>
              <w:rPr>
                <w:rFonts w:ascii="Arial" w:cs="Arial" w:eastAsia="Arial" w:hAnsi="Arial"/>
                <w:sz w:val="20"/>
                <w:szCs w:val="20"/>
                <w:color w:val="auto"/>
              </w:rPr>
              <w:t>17%</w:t>
            </w:r>
          </w:p>
        </w:tc>
        <w:tc>
          <w:tcPr>
            <w:tcW w:w="1420" w:type="dxa"/>
            <w:vAlign w:val="bottom"/>
          </w:tcPr>
          <w:p>
            <w:pPr>
              <w:jc w:val="right"/>
              <w:spacing w:after="0"/>
              <w:rPr>
                <w:sz w:val="20"/>
                <w:szCs w:val="20"/>
                <w:color w:val="auto"/>
              </w:rPr>
            </w:pPr>
            <w:r>
              <w:rPr>
                <w:rFonts w:ascii="Arial" w:cs="Arial" w:eastAsia="Arial" w:hAnsi="Arial"/>
                <w:sz w:val="20"/>
                <w:szCs w:val="20"/>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-741680</wp:posOffset>
            </wp:positionV>
            <wp:extent cx="596773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79565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5">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26" w:right="60" w:hanging="226"/>
        <w:spacing w:after="0" w:line="506" w:lineRule="auto"/>
        <w:tabs>
          <w:tab w:leader="none" w:pos="226"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w:t>
      </w:r>
    </w:p>
    <w:p>
      <w:pPr>
        <w:spacing w:after="0" w:line="91" w:lineRule="exact"/>
        <w:rPr>
          <w:sz w:val="20"/>
          <w:szCs w:val="20"/>
          <w:color w:val="auto"/>
        </w:rPr>
      </w:pPr>
    </w:p>
    <w:p>
      <w:pPr>
        <w:jc w:val="both"/>
        <w:ind w:left="6" w:right="20"/>
        <w:spacing w:after="0" w:line="307" w:lineRule="auto"/>
        <w:rPr>
          <w:sz w:val="20"/>
          <w:szCs w:val="20"/>
          <w:color w:val="auto"/>
        </w:rPr>
      </w:pPr>
      <w:r>
        <w:rPr>
          <w:rFonts w:ascii="Arial" w:cs="Arial" w:eastAsia="Arial" w:hAnsi="Arial"/>
          <w:sz w:val="20"/>
          <w:szCs w:val="20"/>
          <w:color w:val="auto"/>
        </w:rPr>
        <w:t>The following table sets forth the total revenue for the years ended December 31, 2025 and 2024 and the components of the change in total revenue for the year ended December 31, 2025, as compared to the prior year. The components of the revenue change may not add due to rounding.</w:t>
      </w:r>
    </w:p>
    <w:p>
      <w:pPr>
        <w:spacing w:after="0" w:line="332"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40" w:type="dxa"/>
            <w:vAlign w:val="bottom"/>
            <w:gridSpan w:val="2"/>
          </w:tcPr>
          <w:p>
            <w:pPr>
              <w:ind w:left="60"/>
              <w:spacing w:after="0"/>
              <w:rPr>
                <w:sz w:val="20"/>
                <w:szCs w:val="20"/>
                <w:color w:val="auto"/>
              </w:rPr>
            </w:pPr>
            <w:r>
              <w:rPr>
                <w:rFonts w:ascii="Arial" w:cs="Arial" w:eastAsia="Arial" w:hAnsi="Arial"/>
                <w:sz w:val="16"/>
                <w:szCs w:val="16"/>
                <w:b w:val="1"/>
                <w:bCs w:val="1"/>
                <w:color w:val="auto"/>
                <w:w w:val="89"/>
              </w:rPr>
              <w:t>Components of Revenue Change</w:t>
            </w:r>
          </w:p>
        </w:tc>
        <w:tc>
          <w:tcPr>
            <w:tcW w:w="840" w:type="dxa"/>
            <w:vAlign w:val="bottom"/>
          </w:tcPr>
          <w:p>
            <w:pPr>
              <w:spacing w:after="0"/>
              <w:rPr>
                <w:sz w:val="16"/>
                <w:szCs w:val="16"/>
                <w:color w:val="auto"/>
              </w:rPr>
            </w:pPr>
          </w:p>
        </w:tc>
      </w:tr>
      <w:tr>
        <w:trPr>
          <w:trHeight w:val="250"/>
        </w:trPr>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7"/>
              </w:rPr>
              <w:t>As</w:t>
            </w:r>
          </w:p>
        </w:tc>
        <w:tc>
          <w:tcPr>
            <w:tcW w:w="920" w:type="dxa"/>
            <w:vAlign w:val="bottom"/>
          </w:tcPr>
          <w:p>
            <w:pPr>
              <w:jc w:val="center"/>
              <w:ind w:left="35"/>
              <w:spacing w:after="0"/>
              <w:rPr>
                <w:sz w:val="20"/>
                <w:szCs w:val="20"/>
                <w:color w:val="auto"/>
              </w:rPr>
            </w:pPr>
            <w:r>
              <w:rPr>
                <w:rFonts w:ascii="Arial" w:cs="Arial" w:eastAsia="Arial" w:hAnsi="Arial"/>
                <w:sz w:val="16"/>
                <w:szCs w:val="16"/>
                <w:b w:val="1"/>
                <w:bCs w:val="1"/>
                <w:color w:val="auto"/>
                <w:w w:val="86"/>
              </w:rPr>
              <w:t>Less:</w:t>
            </w:r>
          </w:p>
        </w:tc>
        <w:tc>
          <w:tcPr>
            <w:tcW w:w="1120" w:type="dxa"/>
            <w:vAlign w:val="bottom"/>
          </w:tcPr>
          <w:p>
            <w:pPr>
              <w:jc w:val="center"/>
              <w:ind w:left="56"/>
              <w:spacing w:after="0"/>
              <w:rPr>
                <w:sz w:val="20"/>
                <w:szCs w:val="20"/>
                <w:color w:val="auto"/>
              </w:rPr>
            </w:pPr>
            <w:r>
              <w:rPr>
                <w:rFonts w:ascii="Arial" w:cs="Arial" w:eastAsia="Arial" w:hAnsi="Arial"/>
                <w:sz w:val="16"/>
                <w:szCs w:val="16"/>
                <w:b w:val="1"/>
                <w:bCs w:val="1"/>
                <w:color w:val="auto"/>
                <w:w w:val="89"/>
              </w:rPr>
              <w:t>Constant</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6"/>
              </w:rPr>
              <w:t>Less:</w:t>
            </w:r>
          </w:p>
        </w:tc>
        <w:tc>
          <w:tcPr>
            <w:tcW w:w="84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500" w:type="dxa"/>
            <w:vAlign w:val="bottom"/>
            <w:gridSpan w:val="3"/>
          </w:tcPr>
          <w:p>
            <w:pPr>
              <w:jc w:val="center"/>
              <w:ind w:right="310"/>
              <w:spacing w:after="0"/>
              <w:rPr>
                <w:sz w:val="20"/>
                <w:szCs w:val="20"/>
                <w:color w:val="auto"/>
              </w:rPr>
            </w:pPr>
            <w:r>
              <w:rPr>
                <w:rFonts w:ascii="Arial" w:cs="Arial" w:eastAsia="Arial" w:hAnsi="Arial"/>
                <w:sz w:val="16"/>
                <w:szCs w:val="16"/>
                <w:b w:val="1"/>
                <w:bCs w:val="1"/>
                <w:color w:val="auto"/>
                <w:w w:val="90"/>
              </w:rPr>
              <w:t>Years Ended December 31,</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920" w:type="dxa"/>
            <w:vAlign w:val="bottom"/>
          </w:tcPr>
          <w:p>
            <w:pPr>
              <w:jc w:val="center"/>
              <w:ind w:left="15"/>
              <w:spacing w:after="0"/>
              <w:rPr>
                <w:sz w:val="20"/>
                <w:szCs w:val="20"/>
                <w:color w:val="auto"/>
              </w:rPr>
            </w:pPr>
            <w:r>
              <w:rPr>
                <w:rFonts w:ascii="Arial" w:cs="Arial" w:eastAsia="Arial" w:hAnsi="Arial"/>
                <w:sz w:val="16"/>
                <w:szCs w:val="16"/>
                <w:b w:val="1"/>
                <w:bCs w:val="1"/>
                <w:color w:val="auto"/>
                <w:w w:val="93"/>
              </w:rPr>
              <w:t>Currency</w:t>
            </w:r>
          </w:p>
        </w:tc>
        <w:tc>
          <w:tcPr>
            <w:tcW w:w="1120" w:type="dxa"/>
            <w:vAlign w:val="bottom"/>
          </w:tcPr>
          <w:p>
            <w:pPr>
              <w:jc w:val="center"/>
              <w:ind w:left="56"/>
              <w:spacing w:after="0"/>
              <w:rPr>
                <w:sz w:val="20"/>
                <w:szCs w:val="20"/>
                <w:color w:val="auto"/>
              </w:rPr>
            </w:pPr>
            <w:r>
              <w:rPr>
                <w:rFonts w:ascii="Arial" w:cs="Arial" w:eastAsia="Arial" w:hAnsi="Arial"/>
                <w:sz w:val="16"/>
                <w:szCs w:val="16"/>
                <w:b w:val="1"/>
                <w:bCs w:val="1"/>
                <w:color w:val="auto"/>
                <w:w w:val="93"/>
              </w:rPr>
              <w:t>Currency</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7"/>
              </w:rPr>
              <w:t>Acquisitions/</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Organic</w:t>
            </w:r>
          </w:p>
        </w:tc>
      </w:tr>
      <w:tr>
        <w:trPr>
          <w:trHeight w:val="296"/>
        </w:trPr>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jc w:val="right"/>
              <w:ind w:right="435"/>
              <w:spacing w:after="0"/>
              <w:rPr>
                <w:sz w:val="20"/>
                <w:szCs w:val="20"/>
                <w:color w:val="auto"/>
              </w:rPr>
            </w:pPr>
            <w:r>
              <w:rPr>
                <w:rFonts w:ascii="Arial" w:cs="Arial" w:eastAsia="Arial" w:hAnsi="Arial"/>
                <w:sz w:val="16"/>
                <w:szCs w:val="16"/>
                <w:b w:val="1"/>
                <w:bCs w:val="1"/>
                <w:color w:val="auto"/>
              </w:rPr>
              <w:t>2025</w:t>
            </w:r>
          </w:p>
        </w:tc>
        <w:tc>
          <w:tcPr>
            <w:tcW w:w="500" w:type="dxa"/>
            <w:vAlign w:val="bottom"/>
          </w:tcPr>
          <w:p>
            <w:pPr>
              <w:spacing w:after="0"/>
              <w:rPr>
                <w:sz w:val="24"/>
                <w:szCs w:val="24"/>
                <w:color w:val="auto"/>
              </w:rPr>
            </w:pPr>
          </w:p>
        </w:tc>
        <w:tc>
          <w:tcPr>
            <w:tcW w:w="960" w:type="dxa"/>
            <w:vAlign w:val="bottom"/>
          </w:tcPr>
          <w:p>
            <w:pPr>
              <w:jc w:val="right"/>
              <w:ind w:right="530"/>
              <w:spacing w:after="0"/>
              <w:rPr>
                <w:sz w:val="20"/>
                <w:szCs w:val="20"/>
                <w:color w:val="auto"/>
              </w:rPr>
            </w:pPr>
            <w:r>
              <w:rPr>
                <w:rFonts w:ascii="Arial" w:cs="Arial" w:eastAsia="Arial" w:hAnsi="Arial"/>
                <w:sz w:val="16"/>
                <w:szCs w:val="16"/>
                <w:b w:val="1"/>
                <w:bCs w:val="1"/>
                <w:color w:val="auto"/>
                <w:w w:val="89"/>
              </w:rPr>
              <w:t>2024</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c>
          <w:tcPr>
            <w:tcW w:w="920" w:type="dxa"/>
            <w:vAlign w:val="bottom"/>
          </w:tcPr>
          <w:p>
            <w:pPr>
              <w:jc w:val="center"/>
              <w:ind w:left="35"/>
              <w:spacing w:after="0"/>
              <w:rPr>
                <w:sz w:val="20"/>
                <w:szCs w:val="20"/>
                <w:color w:val="auto"/>
              </w:rPr>
            </w:pPr>
            <w:r>
              <w:rPr>
                <w:rFonts w:ascii="Arial" w:cs="Arial" w:eastAsia="Arial" w:hAnsi="Arial"/>
                <w:sz w:val="16"/>
                <w:szCs w:val="16"/>
                <w:b w:val="1"/>
                <w:bCs w:val="1"/>
                <w:color w:val="auto"/>
                <w:w w:val="92"/>
              </w:rPr>
              <w:t>Impact</w:t>
            </w:r>
          </w:p>
        </w:tc>
        <w:tc>
          <w:tcPr>
            <w:tcW w:w="1120" w:type="dxa"/>
            <w:vAlign w:val="bottom"/>
          </w:tcPr>
          <w:p>
            <w:pPr>
              <w:jc w:val="center"/>
              <w:ind w:left="76"/>
              <w:spacing w:after="0"/>
              <w:rPr>
                <w:sz w:val="20"/>
                <w:szCs w:val="20"/>
                <w:color w:val="auto"/>
              </w:rPr>
            </w:pPr>
            <w:r>
              <w:rPr>
                <w:rFonts w:ascii="Arial" w:cs="Arial" w:eastAsia="Arial" w:hAnsi="Arial"/>
                <w:sz w:val="16"/>
                <w:szCs w:val="16"/>
                <w:b w:val="1"/>
                <w:bCs w:val="1"/>
                <w:color w:val="auto"/>
                <w:w w:val="88"/>
              </w:rPr>
              <w:t>Change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Divestitures</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6"/>
              </w:rPr>
              <w:t xml:space="preserve">Change </w:t>
            </w:r>
            <w:r>
              <w:rPr>
                <w:rFonts w:ascii="Arial" w:cs="Arial" w:eastAsia="Arial" w:hAnsi="Arial"/>
                <w:sz w:val="21"/>
                <w:szCs w:val="21"/>
                <w:b w:val="1"/>
                <w:bCs w:val="1"/>
                <w:color w:val="auto"/>
                <w:w w:val="86"/>
                <w:vertAlign w:val="superscript"/>
              </w:rPr>
              <w:t>(i)</w:t>
            </w:r>
          </w:p>
        </w:tc>
      </w:tr>
      <w:tr>
        <w:trPr>
          <w:trHeight w:val="194"/>
        </w:trPr>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gridSpan w:val="2"/>
          </w:tcPr>
          <w:p>
            <w:pPr>
              <w:jc w:val="center"/>
              <w:ind w:left="475"/>
              <w:spacing w:after="0"/>
              <w:rPr>
                <w:sz w:val="20"/>
                <w:szCs w:val="20"/>
                <w:color w:val="auto"/>
              </w:rPr>
            </w:pPr>
            <w:r>
              <w:rPr>
                <w:rFonts w:ascii="Arial" w:cs="Arial" w:eastAsia="Arial" w:hAnsi="Arial"/>
                <w:sz w:val="16"/>
                <w:szCs w:val="16"/>
                <w:b w:val="1"/>
                <w:bCs w:val="1"/>
                <w:color w:val="auto"/>
                <w:w w:val="91"/>
              </w:rPr>
              <w:t>($ in millions)</w:t>
            </w: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2"/>
        </w:trPr>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14"/>
        </w:trPr>
        <w:tc>
          <w:tcPr>
            <w:tcW w:w="1140" w:type="dxa"/>
            <w:vAlign w:val="bottom"/>
            <w:shd w:val="clear" w:color="auto" w:fill="CFF0FC"/>
          </w:tcPr>
          <w:p>
            <w:pPr>
              <w:spacing w:after="0"/>
              <w:rPr>
                <w:sz w:val="20"/>
                <w:szCs w:val="20"/>
                <w:color w:val="auto"/>
              </w:rPr>
            </w:pPr>
            <w:r>
              <w:rPr>
                <w:rFonts w:ascii="Arial" w:cs="Arial" w:eastAsia="Arial" w:hAnsi="Arial"/>
                <w:sz w:val="20"/>
                <w:szCs w:val="20"/>
                <w:color w:val="auto"/>
              </w:rPr>
              <w:t>Revenue</w:t>
            </w:r>
          </w:p>
        </w:tc>
        <w:tc>
          <w:tcPr>
            <w:tcW w:w="6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9,708</w:t>
            </w:r>
          </w:p>
        </w:tc>
        <w:tc>
          <w:tcPr>
            <w:tcW w:w="500" w:type="dxa"/>
            <w:vAlign w:val="bottom"/>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ind w:right="90"/>
              <w:spacing w:after="0"/>
              <w:rPr>
                <w:sz w:val="20"/>
                <w:szCs w:val="20"/>
                <w:color w:val="auto"/>
              </w:rPr>
            </w:pPr>
            <w:r>
              <w:rPr>
                <w:rFonts w:ascii="Arial" w:cs="Arial" w:eastAsia="Arial" w:hAnsi="Arial"/>
                <w:sz w:val="20"/>
                <w:szCs w:val="20"/>
                <w:color w:val="auto"/>
              </w:rPr>
              <w:t>9,930</w:t>
            </w:r>
          </w:p>
        </w:tc>
        <w:tc>
          <w:tcPr>
            <w:tcW w:w="9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4"/>
              </w:rPr>
              <w:t>(2)%</w:t>
            </w:r>
          </w:p>
        </w:tc>
        <w:tc>
          <w:tcPr>
            <w:tcW w:w="920" w:type="dxa"/>
            <w:vAlign w:val="bottom"/>
            <w:shd w:val="clear" w:color="auto" w:fill="CFF0FC"/>
          </w:tcPr>
          <w:p>
            <w:pPr>
              <w:jc w:val="center"/>
              <w:ind w:left="35"/>
              <w:spacing w:after="0"/>
              <w:rPr>
                <w:sz w:val="20"/>
                <w:szCs w:val="20"/>
                <w:color w:val="auto"/>
              </w:rPr>
            </w:pPr>
            <w:r>
              <w:rPr>
                <w:rFonts w:ascii="Arial" w:cs="Arial" w:eastAsia="Arial" w:hAnsi="Arial"/>
                <w:sz w:val="20"/>
                <w:szCs w:val="20"/>
                <w:color w:val="auto"/>
                <w:w w:val="96"/>
              </w:rPr>
              <w:t>1%</w:t>
            </w:r>
          </w:p>
        </w:tc>
        <w:tc>
          <w:tcPr>
            <w:tcW w:w="1120" w:type="dxa"/>
            <w:vAlign w:val="bottom"/>
            <w:shd w:val="clear" w:color="auto" w:fill="CFF0FC"/>
          </w:tcPr>
          <w:p>
            <w:pPr>
              <w:jc w:val="center"/>
              <w:ind w:left="76"/>
              <w:spacing w:after="0"/>
              <w:rPr>
                <w:sz w:val="20"/>
                <w:szCs w:val="20"/>
                <w:color w:val="auto"/>
              </w:rPr>
            </w:pPr>
            <w:r>
              <w:rPr>
                <w:rFonts w:ascii="Arial" w:cs="Arial" w:eastAsia="Arial" w:hAnsi="Arial"/>
                <w:sz w:val="20"/>
                <w:szCs w:val="20"/>
                <w:color w:val="auto"/>
                <w:w w:val="94"/>
              </w:rPr>
              <w:t>(3)%</w:t>
            </w:r>
          </w:p>
        </w:tc>
        <w:tc>
          <w:tcPr>
            <w:tcW w:w="12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4"/>
              </w:rPr>
              <w:t>(8)%</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5%</w:t>
            </w:r>
          </w:p>
        </w:tc>
      </w:tr>
      <w:tr>
        <w:trPr>
          <w:trHeight w:val="41"/>
        </w:trPr>
        <w:tc>
          <w:tcPr>
            <w:tcW w:w="114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122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-853440</wp:posOffset>
            </wp:positionV>
            <wp:extent cx="254508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6">
                      <a:extLst>
                        <a:ext uri="{28A0092B-C50C-407E-A947-70E740481C1C}"/>
                      </a:extLst>
                    </a:blip>
                    <a:srcRect/>
                    <a:stretch>
                      <a:fillRect/>
                    </a:stretch>
                  </pic:blipFill>
                  <pic:spPr bwMode="auto">
                    <a:xfrm>
                      <a:off x="0" y="0"/>
                      <a:ext cx="2545080" cy="6350"/>
                    </a:xfrm>
                    <a:prstGeom prst="rect">
                      <a:avLst/>
                    </a:prstGeom>
                    <a:noFill/>
                  </pic:spPr>
                </pic:pic>
              </a:graphicData>
            </a:graphic>
          </wp:anchor>
        </w:drawing>
        <w:drawing>
          <wp:anchor simplePos="0" relativeHeight="251657728" behindDoc="1" locked="0" layoutInCell="0" allowOverlap="1">
            <wp:simplePos x="0" y="0"/>
            <wp:positionH relativeFrom="column">
              <wp:posOffset>1018540</wp:posOffset>
            </wp:positionH>
            <wp:positionV relativeFrom="paragraph">
              <wp:posOffset>-542290</wp:posOffset>
            </wp:positionV>
            <wp:extent cx="167068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7">
                      <a:extLst>
                        <a:ext uri="{28A0092B-C50C-407E-A947-70E740481C1C}"/>
                      </a:extLst>
                    </a:blip>
                    <a:srcRect/>
                    <a:stretch>
                      <a:fillRect/>
                    </a:stretch>
                  </pic:blipFill>
                  <pic:spPr bwMode="auto">
                    <a:xfrm>
                      <a:off x="0" y="0"/>
                      <a:ext cx="1670685" cy="6350"/>
                    </a:xfrm>
                    <a:prstGeom prst="rect">
                      <a:avLst/>
                    </a:prstGeom>
                    <a:noFill/>
                  </pic:spPr>
                </pic:pic>
              </a:graphicData>
            </a:graphic>
          </wp:anchor>
        </w:drawing>
        <w:drawing>
          <wp:anchor simplePos="0" relativeHeight="251657728" behindDoc="1" locked="0" layoutInCell="0" allowOverlap="1">
            <wp:simplePos x="0" y="0"/>
            <wp:positionH relativeFrom="column">
              <wp:posOffset>1018540</wp:posOffset>
            </wp:positionH>
            <wp:positionV relativeFrom="paragraph">
              <wp:posOffset>-383540</wp:posOffset>
            </wp:positionV>
            <wp:extent cx="494919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8">
                      <a:extLst>
                        <a:ext uri="{28A0092B-C50C-407E-A947-70E740481C1C}"/>
                      </a:extLst>
                    </a:blip>
                    <a:srcRect/>
                    <a:stretch>
                      <a:fillRect/>
                    </a:stretch>
                  </pic:blipFill>
                  <pic:spPr bwMode="auto">
                    <a:xfrm>
                      <a:off x="0" y="0"/>
                      <a:ext cx="4949190" cy="6350"/>
                    </a:xfrm>
                    <a:prstGeom prst="rect">
                      <a:avLst/>
                    </a:prstGeom>
                    <a:noFill/>
                  </pic:spPr>
                </pic:pic>
              </a:graphicData>
            </a:graphic>
          </wp:anchor>
        </w:drawing>
        <w:drawing>
          <wp:anchor simplePos="0" relativeHeight="251657728" behindDoc="1" locked="0" layoutInCell="0" allowOverlap="1">
            <wp:simplePos x="0" y="0"/>
            <wp:positionH relativeFrom="column">
              <wp:posOffset>1018540</wp:posOffset>
            </wp:positionH>
            <wp:positionV relativeFrom="paragraph">
              <wp:posOffset>-224790</wp:posOffset>
            </wp:positionV>
            <wp:extent cx="1730375" cy="2254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9">
                      <a:extLst>
                        <a:ext uri="{28A0092B-C50C-407E-A947-70E740481C1C}"/>
                      </a:extLst>
                    </a:blip>
                    <a:srcRect/>
                    <a:stretch>
                      <a:fillRect/>
                    </a:stretch>
                  </pic:blipFill>
                  <pic:spPr bwMode="auto">
                    <a:xfrm>
                      <a:off x="0" y="0"/>
                      <a:ext cx="1730375" cy="2254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79565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0">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6"/>
        <w:spacing w:after="0"/>
        <w:rPr>
          <w:sz w:val="20"/>
          <w:szCs w:val="20"/>
          <w:color w:val="auto"/>
        </w:rPr>
      </w:pPr>
      <w:r>
        <w:rPr>
          <w:rFonts w:ascii="Arial" w:cs="Arial" w:eastAsia="Arial" w:hAnsi="Arial"/>
          <w:sz w:val="16"/>
          <w:szCs w:val="16"/>
          <w:color w:val="auto"/>
        </w:rPr>
        <w:t>(i) Interest income did not contribute to organic change for the year ended December 31, 2025.</w:t>
      </w:r>
    </w:p>
    <w:p>
      <w:pPr>
        <w:spacing w:after="0" w:line="342" w:lineRule="exact"/>
        <w:rPr>
          <w:sz w:val="20"/>
          <w:szCs w:val="20"/>
          <w:color w:val="auto"/>
        </w:rPr>
      </w:pPr>
    </w:p>
    <w:p>
      <w:pPr>
        <w:ind w:left="6" w:right="20"/>
        <w:spacing w:after="0" w:line="329" w:lineRule="auto"/>
        <w:rPr>
          <w:sz w:val="20"/>
          <w:szCs w:val="20"/>
          <w:color w:val="auto"/>
        </w:rPr>
      </w:pPr>
      <w:r>
        <w:rPr>
          <w:rFonts w:ascii="Arial" w:cs="Arial" w:eastAsia="Arial" w:hAnsi="Arial"/>
          <w:sz w:val="19"/>
          <w:szCs w:val="19"/>
          <w:color w:val="auto"/>
        </w:rPr>
        <w:t>Revenue for the year ended December 31, 2025 was $9.7 billion, compared to $9.9 billion for the year ended December 31, 2024, a decrease of $222 million, or 2%, on an as-reported basis. Adjusting for the impact of foreign currency and acquisitions and disposals, our organic revenue growth was 5% for the year ended December 31, 2025. The decrease in as-reported revenue was due primarily to the sale of our TRANZACT business on December 31, 2024. The increase in organic revenue was driven by strong performances in both segments. For additional information, please see the section entitled ‘Segment Revenue and Segment Operating Income’ elsewhere within this Item 7 of this Annual Report on Form 10-K.</w:t>
      </w:r>
    </w:p>
    <w:p>
      <w:pPr>
        <w:spacing w:after="0" w:line="183" w:lineRule="exact"/>
        <w:rPr>
          <w:sz w:val="20"/>
          <w:szCs w:val="20"/>
          <w:color w:val="auto"/>
        </w:rPr>
      </w:pPr>
    </w:p>
    <w:p>
      <w:pPr>
        <w:ind w:left="6" w:right="20"/>
        <w:spacing w:after="0" w:line="355" w:lineRule="auto"/>
        <w:rPr>
          <w:sz w:val="20"/>
          <w:szCs w:val="20"/>
          <w:color w:val="auto"/>
        </w:rPr>
      </w:pPr>
      <w:r>
        <w:rPr>
          <w:rFonts w:ascii="Arial" w:cs="Arial" w:eastAsia="Arial" w:hAnsi="Arial"/>
          <w:sz w:val="18"/>
          <w:szCs w:val="18"/>
          <w:color w:val="auto"/>
        </w:rPr>
        <w:t>Our revenue can be materially impacted by changes in currency conversions, which can fluctuate significantly over the course of a calendar year. For the year ended December 31, 2025, currency translation increased our consolidated revenue by $89 million. The primary currencies driving this change were the Euro and Pound Sterling.</w:t>
      </w:r>
    </w:p>
    <w:p>
      <w:pPr>
        <w:spacing w:after="0" w:line="162" w:lineRule="exact"/>
        <w:rPr>
          <w:sz w:val="20"/>
          <w:szCs w:val="20"/>
          <w:color w:val="auto"/>
        </w:rPr>
      </w:pPr>
    </w:p>
    <w:p>
      <w:pPr>
        <w:ind w:left="6" w:right="500"/>
        <w:spacing w:after="0" w:line="302" w:lineRule="auto"/>
        <w:rPr>
          <w:sz w:val="20"/>
          <w:szCs w:val="20"/>
          <w:color w:val="auto"/>
        </w:rPr>
      </w:pPr>
      <w:r>
        <w:rPr>
          <w:rFonts w:ascii="Arial" w:cs="Arial" w:eastAsia="Arial" w:hAnsi="Arial"/>
          <w:sz w:val="20"/>
          <w:szCs w:val="20"/>
          <w:color w:val="auto"/>
        </w:rPr>
        <w:t>Definitions of Constant Currency Change and Organic Change are included in the section entitled ‘Non-GAAP Financial Measures’ elsewhere within this Item 7 of this Annual Report on Form 10-K.</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Segment Revenue and Segment Operating Income</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9 / 47</w:t>
      </w:r>
    </w:p>
    <w:p>
      <w:pPr>
        <w:sectPr>
          <w:pgSz w:w="11900" w:h="16838" w:orient="portrait"/>
          <w:cols w:equalWidth="0" w:num="1">
            <w:col w:w="9406"/>
          </w:cols>
          <w:pgMar w:left="1254" w:top="1440" w:right="1246" w:bottom="0" w:gutter="0" w:footer="0" w:header="0"/>
          <w:type w:val="continuous"/>
        </w:sectPr>
      </w:pPr>
    </w:p>
    <w:bookmarkStart w:id="96" w:name="page97"/>
    <w:bookmarkEnd w:id="96"/>
    <w:p>
      <w:pPr>
        <w:spacing w:after="0" w:line="350" w:lineRule="auto"/>
        <w:rPr>
          <w:sz w:val="20"/>
          <w:szCs w:val="20"/>
          <w:color w:val="auto"/>
        </w:rPr>
      </w:pPr>
      <w:r>
        <w:rPr>
          <w:rFonts w:ascii="Arial" w:cs="Arial" w:eastAsia="Arial" w:hAnsi="Arial"/>
          <w:sz w:val="18"/>
          <w:szCs w:val="18"/>
          <w:color w:val="auto"/>
        </w:rPr>
        <w:t>Segment revenue excludes amounts that were directly incurred on behalf of our clients and reimbursed by them (reimbursed expenses); however, these amounts are included in consolidated revenue, as required by applicable accounting standards and SEC rules. Segment operating income excludes certain costs, including (i) amortization of intangibles; (ii) restructuring costs; and (iii) certain transaction and transformation expenses, and includes certain expense amounts which may be determined on both a direct and allocated basis. See Note 5 – Segment Information within Item 8 of this Annual Report on Form 10-K for more information about how our segment revenue and segment operating income is calculated and a reconciliation to our GAAP results.</w:t>
      </w:r>
    </w:p>
    <w:p>
      <w:pPr>
        <w:spacing w:after="0" w:line="167" w:lineRule="exact"/>
        <w:rPr>
          <w:sz w:val="20"/>
          <w:szCs w:val="20"/>
          <w:color w:val="auto"/>
        </w:rPr>
      </w:pPr>
    </w:p>
    <w:p>
      <w:pPr>
        <w:ind w:right="180"/>
        <w:spacing w:after="0" w:line="302" w:lineRule="auto"/>
        <w:rPr>
          <w:sz w:val="20"/>
          <w:szCs w:val="20"/>
          <w:color w:val="auto"/>
        </w:rPr>
      </w:pPr>
      <w:r>
        <w:rPr>
          <w:rFonts w:ascii="Arial" w:cs="Arial" w:eastAsia="Arial" w:hAnsi="Arial"/>
          <w:sz w:val="20"/>
          <w:szCs w:val="20"/>
          <w:color w:val="auto"/>
        </w:rPr>
        <w:t>The Company experiences seasonal fluctuations in its revenue. Revenue is typically higher during the Company’s first and fourth quarters due primarily to the timing of broking-related activities.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For all tables presented below, the components of the revenue change may not add due to rounding.</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Health, Wealth &amp; Career</w:t>
      </w:r>
    </w:p>
    <w:p>
      <w:pPr>
        <w:spacing w:after="0" w:line="260" w:lineRule="exact"/>
        <w:rPr>
          <w:sz w:val="20"/>
          <w:szCs w:val="20"/>
          <w:color w:val="auto"/>
        </w:rPr>
      </w:pPr>
    </w:p>
    <w:p>
      <w:pPr>
        <w:ind w:right="60"/>
        <w:spacing w:after="0" w:line="309" w:lineRule="auto"/>
        <w:rPr>
          <w:sz w:val="20"/>
          <w:szCs w:val="20"/>
          <w:color w:val="auto"/>
        </w:rPr>
      </w:pPr>
      <w:r>
        <w:rPr>
          <w:rFonts w:ascii="Arial" w:cs="Arial" w:eastAsia="Arial" w:hAnsi="Arial"/>
          <w:sz w:val="20"/>
          <w:szCs w:val="20"/>
          <w:color w:val="auto"/>
        </w:rPr>
        <w:t>The Health, Wealth &amp; Career (‘HWC’) segment provides an array of advice, broking, solutions and technology for employee benefit plans, institutional investors, compensation and career programs, and the employee experience overall. Our portfolio of services supports the interrelated challenges that the management teams of our clients face across human resources and finance.</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73"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10 / 47</w:t>
      </w:r>
    </w:p>
    <w:p>
      <w:pPr>
        <w:sectPr>
          <w:pgSz w:w="11900" w:h="16838" w:orient="portrait"/>
          <w:cols w:equalWidth="0" w:num="1">
            <w:col w:w="9280"/>
          </w:cols>
          <w:pgMar w:left="1260" w:top="1173" w:right="1366" w:bottom="0" w:gutter="0" w:footer="0" w:header="0"/>
          <w:type w:val="continuous"/>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40"/>
        <w:spacing w:after="0" w:line="309" w:lineRule="auto"/>
        <w:rPr>
          <w:sz w:val="20"/>
          <w:szCs w:val="20"/>
          <w:color w:val="auto"/>
        </w:rPr>
      </w:pPr>
      <w:r>
        <w:rPr>
          <w:rFonts w:ascii="Arial" w:cs="Arial" w:eastAsia="Arial" w:hAnsi="Arial"/>
          <w:sz w:val="20"/>
          <w:szCs w:val="20"/>
          <w:color w:val="auto"/>
        </w:rPr>
        <w:t>HWC is the larger of the two segments of the Company, generating approximately 55% of our segment revenue for the year ended December 31, 2025. Addressing four key areas, Health, Wealth, Career and Benefits Delivery &amp; Outsourcing (‘BDO’), the segment is focused on addressing our clients’ people and risk needs to help them succeed in a global marketplace.</w:t>
      </w:r>
    </w:p>
    <w:p>
      <w:pPr>
        <w:spacing w:after="0" w:line="200" w:lineRule="exact"/>
        <w:rPr>
          <w:sz w:val="20"/>
          <w:szCs w:val="20"/>
          <w:color w:val="auto"/>
        </w:rPr>
      </w:pPr>
    </w:p>
    <w:p>
      <w:pPr>
        <w:spacing w:after="0" w:line="356" w:lineRule="exact"/>
        <w:rPr>
          <w:sz w:val="20"/>
          <w:szCs w:val="20"/>
          <w:color w:val="auto"/>
        </w:rPr>
      </w:pPr>
    </w:p>
    <w:p>
      <w:pPr>
        <w:jc w:val="both"/>
        <w:ind w:right="460"/>
        <w:spacing w:after="0" w:line="307" w:lineRule="auto"/>
        <w:rPr>
          <w:sz w:val="20"/>
          <w:szCs w:val="20"/>
          <w:color w:val="auto"/>
        </w:rPr>
      </w:pPr>
      <w:r>
        <w:rPr>
          <w:rFonts w:ascii="Arial" w:cs="Arial" w:eastAsia="Arial" w:hAnsi="Arial"/>
          <w:sz w:val="20"/>
          <w:szCs w:val="20"/>
          <w:color w:val="auto"/>
        </w:rPr>
        <w:t>The following table sets forth HWC segment revenue for the years ended December 31, 2025 and 2024, and the components of the change in revenue for the year ended December 31, 2025 from the year ended December 31, 2024.</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80" w:type="dxa"/>
            <w:vAlign w:val="bottom"/>
            <w:gridSpan w:val="2"/>
          </w:tcPr>
          <w:p>
            <w:pPr>
              <w:ind w:left="60"/>
              <w:spacing w:after="0"/>
              <w:rPr>
                <w:sz w:val="20"/>
                <w:szCs w:val="20"/>
                <w:color w:val="auto"/>
              </w:rPr>
            </w:pPr>
            <w:r>
              <w:rPr>
                <w:rFonts w:ascii="Arial" w:cs="Arial" w:eastAsia="Arial" w:hAnsi="Arial"/>
                <w:sz w:val="16"/>
                <w:szCs w:val="16"/>
                <w:b w:val="1"/>
                <w:bCs w:val="1"/>
                <w:color w:val="auto"/>
                <w:w w:val="91"/>
              </w:rPr>
              <w:t>Components of Revenue Change</w:t>
            </w:r>
          </w:p>
        </w:tc>
        <w:tc>
          <w:tcPr>
            <w:tcW w:w="840" w:type="dxa"/>
            <w:vAlign w:val="bottom"/>
          </w:tcPr>
          <w:p>
            <w:pPr>
              <w:spacing w:after="0"/>
              <w:rPr>
                <w:sz w:val="16"/>
                <w:szCs w:val="16"/>
                <w:color w:val="auto"/>
              </w:rPr>
            </w:pPr>
          </w:p>
        </w:tc>
      </w:tr>
      <w:tr>
        <w:trPr>
          <w:trHeight w:val="264"/>
        </w:trPr>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As</w:t>
            </w:r>
          </w:p>
        </w:tc>
        <w:tc>
          <w:tcPr>
            <w:tcW w:w="920" w:type="dxa"/>
            <w:vAlign w:val="bottom"/>
          </w:tcPr>
          <w:p>
            <w:pPr>
              <w:jc w:val="center"/>
              <w:ind w:left="32"/>
              <w:spacing w:after="0"/>
              <w:rPr>
                <w:sz w:val="20"/>
                <w:szCs w:val="20"/>
                <w:color w:val="auto"/>
              </w:rPr>
            </w:pPr>
            <w:r>
              <w:rPr>
                <w:rFonts w:ascii="Arial" w:cs="Arial" w:eastAsia="Arial" w:hAnsi="Arial"/>
                <w:sz w:val="16"/>
                <w:szCs w:val="16"/>
                <w:b w:val="1"/>
                <w:bCs w:val="1"/>
                <w:color w:val="auto"/>
                <w:w w:val="86"/>
              </w:rPr>
              <w:t>Less:</w:t>
            </w:r>
          </w:p>
        </w:tc>
        <w:tc>
          <w:tcPr>
            <w:tcW w:w="1120" w:type="dxa"/>
            <w:vAlign w:val="bottom"/>
          </w:tcPr>
          <w:p>
            <w:pPr>
              <w:jc w:val="center"/>
              <w:ind w:left="93"/>
              <w:spacing w:after="0"/>
              <w:rPr>
                <w:sz w:val="20"/>
                <w:szCs w:val="20"/>
                <w:color w:val="auto"/>
              </w:rPr>
            </w:pPr>
            <w:r>
              <w:rPr>
                <w:rFonts w:ascii="Arial" w:cs="Arial" w:eastAsia="Arial" w:hAnsi="Arial"/>
                <w:sz w:val="16"/>
                <w:szCs w:val="16"/>
                <w:b w:val="1"/>
                <w:bCs w:val="1"/>
                <w:color w:val="auto"/>
                <w:w w:val="89"/>
              </w:rPr>
              <w:t>Constant</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Less:</w:t>
            </w:r>
          </w:p>
        </w:tc>
        <w:tc>
          <w:tcPr>
            <w:tcW w:w="840" w:type="dxa"/>
            <w:vAlign w:val="bottom"/>
          </w:tcPr>
          <w:p>
            <w:pPr>
              <w:spacing w:after="0"/>
              <w:rPr>
                <w:sz w:val="22"/>
                <w:szCs w:val="22"/>
                <w:color w:val="auto"/>
              </w:rPr>
            </w:pPr>
          </w:p>
        </w:tc>
      </w:tr>
      <w:tr>
        <w:trPr>
          <w:trHeight w:val="264"/>
        </w:trPr>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60" w:type="dxa"/>
            <w:vAlign w:val="bottom"/>
            <w:gridSpan w:val="3"/>
          </w:tcPr>
          <w:p>
            <w:pPr>
              <w:jc w:val="right"/>
              <w:ind w:right="424"/>
              <w:spacing w:after="0"/>
              <w:rPr>
                <w:sz w:val="20"/>
                <w:szCs w:val="20"/>
                <w:color w:val="auto"/>
              </w:rPr>
            </w:pPr>
            <w:r>
              <w:rPr>
                <w:rFonts w:ascii="Arial" w:cs="Arial" w:eastAsia="Arial" w:hAnsi="Arial"/>
                <w:sz w:val="16"/>
                <w:szCs w:val="16"/>
                <w:b w:val="1"/>
                <w:bCs w:val="1"/>
                <w:color w:val="auto"/>
                <w:w w:val="94"/>
              </w:rPr>
              <w:t>Years ended December 31,</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920" w:type="dxa"/>
            <w:vAlign w:val="bottom"/>
          </w:tcPr>
          <w:p>
            <w:pPr>
              <w:jc w:val="center"/>
              <w:ind w:left="32"/>
              <w:spacing w:after="0"/>
              <w:rPr>
                <w:sz w:val="20"/>
                <w:szCs w:val="20"/>
                <w:color w:val="auto"/>
              </w:rPr>
            </w:pPr>
            <w:r>
              <w:rPr>
                <w:rFonts w:ascii="Arial" w:cs="Arial" w:eastAsia="Arial" w:hAnsi="Arial"/>
                <w:sz w:val="16"/>
                <w:szCs w:val="16"/>
                <w:b w:val="1"/>
                <w:bCs w:val="1"/>
                <w:color w:val="auto"/>
                <w:w w:val="91"/>
              </w:rPr>
              <w:t>Currency</w:t>
            </w:r>
          </w:p>
        </w:tc>
        <w:tc>
          <w:tcPr>
            <w:tcW w:w="1120" w:type="dxa"/>
            <w:vAlign w:val="bottom"/>
          </w:tcPr>
          <w:p>
            <w:pPr>
              <w:jc w:val="center"/>
              <w:ind w:left="93"/>
              <w:spacing w:after="0"/>
              <w:rPr>
                <w:sz w:val="20"/>
                <w:szCs w:val="20"/>
                <w:color w:val="auto"/>
              </w:rPr>
            </w:pPr>
            <w:r>
              <w:rPr>
                <w:rFonts w:ascii="Arial" w:cs="Arial" w:eastAsia="Arial" w:hAnsi="Arial"/>
                <w:sz w:val="16"/>
                <w:szCs w:val="16"/>
                <w:b w:val="1"/>
                <w:bCs w:val="1"/>
                <w:color w:val="auto"/>
                <w:w w:val="93"/>
              </w:rPr>
              <w:t>Currency</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7"/>
              </w:rPr>
              <w:t>Acquisitions/</w:t>
            </w:r>
          </w:p>
        </w:tc>
        <w:tc>
          <w:tcPr>
            <w:tcW w:w="840" w:type="dxa"/>
            <w:vAlign w:val="bottom"/>
          </w:tcPr>
          <w:p>
            <w:pPr>
              <w:jc w:val="center"/>
              <w:ind w:right="30"/>
              <w:spacing w:after="0"/>
              <w:rPr>
                <w:sz w:val="20"/>
                <w:szCs w:val="20"/>
                <w:color w:val="auto"/>
              </w:rPr>
            </w:pPr>
            <w:r>
              <w:rPr>
                <w:rFonts w:ascii="Arial" w:cs="Arial" w:eastAsia="Arial" w:hAnsi="Arial"/>
                <w:sz w:val="16"/>
                <w:szCs w:val="16"/>
                <w:b w:val="1"/>
                <w:bCs w:val="1"/>
                <w:color w:val="auto"/>
                <w:w w:val="92"/>
              </w:rPr>
              <w:t>Organic</w:t>
            </w:r>
          </w:p>
        </w:tc>
      </w:tr>
      <w:tr>
        <w:trPr>
          <w:trHeight w:val="254"/>
        </w:trPr>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29"/>
              <w:spacing w:after="0"/>
              <w:rPr>
                <w:sz w:val="20"/>
                <w:szCs w:val="20"/>
                <w:color w:val="auto"/>
              </w:rPr>
            </w:pPr>
            <w:r>
              <w:rPr>
                <w:rFonts w:ascii="Arial" w:cs="Arial" w:eastAsia="Arial" w:hAnsi="Arial"/>
                <w:sz w:val="16"/>
                <w:szCs w:val="16"/>
                <w:b w:val="1"/>
                <w:bCs w:val="1"/>
                <w:color w:val="auto"/>
              </w:rPr>
              <w:t>2025</w:t>
            </w:r>
          </w:p>
        </w:tc>
        <w:tc>
          <w:tcPr>
            <w:tcW w:w="480" w:type="dxa"/>
            <w:vAlign w:val="bottom"/>
          </w:tcPr>
          <w:p>
            <w:pPr>
              <w:spacing w:after="0"/>
              <w:rPr>
                <w:sz w:val="22"/>
                <w:szCs w:val="22"/>
                <w:color w:val="auto"/>
              </w:rPr>
            </w:pPr>
          </w:p>
        </w:tc>
        <w:tc>
          <w:tcPr>
            <w:tcW w:w="940" w:type="dxa"/>
            <w:vAlign w:val="bottom"/>
          </w:tcPr>
          <w:p>
            <w:pPr>
              <w:jc w:val="right"/>
              <w:ind w:right="504"/>
              <w:spacing w:after="0"/>
              <w:rPr>
                <w:sz w:val="20"/>
                <w:szCs w:val="20"/>
                <w:color w:val="auto"/>
              </w:rPr>
            </w:pPr>
            <w:r>
              <w:rPr>
                <w:rFonts w:ascii="Arial" w:cs="Arial" w:eastAsia="Arial" w:hAnsi="Arial"/>
                <w:sz w:val="16"/>
                <w:szCs w:val="16"/>
                <w:b w:val="1"/>
                <w:bCs w:val="1"/>
                <w:color w:val="auto"/>
                <w:w w:val="89"/>
              </w:rPr>
              <w:t>2024</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c>
          <w:tcPr>
            <w:tcW w:w="920" w:type="dxa"/>
            <w:vAlign w:val="bottom"/>
          </w:tcPr>
          <w:p>
            <w:pPr>
              <w:jc w:val="center"/>
              <w:ind w:left="32"/>
              <w:spacing w:after="0"/>
              <w:rPr>
                <w:sz w:val="20"/>
                <w:szCs w:val="20"/>
                <w:color w:val="auto"/>
              </w:rPr>
            </w:pPr>
            <w:r>
              <w:rPr>
                <w:rFonts w:ascii="Arial" w:cs="Arial" w:eastAsia="Arial" w:hAnsi="Arial"/>
                <w:sz w:val="16"/>
                <w:szCs w:val="16"/>
                <w:b w:val="1"/>
                <w:bCs w:val="1"/>
                <w:color w:val="auto"/>
                <w:w w:val="92"/>
              </w:rPr>
              <w:t>Impact</w:t>
            </w:r>
          </w:p>
        </w:tc>
        <w:tc>
          <w:tcPr>
            <w:tcW w:w="1120" w:type="dxa"/>
            <w:vAlign w:val="bottom"/>
          </w:tcPr>
          <w:p>
            <w:pPr>
              <w:jc w:val="center"/>
              <w:ind w:left="73"/>
              <w:spacing w:after="0"/>
              <w:rPr>
                <w:sz w:val="20"/>
                <w:szCs w:val="20"/>
                <w:color w:val="auto"/>
              </w:rPr>
            </w:pPr>
            <w:r>
              <w:rPr>
                <w:rFonts w:ascii="Arial" w:cs="Arial" w:eastAsia="Arial" w:hAnsi="Arial"/>
                <w:sz w:val="16"/>
                <w:szCs w:val="16"/>
                <w:b w:val="1"/>
                <w:bCs w:val="1"/>
                <w:color w:val="auto"/>
                <w:w w:val="88"/>
              </w:rPr>
              <w:t>Change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7"/>
              </w:rPr>
              <w:t>Divestitures</w:t>
            </w:r>
          </w:p>
        </w:tc>
        <w:tc>
          <w:tcPr>
            <w:tcW w:w="840" w:type="dxa"/>
            <w:vAlign w:val="bottom"/>
          </w:tcPr>
          <w:p>
            <w:pPr>
              <w:jc w:val="center"/>
              <w:ind w:right="10"/>
              <w:spacing w:after="0"/>
              <w:rPr>
                <w:sz w:val="20"/>
                <w:szCs w:val="20"/>
                <w:color w:val="auto"/>
              </w:rPr>
            </w:pPr>
            <w:r>
              <w:rPr>
                <w:rFonts w:ascii="Arial" w:cs="Arial" w:eastAsia="Arial" w:hAnsi="Arial"/>
                <w:sz w:val="16"/>
                <w:szCs w:val="16"/>
                <w:b w:val="1"/>
                <w:bCs w:val="1"/>
                <w:color w:val="auto"/>
                <w:w w:val="91"/>
              </w:rPr>
              <w:t>Change</w:t>
            </w:r>
          </w:p>
        </w:tc>
      </w:tr>
      <w:tr>
        <w:trPr>
          <w:trHeight w:val="264"/>
        </w:trPr>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 in millions)</w:t>
            </w:r>
          </w:p>
        </w:tc>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32"/>
        </w:trPr>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4"/>
        </w:trPr>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w w:val="93"/>
              </w:rPr>
              <w:t>Segment revenue</w:t>
            </w:r>
          </w:p>
        </w:tc>
        <w:tc>
          <w:tcPr>
            <w:tcW w:w="30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r>
      <w:tr>
        <w:trPr>
          <w:trHeight w:val="300"/>
        </w:trPr>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w w:val="95"/>
              </w:rPr>
              <w:t>excluding interest</w:t>
            </w:r>
          </w:p>
        </w:tc>
        <w:tc>
          <w:tcPr>
            <w:tcW w:w="3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321"/>
        </w:trPr>
        <w:tc>
          <w:tcPr>
            <w:tcW w:w="1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income</w:t>
            </w:r>
          </w:p>
        </w:tc>
        <w:tc>
          <w:tcPr>
            <w:tcW w:w="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ind w:right="9"/>
              <w:spacing w:after="0"/>
              <w:rPr>
                <w:sz w:val="20"/>
                <w:szCs w:val="20"/>
                <w:color w:val="auto"/>
              </w:rPr>
            </w:pPr>
            <w:r>
              <w:rPr>
                <w:rFonts w:ascii="Arial" w:cs="Arial" w:eastAsia="Arial" w:hAnsi="Arial"/>
                <w:sz w:val="20"/>
                <w:szCs w:val="20"/>
                <w:color w:val="auto"/>
              </w:rPr>
              <w:t>5,225</w:t>
            </w:r>
          </w:p>
        </w:tc>
        <w:tc>
          <w:tcPr>
            <w:tcW w:w="48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84"/>
              <w:spacing w:after="0"/>
              <w:rPr>
                <w:sz w:val="20"/>
                <w:szCs w:val="20"/>
                <w:color w:val="auto"/>
              </w:rPr>
            </w:pPr>
            <w:r>
              <w:rPr>
                <w:rFonts w:ascii="Arial" w:cs="Arial" w:eastAsia="Arial" w:hAnsi="Arial"/>
                <w:sz w:val="20"/>
                <w:szCs w:val="20"/>
                <w:color w:val="auto"/>
              </w:rPr>
              <w:t>5,745</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4"/>
              </w:rPr>
              <w:t>(9)%</w:t>
            </w:r>
          </w:p>
        </w:tc>
        <w:tc>
          <w:tcPr>
            <w:tcW w:w="920" w:type="dxa"/>
            <w:vAlign w:val="bottom"/>
            <w:tcBorders>
              <w:bottom w:val="single" w:sz="8" w:color="CFF0FC"/>
            </w:tcBorders>
            <w:shd w:val="clear" w:color="auto" w:fill="CFF0FC"/>
          </w:tcPr>
          <w:p>
            <w:pPr>
              <w:jc w:val="center"/>
              <w:ind w:left="32"/>
              <w:spacing w:after="0"/>
              <w:rPr>
                <w:sz w:val="20"/>
                <w:szCs w:val="20"/>
                <w:color w:val="auto"/>
              </w:rPr>
            </w:pPr>
            <w:r>
              <w:rPr>
                <w:rFonts w:ascii="Arial" w:cs="Arial" w:eastAsia="Arial" w:hAnsi="Arial"/>
                <w:sz w:val="20"/>
                <w:szCs w:val="20"/>
                <w:color w:val="auto"/>
                <w:w w:val="96"/>
              </w:rPr>
              <w:t>1%</w:t>
            </w:r>
          </w:p>
        </w:tc>
        <w:tc>
          <w:tcPr>
            <w:tcW w:w="1120" w:type="dxa"/>
            <w:vAlign w:val="bottom"/>
            <w:tcBorders>
              <w:bottom w:val="single" w:sz="8" w:color="CFF0FC"/>
            </w:tcBorders>
            <w:shd w:val="clear" w:color="auto" w:fill="CFF0FC"/>
          </w:tcPr>
          <w:p>
            <w:pPr>
              <w:jc w:val="center"/>
              <w:ind w:left="93"/>
              <w:spacing w:after="0"/>
              <w:rPr>
                <w:sz w:val="20"/>
                <w:szCs w:val="20"/>
                <w:color w:val="auto"/>
              </w:rPr>
            </w:pPr>
            <w:r>
              <w:rPr>
                <w:rFonts w:ascii="Arial" w:cs="Arial" w:eastAsia="Arial" w:hAnsi="Arial"/>
                <w:sz w:val="20"/>
                <w:szCs w:val="20"/>
                <w:color w:val="auto"/>
                <w:w w:val="93"/>
              </w:rPr>
              <w:t>(10)%</w:t>
            </w:r>
          </w:p>
        </w:tc>
        <w:tc>
          <w:tcPr>
            <w:tcW w:w="12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3"/>
              </w:rPr>
              <w:t>(14)%</w:t>
            </w:r>
          </w:p>
        </w:tc>
        <w:tc>
          <w:tcPr>
            <w:tcW w:w="840" w:type="dxa"/>
            <w:vAlign w:val="bottom"/>
            <w:tcBorders>
              <w:bottom w:val="single" w:sz="8" w:color="CFF0FC"/>
            </w:tcBorders>
            <w:shd w:val="clear" w:color="auto" w:fill="CFF0FC"/>
          </w:tcPr>
          <w:p>
            <w:pPr>
              <w:jc w:val="center"/>
              <w:ind w:right="10"/>
              <w:spacing w:after="0"/>
              <w:rPr>
                <w:sz w:val="20"/>
                <w:szCs w:val="20"/>
                <w:color w:val="auto"/>
              </w:rPr>
            </w:pPr>
            <w:r>
              <w:rPr>
                <w:rFonts w:ascii="Arial" w:cs="Arial" w:eastAsia="Arial" w:hAnsi="Arial"/>
                <w:sz w:val="20"/>
                <w:szCs w:val="20"/>
                <w:color w:val="auto"/>
                <w:w w:val="89"/>
              </w:rPr>
              <w:t>4%</w:t>
            </w:r>
          </w:p>
        </w:tc>
      </w:tr>
      <w:tr>
        <w:trPr>
          <w:trHeight w:val="274"/>
        </w:trPr>
        <w:tc>
          <w:tcPr>
            <w:tcW w:w="1500" w:type="dxa"/>
            <w:vAlign w:val="bottom"/>
          </w:tcPr>
          <w:p>
            <w:pPr>
              <w:spacing w:after="0"/>
              <w:rPr>
                <w:sz w:val="20"/>
                <w:szCs w:val="20"/>
                <w:color w:val="auto"/>
              </w:rPr>
            </w:pPr>
            <w:r>
              <w:rPr>
                <w:rFonts w:ascii="Arial" w:cs="Arial" w:eastAsia="Arial" w:hAnsi="Arial"/>
                <w:sz w:val="20"/>
                <w:szCs w:val="20"/>
                <w:color w:val="auto"/>
              </w:rPr>
              <w:t>Interest income</w:t>
            </w:r>
          </w:p>
        </w:tc>
        <w:tc>
          <w:tcPr>
            <w:tcW w:w="300" w:type="dxa"/>
            <w:vAlign w:val="bottom"/>
          </w:tcPr>
          <w:p>
            <w:pPr>
              <w:spacing w:after="0"/>
              <w:rPr>
                <w:sz w:val="23"/>
                <w:szCs w:val="23"/>
                <w:color w:val="auto"/>
              </w:rPr>
            </w:pPr>
          </w:p>
        </w:tc>
        <w:tc>
          <w:tcPr>
            <w:tcW w:w="1040" w:type="dxa"/>
            <w:vAlign w:val="bottom"/>
          </w:tcPr>
          <w:p>
            <w:pPr>
              <w:jc w:val="right"/>
              <w:ind w:right="9"/>
              <w:spacing w:after="0"/>
              <w:rPr>
                <w:sz w:val="20"/>
                <w:szCs w:val="20"/>
                <w:color w:val="auto"/>
              </w:rPr>
            </w:pPr>
            <w:r>
              <w:rPr>
                <w:rFonts w:ascii="Arial" w:cs="Arial" w:eastAsia="Arial" w:hAnsi="Arial"/>
                <w:sz w:val="20"/>
                <w:szCs w:val="20"/>
                <w:color w:val="auto"/>
              </w:rPr>
              <w:t>29</w:t>
            </w:r>
          </w:p>
        </w:tc>
        <w:tc>
          <w:tcPr>
            <w:tcW w:w="48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20"/>
                <w:szCs w:val="20"/>
                <w:color w:val="auto"/>
              </w:rPr>
              <w:t>32</w:t>
            </w: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51"/>
        </w:trPr>
        <w:tc>
          <w:tcPr>
            <w:tcW w:w="1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4"/>
        </w:trPr>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Total segment</w:t>
            </w:r>
          </w:p>
        </w:tc>
        <w:tc>
          <w:tcPr>
            <w:tcW w:w="30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r>
      <w:tr>
        <w:trPr>
          <w:trHeight w:val="321"/>
        </w:trPr>
        <w:tc>
          <w:tcPr>
            <w:tcW w:w="1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revenue</w:t>
            </w:r>
          </w:p>
        </w:tc>
        <w:tc>
          <w:tcPr>
            <w:tcW w:w="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ind w:right="9"/>
              <w:spacing w:after="0"/>
              <w:rPr>
                <w:sz w:val="20"/>
                <w:szCs w:val="20"/>
                <w:color w:val="auto"/>
              </w:rPr>
            </w:pPr>
            <w:r>
              <w:rPr>
                <w:rFonts w:ascii="Arial" w:cs="Arial" w:eastAsia="Arial" w:hAnsi="Arial"/>
                <w:sz w:val="20"/>
                <w:szCs w:val="20"/>
                <w:color w:val="auto"/>
              </w:rPr>
              <w:t>5,254</w:t>
            </w:r>
          </w:p>
        </w:tc>
        <w:tc>
          <w:tcPr>
            <w:tcW w:w="48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84"/>
              <w:spacing w:after="0"/>
              <w:rPr>
                <w:sz w:val="20"/>
                <w:szCs w:val="20"/>
                <w:color w:val="auto"/>
              </w:rPr>
            </w:pPr>
            <w:r>
              <w:rPr>
                <w:rFonts w:ascii="Arial" w:cs="Arial" w:eastAsia="Arial" w:hAnsi="Arial"/>
                <w:sz w:val="20"/>
                <w:szCs w:val="20"/>
                <w:color w:val="auto"/>
              </w:rPr>
              <w:t>5,777</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4"/>
              </w:rPr>
              <w:t>(9)%</w:t>
            </w:r>
          </w:p>
        </w:tc>
        <w:tc>
          <w:tcPr>
            <w:tcW w:w="920" w:type="dxa"/>
            <w:vAlign w:val="bottom"/>
            <w:tcBorders>
              <w:bottom w:val="single" w:sz="8" w:color="CFF0FC"/>
            </w:tcBorders>
            <w:shd w:val="clear" w:color="auto" w:fill="CFF0FC"/>
          </w:tcPr>
          <w:p>
            <w:pPr>
              <w:jc w:val="center"/>
              <w:ind w:left="32"/>
              <w:spacing w:after="0"/>
              <w:rPr>
                <w:sz w:val="20"/>
                <w:szCs w:val="20"/>
                <w:color w:val="auto"/>
              </w:rPr>
            </w:pPr>
            <w:r>
              <w:rPr>
                <w:rFonts w:ascii="Arial" w:cs="Arial" w:eastAsia="Arial" w:hAnsi="Arial"/>
                <w:sz w:val="20"/>
                <w:szCs w:val="20"/>
                <w:color w:val="auto"/>
                <w:w w:val="96"/>
              </w:rPr>
              <w:t>1%</w:t>
            </w:r>
          </w:p>
        </w:tc>
        <w:tc>
          <w:tcPr>
            <w:tcW w:w="1120" w:type="dxa"/>
            <w:vAlign w:val="bottom"/>
            <w:tcBorders>
              <w:bottom w:val="single" w:sz="8" w:color="CFF0FC"/>
            </w:tcBorders>
            <w:shd w:val="clear" w:color="auto" w:fill="CFF0FC"/>
          </w:tcPr>
          <w:p>
            <w:pPr>
              <w:jc w:val="center"/>
              <w:ind w:left="93"/>
              <w:spacing w:after="0"/>
              <w:rPr>
                <w:sz w:val="20"/>
                <w:szCs w:val="20"/>
                <w:color w:val="auto"/>
              </w:rPr>
            </w:pPr>
            <w:r>
              <w:rPr>
                <w:rFonts w:ascii="Arial" w:cs="Arial" w:eastAsia="Arial" w:hAnsi="Arial"/>
                <w:sz w:val="20"/>
                <w:szCs w:val="20"/>
                <w:color w:val="auto"/>
                <w:w w:val="93"/>
              </w:rPr>
              <w:t>(10)%</w:t>
            </w:r>
          </w:p>
        </w:tc>
        <w:tc>
          <w:tcPr>
            <w:tcW w:w="12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3"/>
              </w:rPr>
              <w:t>(14)%</w:t>
            </w:r>
          </w:p>
        </w:tc>
        <w:tc>
          <w:tcPr>
            <w:tcW w:w="840" w:type="dxa"/>
            <w:vAlign w:val="bottom"/>
            <w:tcBorders>
              <w:bottom w:val="single" w:sz="8" w:color="CFF0FC"/>
            </w:tcBorders>
            <w:shd w:val="clear" w:color="auto" w:fill="CFF0FC"/>
          </w:tcPr>
          <w:p>
            <w:pPr>
              <w:jc w:val="center"/>
              <w:ind w:right="10"/>
              <w:spacing w:after="0"/>
              <w:rPr>
                <w:sz w:val="20"/>
                <w:szCs w:val="20"/>
                <w:color w:val="auto"/>
              </w:rPr>
            </w:pPr>
            <w:r>
              <w:rPr>
                <w:rFonts w:ascii="Arial" w:cs="Arial" w:eastAsia="Arial" w:hAnsi="Arial"/>
                <w:sz w:val="20"/>
                <w:szCs w:val="20"/>
                <w:color w:val="auto"/>
                <w:w w:val="89"/>
              </w:rPr>
              <w:t>4%</w:t>
            </w:r>
          </w:p>
        </w:tc>
      </w:tr>
      <w:tr>
        <w:trPr>
          <w:trHeight w:val="194"/>
        </w:trPr>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74"/>
        </w:trPr>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Segment</w:t>
            </w:r>
          </w:p>
        </w:tc>
        <w:tc>
          <w:tcPr>
            <w:tcW w:w="30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r>
      <w:tr>
        <w:trPr>
          <w:trHeight w:val="300"/>
        </w:trPr>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w w:val="96"/>
              </w:rPr>
              <w:t>operating income</w:t>
            </w:r>
          </w:p>
        </w:tc>
        <w:tc>
          <w:tcPr>
            <w:tcW w:w="3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9"/>
              <w:spacing w:after="0"/>
              <w:rPr>
                <w:sz w:val="20"/>
                <w:szCs w:val="20"/>
                <w:color w:val="auto"/>
              </w:rPr>
            </w:pPr>
            <w:r>
              <w:rPr>
                <w:rFonts w:ascii="Arial" w:cs="Arial" w:eastAsia="Arial" w:hAnsi="Arial"/>
                <w:sz w:val="20"/>
                <w:szCs w:val="20"/>
                <w:color w:val="auto"/>
              </w:rPr>
              <w:t>1,681</w:t>
            </w:r>
          </w:p>
        </w:tc>
        <w:tc>
          <w:tcPr>
            <w:tcW w:w="480" w:type="dxa"/>
            <w:vAlign w:val="bottom"/>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ind w:right="84"/>
              <w:spacing w:after="0"/>
              <w:rPr>
                <w:sz w:val="20"/>
                <w:szCs w:val="20"/>
                <w:color w:val="auto"/>
              </w:rPr>
            </w:pPr>
            <w:r>
              <w:rPr>
                <w:rFonts w:ascii="Arial" w:cs="Arial" w:eastAsia="Arial" w:hAnsi="Arial"/>
                <w:sz w:val="20"/>
                <w:szCs w:val="20"/>
                <w:color w:val="auto"/>
              </w:rPr>
              <w:t>1,717</w:t>
            </w:r>
          </w:p>
        </w:tc>
        <w:tc>
          <w:tcPr>
            <w:tcW w:w="100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41"/>
        </w:trPr>
        <w:tc>
          <w:tcPr>
            <w:tcW w:w="150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48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-2355215</wp:posOffset>
            </wp:positionV>
            <wp:extent cx="257556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2">
                      <a:extLst>
                        <a:ext uri="{28A0092B-C50C-407E-A947-70E740481C1C}"/>
                      </a:extLst>
                    </a:blip>
                    <a:srcRect/>
                    <a:stretch>
                      <a:fillRect/>
                    </a:stretch>
                  </pic:blipFill>
                  <pic:spPr bwMode="auto">
                    <a:xfrm>
                      <a:off x="0" y="0"/>
                      <a:ext cx="2575560" cy="6350"/>
                    </a:xfrm>
                    <a:prstGeom prst="rect">
                      <a:avLst/>
                    </a:prstGeom>
                    <a:noFill/>
                  </pic:spPr>
                </pic:pic>
              </a:graphicData>
            </a:graphic>
          </wp:anchor>
        </w:drawing>
        <w:drawing>
          <wp:anchor simplePos="0" relativeHeight="251657728" behindDoc="1" locked="0" layoutInCell="0" allowOverlap="1">
            <wp:simplePos x="0" y="0"/>
            <wp:positionH relativeFrom="column">
              <wp:posOffset>1000760</wp:posOffset>
            </wp:positionH>
            <wp:positionV relativeFrom="paragraph">
              <wp:posOffset>-2025650</wp:posOffset>
            </wp:positionV>
            <wp:extent cx="166306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3">
                      <a:extLst>
                        <a:ext uri="{28A0092B-C50C-407E-A947-70E740481C1C}"/>
                      </a:extLst>
                    </a:blip>
                    <a:srcRect/>
                    <a:stretch>
                      <a:fillRect/>
                    </a:stretch>
                  </pic:blipFill>
                  <pic:spPr bwMode="auto">
                    <a:xfrm>
                      <a:off x="0" y="0"/>
                      <a:ext cx="1663065" cy="6350"/>
                    </a:xfrm>
                    <a:prstGeom prst="rect">
                      <a:avLst/>
                    </a:prstGeom>
                    <a:noFill/>
                  </pic:spPr>
                </pic:pic>
              </a:graphicData>
            </a:graphic>
          </wp:anchor>
        </w:drawing>
        <w:drawing>
          <wp:anchor simplePos="0" relativeHeight="251657728" behindDoc="1" locked="0" layoutInCell="0" allowOverlap="1">
            <wp:simplePos x="0" y="0"/>
            <wp:positionH relativeFrom="column">
              <wp:posOffset>1000760</wp:posOffset>
            </wp:positionH>
            <wp:positionV relativeFrom="paragraph">
              <wp:posOffset>-1857375</wp:posOffset>
            </wp:positionV>
            <wp:extent cx="496316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4">
                      <a:extLst>
                        <a:ext uri="{28A0092B-C50C-407E-A947-70E740481C1C}"/>
                      </a:extLst>
                    </a:blip>
                    <a:srcRect/>
                    <a:stretch>
                      <a:fillRect/>
                    </a:stretch>
                  </pic:blipFill>
                  <pic:spPr bwMode="auto">
                    <a:xfrm>
                      <a:off x="0" y="0"/>
                      <a:ext cx="4963160" cy="6350"/>
                    </a:xfrm>
                    <a:prstGeom prst="rect">
                      <a:avLst/>
                    </a:prstGeom>
                    <a:noFill/>
                  </pic:spPr>
                </pic:pic>
              </a:graphicData>
            </a:graphic>
          </wp:anchor>
        </w:drawing>
        <w:drawing>
          <wp:anchor simplePos="0" relativeHeight="251657728" behindDoc="1" locked="0" layoutInCell="0" allowOverlap="1">
            <wp:simplePos x="0" y="0"/>
            <wp:positionH relativeFrom="column">
              <wp:posOffset>1000760</wp:posOffset>
            </wp:positionH>
            <wp:positionV relativeFrom="paragraph">
              <wp:posOffset>-909320</wp:posOffset>
            </wp:positionV>
            <wp:extent cx="166306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5">
                      <a:extLst>
                        <a:ext uri="{28A0092B-C50C-407E-A947-70E740481C1C}"/>
                      </a:extLst>
                    </a:blip>
                    <a:srcRect/>
                    <a:stretch>
                      <a:fillRect/>
                    </a:stretch>
                  </pic:blipFill>
                  <pic:spPr bwMode="auto">
                    <a:xfrm>
                      <a:off x="0" y="0"/>
                      <a:ext cx="1663065" cy="6350"/>
                    </a:xfrm>
                    <a:prstGeom prst="rect">
                      <a:avLst/>
                    </a:prstGeom>
                    <a:noFill/>
                  </pic:spPr>
                </pic:pic>
              </a:graphicData>
            </a:graphic>
          </wp:anchor>
        </w:drawing>
        <w:drawing>
          <wp:anchor simplePos="0" relativeHeight="251657728" behindDoc="1" locked="0" layoutInCell="0" allowOverlap="1">
            <wp:simplePos x="0" y="0"/>
            <wp:positionH relativeFrom="column">
              <wp:posOffset>1000760</wp:posOffset>
            </wp:positionH>
            <wp:positionV relativeFrom="paragraph">
              <wp:posOffset>-541655</wp:posOffset>
            </wp:positionV>
            <wp:extent cx="1722755" cy="285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6">
                      <a:extLst>
                        <a:ext uri="{28A0092B-C50C-407E-A947-70E740481C1C}"/>
                      </a:extLst>
                    </a:blip>
                    <a:srcRect/>
                    <a:stretch>
                      <a:fillRect/>
                    </a:stretch>
                  </pic:blipFill>
                  <pic:spPr bwMode="auto">
                    <a:xfrm>
                      <a:off x="0" y="0"/>
                      <a:ext cx="1722755" cy="28575"/>
                    </a:xfrm>
                    <a:prstGeom prst="rect">
                      <a:avLst/>
                    </a:prstGeom>
                    <a:noFill/>
                  </pic:spPr>
                </pic:pic>
              </a:graphicData>
            </a:graphic>
          </wp:anchor>
        </w:drawing>
        <w:drawing>
          <wp:anchor simplePos="0" relativeHeight="251657728" behindDoc="1" locked="0" layoutInCell="0" allowOverlap="1">
            <wp:simplePos x="0" y="0"/>
            <wp:positionH relativeFrom="column">
              <wp:posOffset>1000760</wp:posOffset>
            </wp:positionH>
            <wp:positionV relativeFrom="paragraph">
              <wp:posOffset>-27940</wp:posOffset>
            </wp:positionV>
            <wp:extent cx="1722755" cy="285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7">
                      <a:extLst>
                        <a:ext uri="{28A0092B-C50C-407E-A947-70E740481C1C}"/>
                      </a:extLst>
                    </a:blip>
                    <a:srcRect/>
                    <a:stretch>
                      <a:fillRect/>
                    </a:stretch>
                  </pic:blipFill>
                  <pic:spPr bwMode="auto">
                    <a:xfrm>
                      <a:off x="0" y="0"/>
                      <a:ext cx="1722755" cy="28575"/>
                    </a:xfrm>
                    <a:prstGeom prst="rect">
                      <a:avLst/>
                    </a:prstGeom>
                    <a:noFill/>
                  </pic:spPr>
                </pic:pic>
              </a:graphicData>
            </a:graphic>
          </wp:anchor>
        </w:drawing>
      </w:r>
    </w:p>
    <w:p>
      <w:pPr>
        <w:spacing w:after="0" w:line="319" w:lineRule="exact"/>
        <w:rPr>
          <w:sz w:val="20"/>
          <w:szCs w:val="20"/>
          <w:color w:val="auto"/>
        </w:rPr>
      </w:pPr>
    </w:p>
    <w:p>
      <w:pPr>
        <w:ind w:right="60"/>
        <w:spacing w:after="0" w:line="311" w:lineRule="auto"/>
        <w:rPr>
          <w:sz w:val="20"/>
          <w:szCs w:val="20"/>
          <w:color w:val="auto"/>
        </w:rPr>
      </w:pPr>
      <w:r>
        <w:rPr>
          <w:rFonts w:ascii="Arial" w:cs="Arial" w:eastAsia="Arial" w:hAnsi="Arial"/>
          <w:sz w:val="20"/>
          <w:szCs w:val="20"/>
          <w:color w:val="auto"/>
        </w:rPr>
        <w:t>HWC segment revenue for the years ended December 31, 2025 and 2024 was $5.3 billion and $5.8 billion, respectively. Health delivered organic revenue growth in all regions, led by double-digit increases across International which benefited from strong new business and geographic expansion. Wealth generated organic revenue growth from higher levels of Retirement work globally, alongside growth in our Investments business. Career reported revenue growth, largely driven by an uptick in advisory work in Europe and increased compensation survey sales globally. BDO increased primarily due to robust project and core administrative work in Europe, alongside higher commission revenue in Individual Marketplace.</w:t>
      </w:r>
    </w:p>
    <w:p>
      <w:pPr>
        <w:spacing w:after="0" w:line="314" w:lineRule="exact"/>
        <w:rPr>
          <w:sz w:val="20"/>
          <w:szCs w:val="20"/>
          <w:color w:val="auto"/>
        </w:rPr>
      </w:pPr>
    </w:p>
    <w:p>
      <w:pPr>
        <w:ind w:right="480"/>
        <w:spacing w:after="0" w:line="307" w:lineRule="auto"/>
        <w:rPr>
          <w:sz w:val="20"/>
          <w:szCs w:val="20"/>
          <w:color w:val="auto"/>
        </w:rPr>
      </w:pPr>
      <w:r>
        <w:rPr>
          <w:rFonts w:ascii="Arial" w:cs="Arial" w:eastAsia="Arial" w:hAnsi="Arial"/>
          <w:sz w:val="20"/>
          <w:szCs w:val="20"/>
          <w:color w:val="auto"/>
        </w:rPr>
        <w:t>HWC segment operating income for both the years ended December 31, 2025 and 2024 was $1.7 billion. HWC segment operating income declined slightly as improvements from operating efficiencies were offset by the operating income lost from sale of TRANZACT.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&amp; Broking (‘R&amp;B’)</w:t>
      </w:r>
    </w:p>
    <w:p>
      <w:pPr>
        <w:spacing w:after="0" w:line="260" w:lineRule="exact"/>
        <w:rPr>
          <w:sz w:val="20"/>
          <w:szCs w:val="20"/>
          <w:color w:val="auto"/>
        </w:rPr>
      </w:pPr>
    </w:p>
    <w:p>
      <w:pPr>
        <w:ind w:right="360"/>
        <w:spacing w:after="0" w:line="302" w:lineRule="auto"/>
        <w:rPr>
          <w:sz w:val="20"/>
          <w:szCs w:val="20"/>
          <w:color w:val="auto"/>
        </w:rPr>
      </w:pPr>
      <w:r>
        <w:rPr>
          <w:rFonts w:ascii="Arial" w:cs="Arial" w:eastAsia="Arial" w:hAnsi="Arial"/>
          <w:sz w:val="20"/>
          <w:szCs w:val="20"/>
          <w:color w:val="auto"/>
        </w:rPr>
        <w:t>The Risk &amp; Broking (‘R&amp;B’) segment provides a broad range of risk advice, insurance brokerage and consulting services to clients worldwide ranging from small businesses to multinational corporations.</w:t>
      </w:r>
    </w:p>
    <w:p>
      <w:pPr>
        <w:spacing w:after="0" w:line="201" w:lineRule="exact"/>
        <w:rPr>
          <w:sz w:val="20"/>
          <w:szCs w:val="20"/>
          <w:color w:val="auto"/>
        </w:rPr>
      </w:pPr>
    </w:p>
    <w:p>
      <w:pPr>
        <w:ind w:right="360"/>
        <w:spacing w:after="0" w:line="398" w:lineRule="auto"/>
        <w:rPr>
          <w:sz w:val="20"/>
          <w:szCs w:val="20"/>
          <w:color w:val="auto"/>
        </w:rPr>
      </w:pPr>
      <w:r>
        <w:rPr>
          <w:rFonts w:ascii="Arial" w:cs="Arial" w:eastAsia="Arial" w:hAnsi="Arial"/>
          <w:sz w:val="17"/>
          <w:szCs w:val="17"/>
          <w:color w:val="auto"/>
        </w:rPr>
        <w:t>R&amp;B generated approximately 45% of our segment revenue for the year ended December 31, 2025. The segment comprises two primary businesses - Corporate Risk &amp; Broking and Insurance Consulting and Technology.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47</w:t>
      </w:r>
    </w:p>
    <w:p>
      <w:pPr>
        <w:sectPr>
          <w:pgSz w:w="11900" w:h="16838" w:orient="portrait"/>
          <w:cols w:equalWidth="0" w:num="1">
            <w:col w:w="9400"/>
          </w:cols>
          <w:pgMar w:left="1260" w:top="1440" w:right="1246" w:bottom="0" w:gutter="0" w:footer="0" w:header="0"/>
          <w:type w:val="continuous"/>
        </w:sectPr>
      </w:pPr>
    </w:p>
    <w:bookmarkStart w:id="98" w:name="page99"/>
    <w:bookmarkEnd w:id="98"/>
    <w:p>
      <w:pPr>
        <w:jc w:val="both"/>
        <w:ind w:right="480"/>
        <w:spacing w:after="0" w:line="307" w:lineRule="auto"/>
        <w:rPr>
          <w:sz w:val="20"/>
          <w:szCs w:val="20"/>
          <w:color w:val="auto"/>
        </w:rPr>
      </w:pPr>
      <w:r>
        <w:rPr>
          <w:rFonts w:ascii="Arial" w:cs="Arial" w:eastAsia="Arial" w:hAnsi="Arial"/>
          <w:sz w:val="20"/>
          <w:szCs w:val="20"/>
          <w:color w:val="auto"/>
        </w:rPr>
        <w:t>The following table sets forth R&amp;B segment revenue for the years ended December 31, 2025 and 2024, and the components of the change in revenue for the year ended December 31, 2025 from the year ended December 31, 2024.</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80" w:type="dxa"/>
            <w:vAlign w:val="bottom"/>
            <w:gridSpan w:val="2"/>
          </w:tcPr>
          <w:p>
            <w:pPr>
              <w:ind w:left="60"/>
              <w:spacing w:after="0"/>
              <w:rPr>
                <w:sz w:val="20"/>
                <w:szCs w:val="20"/>
                <w:color w:val="auto"/>
              </w:rPr>
            </w:pPr>
            <w:r>
              <w:rPr>
                <w:rFonts w:ascii="Arial" w:cs="Arial" w:eastAsia="Arial" w:hAnsi="Arial"/>
                <w:sz w:val="16"/>
                <w:szCs w:val="16"/>
                <w:b w:val="1"/>
                <w:bCs w:val="1"/>
                <w:color w:val="auto"/>
                <w:w w:val="91"/>
              </w:rPr>
              <w:t>Components of Revenue Change</w:t>
            </w:r>
          </w:p>
        </w:tc>
        <w:tc>
          <w:tcPr>
            <w:tcW w:w="840" w:type="dxa"/>
            <w:vAlign w:val="bottom"/>
          </w:tcPr>
          <w:p>
            <w:pPr>
              <w:spacing w:after="0"/>
              <w:rPr>
                <w:sz w:val="16"/>
                <w:szCs w:val="16"/>
                <w:color w:val="auto"/>
              </w:rPr>
            </w:pPr>
          </w:p>
        </w:tc>
      </w:tr>
      <w:tr>
        <w:trPr>
          <w:trHeight w:val="264"/>
        </w:trPr>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7"/>
              </w:rPr>
              <w:t>As</w:t>
            </w:r>
          </w:p>
        </w:tc>
        <w:tc>
          <w:tcPr>
            <w:tcW w:w="920" w:type="dxa"/>
            <w:vAlign w:val="bottom"/>
          </w:tcPr>
          <w:p>
            <w:pPr>
              <w:jc w:val="center"/>
              <w:ind w:left="32"/>
              <w:spacing w:after="0"/>
              <w:rPr>
                <w:sz w:val="20"/>
                <w:szCs w:val="20"/>
                <w:color w:val="auto"/>
              </w:rPr>
            </w:pPr>
            <w:r>
              <w:rPr>
                <w:rFonts w:ascii="Arial" w:cs="Arial" w:eastAsia="Arial" w:hAnsi="Arial"/>
                <w:sz w:val="16"/>
                <w:szCs w:val="16"/>
                <w:b w:val="1"/>
                <w:bCs w:val="1"/>
                <w:color w:val="auto"/>
                <w:w w:val="86"/>
              </w:rPr>
              <w:t>Less:</w:t>
            </w:r>
          </w:p>
        </w:tc>
        <w:tc>
          <w:tcPr>
            <w:tcW w:w="1120" w:type="dxa"/>
            <w:vAlign w:val="bottom"/>
          </w:tcPr>
          <w:p>
            <w:pPr>
              <w:jc w:val="center"/>
              <w:ind w:left="93"/>
              <w:spacing w:after="0"/>
              <w:rPr>
                <w:sz w:val="20"/>
                <w:szCs w:val="20"/>
                <w:color w:val="auto"/>
              </w:rPr>
            </w:pPr>
            <w:r>
              <w:rPr>
                <w:rFonts w:ascii="Arial" w:cs="Arial" w:eastAsia="Arial" w:hAnsi="Arial"/>
                <w:sz w:val="16"/>
                <w:szCs w:val="16"/>
                <w:b w:val="1"/>
                <w:bCs w:val="1"/>
                <w:color w:val="auto"/>
                <w:w w:val="89"/>
              </w:rPr>
              <w:t>Constant</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Less:</w:t>
            </w:r>
          </w:p>
        </w:tc>
        <w:tc>
          <w:tcPr>
            <w:tcW w:w="840" w:type="dxa"/>
            <w:vAlign w:val="bottom"/>
          </w:tcPr>
          <w:p>
            <w:pPr>
              <w:spacing w:after="0"/>
              <w:rPr>
                <w:sz w:val="22"/>
                <w:szCs w:val="22"/>
                <w:color w:val="auto"/>
              </w:rPr>
            </w:pPr>
          </w:p>
        </w:tc>
      </w:tr>
      <w:tr>
        <w:trPr>
          <w:trHeight w:val="264"/>
        </w:trPr>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60" w:type="dxa"/>
            <w:vAlign w:val="bottom"/>
            <w:gridSpan w:val="3"/>
          </w:tcPr>
          <w:p>
            <w:pPr>
              <w:jc w:val="right"/>
              <w:ind w:right="424"/>
              <w:spacing w:after="0"/>
              <w:rPr>
                <w:sz w:val="20"/>
                <w:szCs w:val="20"/>
                <w:color w:val="auto"/>
              </w:rPr>
            </w:pPr>
            <w:r>
              <w:rPr>
                <w:rFonts w:ascii="Arial" w:cs="Arial" w:eastAsia="Arial" w:hAnsi="Arial"/>
                <w:sz w:val="16"/>
                <w:szCs w:val="16"/>
                <w:b w:val="1"/>
                <w:bCs w:val="1"/>
                <w:color w:val="auto"/>
                <w:w w:val="94"/>
              </w:rPr>
              <w:t>Years ended December 31,</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920" w:type="dxa"/>
            <w:vAlign w:val="bottom"/>
          </w:tcPr>
          <w:p>
            <w:pPr>
              <w:jc w:val="center"/>
              <w:ind w:left="32"/>
              <w:spacing w:after="0"/>
              <w:rPr>
                <w:sz w:val="20"/>
                <w:szCs w:val="20"/>
                <w:color w:val="auto"/>
              </w:rPr>
            </w:pPr>
            <w:r>
              <w:rPr>
                <w:rFonts w:ascii="Arial" w:cs="Arial" w:eastAsia="Arial" w:hAnsi="Arial"/>
                <w:sz w:val="16"/>
                <w:szCs w:val="16"/>
                <w:b w:val="1"/>
                <w:bCs w:val="1"/>
                <w:color w:val="auto"/>
                <w:w w:val="91"/>
              </w:rPr>
              <w:t>Currency</w:t>
            </w:r>
          </w:p>
        </w:tc>
        <w:tc>
          <w:tcPr>
            <w:tcW w:w="1120" w:type="dxa"/>
            <w:vAlign w:val="bottom"/>
          </w:tcPr>
          <w:p>
            <w:pPr>
              <w:jc w:val="center"/>
              <w:ind w:left="93"/>
              <w:spacing w:after="0"/>
              <w:rPr>
                <w:sz w:val="20"/>
                <w:szCs w:val="20"/>
                <w:color w:val="auto"/>
              </w:rPr>
            </w:pPr>
            <w:r>
              <w:rPr>
                <w:rFonts w:ascii="Arial" w:cs="Arial" w:eastAsia="Arial" w:hAnsi="Arial"/>
                <w:sz w:val="16"/>
                <w:szCs w:val="16"/>
                <w:b w:val="1"/>
                <w:bCs w:val="1"/>
                <w:color w:val="auto"/>
                <w:w w:val="93"/>
              </w:rPr>
              <w:t>Currency</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7"/>
              </w:rPr>
              <w:t>Acquisitions/</w:t>
            </w:r>
          </w:p>
        </w:tc>
        <w:tc>
          <w:tcPr>
            <w:tcW w:w="840" w:type="dxa"/>
            <w:vAlign w:val="bottom"/>
          </w:tcPr>
          <w:p>
            <w:pPr>
              <w:jc w:val="center"/>
              <w:ind w:right="30"/>
              <w:spacing w:after="0"/>
              <w:rPr>
                <w:sz w:val="20"/>
                <w:szCs w:val="20"/>
                <w:color w:val="auto"/>
              </w:rPr>
            </w:pPr>
            <w:r>
              <w:rPr>
                <w:rFonts w:ascii="Arial" w:cs="Arial" w:eastAsia="Arial" w:hAnsi="Arial"/>
                <w:sz w:val="16"/>
                <w:szCs w:val="16"/>
                <w:b w:val="1"/>
                <w:bCs w:val="1"/>
                <w:color w:val="auto"/>
                <w:w w:val="92"/>
              </w:rPr>
              <w:t>Organic</w:t>
            </w:r>
          </w:p>
        </w:tc>
      </w:tr>
      <w:tr>
        <w:trPr>
          <w:trHeight w:val="254"/>
        </w:trPr>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29"/>
              <w:spacing w:after="0"/>
              <w:rPr>
                <w:sz w:val="20"/>
                <w:szCs w:val="20"/>
                <w:color w:val="auto"/>
              </w:rPr>
            </w:pPr>
            <w:r>
              <w:rPr>
                <w:rFonts w:ascii="Arial" w:cs="Arial" w:eastAsia="Arial" w:hAnsi="Arial"/>
                <w:sz w:val="16"/>
                <w:szCs w:val="16"/>
                <w:b w:val="1"/>
                <w:bCs w:val="1"/>
                <w:color w:val="auto"/>
              </w:rPr>
              <w:t>2025</w:t>
            </w:r>
          </w:p>
        </w:tc>
        <w:tc>
          <w:tcPr>
            <w:tcW w:w="480" w:type="dxa"/>
            <w:vAlign w:val="bottom"/>
          </w:tcPr>
          <w:p>
            <w:pPr>
              <w:spacing w:after="0"/>
              <w:rPr>
                <w:sz w:val="22"/>
                <w:szCs w:val="22"/>
                <w:color w:val="auto"/>
              </w:rPr>
            </w:pPr>
          </w:p>
        </w:tc>
        <w:tc>
          <w:tcPr>
            <w:tcW w:w="940" w:type="dxa"/>
            <w:vAlign w:val="bottom"/>
          </w:tcPr>
          <w:p>
            <w:pPr>
              <w:jc w:val="right"/>
              <w:ind w:right="504"/>
              <w:spacing w:after="0"/>
              <w:rPr>
                <w:sz w:val="20"/>
                <w:szCs w:val="20"/>
                <w:color w:val="auto"/>
              </w:rPr>
            </w:pPr>
            <w:r>
              <w:rPr>
                <w:rFonts w:ascii="Arial" w:cs="Arial" w:eastAsia="Arial" w:hAnsi="Arial"/>
                <w:sz w:val="16"/>
                <w:szCs w:val="16"/>
                <w:b w:val="1"/>
                <w:bCs w:val="1"/>
                <w:color w:val="auto"/>
                <w:w w:val="89"/>
              </w:rPr>
              <w:t>2024</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c>
          <w:tcPr>
            <w:tcW w:w="920" w:type="dxa"/>
            <w:vAlign w:val="bottom"/>
          </w:tcPr>
          <w:p>
            <w:pPr>
              <w:jc w:val="center"/>
              <w:ind w:left="32"/>
              <w:spacing w:after="0"/>
              <w:rPr>
                <w:sz w:val="20"/>
                <w:szCs w:val="20"/>
                <w:color w:val="auto"/>
              </w:rPr>
            </w:pPr>
            <w:r>
              <w:rPr>
                <w:rFonts w:ascii="Arial" w:cs="Arial" w:eastAsia="Arial" w:hAnsi="Arial"/>
                <w:sz w:val="16"/>
                <w:szCs w:val="16"/>
                <w:b w:val="1"/>
                <w:bCs w:val="1"/>
                <w:color w:val="auto"/>
                <w:w w:val="92"/>
              </w:rPr>
              <w:t>Impact</w:t>
            </w:r>
          </w:p>
        </w:tc>
        <w:tc>
          <w:tcPr>
            <w:tcW w:w="1120" w:type="dxa"/>
            <w:vAlign w:val="bottom"/>
          </w:tcPr>
          <w:p>
            <w:pPr>
              <w:jc w:val="center"/>
              <w:ind w:left="73"/>
              <w:spacing w:after="0"/>
              <w:rPr>
                <w:sz w:val="20"/>
                <w:szCs w:val="20"/>
                <w:color w:val="auto"/>
              </w:rPr>
            </w:pPr>
            <w:r>
              <w:rPr>
                <w:rFonts w:ascii="Arial" w:cs="Arial" w:eastAsia="Arial" w:hAnsi="Arial"/>
                <w:sz w:val="16"/>
                <w:szCs w:val="16"/>
                <w:b w:val="1"/>
                <w:bCs w:val="1"/>
                <w:color w:val="auto"/>
                <w:w w:val="88"/>
              </w:rPr>
              <w:t>Change</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7"/>
              </w:rPr>
              <w:t>Divestitures</w:t>
            </w:r>
          </w:p>
        </w:tc>
        <w:tc>
          <w:tcPr>
            <w:tcW w:w="840" w:type="dxa"/>
            <w:vAlign w:val="bottom"/>
          </w:tcPr>
          <w:p>
            <w:pPr>
              <w:jc w:val="center"/>
              <w:ind w:right="10"/>
              <w:spacing w:after="0"/>
              <w:rPr>
                <w:sz w:val="20"/>
                <w:szCs w:val="20"/>
                <w:color w:val="auto"/>
              </w:rPr>
            </w:pPr>
            <w:r>
              <w:rPr>
                <w:rFonts w:ascii="Arial" w:cs="Arial" w:eastAsia="Arial" w:hAnsi="Arial"/>
                <w:sz w:val="16"/>
                <w:szCs w:val="16"/>
                <w:b w:val="1"/>
                <w:bCs w:val="1"/>
                <w:color w:val="auto"/>
                <w:w w:val="91"/>
              </w:rPr>
              <w:t>Change</w:t>
            </w:r>
          </w:p>
        </w:tc>
      </w:tr>
      <w:tr>
        <w:trPr>
          <w:trHeight w:val="264"/>
        </w:trPr>
        <w:tc>
          <w:tcPr>
            <w:tcW w:w="1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rPr>
              <w:t>($ in millions)</w:t>
            </w:r>
          </w:p>
        </w:tc>
        <w:tc>
          <w:tcPr>
            <w:tcW w:w="9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32"/>
        </w:trPr>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4"/>
        </w:trPr>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w w:val="93"/>
              </w:rPr>
              <w:t>Segment revenue</w:t>
            </w:r>
          </w:p>
        </w:tc>
        <w:tc>
          <w:tcPr>
            <w:tcW w:w="30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r>
      <w:tr>
        <w:trPr>
          <w:trHeight w:val="300"/>
        </w:trPr>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w w:val="95"/>
              </w:rPr>
              <w:t>excluding interest</w:t>
            </w:r>
          </w:p>
        </w:tc>
        <w:tc>
          <w:tcPr>
            <w:tcW w:w="3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321"/>
        </w:trPr>
        <w:tc>
          <w:tcPr>
            <w:tcW w:w="1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income</w:t>
            </w:r>
          </w:p>
        </w:tc>
        <w:tc>
          <w:tcPr>
            <w:tcW w:w="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ind w:right="9"/>
              <w:spacing w:after="0"/>
              <w:rPr>
                <w:sz w:val="20"/>
                <w:szCs w:val="20"/>
                <w:color w:val="auto"/>
              </w:rPr>
            </w:pPr>
            <w:r>
              <w:rPr>
                <w:rFonts w:ascii="Arial" w:cs="Arial" w:eastAsia="Arial" w:hAnsi="Arial"/>
                <w:sz w:val="20"/>
                <w:szCs w:val="20"/>
                <w:color w:val="auto"/>
              </w:rPr>
              <w:t>4,237</w:t>
            </w:r>
          </w:p>
        </w:tc>
        <w:tc>
          <w:tcPr>
            <w:tcW w:w="48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84"/>
              <w:spacing w:after="0"/>
              <w:rPr>
                <w:sz w:val="20"/>
                <w:szCs w:val="20"/>
                <w:color w:val="auto"/>
              </w:rPr>
            </w:pPr>
            <w:r>
              <w:rPr>
                <w:rFonts w:ascii="Arial" w:cs="Arial" w:eastAsia="Arial" w:hAnsi="Arial"/>
                <w:sz w:val="20"/>
                <w:szCs w:val="20"/>
                <w:color w:val="auto"/>
              </w:rPr>
              <w:t>3,926</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6"/>
              </w:rPr>
              <w:t>8%</w:t>
            </w:r>
          </w:p>
        </w:tc>
        <w:tc>
          <w:tcPr>
            <w:tcW w:w="920" w:type="dxa"/>
            <w:vAlign w:val="bottom"/>
            <w:tcBorders>
              <w:bottom w:val="single" w:sz="8" w:color="CFF0FC"/>
            </w:tcBorders>
            <w:shd w:val="clear" w:color="auto" w:fill="CFF0FC"/>
          </w:tcPr>
          <w:p>
            <w:pPr>
              <w:jc w:val="center"/>
              <w:ind w:left="32"/>
              <w:spacing w:after="0"/>
              <w:rPr>
                <w:sz w:val="20"/>
                <w:szCs w:val="20"/>
                <w:color w:val="auto"/>
              </w:rPr>
            </w:pPr>
            <w:r>
              <w:rPr>
                <w:rFonts w:ascii="Arial" w:cs="Arial" w:eastAsia="Arial" w:hAnsi="Arial"/>
                <w:sz w:val="20"/>
                <w:szCs w:val="20"/>
                <w:color w:val="auto"/>
                <w:w w:val="96"/>
              </w:rPr>
              <w:t>1%</w:t>
            </w:r>
          </w:p>
        </w:tc>
        <w:tc>
          <w:tcPr>
            <w:tcW w:w="1120" w:type="dxa"/>
            <w:vAlign w:val="bottom"/>
            <w:tcBorders>
              <w:bottom w:val="single" w:sz="8" w:color="CFF0FC"/>
            </w:tcBorders>
            <w:shd w:val="clear" w:color="auto" w:fill="CFF0FC"/>
          </w:tcPr>
          <w:p>
            <w:pPr>
              <w:jc w:val="center"/>
              <w:ind w:left="93"/>
              <w:spacing w:after="0"/>
              <w:rPr>
                <w:sz w:val="20"/>
                <w:szCs w:val="20"/>
                <w:color w:val="auto"/>
              </w:rPr>
            </w:pPr>
            <w:r>
              <w:rPr>
                <w:rFonts w:ascii="Arial" w:cs="Arial" w:eastAsia="Arial" w:hAnsi="Arial"/>
                <w:sz w:val="20"/>
                <w:szCs w:val="20"/>
                <w:color w:val="auto"/>
                <w:w w:val="89"/>
              </w:rPr>
              <w:t>7%</w:t>
            </w:r>
          </w:p>
        </w:tc>
        <w:tc>
          <w:tcPr>
            <w:tcW w:w="12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5"/>
              </w:rPr>
              <w:t>—%</w:t>
            </w:r>
          </w:p>
        </w:tc>
        <w:tc>
          <w:tcPr>
            <w:tcW w:w="840" w:type="dxa"/>
            <w:vAlign w:val="bottom"/>
            <w:tcBorders>
              <w:bottom w:val="single" w:sz="8" w:color="CFF0FC"/>
            </w:tcBorders>
            <w:shd w:val="clear" w:color="auto" w:fill="CFF0FC"/>
          </w:tcPr>
          <w:p>
            <w:pPr>
              <w:jc w:val="center"/>
              <w:ind w:right="10"/>
              <w:spacing w:after="0"/>
              <w:rPr>
                <w:sz w:val="20"/>
                <w:szCs w:val="20"/>
                <w:color w:val="auto"/>
              </w:rPr>
            </w:pPr>
            <w:r>
              <w:rPr>
                <w:rFonts w:ascii="Arial" w:cs="Arial" w:eastAsia="Arial" w:hAnsi="Arial"/>
                <w:sz w:val="20"/>
                <w:szCs w:val="20"/>
                <w:color w:val="auto"/>
                <w:w w:val="89"/>
              </w:rPr>
              <w:t>7%</w:t>
            </w:r>
          </w:p>
        </w:tc>
      </w:tr>
      <w:tr>
        <w:trPr>
          <w:trHeight w:val="274"/>
        </w:trPr>
        <w:tc>
          <w:tcPr>
            <w:tcW w:w="1500" w:type="dxa"/>
            <w:vAlign w:val="bottom"/>
          </w:tcPr>
          <w:p>
            <w:pPr>
              <w:spacing w:after="0"/>
              <w:rPr>
                <w:sz w:val="20"/>
                <w:szCs w:val="20"/>
                <w:color w:val="auto"/>
              </w:rPr>
            </w:pPr>
            <w:r>
              <w:rPr>
                <w:rFonts w:ascii="Arial" w:cs="Arial" w:eastAsia="Arial" w:hAnsi="Arial"/>
                <w:sz w:val="20"/>
                <w:szCs w:val="20"/>
                <w:color w:val="auto"/>
              </w:rPr>
              <w:t>Interest income</w:t>
            </w:r>
          </w:p>
        </w:tc>
        <w:tc>
          <w:tcPr>
            <w:tcW w:w="300" w:type="dxa"/>
            <w:vAlign w:val="bottom"/>
          </w:tcPr>
          <w:p>
            <w:pPr>
              <w:spacing w:after="0"/>
              <w:rPr>
                <w:sz w:val="23"/>
                <w:szCs w:val="23"/>
                <w:color w:val="auto"/>
              </w:rPr>
            </w:pPr>
          </w:p>
        </w:tc>
        <w:tc>
          <w:tcPr>
            <w:tcW w:w="1040" w:type="dxa"/>
            <w:vAlign w:val="bottom"/>
          </w:tcPr>
          <w:p>
            <w:pPr>
              <w:jc w:val="right"/>
              <w:ind w:right="9"/>
              <w:spacing w:after="0"/>
              <w:rPr>
                <w:sz w:val="20"/>
                <w:szCs w:val="20"/>
                <w:color w:val="auto"/>
              </w:rPr>
            </w:pPr>
            <w:r>
              <w:rPr>
                <w:rFonts w:ascii="Arial" w:cs="Arial" w:eastAsia="Arial" w:hAnsi="Arial"/>
                <w:sz w:val="20"/>
                <w:szCs w:val="20"/>
                <w:color w:val="auto"/>
              </w:rPr>
              <w:t>97</w:t>
            </w:r>
          </w:p>
        </w:tc>
        <w:tc>
          <w:tcPr>
            <w:tcW w:w="48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20"/>
                <w:szCs w:val="20"/>
                <w:color w:val="auto"/>
              </w:rPr>
              <w:t>112</w:t>
            </w: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51"/>
        </w:trPr>
        <w:tc>
          <w:tcPr>
            <w:tcW w:w="1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4"/>
        </w:trPr>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Total segment</w:t>
            </w:r>
          </w:p>
        </w:tc>
        <w:tc>
          <w:tcPr>
            <w:tcW w:w="30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r>
      <w:tr>
        <w:trPr>
          <w:trHeight w:val="321"/>
        </w:trPr>
        <w:tc>
          <w:tcPr>
            <w:tcW w:w="1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revenue</w:t>
            </w:r>
          </w:p>
        </w:tc>
        <w:tc>
          <w:tcPr>
            <w:tcW w:w="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ind w:right="9"/>
              <w:spacing w:after="0"/>
              <w:rPr>
                <w:sz w:val="20"/>
                <w:szCs w:val="20"/>
                <w:color w:val="auto"/>
              </w:rPr>
            </w:pPr>
            <w:r>
              <w:rPr>
                <w:rFonts w:ascii="Arial" w:cs="Arial" w:eastAsia="Arial" w:hAnsi="Arial"/>
                <w:sz w:val="20"/>
                <w:szCs w:val="20"/>
                <w:color w:val="auto"/>
              </w:rPr>
              <w:t>4,334</w:t>
            </w:r>
          </w:p>
        </w:tc>
        <w:tc>
          <w:tcPr>
            <w:tcW w:w="48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84"/>
              <w:spacing w:after="0"/>
              <w:rPr>
                <w:sz w:val="20"/>
                <w:szCs w:val="20"/>
                <w:color w:val="auto"/>
              </w:rPr>
            </w:pPr>
            <w:r>
              <w:rPr>
                <w:rFonts w:ascii="Arial" w:cs="Arial" w:eastAsia="Arial" w:hAnsi="Arial"/>
                <w:sz w:val="20"/>
                <w:szCs w:val="20"/>
                <w:color w:val="auto"/>
              </w:rPr>
              <w:t>4,038</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6"/>
              </w:rPr>
              <w:t>7%</w:t>
            </w:r>
          </w:p>
        </w:tc>
        <w:tc>
          <w:tcPr>
            <w:tcW w:w="920" w:type="dxa"/>
            <w:vAlign w:val="bottom"/>
            <w:tcBorders>
              <w:bottom w:val="single" w:sz="8" w:color="CFF0FC"/>
            </w:tcBorders>
            <w:shd w:val="clear" w:color="auto" w:fill="CFF0FC"/>
          </w:tcPr>
          <w:p>
            <w:pPr>
              <w:jc w:val="center"/>
              <w:ind w:left="32"/>
              <w:spacing w:after="0"/>
              <w:rPr>
                <w:sz w:val="20"/>
                <w:szCs w:val="20"/>
                <w:color w:val="auto"/>
              </w:rPr>
            </w:pPr>
            <w:r>
              <w:rPr>
                <w:rFonts w:ascii="Arial" w:cs="Arial" w:eastAsia="Arial" w:hAnsi="Arial"/>
                <w:sz w:val="20"/>
                <w:szCs w:val="20"/>
                <w:color w:val="auto"/>
                <w:w w:val="96"/>
              </w:rPr>
              <w:t>1%</w:t>
            </w:r>
          </w:p>
        </w:tc>
        <w:tc>
          <w:tcPr>
            <w:tcW w:w="1120" w:type="dxa"/>
            <w:vAlign w:val="bottom"/>
            <w:tcBorders>
              <w:bottom w:val="single" w:sz="8" w:color="CFF0FC"/>
            </w:tcBorders>
            <w:shd w:val="clear" w:color="auto" w:fill="CFF0FC"/>
          </w:tcPr>
          <w:p>
            <w:pPr>
              <w:jc w:val="center"/>
              <w:ind w:left="93"/>
              <w:spacing w:after="0"/>
              <w:rPr>
                <w:sz w:val="20"/>
                <w:szCs w:val="20"/>
                <w:color w:val="auto"/>
              </w:rPr>
            </w:pPr>
            <w:r>
              <w:rPr>
                <w:rFonts w:ascii="Arial" w:cs="Arial" w:eastAsia="Arial" w:hAnsi="Arial"/>
                <w:sz w:val="20"/>
                <w:szCs w:val="20"/>
                <w:color w:val="auto"/>
                <w:w w:val="89"/>
              </w:rPr>
              <w:t>6%</w:t>
            </w:r>
          </w:p>
        </w:tc>
        <w:tc>
          <w:tcPr>
            <w:tcW w:w="12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5"/>
              </w:rPr>
              <w:t>—%</w:t>
            </w:r>
          </w:p>
        </w:tc>
        <w:tc>
          <w:tcPr>
            <w:tcW w:w="840" w:type="dxa"/>
            <w:vAlign w:val="bottom"/>
            <w:tcBorders>
              <w:bottom w:val="single" w:sz="8" w:color="CFF0FC"/>
            </w:tcBorders>
            <w:shd w:val="clear" w:color="auto" w:fill="CFF0FC"/>
          </w:tcPr>
          <w:p>
            <w:pPr>
              <w:jc w:val="center"/>
              <w:ind w:right="10"/>
              <w:spacing w:after="0"/>
              <w:rPr>
                <w:sz w:val="20"/>
                <w:szCs w:val="20"/>
                <w:color w:val="auto"/>
              </w:rPr>
            </w:pPr>
            <w:r>
              <w:rPr>
                <w:rFonts w:ascii="Arial" w:cs="Arial" w:eastAsia="Arial" w:hAnsi="Arial"/>
                <w:sz w:val="20"/>
                <w:szCs w:val="20"/>
                <w:color w:val="auto"/>
                <w:w w:val="89"/>
              </w:rPr>
              <w:t>6%</w:t>
            </w:r>
          </w:p>
        </w:tc>
      </w:tr>
      <w:tr>
        <w:trPr>
          <w:trHeight w:val="194"/>
        </w:trPr>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74"/>
        </w:trPr>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rPr>
              <w:t>Segment</w:t>
            </w:r>
          </w:p>
        </w:tc>
        <w:tc>
          <w:tcPr>
            <w:tcW w:w="30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1260" w:type="dxa"/>
            <w:vAlign w:val="bottom"/>
            <w:shd w:val="clear" w:color="auto" w:fill="CFF0FC"/>
          </w:tcPr>
          <w:p>
            <w:pPr>
              <w:spacing w:after="0"/>
              <w:rPr>
                <w:sz w:val="23"/>
                <w:szCs w:val="23"/>
                <w:color w:val="auto"/>
              </w:rPr>
            </w:pPr>
          </w:p>
        </w:tc>
        <w:tc>
          <w:tcPr>
            <w:tcW w:w="840" w:type="dxa"/>
            <w:vAlign w:val="bottom"/>
            <w:shd w:val="clear" w:color="auto" w:fill="CFF0FC"/>
          </w:tcPr>
          <w:p>
            <w:pPr>
              <w:spacing w:after="0"/>
              <w:rPr>
                <w:sz w:val="23"/>
                <w:szCs w:val="23"/>
                <w:color w:val="auto"/>
              </w:rPr>
            </w:pPr>
          </w:p>
        </w:tc>
      </w:tr>
      <w:tr>
        <w:trPr>
          <w:trHeight w:val="300"/>
        </w:trPr>
        <w:tc>
          <w:tcPr>
            <w:tcW w:w="1500" w:type="dxa"/>
            <w:vAlign w:val="bottom"/>
            <w:shd w:val="clear" w:color="auto" w:fill="CFF0FC"/>
          </w:tcPr>
          <w:p>
            <w:pPr>
              <w:spacing w:after="0"/>
              <w:rPr>
                <w:sz w:val="20"/>
                <w:szCs w:val="20"/>
                <w:color w:val="auto"/>
              </w:rPr>
            </w:pPr>
            <w:r>
              <w:rPr>
                <w:rFonts w:ascii="Arial" w:cs="Arial" w:eastAsia="Arial" w:hAnsi="Arial"/>
                <w:sz w:val="20"/>
                <w:szCs w:val="20"/>
                <w:color w:val="auto"/>
                <w:w w:val="96"/>
              </w:rPr>
              <w:t>operating income</w:t>
            </w:r>
          </w:p>
        </w:tc>
        <w:tc>
          <w:tcPr>
            <w:tcW w:w="3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9"/>
              <w:spacing w:after="0"/>
              <w:rPr>
                <w:sz w:val="20"/>
                <w:szCs w:val="20"/>
                <w:color w:val="auto"/>
              </w:rPr>
            </w:pPr>
            <w:r>
              <w:rPr>
                <w:rFonts w:ascii="Arial" w:cs="Arial" w:eastAsia="Arial" w:hAnsi="Arial"/>
                <w:sz w:val="20"/>
                <w:szCs w:val="20"/>
                <w:color w:val="auto"/>
              </w:rPr>
              <w:t>1,072</w:t>
            </w:r>
          </w:p>
        </w:tc>
        <w:tc>
          <w:tcPr>
            <w:tcW w:w="480" w:type="dxa"/>
            <w:vAlign w:val="bottom"/>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ind w:right="84"/>
              <w:spacing w:after="0"/>
              <w:rPr>
                <w:sz w:val="20"/>
                <w:szCs w:val="20"/>
                <w:color w:val="auto"/>
              </w:rPr>
            </w:pPr>
            <w:r>
              <w:rPr>
                <w:rFonts w:ascii="Arial" w:cs="Arial" w:eastAsia="Arial" w:hAnsi="Arial"/>
                <w:sz w:val="20"/>
                <w:szCs w:val="20"/>
                <w:color w:val="auto"/>
              </w:rPr>
              <w:t>958</w:t>
            </w:r>
          </w:p>
        </w:tc>
        <w:tc>
          <w:tcPr>
            <w:tcW w:w="100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41"/>
        </w:trPr>
        <w:tc>
          <w:tcPr>
            <w:tcW w:w="150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48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-2355215</wp:posOffset>
            </wp:positionV>
            <wp:extent cx="257556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8">
                      <a:extLst>
                        <a:ext uri="{28A0092B-C50C-407E-A947-70E740481C1C}"/>
                      </a:extLst>
                    </a:blip>
                    <a:srcRect/>
                    <a:stretch>
                      <a:fillRect/>
                    </a:stretch>
                  </pic:blipFill>
                  <pic:spPr bwMode="auto">
                    <a:xfrm>
                      <a:off x="0" y="0"/>
                      <a:ext cx="2575560" cy="6350"/>
                    </a:xfrm>
                    <a:prstGeom prst="rect">
                      <a:avLst/>
                    </a:prstGeom>
                    <a:noFill/>
                  </pic:spPr>
                </pic:pic>
              </a:graphicData>
            </a:graphic>
          </wp:anchor>
        </w:drawing>
        <w:drawing>
          <wp:anchor simplePos="0" relativeHeight="251657728" behindDoc="1" locked="0" layoutInCell="0" allowOverlap="1">
            <wp:simplePos x="0" y="0"/>
            <wp:positionH relativeFrom="column">
              <wp:posOffset>1000760</wp:posOffset>
            </wp:positionH>
            <wp:positionV relativeFrom="paragraph">
              <wp:posOffset>-2025650</wp:posOffset>
            </wp:positionV>
            <wp:extent cx="166306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9">
                      <a:extLst>
                        <a:ext uri="{28A0092B-C50C-407E-A947-70E740481C1C}"/>
                      </a:extLst>
                    </a:blip>
                    <a:srcRect/>
                    <a:stretch>
                      <a:fillRect/>
                    </a:stretch>
                  </pic:blipFill>
                  <pic:spPr bwMode="auto">
                    <a:xfrm>
                      <a:off x="0" y="0"/>
                      <a:ext cx="1663065" cy="6350"/>
                    </a:xfrm>
                    <a:prstGeom prst="rect">
                      <a:avLst/>
                    </a:prstGeom>
                    <a:noFill/>
                  </pic:spPr>
                </pic:pic>
              </a:graphicData>
            </a:graphic>
          </wp:anchor>
        </w:drawing>
        <w:drawing>
          <wp:anchor simplePos="0" relativeHeight="251657728" behindDoc="1" locked="0" layoutInCell="0" allowOverlap="1">
            <wp:simplePos x="0" y="0"/>
            <wp:positionH relativeFrom="column">
              <wp:posOffset>1000760</wp:posOffset>
            </wp:positionH>
            <wp:positionV relativeFrom="paragraph">
              <wp:posOffset>-1857375</wp:posOffset>
            </wp:positionV>
            <wp:extent cx="496316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0">
                      <a:extLst>
                        <a:ext uri="{28A0092B-C50C-407E-A947-70E740481C1C}"/>
                      </a:extLst>
                    </a:blip>
                    <a:srcRect/>
                    <a:stretch>
                      <a:fillRect/>
                    </a:stretch>
                  </pic:blipFill>
                  <pic:spPr bwMode="auto">
                    <a:xfrm>
                      <a:off x="0" y="0"/>
                      <a:ext cx="4963160" cy="6350"/>
                    </a:xfrm>
                    <a:prstGeom prst="rect">
                      <a:avLst/>
                    </a:prstGeom>
                    <a:noFill/>
                  </pic:spPr>
                </pic:pic>
              </a:graphicData>
            </a:graphic>
          </wp:anchor>
        </w:drawing>
        <w:drawing>
          <wp:anchor simplePos="0" relativeHeight="251657728" behindDoc="1" locked="0" layoutInCell="0" allowOverlap="1">
            <wp:simplePos x="0" y="0"/>
            <wp:positionH relativeFrom="column">
              <wp:posOffset>1000760</wp:posOffset>
            </wp:positionH>
            <wp:positionV relativeFrom="paragraph">
              <wp:posOffset>-909320</wp:posOffset>
            </wp:positionV>
            <wp:extent cx="166306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1">
                      <a:extLst>
                        <a:ext uri="{28A0092B-C50C-407E-A947-70E740481C1C}"/>
                      </a:extLst>
                    </a:blip>
                    <a:srcRect/>
                    <a:stretch>
                      <a:fillRect/>
                    </a:stretch>
                  </pic:blipFill>
                  <pic:spPr bwMode="auto">
                    <a:xfrm>
                      <a:off x="0" y="0"/>
                      <a:ext cx="1663065" cy="6350"/>
                    </a:xfrm>
                    <a:prstGeom prst="rect">
                      <a:avLst/>
                    </a:prstGeom>
                    <a:noFill/>
                  </pic:spPr>
                </pic:pic>
              </a:graphicData>
            </a:graphic>
          </wp:anchor>
        </w:drawing>
        <w:drawing>
          <wp:anchor simplePos="0" relativeHeight="251657728" behindDoc="1" locked="0" layoutInCell="0" allowOverlap="1">
            <wp:simplePos x="0" y="0"/>
            <wp:positionH relativeFrom="column">
              <wp:posOffset>1000760</wp:posOffset>
            </wp:positionH>
            <wp:positionV relativeFrom="paragraph">
              <wp:posOffset>-541655</wp:posOffset>
            </wp:positionV>
            <wp:extent cx="1722755" cy="28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2">
                      <a:extLst>
                        <a:ext uri="{28A0092B-C50C-407E-A947-70E740481C1C}"/>
                      </a:extLst>
                    </a:blip>
                    <a:srcRect/>
                    <a:stretch>
                      <a:fillRect/>
                    </a:stretch>
                  </pic:blipFill>
                  <pic:spPr bwMode="auto">
                    <a:xfrm>
                      <a:off x="0" y="0"/>
                      <a:ext cx="1722755" cy="28575"/>
                    </a:xfrm>
                    <a:prstGeom prst="rect">
                      <a:avLst/>
                    </a:prstGeom>
                    <a:noFill/>
                  </pic:spPr>
                </pic:pic>
              </a:graphicData>
            </a:graphic>
          </wp:anchor>
        </w:drawing>
        <w:drawing>
          <wp:anchor simplePos="0" relativeHeight="251657728" behindDoc="1" locked="0" layoutInCell="0" allowOverlap="1">
            <wp:simplePos x="0" y="0"/>
            <wp:positionH relativeFrom="column">
              <wp:posOffset>1000760</wp:posOffset>
            </wp:positionH>
            <wp:positionV relativeFrom="paragraph">
              <wp:posOffset>-27940</wp:posOffset>
            </wp:positionV>
            <wp:extent cx="1722755" cy="285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3">
                      <a:extLst>
                        <a:ext uri="{28A0092B-C50C-407E-A947-70E740481C1C}"/>
                      </a:extLst>
                    </a:blip>
                    <a:srcRect/>
                    <a:stretch>
                      <a:fillRect/>
                    </a:stretch>
                  </pic:blipFill>
                  <pic:spPr bwMode="auto">
                    <a:xfrm>
                      <a:off x="0" y="0"/>
                      <a:ext cx="1722755" cy="28575"/>
                    </a:xfrm>
                    <a:prstGeom prst="rect">
                      <a:avLst/>
                    </a:prstGeom>
                    <a:noFill/>
                  </pic:spPr>
                </pic:pic>
              </a:graphicData>
            </a:graphic>
          </wp:anchor>
        </w:drawing>
      </w:r>
    </w:p>
    <w:p>
      <w:pPr>
        <w:spacing w:after="0" w:line="319" w:lineRule="exact"/>
        <w:rPr>
          <w:sz w:val="20"/>
          <w:szCs w:val="20"/>
          <w:color w:val="auto"/>
        </w:rPr>
      </w:pPr>
    </w:p>
    <w:p>
      <w:pPr>
        <w:ind w:right="480"/>
        <w:spacing w:after="0" w:line="307" w:lineRule="auto"/>
        <w:rPr>
          <w:sz w:val="20"/>
          <w:szCs w:val="20"/>
          <w:color w:val="auto"/>
        </w:rPr>
      </w:pPr>
      <w:r>
        <w:rPr>
          <w:rFonts w:ascii="Arial" w:cs="Arial" w:eastAsia="Arial" w:hAnsi="Arial"/>
          <w:sz w:val="20"/>
          <w:szCs w:val="20"/>
          <w:color w:val="auto"/>
        </w:rPr>
        <w:t>R&amp;B segment revenue for the years ended December 31, 2025 and 2024 was $4.3 billion and $4.0 billion, respectively. Corporate Risk &amp; Broking had organic revenue growth largely driven by the success of our global specialties model, with higher levels of new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47</w:t>
      </w:r>
    </w:p>
    <w:p>
      <w:pPr>
        <w:sectPr>
          <w:pgSz w:w="11900" w:h="16838" w:orient="portrait"/>
          <w:cols w:equalWidth="0" w:num="1">
            <w:col w:w="9400"/>
          </w:cols>
          <w:pgMar w:left="1260" w:top="1173" w:right="1246" w:bottom="0" w:gutter="0" w:footer="0" w:header="0"/>
          <w:type w:val="continuous"/>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20"/>
        <w:spacing w:after="0" w:line="302" w:lineRule="auto"/>
        <w:rPr>
          <w:sz w:val="20"/>
          <w:szCs w:val="20"/>
          <w:color w:val="auto"/>
        </w:rPr>
      </w:pPr>
      <w:r>
        <w:rPr>
          <w:rFonts w:ascii="Arial" w:cs="Arial" w:eastAsia="Arial" w:hAnsi="Arial"/>
          <w:sz w:val="20"/>
          <w:szCs w:val="20"/>
          <w:color w:val="auto"/>
        </w:rPr>
        <w:t>business activity along with strong client retention across all regions. Insurance Consulting and Technology had modest organic revenue growth driven primarily by the Technology practice.</w:t>
      </w:r>
    </w:p>
    <w:p>
      <w:pPr>
        <w:spacing w:after="0" w:line="321" w:lineRule="exact"/>
        <w:rPr>
          <w:sz w:val="20"/>
          <w:szCs w:val="20"/>
          <w:color w:val="auto"/>
        </w:rPr>
      </w:pPr>
    </w:p>
    <w:p>
      <w:pPr>
        <w:jc w:val="both"/>
        <w:ind w:right="20"/>
        <w:spacing w:after="0" w:line="307" w:lineRule="auto"/>
        <w:rPr>
          <w:sz w:val="20"/>
          <w:szCs w:val="20"/>
          <w:color w:val="auto"/>
        </w:rPr>
      </w:pPr>
      <w:r>
        <w:rPr>
          <w:rFonts w:ascii="Arial" w:cs="Arial" w:eastAsia="Arial" w:hAnsi="Arial"/>
          <w:sz w:val="20"/>
          <w:szCs w:val="20"/>
          <w:color w:val="auto"/>
        </w:rPr>
        <w:t>R&amp;B segment operating income for the years ended December 31, 2025 and 2024 was $1.1 billion and $958 million, respectively. R&amp;B segment operating income increased due primarily to operating leverage driven by strong organic revenue growth.</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Costs of Providing Services</w:t>
      </w:r>
    </w:p>
    <w:p>
      <w:pPr>
        <w:spacing w:after="0" w:line="260" w:lineRule="exact"/>
        <w:rPr>
          <w:sz w:val="20"/>
          <w:szCs w:val="20"/>
          <w:color w:val="auto"/>
        </w:rPr>
      </w:pPr>
    </w:p>
    <w:p>
      <w:pPr>
        <w:jc w:val="both"/>
        <w:ind w:right="180"/>
        <w:spacing w:after="0" w:line="307" w:lineRule="auto"/>
        <w:rPr>
          <w:sz w:val="20"/>
          <w:szCs w:val="20"/>
          <w:color w:val="auto"/>
        </w:rPr>
      </w:pPr>
      <w:r>
        <w:rPr>
          <w:rFonts w:ascii="Arial" w:cs="Arial" w:eastAsia="Arial" w:hAnsi="Arial"/>
          <w:sz w:val="20"/>
          <w:szCs w:val="20"/>
          <w:color w:val="auto"/>
        </w:rPr>
        <w:t>Total costs of providing services for the year ended December 31, 2025 were $7.5 billion, compared to $9.3 billion for the year ended December 31, 2024, a decrease of $1.8 billion, or 20%. See the following discussion for further details.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Salaries and Benefits</w:t>
      </w:r>
    </w:p>
    <w:p>
      <w:pPr>
        <w:spacing w:after="0" w:line="260" w:lineRule="exact"/>
        <w:rPr>
          <w:sz w:val="20"/>
          <w:szCs w:val="20"/>
          <w:color w:val="auto"/>
        </w:rPr>
      </w:pPr>
    </w:p>
    <w:p>
      <w:pPr>
        <w:ind w:right="160"/>
        <w:spacing w:after="0" w:line="309" w:lineRule="auto"/>
        <w:rPr>
          <w:sz w:val="20"/>
          <w:szCs w:val="20"/>
          <w:color w:val="auto"/>
        </w:rPr>
      </w:pPr>
      <w:r>
        <w:rPr>
          <w:rFonts w:ascii="Arial" w:cs="Arial" w:eastAsia="Arial" w:hAnsi="Arial"/>
          <w:sz w:val="20"/>
          <w:szCs w:val="20"/>
          <w:color w:val="auto"/>
        </w:rPr>
        <w:t>Salaries and benefits for the year ended December 31, 2025 were $5.6 billion, compared to $5.5 billion for the year ended December 31, 2024, an increase of $123 million, or 2%. The increase in the current year is primarily due to higher salary expense, driven by increased cost-of-living compensation adjustments, and higher share-based compensation costs.</w:t>
      </w:r>
    </w:p>
    <w:p>
      <w:pPr>
        <w:spacing w:after="0" w:line="196" w:lineRule="exact"/>
        <w:rPr>
          <w:sz w:val="20"/>
          <w:szCs w:val="20"/>
          <w:color w:val="auto"/>
        </w:rPr>
      </w:pPr>
    </w:p>
    <w:p>
      <w:pPr>
        <w:ind w:right="120"/>
        <w:spacing w:after="0" w:line="302" w:lineRule="auto"/>
        <w:rPr>
          <w:sz w:val="20"/>
          <w:szCs w:val="20"/>
          <w:color w:val="auto"/>
        </w:rPr>
      </w:pPr>
      <w:r>
        <w:rPr>
          <w:rFonts w:ascii="Arial" w:cs="Arial" w:eastAsia="Arial" w:hAnsi="Arial"/>
          <w:sz w:val="20"/>
          <w:szCs w:val="20"/>
          <w:color w:val="auto"/>
        </w:rPr>
        <w:t>Salaries and benefits, as a percentage of revenue, represented 58% and 55% for the years ended December 31, 2025 and 2024,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Operating Expenses</w:t>
      </w:r>
    </w:p>
    <w:p>
      <w:pPr>
        <w:spacing w:after="0" w:line="260" w:lineRule="exact"/>
        <w:rPr>
          <w:sz w:val="20"/>
          <w:szCs w:val="20"/>
          <w:color w:val="auto"/>
        </w:rPr>
      </w:pPr>
    </w:p>
    <w:p>
      <w:pPr>
        <w:ind w:right="80"/>
        <w:spacing w:after="0" w:line="309" w:lineRule="auto"/>
        <w:rPr>
          <w:sz w:val="20"/>
          <w:szCs w:val="20"/>
          <w:color w:val="auto"/>
        </w:rPr>
      </w:pPr>
      <w:r>
        <w:rPr>
          <w:rFonts w:ascii="Arial" w:cs="Arial" w:eastAsia="Arial" w:hAnsi="Arial"/>
          <w:sz w:val="20"/>
          <w:szCs w:val="20"/>
          <w:color w:val="auto"/>
        </w:rPr>
        <w:t>Other operating expenses include occupancy, legal, marketing, licenses, royalties, supplies, technology, printing and telephone costs, as well as insurance, including premiums on excess insurance and losses on professional liability claims, travel by colleagues, publications, professional subscriptions and development, recruitment, other professional fees and irrecoverable value-added and sales taxes.</w:t>
      </w:r>
    </w:p>
    <w:p>
      <w:pPr>
        <w:spacing w:after="0" w:line="196" w:lineRule="exact"/>
        <w:rPr>
          <w:sz w:val="20"/>
          <w:szCs w:val="20"/>
          <w:color w:val="auto"/>
        </w:rPr>
      </w:pPr>
    </w:p>
    <w:p>
      <w:pPr>
        <w:ind w:right="180"/>
        <w:spacing w:after="0" w:line="330" w:lineRule="auto"/>
        <w:rPr>
          <w:sz w:val="20"/>
          <w:szCs w:val="20"/>
          <w:color w:val="auto"/>
        </w:rPr>
      </w:pPr>
      <w:r>
        <w:rPr>
          <w:rFonts w:ascii="Arial" w:cs="Arial" w:eastAsia="Arial" w:hAnsi="Arial"/>
          <w:sz w:val="19"/>
          <w:szCs w:val="19"/>
          <w:color w:val="auto"/>
        </w:rPr>
        <w:t>Other operating expenses for the year ended December 31, 2025 were $1.4 billion, compared to $1.8 billion for the year ended December 31, 2024, a decrease of $425 million, or 23%. The decrease was primarily due to lower marketing expenses attributable to the sale of our TRANZACT business on December 31, 2024, decreased office expenses, and lower professional services and occupancy costs, partially offset by higher non-income-related tax expense for the current year as compared to the prior year.</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w:t>
      </w:r>
    </w:p>
    <w:p>
      <w:pPr>
        <w:spacing w:after="0" w:line="260" w:lineRule="exact"/>
        <w:rPr>
          <w:sz w:val="20"/>
          <w:szCs w:val="20"/>
          <w:color w:val="auto"/>
        </w:rPr>
      </w:pPr>
    </w:p>
    <w:p>
      <w:pPr>
        <w:spacing w:after="0" w:line="309" w:lineRule="auto"/>
        <w:rPr>
          <w:sz w:val="20"/>
          <w:szCs w:val="20"/>
          <w:color w:val="auto"/>
        </w:rPr>
      </w:pPr>
      <w:r>
        <w:rPr>
          <w:rFonts w:ascii="Arial" w:cs="Arial" w:eastAsia="Arial" w:hAnsi="Arial"/>
          <w:sz w:val="20"/>
          <w:szCs w:val="20"/>
          <w:color w:val="auto"/>
        </w:rPr>
        <w:t>Impairment for the year ended December 31, 2024 was $1.0 billion. Impairment was attributable to the goodwill impairment associated with our Benefits Delivery &amp; Outsourcing (‘BDO’) reporting unit related to the sale of our TRANZACT business (see Note 3 — Acquisitions and Divestitures within Item 8 of this Annual Report on Form 10-K).</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w:t>
      </w:r>
    </w:p>
    <w:p>
      <w:pPr>
        <w:spacing w:after="0" w:line="260" w:lineRule="exact"/>
        <w:rPr>
          <w:sz w:val="20"/>
          <w:szCs w:val="20"/>
          <w:color w:val="auto"/>
        </w:rPr>
      </w:pPr>
    </w:p>
    <w:p>
      <w:pPr>
        <w:ind w:right="100"/>
        <w:spacing w:after="0" w:line="355" w:lineRule="auto"/>
        <w:rPr>
          <w:sz w:val="20"/>
          <w:szCs w:val="20"/>
          <w:color w:val="auto"/>
        </w:rPr>
      </w:pPr>
      <w:r>
        <w:rPr>
          <w:rFonts w:ascii="Arial" w:cs="Arial" w:eastAsia="Arial" w:hAnsi="Arial"/>
          <w:sz w:val="18"/>
          <w:szCs w:val="18"/>
          <w:color w:val="auto"/>
        </w:rPr>
        <w:t>Depreciation represents the expense incurred over the useful lives of our tangible fixed assets and internally-developed software. Depreciation for the year ended December 31, 2025 was $226 million, compared to $230 million for the year ended December 31, 2024, a decrease of $4 million, or 2%. The decrease was primarily due to a</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 / 47</w:t>
      </w:r>
    </w:p>
    <w:p>
      <w:pPr>
        <w:sectPr>
          <w:pgSz w:w="11900" w:h="16838" w:orient="portrait"/>
          <w:cols w:equalWidth="0" w:num="1">
            <w:col w:w="9380"/>
          </w:cols>
          <w:pgMar w:left="1260" w:top="1440" w:right="1266" w:bottom="0" w:gutter="0" w:footer="0" w:header="0"/>
          <w:type w:val="continuous"/>
        </w:sectPr>
      </w:pPr>
    </w:p>
    <w:bookmarkStart w:id="100" w:name="page101"/>
    <w:bookmarkEnd w:id="100"/>
    <w:p>
      <w:pPr>
        <w:jc w:val="both"/>
        <w:ind w:right="200"/>
        <w:spacing w:after="0" w:line="307" w:lineRule="auto"/>
        <w:rPr>
          <w:sz w:val="20"/>
          <w:szCs w:val="20"/>
          <w:color w:val="auto"/>
        </w:rPr>
      </w:pPr>
      <w:r>
        <w:rPr>
          <w:rFonts w:ascii="Arial" w:cs="Arial" w:eastAsia="Arial" w:hAnsi="Arial"/>
          <w:sz w:val="20"/>
          <w:szCs w:val="20"/>
          <w:color w:val="auto"/>
        </w:rPr>
        <w:t>lower depreciable base of assets resulting from disposals associated with the Company’s Transformation program that concluded in the fourth quarter of 2024 and a lower dollar value of assets placed in service during the past few years.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Amortization</w:t>
      </w:r>
    </w:p>
    <w:p>
      <w:pPr>
        <w:spacing w:after="0" w:line="260" w:lineRule="exact"/>
        <w:rPr>
          <w:sz w:val="20"/>
          <w:szCs w:val="20"/>
          <w:color w:val="auto"/>
        </w:rPr>
      </w:pPr>
    </w:p>
    <w:p>
      <w:pPr>
        <w:spacing w:after="0" w:line="351" w:lineRule="auto"/>
        <w:rPr>
          <w:sz w:val="20"/>
          <w:szCs w:val="20"/>
          <w:color w:val="auto"/>
        </w:rPr>
      </w:pPr>
      <w:r>
        <w:rPr>
          <w:rFonts w:ascii="Arial" w:cs="Arial" w:eastAsia="Arial" w:hAnsi="Arial"/>
          <w:sz w:val="18"/>
          <w:szCs w:val="18"/>
          <w:color w:val="auto"/>
        </w:rPr>
        <w:t>Amortization represents the amortization of acquired intangible assets, including customer relationships, trade names and internally-developed software. Amortization for the year ended December 31, 2025 was $192 million, compared to $226 million for the year ended December 31, 2024, a decrease of $34 million, or 15%. Our intangible amortization is generally more heavily weighted to the initial years of the useful lives of the related intangibles, and therefore amortization related to intangible assets has decreased and will continue to decrease over time.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Restructuring Costs</w:t>
      </w:r>
    </w:p>
    <w:p>
      <w:pPr>
        <w:spacing w:after="0" w:line="260" w:lineRule="exact"/>
        <w:rPr>
          <w:sz w:val="20"/>
          <w:szCs w:val="20"/>
          <w:color w:val="auto"/>
        </w:rPr>
      </w:pPr>
    </w:p>
    <w:p>
      <w:pPr>
        <w:ind w:right="40"/>
        <w:spacing w:after="0" w:line="307" w:lineRule="auto"/>
        <w:rPr>
          <w:sz w:val="20"/>
          <w:szCs w:val="20"/>
          <w:color w:val="auto"/>
        </w:rPr>
      </w:pPr>
      <w:r>
        <w:rPr>
          <w:rFonts w:ascii="Arial" w:cs="Arial" w:eastAsia="Arial" w:hAnsi="Arial"/>
          <w:sz w:val="20"/>
          <w:szCs w:val="20"/>
          <w:color w:val="auto"/>
        </w:rPr>
        <w:t>Restructuring costs for the year ended December 31, 2024 was $61 million and primarily related to the real estate rationalization component of our completed Transformation program (see Note 6 — Restructuring Costs within Item 8 of this Annual Report on Form 10-K).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 / 47</w:t>
      </w:r>
    </w:p>
    <w:p>
      <w:pPr>
        <w:sectPr>
          <w:pgSz w:w="11900" w:h="16838" w:orient="portrait"/>
          <w:cols w:equalWidth="0" w:num="1">
            <w:col w:w="9380"/>
          </w:cols>
          <w:pgMar w:left="1260" w:top="1173" w:right="1266" w:bottom="0" w:gutter="0" w:footer="0" w:header="0"/>
          <w:type w:val="continuous"/>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Transaction and Transformation</w:t>
      </w:r>
    </w:p>
    <w:p>
      <w:pPr>
        <w:spacing w:after="0" w:line="260" w:lineRule="exact"/>
        <w:rPr>
          <w:sz w:val="20"/>
          <w:szCs w:val="20"/>
          <w:color w:val="auto"/>
        </w:rPr>
      </w:pPr>
    </w:p>
    <w:p>
      <w:pPr>
        <w:ind w:right="160"/>
        <w:spacing w:after="0" w:line="352" w:lineRule="auto"/>
        <w:rPr>
          <w:sz w:val="20"/>
          <w:szCs w:val="20"/>
          <w:color w:val="auto"/>
        </w:rPr>
      </w:pPr>
      <w:r>
        <w:rPr>
          <w:rFonts w:ascii="Arial" w:cs="Arial" w:eastAsia="Arial" w:hAnsi="Arial"/>
          <w:sz w:val="18"/>
          <w:szCs w:val="18"/>
          <w:color w:val="auto"/>
        </w:rPr>
        <w:t>Transaction and transformation costs for the year ended December 31, 2025 were $23 million, compared to $409 million for the year ended December 31, 2024, a decrease of $386 million. Transaction and transformation costs in the current year were comprised of transaction-related costs, and costs incurred in the prior year primarily included consulting and compensation costs related to our completed Transformation program.</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from Operations</w:t>
      </w:r>
    </w:p>
    <w:p>
      <w:pPr>
        <w:spacing w:after="0" w:line="260" w:lineRule="exact"/>
        <w:rPr>
          <w:sz w:val="20"/>
          <w:szCs w:val="20"/>
          <w:color w:val="auto"/>
        </w:rPr>
      </w:pPr>
    </w:p>
    <w:p>
      <w:pPr>
        <w:ind w:right="240"/>
        <w:spacing w:after="0" w:line="350" w:lineRule="auto"/>
        <w:rPr>
          <w:sz w:val="20"/>
          <w:szCs w:val="20"/>
          <w:color w:val="auto"/>
        </w:rPr>
      </w:pPr>
      <w:r>
        <w:rPr>
          <w:rFonts w:ascii="Arial" w:cs="Arial" w:eastAsia="Arial" w:hAnsi="Arial"/>
          <w:sz w:val="18"/>
          <w:szCs w:val="18"/>
          <w:color w:val="auto"/>
        </w:rPr>
        <w:t>Income from operations for the year ended December 31, 2025 was $2.2 billion, compared to $627 million for the year ended December 31, 2024, an increase of $1.6 billion. This increase resulted primarily from the current-year absence of impairment expense associated with the prior-year sale of our TRANZACT business (see Note 3 — Acquisitions and Divestitures within Item 8 of this Annual Report on Form 10-K), lower transformation and transaction costs due to the completion of our Transformation program during the fourth quarter of 2024, lower marketing expenses, decreased office expenses and lower professional services costs in the current year, partially offset by lower revenue due to the prior-year sale of our TRANZACT business.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years ended December 31, 2025 and 2024 was $260 million and $263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color w:val="auto"/>
        </w:rPr>
        <w:t>Interest expense, which is attributable primarily to our senior notes, decreased by $3 million for the year ended</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which was primarily due to a lower average level of indebtedness in the current year.</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(Loss)/Income, Net</w:t>
      </w:r>
    </w:p>
    <w:p>
      <w:pPr>
        <w:spacing w:after="0" w:line="260" w:lineRule="exact"/>
        <w:rPr>
          <w:sz w:val="20"/>
          <w:szCs w:val="20"/>
          <w:color w:val="auto"/>
        </w:rPr>
      </w:pPr>
    </w:p>
    <w:p>
      <w:pPr>
        <w:spacing w:after="0" w:line="307" w:lineRule="auto"/>
        <w:rPr>
          <w:sz w:val="20"/>
          <w:szCs w:val="20"/>
          <w:color w:val="auto"/>
        </w:rPr>
      </w:pPr>
      <w:r>
        <w:rPr>
          <w:rFonts w:ascii="Arial" w:cs="Arial" w:eastAsia="Arial" w:hAnsi="Arial"/>
          <w:sz w:val="20"/>
          <w:szCs w:val="20"/>
          <w:color w:val="auto"/>
        </w:rPr>
        <w:t>Other (loss)/income, net includes gains and losses on disposals of operations, pension credits or expenses that are not attributable to service expense, interest in earnings of associates, foreign exchange gains and losses and other miscellaneous non-operating income and costs.</w:t>
      </w:r>
    </w:p>
    <w:p>
      <w:pPr>
        <w:spacing w:after="0" w:line="197" w:lineRule="exact"/>
        <w:rPr>
          <w:sz w:val="20"/>
          <w:szCs w:val="20"/>
          <w:color w:val="auto"/>
        </w:rPr>
      </w:pPr>
    </w:p>
    <w:p>
      <w:pPr>
        <w:spacing w:after="0" w:line="311" w:lineRule="auto"/>
        <w:rPr>
          <w:sz w:val="20"/>
          <w:szCs w:val="20"/>
          <w:color w:val="auto"/>
        </w:rPr>
      </w:pPr>
      <w:r>
        <w:rPr>
          <w:rFonts w:ascii="Arial" w:cs="Arial" w:eastAsia="Arial" w:hAnsi="Arial"/>
          <w:sz w:val="20"/>
          <w:szCs w:val="20"/>
          <w:color w:val="auto"/>
        </w:rPr>
        <w:t>Other (loss)/income, net for the year ended December 31, 2025 was a loss of $21 million, compared to a loss of $262 million for the year ended December 31, 2024, a decreased loss of $241 million. The decreased 2025 loss was primarily due to gains on disposals of operations in the current year, as compared to the significant loss on disposal in the prior year, which was attributable to the sale of our TRANZACT business, partially offset by lower pension income, which was a result of a significant pension settlement in the current year, and the recognition of a $750 million earnout related to the 2021 sale of our Willis Re business which was received during the first half of 2025 (see Note 3 — Acquisitions and Divestitures and Note 13 — Retirement Benefits within Item 8 of this Annual Report on Form 10-K).</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 for Income Taxes</w:t>
      </w:r>
    </w:p>
    <w:p>
      <w:pPr>
        <w:spacing w:after="0" w:line="260"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Provision for income taxes for the year ended December 31, 2025 was $318 million, compared to $192 million for the year ended December 31, 2024. The effective tax rates for the years ended December 31, 2025 and 2024 were 16.3% and 188.8%, respectively. These effective tax rates are calculated using extended values from our consolidated statements of comprehensive income and are therefore more precise tax rates than can be calculated from rounded values. The current-year effective tax rate includes a $79 million tax benefit adjustment related to both the final allocation of the Willis Re earnout received and a change in uncertain tax positions. The prior-year effective</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 / 47</w:t>
      </w:r>
    </w:p>
    <w:p>
      <w:pPr>
        <w:sectPr>
          <w:pgSz w:w="11900" w:h="16838" w:orient="portrait"/>
          <w:cols w:equalWidth="0" w:num="1">
            <w:col w:w="9360"/>
          </w:cols>
          <w:pgMar w:left="1260" w:top="1440" w:right="1286" w:bottom="0" w:gutter="0" w:footer="0" w:header="0"/>
          <w:type w:val="continuous"/>
        </w:sectPr>
      </w:pPr>
    </w:p>
    <w:bookmarkStart w:id="102" w:name="page103"/>
    <w:bookmarkEnd w:id="102"/>
    <w:p>
      <w:pPr>
        <w:ind w:right="80"/>
        <w:spacing w:after="0" w:line="308" w:lineRule="auto"/>
        <w:rPr>
          <w:sz w:val="20"/>
          <w:szCs w:val="20"/>
          <w:color w:val="auto"/>
        </w:rPr>
      </w:pPr>
      <w:r>
        <w:rPr>
          <w:rFonts w:ascii="Arial" w:cs="Arial" w:eastAsia="Arial" w:hAnsi="Arial"/>
          <w:sz w:val="20"/>
          <w:szCs w:val="20"/>
          <w:color w:val="auto"/>
        </w:rPr>
        <w:t>tax rate includes a $137 million tax benefit recognized on the sale of our TRANZACT business, partially offset with a $55 million provision for tax expense on the accrual for the Willis Re earnout and a $34 million provision for changes in uncertain tax positions.</w:t>
      </w:r>
    </w:p>
    <w:p>
      <w:pPr>
        <w:spacing w:after="0" w:line="196"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In January 2026, the Organisation for Economic Co-operation and Development announced the release of a new package of administrative guidance under the Pillar Two global minimum tax rules (the ‘side-by-side’ (SbS) package). Key components of the package include a simplified effective tax rate safe harbor, an extension of the transitional country-by-country reporting safe harbor, a substance-based tax incentive safe harbor, a side-by-side safe harbor for certain multinational groups located in eligible jurisdictions, an ultimate parent entity safe harbor for eligible countries, and a commitment to focus on additional clarifications and simplifications. However, these new safe harbor rules do not affect the application of a qualified domestic minimum top-up tax. The Pillar Two minimum tax is treated as a period cost beginning in 2024 and does not have a material impact on the Company's financial results of operations for the current period. The Company continues to monitor evolving tax legislation as well as additional guidance to enacted legislation in the jurisdictions in which we operate.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Income/(Loss) Attributable to WTW</w:t>
      </w:r>
    </w:p>
    <w:p>
      <w:pPr>
        <w:spacing w:after="0" w:line="260" w:lineRule="exact"/>
        <w:rPr>
          <w:sz w:val="20"/>
          <w:szCs w:val="20"/>
          <w:color w:val="auto"/>
        </w:rPr>
      </w:pPr>
    </w:p>
    <w:p>
      <w:pPr>
        <w:ind w:right="80"/>
        <w:spacing w:after="0" w:line="309" w:lineRule="auto"/>
        <w:rPr>
          <w:sz w:val="20"/>
          <w:szCs w:val="20"/>
          <w:color w:val="auto"/>
        </w:rPr>
      </w:pPr>
      <w:r>
        <w:rPr>
          <w:rFonts w:ascii="Arial" w:cs="Arial" w:eastAsia="Arial" w:hAnsi="Arial"/>
          <w:sz w:val="20"/>
          <w:szCs w:val="20"/>
          <w:color w:val="auto"/>
        </w:rPr>
        <w:t>Net income attributable to WTW for the year ended December 31, 2025 was $1.6 billion, compared to a net loss of $98 million for the year ended December 31, 2024, an increase of $1.7 billion. This increase resulted primarily from the current-year absence of loss on disposal and impairment expense associated with the sale of our TRANZACT business (see Note 3 — Acquisitions and Divestitures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47</w:t>
      </w:r>
    </w:p>
    <w:p>
      <w:pPr>
        <w:sectPr>
          <w:pgSz w:w="11900" w:h="16838" w:orient="portrait"/>
          <w:cols w:equalWidth="0" w:num="1">
            <w:col w:w="9380"/>
          </w:cols>
          <w:pgMar w:left="1260" w:top="1173" w:right="1266" w:bottom="0" w:gutter="0" w:footer="0" w:header="0"/>
          <w:type w:val="continuous"/>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spacing w:after="0" w:line="330" w:lineRule="auto"/>
        <w:rPr>
          <w:sz w:val="20"/>
          <w:szCs w:val="20"/>
          <w:color w:val="auto"/>
        </w:rPr>
      </w:pPr>
      <w:r>
        <w:rPr>
          <w:rFonts w:ascii="Arial" w:cs="Arial" w:eastAsia="Arial" w:hAnsi="Arial"/>
          <w:sz w:val="19"/>
          <w:szCs w:val="19"/>
          <w:color w:val="auto"/>
        </w:rPr>
        <w:t>within Item 8 of this Annual Report on Form 10-K) in the prior year, lower transformation and transaction costs due to the completion of our Transformation program during the fourth quarter of 2024, and lower marketing expenses for the current year, partially offset by higher tax expense due to prior-year tax benefits attributable to the losses associated with the TRANZACT sale as well as lower revenue due to the sale.</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Executive Summary</w:t>
      </w:r>
    </w:p>
    <w:p>
      <w:pPr>
        <w:spacing w:after="0" w:line="260" w:lineRule="exact"/>
        <w:rPr>
          <w:sz w:val="20"/>
          <w:szCs w:val="20"/>
          <w:color w:val="auto"/>
        </w:rPr>
      </w:pPr>
    </w:p>
    <w:p>
      <w:pPr>
        <w:ind w:right="140"/>
        <w:spacing w:after="0" w:line="352" w:lineRule="auto"/>
        <w:rPr>
          <w:sz w:val="20"/>
          <w:szCs w:val="20"/>
          <w:color w:val="auto"/>
        </w:rPr>
      </w:pPr>
      <w:r>
        <w:rPr>
          <w:rFonts w:ascii="Arial" w:cs="Arial" w:eastAsia="Arial" w:hAnsi="Arial"/>
          <w:sz w:val="18"/>
          <w:szCs w:val="18"/>
          <w:color w:val="auto"/>
        </w:rPr>
        <w:t>Our principal sources of liquidity funding our short-term and long-term obligations at December 31, 2025 are funds generated by operating activities, available cash and cash equivalents and amounts available under our revolving credit facility and any new debt offerings. Our most significant long-term obligations include mandatory debt and related interest, operating leases and pension obligations and contributions to our qualified pension plans.</w:t>
      </w:r>
    </w:p>
    <w:p>
      <w:pPr>
        <w:spacing w:after="0" w:line="166" w:lineRule="exact"/>
        <w:rPr>
          <w:sz w:val="20"/>
          <w:szCs w:val="20"/>
          <w:color w:val="auto"/>
        </w:rPr>
      </w:pPr>
    </w:p>
    <w:p>
      <w:pPr>
        <w:jc w:val="both"/>
        <w:ind w:right="180"/>
        <w:spacing w:after="0" w:line="307" w:lineRule="auto"/>
        <w:rPr>
          <w:sz w:val="20"/>
          <w:szCs w:val="20"/>
          <w:color w:val="auto"/>
        </w:rPr>
      </w:pPr>
      <w:r>
        <w:rPr>
          <w:rFonts w:ascii="Arial" w:cs="Arial" w:eastAsia="Arial" w:hAnsi="Arial"/>
          <w:sz w:val="20"/>
          <w:szCs w:val="20"/>
          <w:color w:val="auto"/>
        </w:rPr>
        <w:t>There has been significant volatility in financial markets, including occasional declines in equity markets, inflation and changes in interest rates and reduced liquidity on a global basis and we expect this volatility could continue, all of which may impact our access to liquidity.</w:t>
      </w:r>
    </w:p>
    <w:p>
      <w:pPr>
        <w:spacing w:after="0" w:line="197"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Based on our current balance sheet and cash flows, current market conditions and information available to us at this time, we believe that WTW has access to sufficient liquidity to meet our cash needs, including debt repayment, for the next twelve months. Including our cash generated from operations, our liquidity also includes all of the borrowing capacity available to draw against our recently-amended and restated $1.5 billion revolving credit facility and our recently-acquired $775 million delayed draw term loan. During the year ended December 31, 2025, we completed offerings of $700 million aggregate principal amount of 4.550% senior notes due 2031 and $300 million aggregate principal amount of 5.150% senior notes due 2036. The net proceeds from the 2025 senior notes offering, after deducting underwriter discounts and commissions and estimated offering expenses, were $989 million and were used to pay the consideration for our Newfront acquisition, which was completed on January 27, 2026, and related fees, costs and expenses. Any remaining proceeds, coupled with borrowings against our new delayed draw term loan, will be used to repay in full the $550 million aggregate principal amount of the 4.400% senior notes due 2026 and related accrued interest, and to fund additional acquisitions (see Note 3 — Acquisitions and Divestitures, Note 11 — Debt and Note 22 — Subsequent Events within Item 8 of this Annual Report on Form 10-K).</w:t>
      </w:r>
    </w:p>
    <w:p>
      <w:pPr>
        <w:spacing w:after="0" w:line="167" w:lineRule="exact"/>
        <w:rPr>
          <w:sz w:val="20"/>
          <w:szCs w:val="20"/>
          <w:color w:val="auto"/>
        </w:rPr>
      </w:pPr>
    </w:p>
    <w:p>
      <w:pPr>
        <w:ind w:right="20"/>
        <w:spacing w:after="0" w:line="310" w:lineRule="auto"/>
        <w:rPr>
          <w:sz w:val="20"/>
          <w:szCs w:val="20"/>
          <w:color w:val="auto"/>
        </w:rPr>
      </w:pPr>
      <w:r>
        <w:rPr>
          <w:rFonts w:ascii="Arial" w:cs="Arial" w:eastAsia="Arial" w:hAnsi="Arial"/>
          <w:sz w:val="20"/>
          <w:szCs w:val="20"/>
          <w:color w:val="auto"/>
        </w:rPr>
        <w:t>Additionally, under our minority ownership interest in a joint venture with Bain Capital, in connection with which we re-entered the reinsurance broking space during the fourth quarter of 2024, we have an option to acquire a controlling interest in the joint venture in the future. Given the initial funding needs of a start-up venture, we expect to make certain capital contributions from time to time resulting in a reduction to earnings until such time as the joint venture generates sufficient revenue to be profitable.</w:t>
      </w:r>
    </w:p>
    <w:p>
      <w:pPr>
        <w:spacing w:after="0" w:line="195" w:lineRule="exact"/>
        <w:rPr>
          <w:sz w:val="20"/>
          <w:szCs w:val="20"/>
          <w:color w:val="auto"/>
        </w:rPr>
      </w:pPr>
    </w:p>
    <w:p>
      <w:pPr>
        <w:ind w:right="20"/>
        <w:spacing w:after="0" w:line="351" w:lineRule="auto"/>
        <w:rPr>
          <w:sz w:val="20"/>
          <w:szCs w:val="20"/>
          <w:color w:val="auto"/>
        </w:rPr>
      </w:pPr>
      <w:r>
        <w:rPr>
          <w:rFonts w:ascii="Arial" w:cs="Arial" w:eastAsia="Arial" w:hAnsi="Arial"/>
          <w:sz w:val="18"/>
          <w:szCs w:val="18"/>
          <w:color w:val="auto"/>
        </w:rPr>
        <w:t>During the year ended December 31, 2025, we repurchased $1.6 billion of our outstanding shares and have authorization to repurchase an additional $1.3 billion under our share repurchase program (as further described below under ‘Share Repurchase Program’). We consider many factors, including market and economic conditions, applicable legal requirements and other business considerations, when considering whether to repurchase shares. Our Share Repurchase Program has no termination date and may be suspended or discontinued at any time.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47</w:t>
      </w:r>
    </w:p>
    <w:p>
      <w:pPr>
        <w:sectPr>
          <w:pgSz w:w="11900" w:h="16838" w:orient="portrait"/>
          <w:cols w:equalWidth="0" w:num="1">
            <w:col w:w="9400"/>
          </w:cols>
          <w:pgMar w:left="1260" w:top="1440" w:right="1246" w:bottom="0" w:gutter="0" w:footer="0" w:header="0"/>
          <w:type w:val="continuous"/>
        </w:sectPr>
      </w:pPr>
    </w:p>
    <w:bookmarkStart w:id="104" w:name="page105"/>
    <w:bookmarkEnd w:id="104"/>
    <w:p>
      <w:pPr>
        <w:ind w:right="60"/>
        <w:spacing w:after="0" w:line="309" w:lineRule="auto"/>
        <w:rPr>
          <w:sz w:val="20"/>
          <w:szCs w:val="20"/>
          <w:color w:val="auto"/>
        </w:rPr>
      </w:pPr>
      <w:r>
        <w:rPr>
          <w:rFonts w:ascii="Arial" w:cs="Arial" w:eastAsia="Arial" w:hAnsi="Arial"/>
          <w:sz w:val="20"/>
          <w:szCs w:val="20"/>
          <w:color w:val="auto"/>
        </w:rPr>
        <w:t>Events that could change the historical cash flow dynamics discussed above include significant changes in operating results, potential future acquisitions or divestitures, material changes in geographic sources of cash, unexpected adverse impacts from litigation or tax or regulatory matters, or future pension funding during periods of severe downturn in the capital markets.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Distributable Profits</w:t>
      </w:r>
    </w:p>
    <w:p>
      <w:pPr>
        <w:spacing w:after="0" w:line="260" w:lineRule="exact"/>
        <w:rPr>
          <w:sz w:val="20"/>
          <w:szCs w:val="20"/>
          <w:color w:val="auto"/>
        </w:rPr>
      </w:pPr>
    </w:p>
    <w:p>
      <w:pPr>
        <w:jc w:val="both"/>
        <w:ind w:right="120"/>
        <w:spacing w:after="0" w:line="347" w:lineRule="auto"/>
        <w:rPr>
          <w:sz w:val="20"/>
          <w:szCs w:val="20"/>
          <w:color w:val="auto"/>
        </w:rPr>
      </w:pPr>
      <w:r>
        <w:rPr>
          <w:rFonts w:ascii="Arial" w:cs="Arial" w:eastAsia="Arial" w:hAnsi="Arial"/>
          <w:sz w:val="18"/>
          <w:szCs w:val="18"/>
          <w:color w:val="auto"/>
        </w:rPr>
        <w:t>We are required under Irish law to have available ‘distributable profits’ to make share repurchases or pay dividends to shareholders. Distributable profits are created through the earnings of the Irish parent company and, among other methods, through intercompany dividends or a reduction in share capital approved by the High Court of Ireland.</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20"/>
          <w:szCs w:val="20"/>
          <w:color w:val="auto"/>
        </w:rPr>
        <w:t>Distributable profits are not linked to a U.S. GAAP reported amount (e.g. retained earnings). We believe that we will have sufficient distributable profits for the foreseeable future.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considerations</w:t>
      </w:r>
    </w:p>
    <w:p>
      <w:pPr>
        <w:spacing w:after="0" w:line="260" w:lineRule="exact"/>
        <w:rPr>
          <w:sz w:val="20"/>
          <w:szCs w:val="20"/>
          <w:color w:val="auto"/>
        </w:rPr>
      </w:pPr>
    </w:p>
    <w:p>
      <w:pPr>
        <w:ind w:right="20"/>
        <w:spacing w:after="0" w:line="350" w:lineRule="auto"/>
        <w:rPr>
          <w:sz w:val="20"/>
          <w:szCs w:val="20"/>
          <w:color w:val="auto"/>
        </w:rPr>
      </w:pPr>
      <w:r>
        <w:rPr>
          <w:rFonts w:ascii="Arial" w:cs="Arial" w:eastAsia="Arial" w:hAnsi="Arial"/>
          <w:sz w:val="18"/>
          <w:szCs w:val="18"/>
          <w:color w:val="auto"/>
        </w:rPr>
        <w:t>The Company recognizes deferred tax balances related to the undistributed earnings of subsidiaries when it expects that it will recover those undistributed earnings in a taxable manner, such as through the receipt of dividends or sale of investments. We continue to have certain subsidiaries whose earnings have not been deemed permanently reinvested, for which we have been accruing estimates of the tax effects of such repatriation. Excluding these certain subsidiaries, the Company has not provided for deferred taxes on outside basis differences in our investments, as these outside basis differences can either be repatriated in a nontaxable manner or are considered permanently reinvested. If future events, including material changes in estimates of cash, working capital, long-term investment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 / 47</w:t>
      </w:r>
    </w:p>
    <w:p>
      <w:pPr>
        <w:sectPr>
          <w:pgSz w:w="11900" w:h="16838" w:orient="portrait"/>
          <w:cols w:equalWidth="0" w:num="1">
            <w:col w:w="9360"/>
          </w:cols>
          <w:pgMar w:left="1260" w:top="1173" w:right="1286" w:bottom="0"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6" w:right="500"/>
        <w:spacing w:after="0" w:line="355" w:lineRule="auto"/>
        <w:rPr>
          <w:sz w:val="20"/>
          <w:szCs w:val="20"/>
          <w:color w:val="auto"/>
        </w:rPr>
      </w:pPr>
      <w:r>
        <w:rPr>
          <w:rFonts w:ascii="Arial" w:cs="Arial" w:eastAsia="Arial" w:hAnsi="Arial"/>
          <w:sz w:val="18"/>
          <w:szCs w:val="18"/>
          <w:color w:val="auto"/>
        </w:rPr>
        <w:t>requirements or additional legislation,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spacing w:after="0" w:line="152"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260" w:lineRule="exact"/>
        <w:rPr>
          <w:sz w:val="20"/>
          <w:szCs w:val="20"/>
          <w:color w:val="auto"/>
        </w:rPr>
      </w:pPr>
    </w:p>
    <w:p>
      <w:pPr>
        <w:ind w:left="6"/>
        <w:spacing w:after="0"/>
        <w:rPr>
          <w:sz w:val="20"/>
          <w:szCs w:val="20"/>
          <w:color w:val="auto"/>
        </w:rPr>
      </w:pPr>
      <w:r>
        <w:rPr>
          <w:rFonts w:ascii="Arial" w:cs="Arial" w:eastAsia="Arial" w:hAnsi="Arial"/>
          <w:sz w:val="18"/>
          <w:szCs w:val="18"/>
          <w:color w:val="auto"/>
        </w:rPr>
        <w:t>Our cash and cash equivalents at December 31, 2025 and 2024 totaled $3.1 billion and $1.9 billion, respectively. The</w:t>
      </w:r>
    </w:p>
    <w:p>
      <w:pPr>
        <w:spacing w:after="0" w:line="93" w:lineRule="exact"/>
        <w:rPr>
          <w:sz w:val="20"/>
          <w:szCs w:val="20"/>
          <w:color w:val="auto"/>
        </w:rPr>
      </w:pPr>
    </w:p>
    <w:p>
      <w:pPr>
        <w:ind w:left="6"/>
        <w:spacing w:after="0"/>
        <w:rPr>
          <w:sz w:val="20"/>
          <w:szCs w:val="20"/>
          <w:color w:val="auto"/>
        </w:rPr>
      </w:pPr>
      <w:r>
        <w:rPr>
          <w:rFonts w:ascii="Arial" w:cs="Arial" w:eastAsia="Arial" w:hAnsi="Arial"/>
          <w:sz w:val="18"/>
          <w:szCs w:val="18"/>
          <w:color w:val="auto"/>
        </w:rPr>
        <w:t>significant changes in cash from December 31, 2024 to December 31, 2025 were due primarily to $1.8 billion of net</w:t>
      </w:r>
    </w:p>
    <w:p>
      <w:pPr>
        <w:spacing w:after="0" w:line="93" w:lineRule="exact"/>
        <w:rPr>
          <w:sz w:val="20"/>
          <w:szCs w:val="20"/>
          <w:color w:val="auto"/>
        </w:rPr>
      </w:pPr>
    </w:p>
    <w:p>
      <w:pPr>
        <w:ind w:left="6"/>
        <w:spacing w:after="0"/>
        <w:rPr>
          <w:sz w:val="20"/>
          <w:szCs w:val="20"/>
          <w:color w:val="auto"/>
        </w:rPr>
      </w:pPr>
      <w:r>
        <w:rPr>
          <w:rFonts w:ascii="Arial" w:cs="Arial" w:eastAsia="Arial" w:hAnsi="Arial"/>
          <w:sz w:val="18"/>
          <w:szCs w:val="18"/>
          <w:color w:val="auto"/>
        </w:rPr>
        <w:t>cash from operations, $1.0 billion issuance of senior notes, receipt of the $750 million earnout related to the 2021</w:t>
      </w:r>
    </w:p>
    <w:p>
      <w:pPr>
        <w:spacing w:after="0" w:line="93" w:lineRule="exact"/>
        <w:rPr>
          <w:sz w:val="20"/>
          <w:szCs w:val="20"/>
          <w:color w:val="auto"/>
        </w:rPr>
      </w:pPr>
    </w:p>
    <w:p>
      <w:pPr>
        <w:ind w:left="6"/>
        <w:spacing w:after="0"/>
        <w:rPr>
          <w:sz w:val="20"/>
          <w:szCs w:val="20"/>
          <w:color w:val="auto"/>
        </w:rPr>
      </w:pPr>
      <w:r>
        <w:rPr>
          <w:rFonts w:ascii="Arial" w:cs="Arial" w:eastAsia="Arial" w:hAnsi="Arial"/>
          <w:sz w:val="18"/>
          <w:szCs w:val="18"/>
          <w:color w:val="auto"/>
        </w:rPr>
        <w:t>sale of our Willis Re business and $62 million associated with the settlement of a note receivable related to the sale</w:t>
      </w:r>
    </w:p>
    <w:p>
      <w:pPr>
        <w:spacing w:after="0" w:line="93" w:lineRule="exact"/>
        <w:rPr>
          <w:sz w:val="20"/>
          <w:szCs w:val="20"/>
          <w:color w:val="auto"/>
        </w:rPr>
      </w:pPr>
    </w:p>
    <w:p>
      <w:pPr>
        <w:ind w:left="6"/>
        <w:spacing w:after="0"/>
        <w:rPr>
          <w:sz w:val="20"/>
          <w:szCs w:val="20"/>
          <w:color w:val="auto"/>
        </w:rPr>
      </w:pPr>
      <w:r>
        <w:rPr>
          <w:rFonts w:ascii="Arial" w:cs="Arial" w:eastAsia="Arial" w:hAnsi="Arial"/>
          <w:sz w:val="19"/>
          <w:szCs w:val="19"/>
          <w:color w:val="auto"/>
        </w:rPr>
        <w:t>of our Max Matthiessen subsidiary in 2020, partially offset by cash outflows of $1.6 billion of share repurchases,</w:t>
      </w:r>
    </w:p>
    <w:p>
      <w:pPr>
        <w:spacing w:after="0" w:line="82" w:lineRule="exact"/>
        <w:rPr>
          <w:sz w:val="20"/>
          <w:szCs w:val="20"/>
          <w:color w:val="auto"/>
        </w:rPr>
      </w:pPr>
    </w:p>
    <w:p>
      <w:pPr>
        <w:ind w:left="6"/>
        <w:spacing w:after="0"/>
        <w:rPr>
          <w:sz w:val="20"/>
          <w:szCs w:val="20"/>
          <w:color w:val="auto"/>
        </w:rPr>
      </w:pPr>
      <w:r>
        <w:rPr>
          <w:rFonts w:ascii="Arial" w:cs="Arial" w:eastAsia="Arial" w:hAnsi="Arial"/>
          <w:sz w:val="18"/>
          <w:szCs w:val="18"/>
          <w:color w:val="auto"/>
        </w:rPr>
        <w:t>$358 million of dividend payments, $229 million of capital expenditures and capitalized software additions and $194</w:t>
      </w:r>
    </w:p>
    <w:p>
      <w:pPr>
        <w:spacing w:after="0" w:line="83" w:lineRule="exact"/>
        <w:rPr>
          <w:sz w:val="20"/>
          <w:szCs w:val="20"/>
          <w:color w:val="auto"/>
        </w:rPr>
      </w:pPr>
    </w:p>
    <w:p>
      <w:pPr>
        <w:ind w:left="6"/>
        <w:spacing w:after="0"/>
        <w:rPr>
          <w:sz w:val="20"/>
          <w:szCs w:val="20"/>
          <w:color w:val="auto"/>
        </w:rPr>
      </w:pPr>
      <w:r>
        <w:rPr>
          <w:rFonts w:ascii="Arial" w:cs="Arial" w:eastAsia="Arial" w:hAnsi="Arial"/>
          <w:sz w:val="20"/>
          <w:szCs w:val="20"/>
          <w:color w:val="auto"/>
        </w:rPr>
        <w:t>million of other investing outflows.</w:t>
      </w:r>
    </w:p>
    <w:p>
      <w:pPr>
        <w:spacing w:after="0" w:line="260" w:lineRule="exact"/>
        <w:rPr>
          <w:sz w:val="20"/>
          <w:szCs w:val="20"/>
          <w:color w:val="auto"/>
        </w:rPr>
      </w:pPr>
    </w:p>
    <w:p>
      <w:pPr>
        <w:jc w:val="both"/>
        <w:ind w:left="6" w:right="220"/>
        <w:spacing w:after="0" w:line="307" w:lineRule="auto"/>
        <w:rPr>
          <w:sz w:val="20"/>
          <w:szCs w:val="20"/>
          <w:color w:val="auto"/>
        </w:rPr>
      </w:pPr>
      <w:r>
        <w:rPr>
          <w:rFonts w:ascii="Arial" w:cs="Arial" w:eastAsia="Arial" w:hAnsi="Arial"/>
          <w:sz w:val="20"/>
          <w:szCs w:val="20"/>
          <w:color w:val="auto"/>
        </w:rPr>
        <w:t>Additionally, at December 31, 2025 we had all of the borrowing capacity available to draw against our $1.5 billion revolving credit facility, which was amended and restated on October 17, 2025 (see Note 11 — Debt within Item 8 of this Annual Report on Form 10-K).</w:t>
      </w:r>
    </w:p>
    <w:p>
      <w:pPr>
        <w:spacing w:after="0" w:line="197" w:lineRule="exact"/>
        <w:rPr>
          <w:sz w:val="20"/>
          <w:szCs w:val="20"/>
          <w:color w:val="auto"/>
        </w:rPr>
      </w:pPr>
    </w:p>
    <w:p>
      <w:pPr>
        <w:jc w:val="both"/>
        <w:ind w:left="6" w:right="280"/>
        <w:spacing w:after="0" w:line="363" w:lineRule="auto"/>
        <w:rPr>
          <w:sz w:val="20"/>
          <w:szCs w:val="20"/>
          <w:color w:val="auto"/>
        </w:rPr>
      </w:pPr>
      <w:r>
        <w:rPr>
          <w:rFonts w:ascii="Arial" w:cs="Arial" w:eastAsia="Arial" w:hAnsi="Arial"/>
          <w:sz w:val="18"/>
          <w:szCs w:val="18"/>
          <w:color w:val="auto"/>
        </w:rPr>
        <w:t>Included within cash and cash equivalents at December 31, 2025 and 2024 are amounts held for regulatory capital adequacy requirements, including $105 million and $104 million, respectively, within our regulated U.K. entities.</w:t>
      </w:r>
    </w:p>
    <w:p>
      <w:pPr>
        <w:spacing w:after="0" w:line="144"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Summarized Consolidated Cash Flows</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following table presents the summarized consolidated cash flow information for the years ended:</w:t>
      </w:r>
    </w:p>
    <w:p>
      <w:pPr>
        <w:spacing w:after="0" w:line="215"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80" w:type="dxa"/>
            <w:vAlign w:val="bottom"/>
            <w:gridSpan w:val="3"/>
          </w:tcPr>
          <w:p>
            <w:pPr>
              <w:jc w:val="right"/>
              <w:ind w:right="343"/>
              <w:spacing w:after="0"/>
              <w:rPr>
                <w:sz w:val="20"/>
                <w:szCs w:val="20"/>
                <w:color w:val="auto"/>
              </w:rPr>
            </w:pPr>
            <w:r>
              <w:rPr>
                <w:rFonts w:ascii="Arial" w:cs="Arial" w:eastAsia="Arial" w:hAnsi="Arial"/>
                <w:sz w:val="16"/>
                <w:szCs w:val="16"/>
                <w:b w:val="1"/>
                <w:bCs w:val="1"/>
                <w:color w:val="auto"/>
                <w:w w:val="94"/>
              </w:rPr>
              <w:t>Years ended December 31,</w:t>
            </w:r>
          </w:p>
        </w:tc>
      </w:tr>
      <w:tr>
        <w:trPr>
          <w:trHeight w:val="250"/>
        </w:trPr>
        <w:tc>
          <w:tcPr>
            <w:tcW w:w="6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466"/>
              <w:spacing w:after="0"/>
              <w:rPr>
                <w:sz w:val="20"/>
                <w:szCs w:val="20"/>
                <w:color w:val="auto"/>
              </w:rPr>
            </w:pPr>
            <w:r>
              <w:rPr>
                <w:rFonts w:ascii="Arial" w:cs="Arial" w:eastAsia="Arial" w:hAnsi="Arial"/>
                <w:sz w:val="16"/>
                <w:szCs w:val="16"/>
                <w:b w:val="1"/>
                <w:bCs w:val="1"/>
                <w:color w:val="auto"/>
              </w:rPr>
              <w:t>2025</w:t>
            </w:r>
          </w:p>
        </w:tc>
        <w:tc>
          <w:tcPr>
            <w:tcW w:w="440" w:type="dxa"/>
            <w:vAlign w:val="bottom"/>
          </w:tcPr>
          <w:p>
            <w:pPr>
              <w:spacing w:after="0"/>
              <w:rPr>
                <w:sz w:val="21"/>
                <w:szCs w:val="21"/>
                <w:color w:val="auto"/>
              </w:rPr>
            </w:pPr>
          </w:p>
        </w:tc>
        <w:tc>
          <w:tcPr>
            <w:tcW w:w="880" w:type="dxa"/>
            <w:vAlign w:val="bottom"/>
          </w:tcPr>
          <w:p>
            <w:pPr>
              <w:jc w:val="right"/>
              <w:ind w:right="403"/>
              <w:spacing w:after="0"/>
              <w:rPr>
                <w:sz w:val="20"/>
                <w:szCs w:val="20"/>
                <w:color w:val="auto"/>
              </w:rPr>
            </w:pPr>
            <w:r>
              <w:rPr>
                <w:rFonts w:ascii="Arial" w:cs="Arial" w:eastAsia="Arial" w:hAnsi="Arial"/>
                <w:sz w:val="16"/>
                <w:szCs w:val="16"/>
                <w:b w:val="1"/>
                <w:bCs w:val="1"/>
                <w:color w:val="auto"/>
              </w:rPr>
              <w:t>2024</w:t>
            </w:r>
          </w:p>
        </w:tc>
      </w:tr>
      <w:tr>
        <w:trPr>
          <w:trHeight w:val="250"/>
        </w:trPr>
        <w:tc>
          <w:tcPr>
            <w:tcW w:w="6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21"/>
                <w:szCs w:val="21"/>
                <w:color w:val="auto"/>
              </w:rPr>
            </w:pPr>
          </w:p>
        </w:tc>
      </w:tr>
      <w:tr>
        <w:trPr>
          <w:trHeight w:val="32"/>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0"/>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cash from/(used in):</w:t>
            </w:r>
          </w:p>
        </w:tc>
        <w:tc>
          <w:tcPr>
            <w:tcW w:w="36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r>
      <w:tr>
        <w:trPr>
          <w:trHeight w:val="259"/>
        </w:trPr>
        <w:tc>
          <w:tcPr>
            <w:tcW w:w="6660" w:type="dxa"/>
            <w:vAlign w:val="bottom"/>
          </w:tcPr>
          <w:p>
            <w:pPr>
              <w:ind w:left="120"/>
              <w:spacing w:after="0"/>
              <w:rPr>
                <w:sz w:val="20"/>
                <w:szCs w:val="20"/>
                <w:color w:val="auto"/>
              </w:rPr>
            </w:pPr>
            <w:r>
              <w:rPr>
                <w:rFonts w:ascii="Arial" w:cs="Arial" w:eastAsia="Arial" w:hAnsi="Arial"/>
                <w:sz w:val="20"/>
                <w:szCs w:val="20"/>
                <w:color w:val="auto"/>
              </w:rPr>
              <w:t>Operating activities</w:t>
            </w:r>
          </w:p>
        </w:tc>
        <w:tc>
          <w:tcPr>
            <w:tcW w:w="3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66"/>
              <w:spacing w:after="0"/>
              <w:rPr>
                <w:sz w:val="20"/>
                <w:szCs w:val="20"/>
                <w:color w:val="auto"/>
              </w:rPr>
            </w:pPr>
            <w:r>
              <w:rPr>
                <w:rFonts w:ascii="Arial" w:cs="Arial" w:eastAsia="Arial" w:hAnsi="Arial"/>
                <w:sz w:val="20"/>
                <w:szCs w:val="20"/>
                <w:color w:val="auto"/>
              </w:rPr>
              <w:t>1,775</w:t>
            </w:r>
          </w:p>
        </w:tc>
        <w:tc>
          <w:tcPr>
            <w:tcW w:w="44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3"/>
              <w:spacing w:after="0"/>
              <w:rPr>
                <w:sz w:val="20"/>
                <w:szCs w:val="20"/>
                <w:color w:val="auto"/>
              </w:rPr>
            </w:pPr>
            <w:r>
              <w:rPr>
                <w:rFonts w:ascii="Arial" w:cs="Arial" w:eastAsia="Arial" w:hAnsi="Arial"/>
                <w:sz w:val="20"/>
                <w:szCs w:val="20"/>
                <w:color w:val="auto"/>
              </w:rPr>
              <w:t>1,512</w:t>
            </w:r>
          </w:p>
        </w:tc>
      </w:tr>
      <w:tr>
        <w:trPr>
          <w:trHeight w:val="41"/>
        </w:trPr>
        <w:tc>
          <w:tcPr>
            <w:tcW w:w="6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80"/>
        </w:trPr>
        <w:tc>
          <w:tcPr>
            <w:tcW w:w="6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Investing activities</w:t>
            </w:r>
          </w:p>
        </w:tc>
        <w:tc>
          <w:tcPr>
            <w:tcW w:w="36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20"/>
                <w:szCs w:val="20"/>
                <w:color w:val="auto"/>
              </w:rPr>
              <w:t>447</w:t>
            </w:r>
          </w:p>
        </w:tc>
        <w:tc>
          <w:tcPr>
            <w:tcW w:w="4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250</w:t>
            </w:r>
          </w:p>
        </w:tc>
      </w:tr>
      <w:tr>
        <w:trPr>
          <w:trHeight w:val="259"/>
        </w:trPr>
        <w:tc>
          <w:tcPr>
            <w:tcW w:w="6660" w:type="dxa"/>
            <w:vAlign w:val="bottom"/>
          </w:tcPr>
          <w:p>
            <w:pPr>
              <w:ind w:left="120"/>
              <w:spacing w:after="0"/>
              <w:rPr>
                <w:sz w:val="20"/>
                <w:szCs w:val="20"/>
                <w:color w:val="auto"/>
              </w:rPr>
            </w:pPr>
            <w:r>
              <w:rPr>
                <w:rFonts w:ascii="Arial" w:cs="Arial" w:eastAsia="Arial" w:hAnsi="Arial"/>
                <w:sz w:val="20"/>
                <w:szCs w:val="20"/>
                <w:color w:val="auto"/>
              </w:rPr>
              <w:t>Financing activities</w:t>
            </w:r>
          </w:p>
        </w:tc>
        <w:tc>
          <w:tcPr>
            <w:tcW w:w="360" w:type="dxa"/>
            <w:vAlign w:val="bottom"/>
          </w:tcPr>
          <w:p>
            <w:pPr>
              <w:spacing w:after="0"/>
              <w:rPr>
                <w:sz w:val="22"/>
                <w:szCs w:val="22"/>
                <w:color w:val="auto"/>
              </w:rPr>
            </w:pPr>
          </w:p>
        </w:tc>
        <w:tc>
          <w:tcPr>
            <w:tcW w:w="1060" w:type="dxa"/>
            <w:vAlign w:val="bottom"/>
          </w:tcPr>
          <w:p>
            <w:pPr>
              <w:jc w:val="right"/>
              <w:ind w:right="6"/>
              <w:spacing w:after="0"/>
              <w:rPr>
                <w:sz w:val="20"/>
                <w:szCs w:val="20"/>
                <w:color w:val="auto"/>
              </w:rPr>
            </w:pPr>
            <w:r>
              <w:rPr>
                <w:rFonts w:ascii="Arial" w:cs="Arial" w:eastAsia="Arial" w:hAnsi="Arial"/>
                <w:sz w:val="20"/>
                <w:szCs w:val="20"/>
                <w:color w:val="auto"/>
              </w:rPr>
              <w:t>(936)</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(459)</w:t>
            </w:r>
          </w:p>
        </w:tc>
      </w:tr>
      <w:tr>
        <w:trPr>
          <w:trHeight w:val="51"/>
        </w:trPr>
        <w:tc>
          <w:tcPr>
            <w:tcW w:w="6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80"/>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INCREASE IN CASH, CASH EQUIVALENTS AND RESTRICTED CASH</w:t>
            </w:r>
          </w:p>
        </w:tc>
        <w:tc>
          <w:tcPr>
            <w:tcW w:w="36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20"/>
                <w:szCs w:val="20"/>
                <w:color w:val="auto"/>
              </w:rPr>
              <w:t>1,286</w:t>
            </w:r>
          </w:p>
        </w:tc>
        <w:tc>
          <w:tcPr>
            <w:tcW w:w="44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1,303</w:t>
            </w:r>
          </w:p>
        </w:tc>
      </w:tr>
      <w:tr>
        <w:trPr>
          <w:trHeight w:val="259"/>
        </w:trPr>
        <w:tc>
          <w:tcPr>
            <w:tcW w:w="6660" w:type="dxa"/>
            <w:vAlign w:val="bottom"/>
          </w:tcPr>
          <w:p>
            <w:pPr>
              <w:spacing w:after="0"/>
              <w:rPr>
                <w:sz w:val="20"/>
                <w:szCs w:val="20"/>
                <w:color w:val="auto"/>
              </w:rPr>
            </w:pPr>
            <w:r>
              <w:rPr>
                <w:rFonts w:ascii="Arial" w:cs="Arial" w:eastAsia="Arial" w:hAnsi="Arial"/>
                <w:sz w:val="20"/>
                <w:szCs w:val="20"/>
                <w:color w:val="auto"/>
                <w:w w:val="95"/>
              </w:rPr>
              <w:t>Effect of exchange rate changes on cash, cash equivalents and restricted cash</w:t>
            </w:r>
          </w:p>
        </w:tc>
        <w:tc>
          <w:tcPr>
            <w:tcW w:w="360" w:type="dxa"/>
            <w:vAlign w:val="bottom"/>
          </w:tcPr>
          <w:p>
            <w:pPr>
              <w:spacing w:after="0"/>
              <w:rPr>
                <w:sz w:val="22"/>
                <w:szCs w:val="22"/>
                <w:color w:val="auto"/>
              </w:rPr>
            </w:pPr>
          </w:p>
        </w:tc>
        <w:tc>
          <w:tcPr>
            <w:tcW w:w="1060" w:type="dxa"/>
            <w:vAlign w:val="bottom"/>
          </w:tcPr>
          <w:p>
            <w:pPr>
              <w:jc w:val="right"/>
              <w:ind w:right="66"/>
              <w:spacing w:after="0"/>
              <w:rPr>
                <w:sz w:val="20"/>
                <w:szCs w:val="20"/>
                <w:color w:val="auto"/>
              </w:rPr>
            </w:pPr>
            <w:r>
              <w:rPr>
                <w:rFonts w:ascii="Arial" w:cs="Arial" w:eastAsia="Arial" w:hAnsi="Arial"/>
                <w:sz w:val="20"/>
                <w:szCs w:val="20"/>
                <w:color w:val="auto"/>
              </w:rPr>
              <w:t>203</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(97)</w:t>
            </w:r>
          </w:p>
        </w:tc>
      </w:tr>
      <w:tr>
        <w:trPr>
          <w:trHeight w:val="41"/>
        </w:trPr>
        <w:tc>
          <w:tcPr>
            <w:tcW w:w="6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9"/>
        </w:trPr>
        <w:tc>
          <w:tcPr>
            <w:tcW w:w="6660" w:type="dxa"/>
            <w:vAlign w:val="bottom"/>
            <w:shd w:val="clear" w:color="auto" w:fill="CFF0FC"/>
          </w:tcPr>
          <w:p>
            <w:pPr>
              <w:spacing w:after="0"/>
              <w:rPr>
                <w:sz w:val="20"/>
                <w:szCs w:val="20"/>
                <w:color w:val="auto"/>
              </w:rPr>
            </w:pPr>
            <w:r>
              <w:rPr>
                <w:rFonts w:ascii="Arial" w:cs="Arial" w:eastAsia="Arial" w:hAnsi="Arial"/>
                <w:sz w:val="20"/>
                <w:szCs w:val="20"/>
                <w:color w:val="auto"/>
                <w:w w:val="99"/>
              </w:rPr>
              <w:t>CASH, CASH EQUIVALENTS AND RESTRICTED CASH, BEGINNING OF</w:t>
            </w:r>
          </w:p>
        </w:tc>
        <w:tc>
          <w:tcPr>
            <w:tcW w:w="3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r>
      <w:tr>
        <w:trPr>
          <w:trHeight w:val="341"/>
        </w:trPr>
        <w:tc>
          <w:tcPr>
            <w:tcW w:w="6660" w:type="dxa"/>
            <w:vAlign w:val="bottom"/>
            <w:shd w:val="clear" w:color="auto" w:fill="CFF0FC"/>
          </w:tcPr>
          <w:p>
            <w:pPr>
              <w:ind w:left="140"/>
              <w:spacing w:after="0"/>
              <w:rPr>
                <w:sz w:val="20"/>
                <w:szCs w:val="20"/>
                <w:color w:val="auto"/>
              </w:rPr>
            </w:pPr>
            <w:r>
              <w:rPr>
                <w:rFonts w:ascii="Arial" w:cs="Arial" w:eastAsia="Arial" w:hAnsi="Arial"/>
                <w:sz w:val="20"/>
                <w:szCs w:val="20"/>
                <w:color w:val="auto"/>
              </w:rPr>
              <w:t xml:space="preserve">YEAR </w:t>
            </w:r>
            <w:r>
              <w:rPr>
                <w:rFonts w:ascii="Arial" w:cs="Arial" w:eastAsia="Arial" w:hAnsi="Arial"/>
                <w:sz w:val="26"/>
                <w:szCs w:val="26"/>
                <w:color w:val="auto"/>
                <w:vertAlign w:val="superscript"/>
              </w:rPr>
              <w:t>(i)</w:t>
            </w:r>
          </w:p>
        </w:tc>
        <w:tc>
          <w:tcPr>
            <w:tcW w:w="36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66"/>
              <w:spacing w:after="0"/>
              <w:rPr>
                <w:sz w:val="20"/>
                <w:szCs w:val="20"/>
                <w:color w:val="auto"/>
              </w:rPr>
            </w:pPr>
            <w:r>
              <w:rPr>
                <w:rFonts w:ascii="Arial" w:cs="Arial" w:eastAsia="Arial" w:hAnsi="Arial"/>
                <w:sz w:val="20"/>
                <w:szCs w:val="20"/>
                <w:color w:val="auto"/>
              </w:rPr>
              <w:t>4,998</w:t>
            </w:r>
          </w:p>
        </w:tc>
        <w:tc>
          <w:tcPr>
            <w:tcW w:w="44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3"/>
              <w:spacing w:after="0"/>
              <w:rPr>
                <w:sz w:val="20"/>
                <w:szCs w:val="20"/>
                <w:color w:val="auto"/>
              </w:rPr>
            </w:pPr>
            <w:r>
              <w:rPr>
                <w:rFonts w:ascii="Arial" w:cs="Arial" w:eastAsia="Arial" w:hAnsi="Arial"/>
                <w:sz w:val="20"/>
                <w:szCs w:val="20"/>
                <w:color w:val="auto"/>
              </w:rPr>
              <w:t>3,792</w:t>
            </w:r>
          </w:p>
        </w:tc>
      </w:tr>
      <w:tr>
        <w:trPr>
          <w:trHeight w:val="331"/>
        </w:trPr>
        <w:tc>
          <w:tcPr>
            <w:tcW w:w="6660" w:type="dxa"/>
            <w:vAlign w:val="bottom"/>
          </w:tcPr>
          <w:p>
            <w:pPr>
              <w:spacing w:after="0"/>
              <w:rPr>
                <w:sz w:val="20"/>
                <w:szCs w:val="20"/>
                <w:color w:val="auto"/>
              </w:rPr>
            </w:pPr>
            <w:r>
              <w:rPr>
                <w:rFonts w:ascii="Arial" w:cs="Arial" w:eastAsia="Arial" w:hAnsi="Arial"/>
                <w:sz w:val="20"/>
                <w:szCs w:val="20"/>
                <w:color w:val="auto"/>
                <w:w w:val="97"/>
              </w:rPr>
              <w:t xml:space="preserve">CASH, CASH EQUIVALENTS AND RESTRICTED CASH, END OF YEAR </w:t>
            </w:r>
            <w:r>
              <w:rPr>
                <w:rFonts w:ascii="Arial" w:cs="Arial" w:eastAsia="Arial" w:hAnsi="Arial"/>
                <w:sz w:val="26"/>
                <w:szCs w:val="26"/>
                <w:color w:val="auto"/>
                <w:w w:val="97"/>
                <w:vertAlign w:val="superscript"/>
              </w:rPr>
              <w:t>(i)</w:t>
            </w:r>
          </w:p>
        </w:tc>
        <w:tc>
          <w:tcPr>
            <w:tcW w:w="3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66"/>
              <w:spacing w:after="0"/>
              <w:rPr>
                <w:sz w:val="20"/>
                <w:szCs w:val="20"/>
                <w:color w:val="auto"/>
              </w:rPr>
            </w:pPr>
            <w:r>
              <w:rPr>
                <w:rFonts w:ascii="Arial" w:cs="Arial" w:eastAsia="Arial" w:hAnsi="Arial"/>
                <w:sz w:val="20"/>
                <w:szCs w:val="20"/>
                <w:color w:val="auto"/>
              </w:rPr>
              <w:t>6,487</w:t>
            </w:r>
          </w:p>
        </w:tc>
        <w:tc>
          <w:tcPr>
            <w:tcW w:w="44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3"/>
              <w:spacing w:after="0"/>
              <w:rPr>
                <w:sz w:val="20"/>
                <w:szCs w:val="20"/>
                <w:color w:val="auto"/>
              </w:rPr>
            </w:pPr>
            <w:r>
              <w:rPr>
                <w:rFonts w:ascii="Arial" w:cs="Arial" w:eastAsia="Arial" w:hAnsi="Arial"/>
                <w:sz w:val="20"/>
                <w:szCs w:val="20"/>
                <w:color w:val="auto"/>
              </w:rPr>
              <w:t>4,998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4323715</wp:posOffset>
            </wp:positionH>
            <wp:positionV relativeFrom="paragraph">
              <wp:posOffset>-2057400</wp:posOffset>
            </wp:positionV>
            <wp:extent cx="164338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8">
                      <a:extLst>
                        <a:ext uri="{28A0092B-C50C-407E-A947-70E740481C1C}"/>
                      </a:extLst>
                    </a:blip>
                    <a:srcRect/>
                    <a:stretch>
                      <a:fillRect/>
                    </a:stretch>
                  </pic:blipFill>
                  <pic:spPr bwMode="auto">
                    <a:xfrm>
                      <a:off x="0" y="0"/>
                      <a:ext cx="1643380" cy="6350"/>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-1898650</wp:posOffset>
            </wp:positionV>
            <wp:extent cx="164338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9">
                      <a:extLst>
                        <a:ext uri="{28A0092B-C50C-407E-A947-70E740481C1C}"/>
                      </a:extLst>
                    </a:blip>
                    <a:srcRect/>
                    <a:stretch>
                      <a:fillRect/>
                    </a:stretch>
                  </pic:blipFill>
                  <pic:spPr bwMode="auto">
                    <a:xfrm>
                      <a:off x="0" y="0"/>
                      <a:ext cx="1643380" cy="6350"/>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-977900</wp:posOffset>
            </wp:positionV>
            <wp:extent cx="164338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0">
                      <a:extLst>
                        <a:ext uri="{28A0092B-C50C-407E-A947-70E740481C1C}"/>
                      </a:extLst>
                    </a:blip>
                    <a:srcRect/>
                    <a:stretch>
                      <a:fillRect/>
                    </a:stretch>
                  </pic:blipFill>
                  <pic:spPr bwMode="auto">
                    <a:xfrm>
                      <a:off x="0" y="0"/>
                      <a:ext cx="1643380" cy="6350"/>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-215900</wp:posOffset>
            </wp:positionV>
            <wp:extent cx="164338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1">
                      <a:extLst>
                        <a:ext uri="{28A0092B-C50C-407E-A947-70E740481C1C}"/>
                      </a:extLst>
                    </a:blip>
                    <a:srcRect/>
                    <a:stretch>
                      <a:fillRect/>
                    </a:stretch>
                  </pic:blipFill>
                  <pic:spPr bwMode="auto">
                    <a:xfrm>
                      <a:off x="0" y="0"/>
                      <a:ext cx="1643380" cy="6350"/>
                    </a:xfrm>
                    <a:prstGeom prst="rect">
                      <a:avLst/>
                    </a:prstGeom>
                    <a:noFill/>
                  </pic:spPr>
                </pic:pic>
              </a:graphicData>
            </a:graphic>
          </wp:anchor>
        </w:drawing>
        <w:drawing>
          <wp:anchor simplePos="0" relativeHeight="251657728" behindDoc="1" locked="0" layoutInCell="0" allowOverlap="1">
            <wp:simplePos x="0" y="0"/>
            <wp:positionH relativeFrom="column">
              <wp:posOffset>4323715</wp:posOffset>
            </wp:positionH>
            <wp:positionV relativeFrom="paragraph">
              <wp:posOffset>-19050</wp:posOffset>
            </wp:positionV>
            <wp:extent cx="1643380" cy="28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2">
                      <a:extLst>
                        <a:ext uri="{28A0092B-C50C-407E-A947-70E740481C1C}"/>
                      </a:extLst>
                    </a:blip>
                    <a:srcRect/>
                    <a:stretch>
                      <a:fillRect/>
                    </a:stretch>
                  </pic:blipFill>
                  <pic:spPr bwMode="auto">
                    <a:xfrm>
                      <a:off x="0" y="0"/>
                      <a:ext cx="164338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212090</wp:posOffset>
            </wp:positionV>
            <wp:extent cx="79565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3">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26" w:right="20" w:hanging="226"/>
        <w:spacing w:after="0" w:line="505" w:lineRule="auto"/>
        <w:tabs>
          <w:tab w:leader="none" w:pos="226"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amounts of the cash, cash equivalents and restricted cash, their respective classification on the consolidated balance sheets, as well as their respective portions of the increase or decrease in cash, cash equivalents and restricted cash for each of the periods presented, have been included in Note 21 — Supplemental Disclosures of Cash Flow Information within Item 8 of this Annual Report on Form 10-K.</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Cash Flows From Operating Activities</w:t>
      </w:r>
    </w:p>
    <w:p>
      <w:pPr>
        <w:spacing w:after="0" w:line="260" w:lineRule="exact"/>
        <w:rPr>
          <w:sz w:val="20"/>
          <w:szCs w:val="20"/>
          <w:color w:val="auto"/>
        </w:rPr>
      </w:pPr>
    </w:p>
    <w:p>
      <w:pPr>
        <w:ind w:left="6"/>
        <w:spacing w:after="0" w:line="355" w:lineRule="auto"/>
        <w:rPr>
          <w:sz w:val="20"/>
          <w:szCs w:val="20"/>
          <w:color w:val="auto"/>
        </w:rPr>
      </w:pPr>
      <w:r>
        <w:rPr>
          <w:rFonts w:ascii="Arial" w:cs="Arial" w:eastAsia="Arial" w:hAnsi="Arial"/>
          <w:sz w:val="18"/>
          <w:szCs w:val="18"/>
          <w:color w:val="auto"/>
        </w:rPr>
        <w:t>Cash flows from operating activities were $1.8 billion for 2025, compared to $1.5 billion for 2024. The $1.8 billion net cash from operating activities for 2025 included net income of $1.6 billion and $873 million of favorable non-cash adjustments, partially offset by unfavorable changes in operating assets and liabilities of $711 million. The $873</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19 / 47</w:t>
      </w:r>
    </w:p>
    <w:p>
      <w:pPr>
        <w:sectPr>
          <w:pgSz w:w="11900" w:h="16838" w:orient="portrait"/>
          <w:cols w:equalWidth="0" w:num="1">
            <w:col w:w="9406"/>
          </w:cols>
          <w:pgMar w:left="1254" w:top="1440" w:right="1246" w:bottom="0" w:gutter="0" w:footer="0" w:header="0"/>
          <w:type w:val="continuous"/>
        </w:sectPr>
      </w:pPr>
    </w:p>
    <w:bookmarkStart w:id="106" w:name="page107"/>
    <w:bookmarkEnd w:id="106"/>
    <w:p>
      <w:pPr>
        <w:ind w:right="220"/>
        <w:spacing w:after="0" w:line="330" w:lineRule="auto"/>
        <w:rPr>
          <w:sz w:val="20"/>
          <w:szCs w:val="20"/>
          <w:color w:val="auto"/>
        </w:rPr>
      </w:pPr>
      <w:r>
        <w:rPr>
          <w:rFonts w:ascii="Arial" w:cs="Arial" w:eastAsia="Arial" w:hAnsi="Arial"/>
          <w:sz w:val="19"/>
          <w:szCs w:val="19"/>
          <w:color w:val="auto"/>
        </w:rPr>
        <w:t>million of favorable non-cash adjustments primarily includes impairment, depreciation, amortization and non-cash lease expense. This increase in cash flows from operations as compared to the prior year was primarily driven by operating margin expansion and lower Transformation program residual cash outflows.</w:t>
      </w:r>
    </w:p>
    <w:p>
      <w:pPr>
        <w:spacing w:after="0" w:line="179" w:lineRule="exact"/>
        <w:rPr>
          <w:sz w:val="20"/>
          <w:szCs w:val="20"/>
          <w:color w:val="auto"/>
        </w:rPr>
      </w:pPr>
    </w:p>
    <w:p>
      <w:pPr>
        <w:ind w:right="300"/>
        <w:spacing w:after="0" w:line="309" w:lineRule="auto"/>
        <w:rPr>
          <w:sz w:val="20"/>
          <w:szCs w:val="20"/>
          <w:color w:val="auto"/>
        </w:rPr>
      </w:pPr>
      <w:r>
        <w:rPr>
          <w:rFonts w:ascii="Arial" w:cs="Arial" w:eastAsia="Arial" w:hAnsi="Arial"/>
          <w:sz w:val="20"/>
          <w:szCs w:val="20"/>
          <w:color w:val="auto"/>
        </w:rPr>
        <w:t>Cash flows from operating activities of $1.5 billion for 2024 included a net loss of $88 million and $1.9 billion of favorable non-cash adjustments, partially offset by unfavorable changes in operating assets and liabilities of $326 million. The $1.9 billion of favorable non-cash adjustments primarily included impairment, depreciation, amortization and non-cash lease expense.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Investing Activities</w:t>
      </w:r>
    </w:p>
    <w:p>
      <w:pPr>
        <w:spacing w:after="0" w:line="260" w:lineRule="exact"/>
        <w:rPr>
          <w:sz w:val="20"/>
          <w:szCs w:val="20"/>
          <w:color w:val="auto"/>
        </w:rPr>
      </w:pPr>
    </w:p>
    <w:p>
      <w:pPr>
        <w:spacing w:after="0" w:line="351" w:lineRule="auto"/>
        <w:rPr>
          <w:sz w:val="20"/>
          <w:szCs w:val="20"/>
          <w:color w:val="auto"/>
        </w:rPr>
      </w:pPr>
      <w:r>
        <w:rPr>
          <w:rFonts w:ascii="Arial" w:cs="Arial" w:eastAsia="Arial" w:hAnsi="Arial"/>
          <w:sz w:val="18"/>
          <w:szCs w:val="18"/>
          <w:color w:val="auto"/>
        </w:rPr>
        <w:t>Cash flows from investing activities for the year ended December 31, 2025 were $447 million compared to cash flows from investing activities of $250 million for the year ended December 31, 2024. The cash flows from investing activities in the current year consisted primarily of net proceeds from sales of operations resulting from divestitures that occurred in prior years. These inflows were partially offset by capital expenditures, including software additions, our net purchases of held-to-maturity and available-for-sale securities and cash and fiduciary fund transfers.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 / 47</w:t>
      </w:r>
    </w:p>
    <w:p>
      <w:pPr>
        <w:sectPr>
          <w:pgSz w:w="11900" w:h="16838" w:orient="portrait"/>
          <w:cols w:equalWidth="0" w:num="1">
            <w:col w:w="9380"/>
          </w:cols>
          <w:pgMar w:left="1260" w:top="1173" w:right="1266" w:bottom="0" w:gutter="0" w:footer="0" w:header="0"/>
          <w:type w:val="continuous"/>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0"/>
        <w:spacing w:after="0" w:line="307" w:lineRule="auto"/>
        <w:rPr>
          <w:sz w:val="20"/>
          <w:szCs w:val="20"/>
          <w:color w:val="auto"/>
        </w:rPr>
      </w:pPr>
      <w:r>
        <w:rPr>
          <w:rFonts w:ascii="Arial" w:cs="Arial" w:eastAsia="Arial" w:hAnsi="Arial"/>
          <w:sz w:val="20"/>
          <w:szCs w:val="20"/>
          <w:color w:val="auto"/>
        </w:rPr>
        <w:t>Cash flows from investing activities of $250 million for the year ended December 31, 2024 consisted of proceeds of $619 million primarily from the sale of TRANZACT, partially offset by capital expenditures and capitalized software additions of $245 million and net cash paid for acquisitions of $104 million.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Used In Financing Activities</w:t>
      </w:r>
    </w:p>
    <w:p>
      <w:pPr>
        <w:spacing w:after="0" w:line="260" w:lineRule="exact"/>
        <w:rPr>
          <w:sz w:val="20"/>
          <w:szCs w:val="20"/>
          <w:color w:val="auto"/>
        </w:rPr>
      </w:pPr>
    </w:p>
    <w:p>
      <w:pPr>
        <w:ind w:right="20"/>
        <w:spacing w:after="0" w:line="309" w:lineRule="auto"/>
        <w:rPr>
          <w:sz w:val="20"/>
          <w:szCs w:val="20"/>
          <w:color w:val="auto"/>
        </w:rPr>
      </w:pPr>
      <w:r>
        <w:rPr>
          <w:rFonts w:ascii="Arial" w:cs="Arial" w:eastAsia="Arial" w:hAnsi="Arial"/>
          <w:sz w:val="20"/>
          <w:szCs w:val="20"/>
          <w:color w:val="auto"/>
        </w:rPr>
        <w:t>Cash flows used in financing activities for the year ended December 31, 2025 were $936 million. The significant financing activities included share repurchases of $1.6 billion and dividend payments of $358 million, partially offset by $984 million of net proceeds from the issuance of debt and net proceeds from fiduciary funds held for clients of $172 million.</w:t>
      </w:r>
    </w:p>
    <w:p>
      <w:pPr>
        <w:spacing w:after="0" w:line="196" w:lineRule="exact"/>
        <w:rPr>
          <w:sz w:val="20"/>
          <w:szCs w:val="20"/>
          <w:color w:val="auto"/>
        </w:rPr>
      </w:pPr>
    </w:p>
    <w:p>
      <w:pPr>
        <w:ind w:right="80"/>
        <w:spacing w:after="0" w:line="309" w:lineRule="auto"/>
        <w:rPr>
          <w:sz w:val="20"/>
          <w:szCs w:val="20"/>
          <w:color w:val="auto"/>
        </w:rPr>
      </w:pPr>
      <w:r>
        <w:rPr>
          <w:rFonts w:ascii="Arial" w:cs="Arial" w:eastAsia="Arial" w:hAnsi="Arial"/>
          <w:sz w:val="20"/>
          <w:szCs w:val="20"/>
          <w:color w:val="auto"/>
        </w:rPr>
        <w:t>Cash flows used in financing activities for the year ended December 31, 2024 were $459 million. The significant financing activities included share repurchases of $901 million and dividend payments of $354 million, partially offset by net proceeds from fiduciary funds held for clients of $785 million and $82 million of net proceeds from the issuance of debt.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Indebtedness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Total debt, total equity, and the capitalization ratio at December 31, 2025 and December 31, 2024 were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Pr>
          <w:p>
            <w:pPr>
              <w:spacing w:after="0"/>
              <w:rPr>
                <w:sz w:val="16"/>
                <w:szCs w:val="16"/>
                <w:color w:val="auto"/>
              </w:rPr>
            </w:pPr>
          </w:p>
        </w:tc>
      </w:tr>
      <w:tr>
        <w:trPr>
          <w:trHeight w:val="264"/>
        </w:trPr>
        <w:tc>
          <w:tcPr>
            <w:tcW w:w="4460" w:type="dxa"/>
            <w:vAlign w:val="bottom"/>
          </w:tcPr>
          <w:p>
            <w:pPr>
              <w:spacing w:after="0"/>
              <w:rPr>
                <w:sz w:val="22"/>
                <w:szCs w:val="22"/>
                <w:color w:val="auto"/>
              </w:rPr>
            </w:pPr>
          </w:p>
        </w:tc>
        <w:tc>
          <w:tcPr>
            <w:tcW w:w="26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ind w:right="583"/>
              <w:spacing w:after="0"/>
              <w:rPr>
                <w:sz w:val="20"/>
                <w:szCs w:val="20"/>
                <w:color w:val="auto"/>
              </w:rPr>
            </w:pPr>
            <w:r>
              <w:rPr>
                <w:rFonts w:ascii="Arial" w:cs="Arial" w:eastAsia="Arial" w:hAnsi="Arial"/>
                <w:sz w:val="16"/>
                <w:szCs w:val="16"/>
                <w:b w:val="1"/>
                <w:bCs w:val="1"/>
                <w:color w:val="auto"/>
              </w:rPr>
              <w:t>2024</w:t>
            </w:r>
          </w:p>
        </w:tc>
      </w:tr>
      <w:tr>
        <w:trPr>
          <w:trHeight w:val="264"/>
        </w:trPr>
        <w:tc>
          <w:tcPr>
            <w:tcW w:w="446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(in millions)</w:t>
            </w:r>
          </w:p>
        </w:tc>
        <w:tc>
          <w:tcPr>
            <w:tcW w:w="1100" w:type="dxa"/>
            <w:vAlign w:val="bottom"/>
          </w:tcPr>
          <w:p>
            <w:pPr>
              <w:spacing w:after="0"/>
              <w:rPr>
                <w:sz w:val="22"/>
                <w:szCs w:val="22"/>
                <w:color w:val="auto"/>
              </w:rPr>
            </w:pPr>
          </w:p>
        </w:tc>
      </w:tr>
      <w:tr>
        <w:trPr>
          <w:trHeight w:val="32"/>
        </w:trPr>
        <w:tc>
          <w:tcPr>
            <w:tcW w:w="4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94"/>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Long-term debt</w:t>
            </w:r>
          </w:p>
        </w:tc>
        <w:tc>
          <w:tcPr>
            <w:tcW w:w="2620" w:type="dxa"/>
            <w:vAlign w:val="bottom"/>
            <w:tcBorders>
              <w:bottom w:val="single" w:sz="8" w:color="CFF0FC"/>
            </w:tcBorders>
            <w:shd w:val="clear" w:color="auto" w:fill="CFF0FC"/>
          </w:tcPr>
          <w:p>
            <w:pPr>
              <w:jc w:val="right"/>
              <w:ind w:right="625"/>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20"/>
                <w:szCs w:val="20"/>
                <w:color w:val="auto"/>
                <w:w w:val="91"/>
              </w:rPr>
              <w:t>5,756</w:t>
            </w:r>
          </w:p>
        </w:tc>
        <w:tc>
          <w:tcPr>
            <w:tcW w:w="48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ind w:right="103"/>
              <w:spacing w:after="0"/>
              <w:rPr>
                <w:sz w:val="20"/>
                <w:szCs w:val="20"/>
                <w:color w:val="auto"/>
              </w:rPr>
            </w:pPr>
            <w:r>
              <w:rPr>
                <w:rFonts w:ascii="Arial" w:cs="Arial" w:eastAsia="Arial" w:hAnsi="Arial"/>
                <w:sz w:val="20"/>
                <w:szCs w:val="20"/>
                <w:color w:val="auto"/>
              </w:rPr>
              <w:t>5,309</w:t>
            </w:r>
          </w:p>
        </w:tc>
      </w:tr>
      <w:tr>
        <w:trPr>
          <w:trHeight w:val="274"/>
        </w:trPr>
        <w:tc>
          <w:tcPr>
            <w:tcW w:w="4460" w:type="dxa"/>
            <w:vAlign w:val="bottom"/>
          </w:tcPr>
          <w:p>
            <w:pPr>
              <w:spacing w:after="0"/>
              <w:rPr>
                <w:sz w:val="20"/>
                <w:szCs w:val="20"/>
                <w:color w:val="auto"/>
              </w:rPr>
            </w:pPr>
            <w:r>
              <w:rPr>
                <w:rFonts w:ascii="Arial" w:cs="Arial" w:eastAsia="Arial" w:hAnsi="Arial"/>
                <w:sz w:val="20"/>
                <w:szCs w:val="20"/>
                <w:color w:val="auto"/>
              </w:rPr>
              <w:t>Current debt</w:t>
            </w:r>
          </w:p>
        </w:tc>
        <w:tc>
          <w:tcPr>
            <w:tcW w:w="2620" w:type="dxa"/>
            <w:vAlign w:val="bottom"/>
          </w:tcPr>
          <w:p>
            <w:pPr>
              <w:spacing w:after="0"/>
              <w:rPr>
                <w:sz w:val="23"/>
                <w:szCs w:val="23"/>
                <w:color w:val="auto"/>
              </w:rPr>
            </w:pPr>
          </w:p>
        </w:tc>
        <w:tc>
          <w:tcPr>
            <w:tcW w:w="740" w:type="dxa"/>
            <w:vAlign w:val="bottom"/>
          </w:tcPr>
          <w:p>
            <w:pPr>
              <w:jc w:val="right"/>
              <w:ind w:right="166"/>
              <w:spacing w:after="0"/>
              <w:rPr>
                <w:sz w:val="20"/>
                <w:szCs w:val="20"/>
                <w:color w:val="auto"/>
              </w:rPr>
            </w:pPr>
            <w:r>
              <w:rPr>
                <w:rFonts w:ascii="Arial" w:cs="Arial" w:eastAsia="Arial" w:hAnsi="Arial"/>
                <w:sz w:val="20"/>
                <w:szCs w:val="20"/>
                <w:color w:val="auto"/>
              </w:rPr>
              <w:t>550</w:t>
            </w:r>
          </w:p>
        </w:tc>
        <w:tc>
          <w:tcPr>
            <w:tcW w:w="480" w:type="dxa"/>
            <w:vAlign w:val="bottom"/>
          </w:tcPr>
          <w:p>
            <w:pPr>
              <w:spacing w:after="0"/>
              <w:rPr>
                <w:sz w:val="23"/>
                <w:szCs w:val="23"/>
                <w:color w:val="auto"/>
              </w:rPr>
            </w:pPr>
          </w:p>
        </w:tc>
        <w:tc>
          <w:tcPr>
            <w:tcW w:w="1100" w:type="dxa"/>
            <w:vAlign w:val="bottom"/>
          </w:tcPr>
          <w:p>
            <w:pPr>
              <w:jc w:val="right"/>
              <w:ind w:right="103"/>
              <w:spacing w:after="0"/>
              <w:rPr>
                <w:sz w:val="20"/>
                <w:szCs w:val="20"/>
                <w:color w:val="auto"/>
              </w:rPr>
            </w:pPr>
            <w:r>
              <w:rPr>
                <w:rFonts w:ascii="Arial" w:cs="Arial" w:eastAsia="Arial" w:hAnsi="Arial"/>
                <w:sz w:val="20"/>
                <w:szCs w:val="20"/>
                <w:color w:val="auto"/>
              </w:rPr>
              <w:t>—</w:t>
            </w:r>
          </w:p>
        </w:tc>
      </w:tr>
      <w:tr>
        <w:trPr>
          <w:trHeight w:val="51"/>
        </w:trPr>
        <w:tc>
          <w:tcPr>
            <w:tcW w:w="4460" w:type="dxa"/>
            <w:vAlign w:val="bottom"/>
          </w:tcPr>
          <w:p>
            <w:pPr>
              <w:spacing w:after="0"/>
              <w:rPr>
                <w:sz w:val="4"/>
                <w:szCs w:val="4"/>
                <w:color w:val="auto"/>
              </w:rPr>
            </w:pPr>
          </w:p>
        </w:tc>
        <w:tc>
          <w:tcPr>
            <w:tcW w:w="2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304"/>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debt</w:t>
            </w:r>
          </w:p>
        </w:tc>
        <w:tc>
          <w:tcPr>
            <w:tcW w:w="2620" w:type="dxa"/>
            <w:vAlign w:val="bottom"/>
            <w:tcBorders>
              <w:bottom w:val="single" w:sz="8" w:color="CFF0FC"/>
            </w:tcBorders>
            <w:shd w:val="clear" w:color="auto" w:fill="CFF0FC"/>
          </w:tcPr>
          <w:p>
            <w:pPr>
              <w:jc w:val="right"/>
              <w:ind w:right="625"/>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20"/>
                <w:szCs w:val="20"/>
                <w:color w:val="auto"/>
                <w:w w:val="91"/>
              </w:rPr>
              <w:t>6,306</w:t>
            </w:r>
          </w:p>
        </w:tc>
        <w:tc>
          <w:tcPr>
            <w:tcW w:w="48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ind w:right="103"/>
              <w:spacing w:after="0"/>
              <w:rPr>
                <w:sz w:val="20"/>
                <w:szCs w:val="20"/>
                <w:color w:val="auto"/>
              </w:rPr>
            </w:pPr>
            <w:r>
              <w:rPr>
                <w:rFonts w:ascii="Arial" w:cs="Arial" w:eastAsia="Arial" w:hAnsi="Arial"/>
                <w:sz w:val="20"/>
                <w:szCs w:val="20"/>
                <w:color w:val="auto"/>
              </w:rPr>
              <w:t>5,309</w:t>
            </w:r>
          </w:p>
        </w:tc>
      </w:tr>
      <w:tr>
        <w:trPr>
          <w:trHeight w:val="314"/>
        </w:trPr>
        <w:tc>
          <w:tcPr>
            <w:tcW w:w="4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4"/>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WTW shareholders’ equity</w:t>
            </w:r>
          </w:p>
        </w:tc>
        <w:tc>
          <w:tcPr>
            <w:tcW w:w="2620" w:type="dxa"/>
            <w:vAlign w:val="bottom"/>
            <w:tcBorders>
              <w:bottom w:val="single" w:sz="8" w:color="CFF0FC"/>
            </w:tcBorders>
            <w:shd w:val="clear" w:color="auto" w:fill="CFF0FC"/>
          </w:tcPr>
          <w:p>
            <w:pPr>
              <w:jc w:val="right"/>
              <w:ind w:right="625"/>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20"/>
                <w:szCs w:val="20"/>
                <w:color w:val="auto"/>
                <w:w w:val="91"/>
              </w:rPr>
              <w:t>7,976</w:t>
            </w:r>
          </w:p>
        </w:tc>
        <w:tc>
          <w:tcPr>
            <w:tcW w:w="480" w:type="dxa"/>
            <w:vAlign w:val="bottom"/>
            <w:tcBorders>
              <w:bottom w:val="single" w:sz="8" w:color="CFF0FC"/>
            </w:tcBorders>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ind w:right="103"/>
              <w:spacing w:after="0"/>
              <w:rPr>
                <w:sz w:val="20"/>
                <w:szCs w:val="20"/>
                <w:color w:val="auto"/>
              </w:rPr>
            </w:pPr>
            <w:r>
              <w:rPr>
                <w:rFonts w:ascii="Arial" w:cs="Arial" w:eastAsia="Arial" w:hAnsi="Arial"/>
                <w:sz w:val="20"/>
                <w:szCs w:val="20"/>
                <w:color w:val="auto"/>
              </w:rPr>
              <w:t>7,940</w:t>
            </w:r>
          </w:p>
        </w:tc>
      </w:tr>
      <w:tr>
        <w:trPr>
          <w:trHeight w:val="314"/>
        </w:trPr>
        <w:tc>
          <w:tcPr>
            <w:tcW w:w="4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4"/>
        </w:trPr>
        <w:tc>
          <w:tcPr>
            <w:tcW w:w="4460" w:type="dxa"/>
            <w:vAlign w:val="bottom"/>
            <w:shd w:val="clear" w:color="auto" w:fill="CFF0FC"/>
          </w:tcPr>
          <w:p>
            <w:pPr>
              <w:spacing w:after="0"/>
              <w:rPr>
                <w:sz w:val="20"/>
                <w:szCs w:val="20"/>
                <w:color w:val="auto"/>
              </w:rPr>
            </w:pPr>
            <w:r>
              <w:rPr>
                <w:rFonts w:ascii="Arial" w:cs="Arial" w:eastAsia="Arial" w:hAnsi="Arial"/>
                <w:sz w:val="20"/>
                <w:szCs w:val="20"/>
                <w:color w:val="auto"/>
              </w:rPr>
              <w:t>Capitalization ratio</w:t>
            </w:r>
          </w:p>
        </w:tc>
        <w:tc>
          <w:tcPr>
            <w:tcW w:w="262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44.2%</w:t>
            </w:r>
          </w:p>
        </w:tc>
        <w:tc>
          <w:tcPr>
            <w:tcW w:w="480" w:type="dxa"/>
            <w:vAlign w:val="bottom"/>
            <w:shd w:val="clear" w:color="auto" w:fill="CFF0FC"/>
          </w:tcPr>
          <w:p>
            <w:pPr>
              <w:spacing w:after="0"/>
              <w:rPr>
                <w:sz w:val="23"/>
                <w:szCs w:val="2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40.1%</w:t>
            </w:r>
          </w:p>
        </w:tc>
      </w:tr>
      <w:tr>
        <w:trPr>
          <w:trHeight w:val="86"/>
        </w:trPr>
        <w:tc>
          <w:tcPr>
            <w:tcW w:w="4460" w:type="dxa"/>
            <w:vAlign w:val="bottom"/>
            <w:shd w:val="clear" w:color="auto" w:fill="CFF0FC"/>
          </w:tcPr>
          <w:p>
            <w:pPr>
              <w:spacing w:after="0"/>
              <w:rPr>
                <w:sz w:val="7"/>
                <w:szCs w:val="7"/>
                <w:color w:val="auto"/>
              </w:rPr>
            </w:pPr>
          </w:p>
        </w:tc>
        <w:tc>
          <w:tcPr>
            <w:tcW w:w="26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-1780540</wp:posOffset>
            </wp:positionV>
            <wp:extent cx="198628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5">
                      <a:extLst>
                        <a:ext uri="{28A0092B-C50C-407E-A947-70E740481C1C}"/>
                      </a:extLst>
                    </a:blip>
                    <a:srcRect/>
                    <a:stretch>
                      <a:fillRect/>
                    </a:stretch>
                  </pic:blipFill>
                  <pic:spPr bwMode="auto">
                    <a:xfrm>
                      <a:off x="0" y="0"/>
                      <a:ext cx="1986280" cy="63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-1612265</wp:posOffset>
            </wp:positionV>
            <wp:extent cx="198628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6">
                      <a:extLst>
                        <a:ext uri="{28A0092B-C50C-407E-A947-70E740481C1C}"/>
                      </a:extLst>
                    </a:blip>
                    <a:srcRect/>
                    <a:stretch>
                      <a:fillRect/>
                    </a:stretch>
                  </pic:blipFill>
                  <pic:spPr bwMode="auto">
                    <a:xfrm>
                      <a:off x="0" y="0"/>
                      <a:ext cx="1986280" cy="63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-1045210</wp:posOffset>
            </wp:positionV>
            <wp:extent cx="198628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7">
                      <a:extLst>
                        <a:ext uri="{28A0092B-C50C-407E-A947-70E740481C1C}"/>
                      </a:extLst>
                    </a:blip>
                    <a:srcRect/>
                    <a:stretch>
                      <a:fillRect/>
                    </a:stretch>
                  </pic:blipFill>
                  <pic:spPr bwMode="auto">
                    <a:xfrm>
                      <a:off x="0" y="0"/>
                      <a:ext cx="1986280" cy="63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-839470</wp:posOffset>
            </wp:positionV>
            <wp:extent cx="198628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8">
                      <a:extLst>
                        <a:ext uri="{28A0092B-C50C-407E-A947-70E740481C1C}"/>
                      </a:extLst>
                    </a:blip>
                    <a:srcRect/>
                    <a:stretch>
                      <a:fillRect/>
                    </a:stretch>
                  </pic:blipFill>
                  <pic:spPr bwMode="auto">
                    <a:xfrm>
                      <a:off x="0" y="0"/>
                      <a:ext cx="1986280" cy="63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-433705</wp:posOffset>
            </wp:positionV>
            <wp:extent cx="198628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9">
                      <a:extLst>
                        <a:ext uri="{28A0092B-C50C-407E-A947-70E740481C1C}"/>
                      </a:extLst>
                    </a:blip>
                    <a:srcRect/>
                    <a:stretch>
                      <a:fillRect/>
                    </a:stretch>
                  </pic:blipFill>
                  <pic:spPr bwMode="auto">
                    <a:xfrm>
                      <a:off x="0" y="0"/>
                      <a:ext cx="1986280" cy="63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-27940</wp:posOffset>
            </wp:positionV>
            <wp:extent cx="1986280" cy="285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0">
                      <a:extLst>
                        <a:ext uri="{28A0092B-C50C-407E-A947-70E740481C1C}"/>
                      </a:extLst>
                    </a:blip>
                    <a:srcRect/>
                    <a:stretch>
                      <a:fillRect/>
                    </a:stretch>
                  </pic:blipFill>
                  <pic:spPr bwMode="auto">
                    <a:xfrm>
                      <a:off x="0" y="0"/>
                      <a:ext cx="1986280" cy="28575"/>
                    </a:xfrm>
                    <a:prstGeom prst="rect">
                      <a:avLst/>
                    </a:prstGeom>
                    <a:noFill/>
                  </pic:spPr>
                </pic:pic>
              </a:graphicData>
            </a:graphic>
          </wp:anchor>
        </w:drawing>
      </w:r>
    </w:p>
    <w:p>
      <w:pPr>
        <w:spacing w:after="0" w:line="199" w:lineRule="exact"/>
        <w:rPr>
          <w:sz w:val="20"/>
          <w:szCs w:val="20"/>
          <w:color w:val="auto"/>
        </w:rPr>
      </w:pPr>
    </w:p>
    <w:p>
      <w:pPr>
        <w:ind w:right="300"/>
        <w:spacing w:after="0" w:line="310" w:lineRule="auto"/>
        <w:rPr>
          <w:sz w:val="20"/>
          <w:szCs w:val="20"/>
          <w:color w:val="auto"/>
        </w:rPr>
      </w:pPr>
      <w:r>
        <w:rPr>
          <w:rFonts w:ascii="Arial" w:cs="Arial" w:eastAsia="Arial" w:hAnsi="Arial"/>
          <w:sz w:val="20"/>
          <w:szCs w:val="20"/>
          <w:color w:val="auto"/>
        </w:rPr>
        <w:t>At December 31, 2025, our mandatory debt repayments over the next twelve months include $550 million outstanding on our 4.400% senior notes, which will mature during the first quarter of 2026. In addition, our $1.5 billion revolving credit facility, which was set to expire on October 6, 2026, was replaced on October 17, 2025 by our third amended and restated $1.5 billion revolving credit facility (see Note 11 — Debt within Item 8 of this Annual Report on Form 10-K).</w:t>
      </w:r>
    </w:p>
    <w:p>
      <w:pPr>
        <w:spacing w:after="0" w:line="195" w:lineRule="exact"/>
        <w:rPr>
          <w:sz w:val="20"/>
          <w:szCs w:val="20"/>
          <w:color w:val="auto"/>
        </w:rPr>
      </w:pPr>
    </w:p>
    <w:p>
      <w:pPr>
        <w:ind w:right="580"/>
        <w:spacing w:after="0" w:line="302" w:lineRule="auto"/>
        <w:rPr>
          <w:sz w:val="20"/>
          <w:szCs w:val="20"/>
          <w:color w:val="auto"/>
        </w:rPr>
      </w:pPr>
      <w:r>
        <w:rPr>
          <w:rFonts w:ascii="Arial" w:cs="Arial" w:eastAsia="Arial" w:hAnsi="Arial"/>
          <w:sz w:val="20"/>
          <w:szCs w:val="20"/>
          <w:color w:val="auto"/>
        </w:rPr>
        <w:t>For more information regarding our current and long-term debt, please see ‘Supplemental Guarantor Financial Information’ elsewhere within this Item 7 of this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At December 31, 2025 and 2024, we were in compliance with all financial covenants.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Fiduciary Funds</w:t>
      </w:r>
    </w:p>
    <w:p>
      <w:pPr>
        <w:spacing w:after="0" w:line="260" w:lineRule="exact"/>
        <w:rPr>
          <w:sz w:val="20"/>
          <w:szCs w:val="20"/>
          <w:color w:val="auto"/>
        </w:rPr>
      </w:pPr>
    </w:p>
    <w:p>
      <w:pPr>
        <w:ind w:right="40"/>
        <w:spacing w:after="0" w:line="355" w:lineRule="auto"/>
        <w:rPr>
          <w:sz w:val="20"/>
          <w:szCs w:val="20"/>
          <w:color w:val="auto"/>
        </w:rPr>
      </w:pPr>
      <w:r>
        <w:rPr>
          <w:rFonts w:ascii="Arial" w:cs="Arial" w:eastAsia="Arial" w:hAnsi="Arial"/>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some of which are invested in open-</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47</w:t>
      </w:r>
    </w:p>
    <w:p>
      <w:pPr>
        <w:sectPr>
          <w:pgSz w:w="11900" w:h="16838" w:orient="portrait"/>
          <w:cols w:equalWidth="0" w:num="1">
            <w:col w:w="9400"/>
          </w:cols>
          <w:pgMar w:left="1260" w:top="1440" w:right="1246" w:bottom="0" w:gutter="0" w:footer="0" w:header="0"/>
          <w:type w:val="continuous"/>
        </w:sectPr>
      </w:pPr>
    </w:p>
    <w:bookmarkStart w:id="108" w:name="page109"/>
    <w:bookmarkEnd w:id="108"/>
    <w:p>
      <w:pPr>
        <w:ind w:right="280"/>
        <w:spacing w:after="0" w:line="309" w:lineRule="auto"/>
        <w:rPr>
          <w:sz w:val="20"/>
          <w:szCs w:val="20"/>
          <w:color w:val="auto"/>
        </w:rPr>
      </w:pPr>
      <w:r>
        <w:rPr>
          <w:rFonts w:ascii="Arial" w:cs="Arial" w:eastAsia="Arial" w:hAnsi="Arial"/>
          <w:sz w:val="20"/>
          <w:szCs w:val="20"/>
          <w:color w:val="auto"/>
        </w:rPr>
        <w:t>ended mutual funds as directed by the participant. These fiduciary funds are included in fiduciary assets on our consolidated balance sheets. We present the equal and corresponding fiduciary liabilities related to these fiduciary funds representing amounts or claims due to our clients or premiums due on their behalf to insurers on our consolidated balance sheets.</w:t>
      </w:r>
    </w:p>
    <w:p>
      <w:pPr>
        <w:spacing w:after="0" w:line="196" w:lineRule="exact"/>
        <w:rPr>
          <w:sz w:val="20"/>
          <w:szCs w:val="20"/>
          <w:color w:val="auto"/>
        </w:rPr>
      </w:pPr>
    </w:p>
    <w:p>
      <w:pPr>
        <w:spacing w:after="0" w:line="310" w:lineRule="auto"/>
        <w:rPr>
          <w:sz w:val="20"/>
          <w:szCs w:val="20"/>
          <w:color w:val="auto"/>
        </w:rPr>
      </w:pPr>
      <w:r>
        <w:rPr>
          <w:rFonts w:ascii="Arial" w:cs="Arial" w:eastAsia="Arial" w:hAnsi="Arial"/>
          <w:sz w:val="20"/>
          <w:szCs w:val="20"/>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At December 31, 2025 and 2024, we had fiduciary funds of $3.8 billion and $3.4 billion, respectively.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47</w:t>
      </w:r>
    </w:p>
    <w:p>
      <w:pPr>
        <w:sectPr>
          <w:pgSz w:w="11900" w:h="16838" w:orient="portrait"/>
          <w:cols w:equalWidth="0" w:num="1">
            <w:col w:w="9400"/>
          </w:cols>
          <w:pgMar w:left="1260" w:top="1173" w:right="1246" w:bottom="0" w:gutter="0" w:footer="0" w:header="0"/>
          <w:type w:val="continuous"/>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260" w:lineRule="exact"/>
        <w:rPr>
          <w:sz w:val="20"/>
          <w:szCs w:val="20"/>
          <w:color w:val="auto"/>
        </w:rPr>
      </w:pPr>
    </w:p>
    <w:p>
      <w:pPr>
        <w:jc w:val="both"/>
        <w:ind w:right="240"/>
        <w:spacing w:after="0" w:line="307" w:lineRule="auto"/>
        <w:rPr>
          <w:sz w:val="20"/>
          <w:szCs w:val="20"/>
          <w:color w:val="auto"/>
        </w:rPr>
      </w:pPr>
      <w:r>
        <w:rPr>
          <w:rFonts w:ascii="Arial" w:cs="Arial" w:eastAsia="Arial" w:hAnsi="Arial"/>
          <w:sz w:val="20"/>
          <w:szCs w:val="20"/>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97" w:lineRule="exact"/>
        <w:rPr>
          <w:sz w:val="20"/>
          <w:szCs w:val="20"/>
          <w:color w:val="auto"/>
        </w:rPr>
      </w:pPr>
    </w:p>
    <w:p>
      <w:pPr>
        <w:ind w:right="60"/>
        <w:spacing w:after="0" w:line="311" w:lineRule="auto"/>
        <w:rPr>
          <w:sz w:val="20"/>
          <w:szCs w:val="20"/>
          <w:color w:val="auto"/>
        </w:rPr>
      </w:pPr>
      <w:r>
        <w:rPr>
          <w:rFonts w:ascii="Arial" w:cs="Arial" w:eastAsia="Arial" w:hAnsi="Arial"/>
          <w:sz w:val="20"/>
          <w:szCs w:val="20"/>
          <w:color w:val="auto"/>
        </w:rPr>
        <w:t>On September 20, 2023, the board of directors approved a $1.0 billion increase to the existing share repurchase program. Additionally, on November 20, 2024, the board of directors approved a $1.0 billion increase to the existing share repurchase program, and on September 16, 2025, approved a $1.5 billion increase to the existing share repurchase program. These increases brought the total approved authorization, since April 20, 2016, to $11.7 billion. See Part II, Item 5 Market for Registrant’s Common Equity, Related Stockholder Matters and Issuer Purchases of Equity Securities in this Annual Report on Form 10-K for further information regarding the Company’s share repurchase program.</w:t>
      </w:r>
    </w:p>
    <w:p>
      <w:pPr>
        <w:spacing w:after="0" w:line="194" w:lineRule="exact"/>
        <w:rPr>
          <w:sz w:val="20"/>
          <w:szCs w:val="20"/>
          <w:color w:val="auto"/>
        </w:rPr>
      </w:pPr>
    </w:p>
    <w:p>
      <w:pPr>
        <w:ind w:right="120"/>
        <w:spacing w:after="0" w:line="307" w:lineRule="auto"/>
        <w:rPr>
          <w:sz w:val="20"/>
          <w:szCs w:val="20"/>
          <w:color w:val="auto"/>
        </w:rPr>
      </w:pPr>
      <w:r>
        <w:rPr>
          <w:rFonts w:ascii="Arial" w:cs="Arial" w:eastAsia="Arial" w:hAnsi="Arial"/>
          <w:sz w:val="20"/>
          <w:szCs w:val="20"/>
          <w:color w:val="auto"/>
        </w:rPr>
        <w:t>At December 31, 2025, approximately $1.3 billion remained on the current repurchase authority. The maximum number of shares that could be repurchased based on the closing price of our ordinary shares on December 31, 2025 of $328.60 was 3,931,099.</w:t>
      </w:r>
    </w:p>
    <w:p>
      <w:pPr>
        <w:spacing w:after="0" w:line="197" w:lineRule="exact"/>
        <w:rPr>
          <w:sz w:val="20"/>
          <w:szCs w:val="20"/>
          <w:color w:val="auto"/>
        </w:rPr>
      </w:pPr>
    </w:p>
    <w:p>
      <w:pPr>
        <w:ind w:right="140"/>
        <w:spacing w:after="0" w:line="302" w:lineRule="auto"/>
        <w:rPr>
          <w:sz w:val="20"/>
          <w:szCs w:val="20"/>
          <w:color w:val="auto"/>
        </w:rPr>
      </w:pPr>
      <w:r>
        <w:rPr>
          <w:rFonts w:ascii="Arial" w:cs="Arial" w:eastAsia="Arial" w:hAnsi="Arial"/>
          <w:sz w:val="20"/>
          <w:szCs w:val="20"/>
          <w:color w:val="auto"/>
        </w:rPr>
        <w:t>The following table presents specified information about the Company’s repurchases of ordinary shares for the year ended December 31, 2025:</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3460" w:type="dxa"/>
            <w:vAlign w:val="bottom"/>
          </w:tcPr>
          <w:p>
            <w:pPr>
              <w:jc w:val="right"/>
              <w:ind w:right="488"/>
              <w:spacing w:after="0"/>
              <w:rPr>
                <w:sz w:val="20"/>
                <w:szCs w:val="20"/>
                <w:color w:val="auto"/>
              </w:rPr>
            </w:pPr>
            <w:r>
              <w:rPr>
                <w:rFonts w:ascii="Arial" w:cs="Arial" w:eastAsia="Arial" w:hAnsi="Arial"/>
                <w:sz w:val="16"/>
                <w:szCs w:val="16"/>
                <w:b w:val="1"/>
                <w:bCs w:val="1"/>
                <w:color w:val="auto"/>
              </w:rPr>
              <w:t>Year ended</w:t>
            </w:r>
          </w:p>
        </w:tc>
      </w:tr>
      <w:tr>
        <w:trPr>
          <w:trHeight w:val="240"/>
        </w:trPr>
        <w:tc>
          <w:tcPr>
            <w:tcW w:w="5940" w:type="dxa"/>
            <w:vAlign w:val="bottom"/>
          </w:tcPr>
          <w:p>
            <w:pPr>
              <w:spacing w:after="0"/>
              <w:rPr>
                <w:sz w:val="20"/>
                <w:szCs w:val="20"/>
                <w:color w:val="auto"/>
              </w:rPr>
            </w:pPr>
          </w:p>
        </w:tc>
        <w:tc>
          <w:tcPr>
            <w:tcW w:w="3460" w:type="dxa"/>
            <w:vAlign w:val="bottom"/>
          </w:tcPr>
          <w:p>
            <w:pPr>
              <w:jc w:val="right"/>
              <w:ind w:right="228"/>
              <w:spacing w:after="0"/>
              <w:rPr>
                <w:sz w:val="20"/>
                <w:szCs w:val="20"/>
                <w:color w:val="auto"/>
              </w:rPr>
            </w:pPr>
            <w:r>
              <w:rPr>
                <w:rFonts w:ascii="Arial" w:cs="Arial" w:eastAsia="Arial" w:hAnsi="Arial"/>
                <w:sz w:val="16"/>
                <w:szCs w:val="16"/>
                <w:b w:val="1"/>
                <w:bCs w:val="1"/>
                <w:color w:val="auto"/>
              </w:rPr>
              <w:t>December 31, 2025</w:t>
            </w:r>
          </w:p>
        </w:tc>
      </w:tr>
      <w:tr>
        <w:trPr>
          <w:trHeight w:val="42"/>
        </w:trPr>
        <w:tc>
          <w:tcPr>
            <w:tcW w:w="5940" w:type="dxa"/>
            <w:vAlign w:val="bottom"/>
          </w:tcPr>
          <w:p>
            <w:pPr>
              <w:spacing w:after="0"/>
              <w:rPr>
                <w:sz w:val="3"/>
                <w:szCs w:val="3"/>
                <w:color w:val="auto"/>
              </w:rPr>
            </w:pPr>
          </w:p>
        </w:tc>
        <w:tc>
          <w:tcPr>
            <w:tcW w:w="3460" w:type="dxa"/>
            <w:vAlign w:val="bottom"/>
          </w:tcPr>
          <w:p>
            <w:pPr>
              <w:spacing w:after="0"/>
              <w:rPr>
                <w:sz w:val="3"/>
                <w:szCs w:val="3"/>
                <w:color w:val="auto"/>
              </w:rPr>
            </w:pPr>
          </w:p>
        </w:tc>
      </w:tr>
      <w:tr>
        <w:trPr>
          <w:trHeight w:val="280"/>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Shares repurchased</w:t>
            </w:r>
          </w:p>
        </w:tc>
        <w:tc>
          <w:tcPr>
            <w:tcW w:w="3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5,138,535</w:t>
            </w:r>
          </w:p>
        </w:tc>
      </w:tr>
      <w:tr>
        <w:trPr>
          <w:trHeight w:val="259"/>
        </w:trPr>
        <w:tc>
          <w:tcPr>
            <w:tcW w:w="5940" w:type="dxa"/>
            <w:vAlign w:val="bottom"/>
          </w:tcPr>
          <w:p>
            <w:pPr>
              <w:spacing w:after="0"/>
              <w:rPr>
                <w:sz w:val="20"/>
                <w:szCs w:val="20"/>
                <w:color w:val="auto"/>
              </w:rPr>
            </w:pPr>
            <w:r>
              <w:rPr>
                <w:rFonts w:ascii="Arial" w:cs="Arial" w:eastAsia="Arial" w:hAnsi="Arial"/>
                <w:sz w:val="20"/>
                <w:szCs w:val="20"/>
                <w:color w:val="auto"/>
              </w:rPr>
              <w:t>Average price per share</w:t>
            </w:r>
          </w:p>
        </w:tc>
        <w:tc>
          <w:tcPr>
            <w:tcW w:w="3460" w:type="dxa"/>
            <w:vAlign w:val="bottom"/>
          </w:tcPr>
          <w:p>
            <w:pPr>
              <w:jc w:val="right"/>
              <w:spacing w:after="0"/>
              <w:rPr>
                <w:sz w:val="20"/>
                <w:szCs w:val="20"/>
                <w:color w:val="auto"/>
              </w:rPr>
            </w:pPr>
            <w:r>
              <w:rPr>
                <w:rFonts w:ascii="Arial" w:cs="Arial" w:eastAsia="Arial" w:hAnsi="Arial"/>
                <w:sz w:val="20"/>
                <w:szCs w:val="20"/>
                <w:color w:val="auto"/>
              </w:rPr>
              <w:t>$321.10</w:t>
            </w:r>
          </w:p>
        </w:tc>
      </w:tr>
      <w:tr>
        <w:trPr>
          <w:trHeight w:val="41"/>
        </w:trPr>
        <w:tc>
          <w:tcPr>
            <w:tcW w:w="5940" w:type="dxa"/>
            <w:vAlign w:val="bottom"/>
          </w:tcPr>
          <w:p>
            <w:pPr>
              <w:spacing w:after="0"/>
              <w:rPr>
                <w:sz w:val="3"/>
                <w:szCs w:val="3"/>
                <w:color w:val="auto"/>
              </w:rPr>
            </w:pPr>
          </w:p>
        </w:tc>
        <w:tc>
          <w:tcPr>
            <w:tcW w:w="3460" w:type="dxa"/>
            <w:vAlign w:val="bottom"/>
          </w:tcPr>
          <w:p>
            <w:pPr>
              <w:spacing w:after="0"/>
              <w:rPr>
                <w:sz w:val="3"/>
                <w:szCs w:val="3"/>
                <w:color w:val="auto"/>
              </w:rPr>
            </w:pPr>
          </w:p>
        </w:tc>
      </w:tr>
      <w:tr>
        <w:trPr>
          <w:trHeight w:val="259"/>
        </w:trPr>
        <w:tc>
          <w:tcPr>
            <w:tcW w:w="5940" w:type="dxa"/>
            <w:vAlign w:val="bottom"/>
            <w:shd w:val="clear" w:color="auto" w:fill="CFF0FC"/>
          </w:tcPr>
          <w:p>
            <w:pPr>
              <w:spacing w:after="0"/>
              <w:rPr>
                <w:sz w:val="20"/>
                <w:szCs w:val="20"/>
                <w:color w:val="auto"/>
              </w:rPr>
            </w:pPr>
            <w:r>
              <w:rPr>
                <w:rFonts w:ascii="Arial" w:cs="Arial" w:eastAsia="Arial" w:hAnsi="Arial"/>
                <w:sz w:val="20"/>
                <w:szCs w:val="20"/>
                <w:color w:val="auto"/>
              </w:rPr>
              <w:t>Aggregate repurchase cost (excluding broker costs)</w:t>
            </w:r>
          </w:p>
        </w:tc>
        <w:tc>
          <w:tcPr>
            <w:tcW w:w="3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 billion</w:t>
            </w:r>
          </w:p>
        </w:tc>
      </w:tr>
      <w:tr>
        <w:trPr>
          <w:trHeight w:val="41"/>
        </w:trPr>
        <w:tc>
          <w:tcPr>
            <w:tcW w:w="5940" w:type="dxa"/>
            <w:vAlign w:val="bottom"/>
            <w:shd w:val="clear" w:color="auto" w:fill="CFF0FC"/>
          </w:tcPr>
          <w:p>
            <w:pPr>
              <w:spacing w:after="0"/>
              <w:rPr>
                <w:sz w:val="3"/>
                <w:szCs w:val="3"/>
                <w:color w:val="auto"/>
              </w:rPr>
            </w:pPr>
          </w:p>
        </w:tc>
        <w:tc>
          <w:tcPr>
            <w:tcW w:w="346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4735830</wp:posOffset>
            </wp:positionH>
            <wp:positionV relativeFrom="paragraph">
              <wp:posOffset>-577215</wp:posOffset>
            </wp:positionV>
            <wp:extent cx="122809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2">
                      <a:extLst>
                        <a:ext uri="{28A0092B-C50C-407E-A947-70E740481C1C}"/>
                      </a:extLst>
                    </a:blip>
                    <a:srcRect/>
                    <a:stretch>
                      <a:fillRect/>
                    </a:stretch>
                  </pic:blipFill>
                  <pic:spPr bwMode="auto">
                    <a:xfrm>
                      <a:off x="0" y="0"/>
                      <a:ext cx="1228090" cy="635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60" w:lineRule="exact"/>
        <w:rPr>
          <w:sz w:val="20"/>
          <w:szCs w:val="20"/>
          <w:color w:val="auto"/>
        </w:rPr>
      </w:pPr>
    </w:p>
    <w:p>
      <w:pPr>
        <w:jc w:val="both"/>
        <w:ind w:right="360"/>
        <w:spacing w:after="0" w:line="355" w:lineRule="auto"/>
        <w:rPr>
          <w:sz w:val="20"/>
          <w:szCs w:val="20"/>
          <w:color w:val="auto"/>
        </w:rPr>
      </w:pPr>
      <w:r>
        <w:rPr>
          <w:rFonts w:ascii="Arial" w:cs="Arial" w:eastAsia="Arial" w:hAnsi="Arial"/>
          <w:sz w:val="18"/>
          <w:szCs w:val="18"/>
          <w:color w:val="auto"/>
        </w:rPr>
        <w:t>Total cash dividends of $358 million were paid during the year ended December 31, 2025. In February 2026, the board of directors approved a quarterly cash dividend of $0.96 per share ($3.84 per share annualized rate), which will be paid on or around April 15, 2026 to shareholders of record as of March 31, 2026.</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Commitments</w:t>
      </w:r>
    </w:p>
    <w:p>
      <w:pPr>
        <w:spacing w:after="0" w:line="260" w:lineRule="exact"/>
        <w:rPr>
          <w:sz w:val="20"/>
          <w:szCs w:val="20"/>
          <w:color w:val="auto"/>
        </w:rPr>
      </w:pPr>
    </w:p>
    <w:p>
      <w:pPr>
        <w:jc w:val="both"/>
        <w:ind w:right="80"/>
        <w:spacing w:after="0" w:line="309" w:lineRule="auto"/>
        <w:rPr>
          <w:sz w:val="20"/>
          <w:szCs w:val="20"/>
          <w:color w:val="auto"/>
        </w:rPr>
      </w:pPr>
      <w:r>
        <w:rPr>
          <w:rFonts w:ascii="Arial" w:cs="Arial" w:eastAsia="Arial" w:hAnsi="Arial"/>
          <w:sz w:val="20"/>
          <w:szCs w:val="20"/>
          <w:color w:val="auto"/>
        </w:rPr>
        <w:t>The Company’s capital expenditures for fixed assets and software were $229 million for the year ended December 31, 2025. Capital expenditures for fixed assets, capitalized software and software for internal use are expected to be in the range of $225 million to $250 million for the year ended December 31, 2026. We expect cash from operations to adequately provide for these cash needs.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Guarantor Financial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2025, WTW has issued the following debt securities (the ‘notes’):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47</w:t>
      </w:r>
    </w:p>
    <w:p>
      <w:pPr>
        <w:sectPr>
          <w:pgSz w:w="11900" w:h="16838" w:orient="portrait"/>
          <w:cols w:equalWidth="0" w:num="1">
            <w:col w:w="9400"/>
          </w:cols>
          <w:pgMar w:left="1260" w:top="1440" w:right="1246" w:bottom="0" w:gutter="0" w:footer="0" w:header="0"/>
          <w:type w:val="continuous"/>
        </w:sectPr>
      </w:pPr>
    </w:p>
    <w:bookmarkStart w:id="110" w:name="page111"/>
    <w:bookmarkEnd w:id="110"/>
    <w:p>
      <w:pPr>
        <w:ind w:left="440" w:right="60" w:hanging="313"/>
        <w:spacing w:after="0" w:line="373" w:lineRule="auto"/>
        <w:tabs>
          <w:tab w:leader="none" w:pos="4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Willis North America Inc. (‘Willis North America’) has approximately $5.5 billion senior notes outstanding, of which $1.0 billion were issued on September 10, 2018, $1.0 billion were issued on September 10, 2019, $275 million were issued on May 29, 2020, $750 million were issued on May 19, 2022, $750 million were issued on May 17, 2023, $750 million were issued on March 5, 2024 and $1.0 billion were issued on December 22, 2025; and</w:t>
      </w:r>
    </w:p>
    <w:p>
      <w:pPr>
        <w:spacing w:after="0" w:line="132" w:lineRule="exact"/>
        <w:rPr>
          <w:rFonts w:ascii="Arial" w:cs="Arial" w:eastAsia="Arial" w:hAnsi="Arial"/>
          <w:sz w:val="20"/>
          <w:szCs w:val="20"/>
          <w:color w:val="auto"/>
        </w:rPr>
      </w:pPr>
    </w:p>
    <w:p>
      <w:pPr>
        <w:ind w:left="440" w:hanging="313"/>
        <w:spacing w:after="0" w:line="425"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Trinity Acquisition plc has approximately $825 million senior notes outstanding, of which $275 million were issued on August 15, 2013 and $550 million were issued on March 22, 2016, and a recently-amended and restated $1.5 billion revolving credit facility, on which no balance was outstanding, at December 31, 2025.</w:t>
      </w:r>
    </w:p>
    <w:p>
      <w:pPr>
        <w:spacing w:after="0" w:line="16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338"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24 / 47</w:t>
      </w:r>
    </w:p>
    <w:p>
      <w:pPr>
        <w:sectPr>
          <w:pgSz w:w="11900" w:h="16838" w:orient="portrait"/>
          <w:cols w:equalWidth="0" w:num="1">
            <w:col w:w="9200"/>
          </w:cols>
          <w:pgMar w:left="1440" w:top="1338" w:right="1266" w:bottom="0" w:gutter="0" w:footer="0" w:header="0"/>
          <w:type w:val="continuous"/>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0"/>
        <w:spacing w:after="0" w:line="349" w:lineRule="auto"/>
        <w:rPr>
          <w:sz w:val="20"/>
          <w:szCs w:val="20"/>
          <w:color w:val="auto"/>
        </w:rPr>
      </w:pPr>
      <w:r>
        <w:rPr>
          <w:rFonts w:ascii="Arial" w:cs="Arial" w:eastAsia="Arial" w:hAnsi="Arial"/>
          <w:sz w:val="18"/>
          <w:szCs w:val="18"/>
          <w:color w:val="auto"/>
        </w:rPr>
        <w:t>The following table presents a summary of the entities that issue each note and those wholly-owned subsidiaries of the Company that guarantee each respective note on a joint and several basis as of December 31, 2025. These subsidiaries are all consolidated by Willis Towers Watson plc (the ‘parent company’) and together with the parent company comprise the ‘Obligor group’. On December 16, 2024, TA I Limited, Willis Towers Watson UK Holdings Limited and Willis Netherlands Holdings B.V. ceased to be guarantors of our notes and are no longer part of the Obligor group, following the transfer of their respective properties and assets to other existing guarantors within the Obligor group. Further, Willis Towers Watson UK Holdings Limited was released from its guarantees under our credit agreement. TA I Limited and Willis Netherlands Holdings B.V. are not guarantors under our amended and restated credit agreement (see Note 11 — Debt within Item 8 of this Annual Report on Form 10-K).</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840" w:type="dxa"/>
            <w:vAlign w:val="bottom"/>
          </w:tcPr>
          <w:p>
            <w:pPr>
              <w:jc w:val="center"/>
              <w:ind w:left="85"/>
              <w:spacing w:after="0"/>
              <w:rPr>
                <w:sz w:val="20"/>
                <w:szCs w:val="20"/>
                <w:color w:val="auto"/>
              </w:rPr>
            </w:pPr>
            <w:r>
              <w:rPr>
                <w:rFonts w:ascii="Arial" w:cs="Arial" w:eastAsia="Arial" w:hAnsi="Arial"/>
                <w:sz w:val="16"/>
                <w:szCs w:val="16"/>
                <w:b w:val="1"/>
                <w:bCs w:val="1"/>
                <w:color w:val="auto"/>
                <w:w w:val="92"/>
              </w:rPr>
              <w:t>Trinity Acquisition</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4"/>
              </w:rPr>
              <w:t>Willis North</w:t>
            </w:r>
          </w:p>
        </w:tc>
      </w:tr>
      <w:tr>
        <w:trPr>
          <w:trHeight w:val="240"/>
        </w:trPr>
        <w:tc>
          <w:tcPr>
            <w:tcW w:w="6020" w:type="dxa"/>
            <w:vAlign w:val="bottom"/>
          </w:tcPr>
          <w:p>
            <w:pPr>
              <w:spacing w:after="0"/>
              <w:rPr>
                <w:sz w:val="20"/>
                <w:szCs w:val="20"/>
                <w:color w:val="auto"/>
              </w:rPr>
            </w:pPr>
            <w:r>
              <w:rPr>
                <w:rFonts w:ascii="Arial" w:cs="Arial" w:eastAsia="Arial" w:hAnsi="Arial"/>
                <w:sz w:val="16"/>
                <w:szCs w:val="16"/>
                <w:b w:val="1"/>
                <w:bCs w:val="1"/>
                <w:color w:val="auto"/>
              </w:rPr>
              <w:t>Entity</w:t>
            </w:r>
          </w:p>
        </w:tc>
        <w:tc>
          <w:tcPr>
            <w:tcW w:w="1840" w:type="dxa"/>
            <w:vAlign w:val="bottom"/>
          </w:tcPr>
          <w:p>
            <w:pPr>
              <w:jc w:val="center"/>
              <w:ind w:left="125"/>
              <w:spacing w:after="0"/>
              <w:rPr>
                <w:sz w:val="20"/>
                <w:szCs w:val="20"/>
                <w:color w:val="auto"/>
              </w:rPr>
            </w:pPr>
            <w:r>
              <w:rPr>
                <w:rFonts w:ascii="Arial" w:cs="Arial" w:eastAsia="Arial" w:hAnsi="Arial"/>
                <w:sz w:val="16"/>
                <w:szCs w:val="16"/>
                <w:b w:val="1"/>
                <w:bCs w:val="1"/>
                <w:color w:val="auto"/>
                <w:w w:val="86"/>
              </w:rPr>
              <w:t>plc Notes</w:t>
            </w:r>
          </w:p>
        </w:tc>
        <w:tc>
          <w:tcPr>
            <w:tcW w:w="1540" w:type="dxa"/>
            <w:vAlign w:val="bottom"/>
          </w:tcPr>
          <w:p>
            <w:pPr>
              <w:jc w:val="center"/>
              <w:ind w:left="5"/>
              <w:spacing w:after="0"/>
              <w:rPr>
                <w:sz w:val="20"/>
                <w:szCs w:val="20"/>
                <w:color w:val="auto"/>
              </w:rPr>
            </w:pPr>
            <w:r>
              <w:rPr>
                <w:rFonts w:ascii="Arial" w:cs="Arial" w:eastAsia="Arial" w:hAnsi="Arial"/>
                <w:sz w:val="16"/>
                <w:szCs w:val="16"/>
                <w:b w:val="1"/>
                <w:bCs w:val="1"/>
                <w:color w:val="auto"/>
                <w:w w:val="91"/>
              </w:rPr>
              <w:t>America Inc. Notes</w:t>
            </w:r>
          </w:p>
        </w:tc>
      </w:tr>
      <w:tr>
        <w:trPr>
          <w:trHeight w:val="42"/>
        </w:trPr>
        <w:tc>
          <w:tcPr>
            <w:tcW w:w="60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94"/>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plc</w:t>
            </w:r>
          </w:p>
        </w:tc>
        <w:tc>
          <w:tcPr>
            <w:tcW w:w="1840" w:type="dxa"/>
            <w:vAlign w:val="bottom"/>
            <w:tcBorders>
              <w:bottom w:val="single" w:sz="8" w:color="CFF0FC"/>
            </w:tcBorders>
            <w:shd w:val="clear" w:color="auto" w:fill="CFF0FC"/>
          </w:tcPr>
          <w:p>
            <w:pPr>
              <w:jc w:val="center"/>
              <w:ind w:left="125"/>
              <w:spacing w:after="0"/>
              <w:rPr>
                <w:sz w:val="20"/>
                <w:szCs w:val="20"/>
                <w:color w:val="auto"/>
              </w:rPr>
            </w:pPr>
            <w:r>
              <w:rPr>
                <w:rFonts w:ascii="Arial" w:cs="Arial" w:eastAsia="Arial" w:hAnsi="Arial"/>
                <w:sz w:val="20"/>
                <w:szCs w:val="20"/>
                <w:color w:val="auto"/>
                <w:w w:val="91"/>
              </w:rPr>
              <w:t>Guarantor</w:t>
            </w:r>
          </w:p>
        </w:tc>
        <w:tc>
          <w:tcPr>
            <w:tcW w:w="1540" w:type="dxa"/>
            <w:vAlign w:val="bottom"/>
            <w:tcBorders>
              <w:bottom w:val="single" w:sz="8" w:color="CFF0FC"/>
            </w:tcBorders>
            <w:shd w:val="clear" w:color="auto" w:fill="CFF0FC"/>
          </w:tcPr>
          <w:p>
            <w:pPr>
              <w:jc w:val="center"/>
              <w:ind w:left="5"/>
              <w:spacing w:after="0"/>
              <w:rPr>
                <w:sz w:val="20"/>
                <w:szCs w:val="20"/>
                <w:color w:val="auto"/>
              </w:rPr>
            </w:pPr>
            <w:r>
              <w:rPr>
                <w:rFonts w:ascii="Arial" w:cs="Arial" w:eastAsia="Arial" w:hAnsi="Arial"/>
                <w:sz w:val="20"/>
                <w:szCs w:val="20"/>
                <w:color w:val="auto"/>
                <w:w w:val="88"/>
              </w:rPr>
              <w:t>Guarantor</w:t>
            </w:r>
          </w:p>
        </w:tc>
      </w:tr>
      <w:tr>
        <w:trPr>
          <w:trHeight w:val="274"/>
        </w:trPr>
        <w:tc>
          <w:tcPr>
            <w:tcW w:w="6020" w:type="dxa"/>
            <w:vAlign w:val="bottom"/>
          </w:tcPr>
          <w:p>
            <w:pPr>
              <w:spacing w:after="0"/>
              <w:rPr>
                <w:sz w:val="20"/>
                <w:szCs w:val="20"/>
                <w:color w:val="auto"/>
              </w:rPr>
            </w:pPr>
            <w:r>
              <w:rPr>
                <w:rFonts w:ascii="Arial" w:cs="Arial" w:eastAsia="Arial" w:hAnsi="Arial"/>
                <w:sz w:val="20"/>
                <w:szCs w:val="20"/>
                <w:color w:val="auto"/>
              </w:rPr>
              <w:t>Trinity Acquisition plc</w:t>
            </w:r>
          </w:p>
        </w:tc>
        <w:tc>
          <w:tcPr>
            <w:tcW w:w="1840" w:type="dxa"/>
            <w:vAlign w:val="bottom"/>
          </w:tcPr>
          <w:p>
            <w:pPr>
              <w:jc w:val="center"/>
              <w:ind w:left="145"/>
              <w:spacing w:after="0"/>
              <w:rPr>
                <w:sz w:val="20"/>
                <w:szCs w:val="20"/>
                <w:color w:val="auto"/>
              </w:rPr>
            </w:pPr>
            <w:r>
              <w:rPr>
                <w:rFonts w:ascii="Arial" w:cs="Arial" w:eastAsia="Arial" w:hAnsi="Arial"/>
                <w:sz w:val="20"/>
                <w:szCs w:val="20"/>
                <w:color w:val="auto"/>
                <w:w w:val="88"/>
              </w:rPr>
              <w:t>Issuer</w:t>
            </w:r>
          </w:p>
        </w:tc>
        <w:tc>
          <w:tcPr>
            <w:tcW w:w="1540" w:type="dxa"/>
            <w:vAlign w:val="bottom"/>
          </w:tcPr>
          <w:p>
            <w:pPr>
              <w:jc w:val="center"/>
              <w:ind w:left="5"/>
              <w:spacing w:after="0"/>
              <w:rPr>
                <w:sz w:val="20"/>
                <w:szCs w:val="20"/>
                <w:color w:val="auto"/>
              </w:rPr>
            </w:pPr>
            <w:r>
              <w:rPr>
                <w:rFonts w:ascii="Arial" w:cs="Arial" w:eastAsia="Arial" w:hAnsi="Arial"/>
                <w:sz w:val="20"/>
                <w:szCs w:val="20"/>
                <w:color w:val="auto"/>
                <w:w w:val="88"/>
              </w:rPr>
              <w:t>Guarantor</w:t>
            </w:r>
          </w:p>
        </w:tc>
      </w:tr>
      <w:tr>
        <w:trPr>
          <w:trHeight w:val="41"/>
        </w:trPr>
        <w:tc>
          <w:tcPr>
            <w:tcW w:w="60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94"/>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North America Inc.</w:t>
            </w:r>
          </w:p>
        </w:tc>
        <w:tc>
          <w:tcPr>
            <w:tcW w:w="1840" w:type="dxa"/>
            <w:vAlign w:val="bottom"/>
            <w:tcBorders>
              <w:bottom w:val="single" w:sz="8" w:color="CFF0FC"/>
            </w:tcBorders>
            <w:shd w:val="clear" w:color="auto" w:fill="CFF0FC"/>
          </w:tcPr>
          <w:p>
            <w:pPr>
              <w:jc w:val="center"/>
              <w:ind w:left="125"/>
              <w:spacing w:after="0"/>
              <w:rPr>
                <w:sz w:val="20"/>
                <w:szCs w:val="20"/>
                <w:color w:val="auto"/>
              </w:rPr>
            </w:pPr>
            <w:r>
              <w:rPr>
                <w:rFonts w:ascii="Arial" w:cs="Arial" w:eastAsia="Arial" w:hAnsi="Arial"/>
                <w:sz w:val="20"/>
                <w:szCs w:val="20"/>
                <w:color w:val="auto"/>
                <w:w w:val="91"/>
              </w:rPr>
              <w:t>Guarantor</w:t>
            </w:r>
          </w:p>
        </w:tc>
        <w:tc>
          <w:tcPr>
            <w:tcW w:w="1540" w:type="dxa"/>
            <w:vAlign w:val="bottom"/>
            <w:tcBorders>
              <w:bottom w:val="single" w:sz="8" w:color="CFF0FC"/>
            </w:tcBorders>
            <w:shd w:val="clear" w:color="auto" w:fill="CFF0FC"/>
          </w:tcPr>
          <w:p>
            <w:pPr>
              <w:jc w:val="center"/>
              <w:ind w:left="5"/>
              <w:spacing w:after="0"/>
              <w:rPr>
                <w:sz w:val="20"/>
                <w:szCs w:val="20"/>
                <w:color w:val="auto"/>
              </w:rPr>
            </w:pPr>
            <w:r>
              <w:rPr>
                <w:rFonts w:ascii="Arial" w:cs="Arial" w:eastAsia="Arial" w:hAnsi="Arial"/>
                <w:sz w:val="20"/>
                <w:szCs w:val="20"/>
                <w:color w:val="auto"/>
                <w:w w:val="88"/>
              </w:rPr>
              <w:t>Issuer</w:t>
            </w:r>
          </w:p>
        </w:tc>
      </w:tr>
      <w:tr>
        <w:trPr>
          <w:trHeight w:val="274"/>
        </w:trPr>
        <w:tc>
          <w:tcPr>
            <w:tcW w:w="6020" w:type="dxa"/>
            <w:vAlign w:val="bottom"/>
          </w:tcPr>
          <w:p>
            <w:pPr>
              <w:spacing w:after="0"/>
              <w:rPr>
                <w:sz w:val="20"/>
                <w:szCs w:val="20"/>
                <w:color w:val="auto"/>
              </w:rPr>
            </w:pPr>
            <w:r>
              <w:rPr>
                <w:rFonts w:ascii="Arial" w:cs="Arial" w:eastAsia="Arial" w:hAnsi="Arial"/>
                <w:sz w:val="20"/>
                <w:szCs w:val="20"/>
                <w:color w:val="auto"/>
              </w:rPr>
              <w:t>Willis Investment UK Holdings Limited</w:t>
            </w:r>
          </w:p>
        </w:tc>
        <w:tc>
          <w:tcPr>
            <w:tcW w:w="1840" w:type="dxa"/>
            <w:vAlign w:val="bottom"/>
          </w:tcPr>
          <w:p>
            <w:pPr>
              <w:jc w:val="center"/>
              <w:ind w:left="125"/>
              <w:spacing w:after="0"/>
              <w:rPr>
                <w:sz w:val="20"/>
                <w:szCs w:val="20"/>
                <w:color w:val="auto"/>
              </w:rPr>
            </w:pPr>
            <w:r>
              <w:rPr>
                <w:rFonts w:ascii="Arial" w:cs="Arial" w:eastAsia="Arial" w:hAnsi="Arial"/>
                <w:sz w:val="20"/>
                <w:szCs w:val="20"/>
                <w:color w:val="auto"/>
                <w:w w:val="91"/>
              </w:rPr>
              <w:t>Guarantor</w:t>
            </w:r>
          </w:p>
        </w:tc>
        <w:tc>
          <w:tcPr>
            <w:tcW w:w="1540" w:type="dxa"/>
            <w:vAlign w:val="bottom"/>
          </w:tcPr>
          <w:p>
            <w:pPr>
              <w:jc w:val="center"/>
              <w:ind w:left="5"/>
              <w:spacing w:after="0"/>
              <w:rPr>
                <w:sz w:val="20"/>
                <w:szCs w:val="20"/>
                <w:color w:val="auto"/>
              </w:rPr>
            </w:pPr>
            <w:r>
              <w:rPr>
                <w:rFonts w:ascii="Arial" w:cs="Arial" w:eastAsia="Arial" w:hAnsi="Arial"/>
                <w:sz w:val="20"/>
                <w:szCs w:val="20"/>
                <w:color w:val="auto"/>
                <w:w w:val="88"/>
              </w:rPr>
              <w:t>Guarantor</w:t>
            </w:r>
          </w:p>
        </w:tc>
      </w:tr>
      <w:tr>
        <w:trPr>
          <w:trHeight w:val="41"/>
        </w:trPr>
        <w:tc>
          <w:tcPr>
            <w:tcW w:w="60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94"/>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Group Limited</w:t>
            </w:r>
          </w:p>
        </w:tc>
        <w:tc>
          <w:tcPr>
            <w:tcW w:w="1840" w:type="dxa"/>
            <w:vAlign w:val="bottom"/>
            <w:tcBorders>
              <w:bottom w:val="single" w:sz="8" w:color="CFF0FC"/>
            </w:tcBorders>
            <w:shd w:val="clear" w:color="auto" w:fill="CFF0FC"/>
          </w:tcPr>
          <w:p>
            <w:pPr>
              <w:jc w:val="center"/>
              <w:ind w:left="125"/>
              <w:spacing w:after="0"/>
              <w:rPr>
                <w:sz w:val="20"/>
                <w:szCs w:val="20"/>
                <w:color w:val="auto"/>
              </w:rPr>
            </w:pPr>
            <w:r>
              <w:rPr>
                <w:rFonts w:ascii="Arial" w:cs="Arial" w:eastAsia="Arial" w:hAnsi="Arial"/>
                <w:sz w:val="20"/>
                <w:szCs w:val="20"/>
                <w:color w:val="auto"/>
                <w:w w:val="91"/>
              </w:rPr>
              <w:t>Guarantor</w:t>
            </w:r>
          </w:p>
        </w:tc>
        <w:tc>
          <w:tcPr>
            <w:tcW w:w="1540" w:type="dxa"/>
            <w:vAlign w:val="bottom"/>
            <w:tcBorders>
              <w:bottom w:val="single" w:sz="8" w:color="CFF0FC"/>
            </w:tcBorders>
            <w:shd w:val="clear" w:color="auto" w:fill="CFF0FC"/>
          </w:tcPr>
          <w:p>
            <w:pPr>
              <w:jc w:val="center"/>
              <w:ind w:left="5"/>
              <w:spacing w:after="0"/>
              <w:rPr>
                <w:sz w:val="20"/>
                <w:szCs w:val="20"/>
                <w:color w:val="auto"/>
              </w:rPr>
            </w:pPr>
            <w:r>
              <w:rPr>
                <w:rFonts w:ascii="Arial" w:cs="Arial" w:eastAsia="Arial" w:hAnsi="Arial"/>
                <w:sz w:val="20"/>
                <w:szCs w:val="20"/>
                <w:color w:val="auto"/>
                <w:w w:val="88"/>
              </w:rPr>
              <w:t>Guarantor</w:t>
            </w:r>
          </w:p>
        </w:tc>
      </w:tr>
      <w:tr>
        <w:trPr>
          <w:trHeight w:val="274"/>
        </w:trPr>
        <w:tc>
          <w:tcPr>
            <w:tcW w:w="6020" w:type="dxa"/>
            <w:vAlign w:val="bottom"/>
          </w:tcPr>
          <w:p>
            <w:pPr>
              <w:spacing w:after="0"/>
              <w:rPr>
                <w:sz w:val="20"/>
                <w:szCs w:val="20"/>
                <w:color w:val="auto"/>
              </w:rPr>
            </w:pPr>
            <w:r>
              <w:rPr>
                <w:rFonts w:ascii="Arial" w:cs="Arial" w:eastAsia="Arial" w:hAnsi="Arial"/>
                <w:sz w:val="20"/>
                <w:szCs w:val="20"/>
                <w:color w:val="auto"/>
              </w:rPr>
              <w:t>Willis Towers Watson Sub Holdings Unlimited Company</w:t>
            </w:r>
          </w:p>
        </w:tc>
        <w:tc>
          <w:tcPr>
            <w:tcW w:w="1840" w:type="dxa"/>
            <w:vAlign w:val="bottom"/>
          </w:tcPr>
          <w:p>
            <w:pPr>
              <w:jc w:val="center"/>
              <w:ind w:left="125"/>
              <w:spacing w:after="0"/>
              <w:rPr>
                <w:sz w:val="20"/>
                <w:szCs w:val="20"/>
                <w:color w:val="auto"/>
              </w:rPr>
            </w:pPr>
            <w:r>
              <w:rPr>
                <w:rFonts w:ascii="Arial" w:cs="Arial" w:eastAsia="Arial" w:hAnsi="Arial"/>
                <w:sz w:val="20"/>
                <w:szCs w:val="20"/>
                <w:color w:val="auto"/>
                <w:w w:val="91"/>
              </w:rPr>
              <w:t>Guarantor</w:t>
            </w:r>
          </w:p>
        </w:tc>
        <w:tc>
          <w:tcPr>
            <w:tcW w:w="1540" w:type="dxa"/>
            <w:vAlign w:val="bottom"/>
          </w:tcPr>
          <w:p>
            <w:pPr>
              <w:jc w:val="center"/>
              <w:ind w:left="5"/>
              <w:spacing w:after="0"/>
              <w:rPr>
                <w:sz w:val="20"/>
                <w:szCs w:val="20"/>
                <w:color w:val="auto"/>
              </w:rPr>
            </w:pPr>
            <w:r>
              <w:rPr>
                <w:rFonts w:ascii="Arial" w:cs="Arial" w:eastAsia="Arial" w:hAnsi="Arial"/>
                <w:sz w:val="20"/>
                <w:szCs w:val="20"/>
                <w:color w:val="auto"/>
                <w:w w:val="88"/>
              </w:rPr>
              <w:t>Guarantor</w:t>
            </w:r>
          </w:p>
        </w:tc>
      </w:tr>
      <w:tr>
        <w:trPr>
          <w:trHeight w:val="480"/>
        </w:trPr>
        <w:tc>
          <w:tcPr>
            <w:tcW w:w="6020" w:type="dxa"/>
            <w:vAlign w:val="bottom"/>
          </w:tcPr>
          <w:p>
            <w:pPr>
              <w:spacing w:after="0"/>
              <w:rPr>
                <w:sz w:val="20"/>
                <w:szCs w:val="20"/>
                <w:color w:val="auto"/>
              </w:rPr>
            </w:pPr>
            <w:r>
              <w:rPr>
                <w:rFonts w:ascii="Arial" w:cs="Arial" w:eastAsia="Arial" w:hAnsi="Arial"/>
                <w:sz w:val="20"/>
                <w:szCs w:val="20"/>
                <w:color w:val="auto"/>
                <w:w w:val="99"/>
              </w:rPr>
              <w:t>The notes issued by Willis North America and Trinity Acquisition plc:</w:t>
            </w:r>
          </w:p>
        </w:tc>
        <w:tc>
          <w:tcPr>
            <w:tcW w:w="18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-1482725</wp:posOffset>
            </wp:positionV>
            <wp:extent cx="596773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4">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276" w:lineRule="exact"/>
        <w:rPr>
          <w:sz w:val="20"/>
          <w:szCs w:val="20"/>
          <w:color w:val="auto"/>
        </w:rPr>
      </w:pPr>
    </w:p>
    <w:p>
      <w:pPr>
        <w:ind w:left="620" w:hanging="313"/>
        <w:spacing w:after="0"/>
        <w:tabs>
          <w:tab w:leader="none" w:pos="6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rank equally with all of the issuer’s existing and future unsubordinated and unsecured debt;</w:t>
      </w:r>
    </w:p>
    <w:p>
      <w:pPr>
        <w:spacing w:after="0" w:line="319" w:lineRule="exact"/>
        <w:rPr>
          <w:rFonts w:ascii="Arial" w:cs="Arial" w:eastAsia="Arial" w:hAnsi="Arial"/>
          <w:sz w:val="20"/>
          <w:szCs w:val="20"/>
          <w:color w:val="auto"/>
        </w:rPr>
      </w:pPr>
    </w:p>
    <w:p>
      <w:pPr>
        <w:ind w:left="620" w:right="360" w:hanging="313"/>
        <w:spacing w:after="0" w:line="432"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rank equally with the issuer’s guarantee of all of the existing senior debt of the Company and the other guarantors, including any debt under the third amended and restated $1.5 billion revolving credit facility;</w:t>
      </w:r>
    </w:p>
    <w:p>
      <w:pPr>
        <w:spacing w:after="0" w:line="145" w:lineRule="exact"/>
        <w:rPr>
          <w:rFonts w:ascii="Arial" w:cs="Arial" w:eastAsia="Arial" w:hAnsi="Arial"/>
          <w:sz w:val="18"/>
          <w:szCs w:val="18"/>
          <w:color w:val="auto"/>
        </w:rPr>
      </w:pPr>
    </w:p>
    <w:p>
      <w:pPr>
        <w:ind w:left="620" w:hanging="313"/>
        <w:spacing w:after="0"/>
        <w:tabs>
          <w:tab w:leader="none" w:pos="6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are senior in right of payment to all of the issuer’s future subordinated debt; and</w:t>
      </w:r>
    </w:p>
    <w:p>
      <w:pPr>
        <w:spacing w:after="0" w:line="319" w:lineRule="exact"/>
        <w:rPr>
          <w:rFonts w:ascii="Arial" w:cs="Arial" w:eastAsia="Arial" w:hAnsi="Arial"/>
          <w:sz w:val="20"/>
          <w:szCs w:val="20"/>
          <w:color w:val="auto"/>
        </w:rPr>
      </w:pPr>
    </w:p>
    <w:p>
      <w:pPr>
        <w:ind w:left="620" w:right="80" w:hanging="313"/>
        <w:spacing w:after="0" w:line="365" w:lineRule="auto"/>
        <w:tabs>
          <w:tab w:leader="none" w:pos="6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are effectively subordinated to all of the issuer’s secured debt to the extent of the value of the assets securing such debt.</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All other subsidiaries of the parent company are non-guarantor subsidiaries (‘the non-guarantor subsidiaries’).</w:t>
      </w:r>
    </w:p>
    <w:p>
      <w:pPr>
        <w:spacing w:after="0" w:line="262" w:lineRule="exact"/>
        <w:rPr>
          <w:sz w:val="20"/>
          <w:szCs w:val="20"/>
          <w:color w:val="auto"/>
        </w:rPr>
      </w:pPr>
    </w:p>
    <w:p>
      <w:pPr>
        <w:ind w:right="40"/>
        <w:spacing w:after="0" w:line="349" w:lineRule="auto"/>
        <w:rPr>
          <w:sz w:val="20"/>
          <w:szCs w:val="20"/>
          <w:color w:val="auto"/>
        </w:rPr>
      </w:pPr>
      <w:r>
        <w:rPr>
          <w:rFonts w:ascii="Arial" w:cs="Arial" w:eastAsia="Arial" w:hAnsi="Arial"/>
          <w:sz w:val="18"/>
          <w:szCs w:val="18"/>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December 31, 2025 and 2024,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47</w:t>
      </w:r>
    </w:p>
    <w:p>
      <w:pPr>
        <w:sectPr>
          <w:pgSz w:w="11900" w:h="16838" w:orient="portrait"/>
          <w:cols w:equalWidth="0" w:num="1">
            <w:col w:w="9400"/>
          </w:cols>
          <w:pgMar w:left="1260" w:top="1440" w:right="1246" w:bottom="0" w:gutter="0" w:footer="0" w:header="0"/>
          <w:type w:val="continuous"/>
        </w:sectPr>
      </w:pPr>
    </w:p>
    <w:bookmarkStart w:id="112" w:name="page113"/>
    <w:bookmarkEnd w:id="112"/>
    <w:p>
      <w:pPr>
        <w:spacing w:after="0" w:line="329" w:lineRule="auto"/>
        <w:rPr>
          <w:sz w:val="20"/>
          <w:szCs w:val="20"/>
          <w:color w:val="auto"/>
        </w:rPr>
      </w:pPr>
      <w:r>
        <w:rPr>
          <w:rFonts w:ascii="Arial" w:cs="Arial" w:eastAsia="Arial" w:hAnsi="Arial"/>
          <w:sz w:val="19"/>
          <w:szCs w:val="19"/>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83"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and related arrangements, intercompany dividends and intercompany interest. At December 31, 2025 and 2024, the intercompany balances of the Obligor group with non-guarantor subsidiaries were net receivables of $1.9 billion and $1.0 billion, respectively, and net payables of $16.3 billion and $15.1 billion, respectively.</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26 / 47</w:t>
      </w:r>
    </w:p>
    <w:p>
      <w:pPr>
        <w:sectPr>
          <w:pgSz w:w="11900" w:h="16838" w:orient="portrait"/>
          <w:cols w:equalWidth="0" w:num="1">
            <w:col w:w="9340"/>
          </w:cols>
          <w:pgMar w:left="1260" w:top="1173" w:right="1306" w:bottom="0" w:gutter="0" w:footer="0" w:header="0"/>
          <w:type w:val="continuous"/>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 w:right="1100"/>
        <w:spacing w:after="0" w:line="302" w:lineRule="auto"/>
        <w:rPr>
          <w:sz w:val="20"/>
          <w:szCs w:val="20"/>
          <w:color w:val="auto"/>
        </w:rPr>
      </w:pPr>
      <w:r>
        <w:rPr>
          <w:rFonts w:ascii="Arial" w:cs="Arial" w:eastAsia="Arial" w:hAnsi="Arial"/>
          <w:sz w:val="20"/>
          <w:szCs w:val="20"/>
          <w:color w:val="auto"/>
        </w:rPr>
        <w:t>No balances or transactions of non-guarantor subsidiaries are presented in the disclosures other than the intercompany items noted above.</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20"/>
          <w:szCs w:val="20"/>
          <w:color w:val="auto"/>
        </w:rPr>
        <w:t>Presented below is certain summarized financial information for the Obligor group.</w:t>
      </w:r>
    </w:p>
    <w:p>
      <w:pPr>
        <w:spacing w:after="0" w:line="395"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20" w:type="dxa"/>
            <w:vAlign w:val="bottom"/>
          </w:tcPr>
          <w:p>
            <w:pPr>
              <w:jc w:val="right"/>
              <w:ind w:right="506"/>
              <w:spacing w:after="0"/>
              <w:rPr>
                <w:sz w:val="20"/>
                <w:szCs w:val="20"/>
                <w:color w:val="auto"/>
              </w:rPr>
            </w:pPr>
            <w:r>
              <w:rPr>
                <w:rFonts w:ascii="Arial" w:cs="Arial" w:eastAsia="Arial" w:hAnsi="Arial"/>
                <w:sz w:val="16"/>
                <w:szCs w:val="16"/>
                <w:b w:val="1"/>
                <w:bCs w:val="1"/>
                <w:color w:val="auto"/>
                <w:w w:val="99"/>
              </w:rPr>
              <w:t>As of</w:t>
            </w:r>
          </w:p>
        </w:tc>
        <w:tc>
          <w:tcPr>
            <w:tcW w:w="260" w:type="dxa"/>
            <w:vAlign w:val="bottom"/>
          </w:tcPr>
          <w:p>
            <w:pPr>
              <w:spacing w:after="0"/>
              <w:rPr>
                <w:sz w:val="16"/>
                <w:szCs w:val="16"/>
                <w:color w:val="auto"/>
              </w:rPr>
            </w:pPr>
          </w:p>
        </w:tc>
        <w:tc>
          <w:tcPr>
            <w:tcW w:w="1320" w:type="dxa"/>
            <w:vAlign w:val="bottom"/>
          </w:tcPr>
          <w:p>
            <w:pPr>
              <w:jc w:val="right"/>
              <w:ind w:right="505"/>
              <w:spacing w:after="0"/>
              <w:rPr>
                <w:sz w:val="20"/>
                <w:szCs w:val="20"/>
                <w:color w:val="auto"/>
              </w:rPr>
            </w:pPr>
            <w:r>
              <w:rPr>
                <w:rFonts w:ascii="Arial" w:cs="Arial" w:eastAsia="Arial" w:hAnsi="Arial"/>
                <w:sz w:val="16"/>
                <w:szCs w:val="16"/>
                <w:b w:val="1"/>
                <w:bCs w:val="1"/>
                <w:color w:val="auto"/>
              </w:rPr>
              <w:t>As of</w:t>
            </w:r>
          </w:p>
        </w:tc>
      </w:tr>
      <w:tr>
        <w:trPr>
          <w:trHeight w:val="240"/>
        </w:trPr>
        <w:tc>
          <w:tcPr>
            <w:tcW w:w="5180" w:type="dxa"/>
            <w:vAlign w:val="bottom"/>
          </w:tcPr>
          <w:p>
            <w:pPr>
              <w:spacing w:after="0"/>
              <w:rPr>
                <w:sz w:val="20"/>
                <w:szCs w:val="20"/>
                <w:color w:val="auto"/>
              </w:rPr>
            </w:pPr>
          </w:p>
        </w:tc>
        <w:tc>
          <w:tcPr>
            <w:tcW w:w="2640" w:type="dxa"/>
            <w:vAlign w:val="bottom"/>
            <w:gridSpan w:val="2"/>
          </w:tcPr>
          <w:p>
            <w:pPr>
              <w:ind w:left="1240"/>
              <w:spacing w:after="0"/>
              <w:rPr>
                <w:sz w:val="20"/>
                <w:szCs w:val="20"/>
                <w:color w:val="auto"/>
              </w:rPr>
            </w:pPr>
            <w:r>
              <w:rPr>
                <w:rFonts w:ascii="Arial" w:cs="Arial" w:eastAsia="Arial" w:hAnsi="Arial"/>
                <w:sz w:val="16"/>
                <w:szCs w:val="16"/>
                <w:b w:val="1"/>
                <w:bCs w:val="1"/>
                <w:color w:val="auto"/>
                <w:w w:val="95"/>
              </w:rPr>
              <w:t>December 31, 2025</w:t>
            </w:r>
          </w:p>
        </w:tc>
        <w:tc>
          <w:tcPr>
            <w:tcW w:w="1580" w:type="dxa"/>
            <w:vAlign w:val="bottom"/>
            <w:gridSpan w:val="2"/>
          </w:tcPr>
          <w:p>
            <w:pPr>
              <w:ind w:left="180"/>
              <w:spacing w:after="0"/>
              <w:rPr>
                <w:sz w:val="20"/>
                <w:szCs w:val="20"/>
                <w:color w:val="auto"/>
              </w:rPr>
            </w:pPr>
            <w:r>
              <w:rPr>
                <w:rFonts w:ascii="Arial" w:cs="Arial" w:eastAsia="Arial" w:hAnsi="Arial"/>
                <w:sz w:val="16"/>
                <w:szCs w:val="16"/>
                <w:b w:val="1"/>
                <w:bCs w:val="1"/>
                <w:color w:val="auto"/>
                <w:w w:val="95"/>
              </w:rPr>
              <w:t>December 31, 2024</w:t>
            </w:r>
          </w:p>
        </w:tc>
      </w:tr>
      <w:tr>
        <w:trPr>
          <w:trHeight w:val="250"/>
        </w:trPr>
        <w:tc>
          <w:tcPr>
            <w:tcW w:w="5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0" w:type="dxa"/>
            <w:vAlign w:val="bottom"/>
            <w:gridSpan w:val="3"/>
          </w:tcPr>
          <w:p>
            <w:pPr>
              <w:jc w:val="right"/>
              <w:ind w:right="1045"/>
              <w:spacing w:after="0"/>
              <w:rPr>
                <w:sz w:val="20"/>
                <w:szCs w:val="20"/>
                <w:color w:val="auto"/>
              </w:rPr>
            </w:pPr>
            <w:r>
              <w:rPr>
                <w:rFonts w:ascii="Arial" w:cs="Arial" w:eastAsia="Arial" w:hAnsi="Arial"/>
                <w:sz w:val="16"/>
                <w:szCs w:val="16"/>
                <w:b w:val="1"/>
                <w:bCs w:val="1"/>
                <w:color w:val="auto"/>
              </w:rPr>
              <w:t>(in millions)</w:t>
            </w:r>
          </w:p>
        </w:tc>
      </w:tr>
      <w:tr>
        <w:trPr>
          <w:trHeight w:val="32"/>
        </w:trPr>
        <w:tc>
          <w:tcPr>
            <w:tcW w:w="5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0"/>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current assets</w:t>
            </w:r>
          </w:p>
        </w:tc>
        <w:tc>
          <w:tcPr>
            <w:tcW w:w="1620" w:type="dxa"/>
            <w:vAlign w:val="bottom"/>
            <w:tcBorders>
              <w:bottom w:val="single" w:sz="8" w:color="CFF0FC"/>
            </w:tcBorders>
            <w:shd w:val="clear" w:color="auto" w:fill="CFF0FC"/>
          </w:tcPr>
          <w:p>
            <w:pPr>
              <w:ind w:left="124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398</w:t>
            </w:r>
          </w:p>
        </w:tc>
        <w:tc>
          <w:tcPr>
            <w:tcW w:w="2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20"/>
                <w:szCs w:val="20"/>
                <w:color w:val="auto"/>
              </w:rPr>
              <w:t>290</w:t>
            </w:r>
          </w:p>
        </w:tc>
      </w:tr>
      <w:tr>
        <w:trPr>
          <w:trHeight w:val="259"/>
        </w:trPr>
        <w:tc>
          <w:tcPr>
            <w:tcW w:w="5180" w:type="dxa"/>
            <w:vAlign w:val="bottom"/>
          </w:tcPr>
          <w:p>
            <w:pPr>
              <w:spacing w:after="0"/>
              <w:rPr>
                <w:sz w:val="20"/>
                <w:szCs w:val="20"/>
                <w:color w:val="auto"/>
              </w:rPr>
            </w:pPr>
            <w:r>
              <w:rPr>
                <w:rFonts w:ascii="Arial" w:cs="Arial" w:eastAsia="Arial" w:hAnsi="Arial"/>
                <w:sz w:val="20"/>
                <w:szCs w:val="20"/>
                <w:color w:val="auto"/>
              </w:rPr>
              <w:t>Total non-current assets</w:t>
            </w:r>
          </w:p>
        </w:tc>
        <w:tc>
          <w:tcPr>
            <w:tcW w:w="16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1,931</w:t>
            </w:r>
          </w:p>
        </w:tc>
        <w:tc>
          <w:tcPr>
            <w:tcW w:w="260" w:type="dxa"/>
            <w:vAlign w:val="bottom"/>
          </w:tcPr>
          <w:p>
            <w:pPr>
              <w:spacing w:after="0"/>
              <w:rPr>
                <w:sz w:val="22"/>
                <w:szCs w:val="22"/>
                <w:color w:val="auto"/>
              </w:rPr>
            </w:pPr>
          </w:p>
        </w:tc>
        <w:tc>
          <w:tcPr>
            <w:tcW w:w="1320" w:type="dxa"/>
            <w:vAlign w:val="bottom"/>
          </w:tcPr>
          <w:p>
            <w:pPr>
              <w:jc w:val="right"/>
              <w:ind w:right="5"/>
              <w:spacing w:after="0"/>
              <w:rPr>
                <w:sz w:val="20"/>
                <w:szCs w:val="20"/>
                <w:color w:val="auto"/>
              </w:rPr>
            </w:pPr>
            <w:r>
              <w:rPr>
                <w:rFonts w:ascii="Arial" w:cs="Arial" w:eastAsia="Arial" w:hAnsi="Arial"/>
                <w:sz w:val="20"/>
                <w:szCs w:val="20"/>
                <w:color w:val="auto"/>
              </w:rPr>
              <w:t>1,050</w:t>
            </w:r>
          </w:p>
        </w:tc>
      </w:tr>
      <w:tr>
        <w:trPr>
          <w:trHeight w:val="41"/>
        </w:trPr>
        <w:tc>
          <w:tcPr>
            <w:tcW w:w="5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80"/>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current liabilities</w:t>
            </w:r>
          </w:p>
        </w:tc>
        <w:tc>
          <w:tcPr>
            <w:tcW w:w="16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7,733</w:t>
            </w:r>
          </w:p>
        </w:tc>
        <w:tc>
          <w:tcPr>
            <w:tcW w:w="2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20"/>
                <w:szCs w:val="20"/>
                <w:color w:val="auto"/>
              </w:rPr>
              <w:t>6,254</w:t>
            </w:r>
          </w:p>
        </w:tc>
      </w:tr>
      <w:tr>
        <w:trPr>
          <w:trHeight w:val="259"/>
        </w:trPr>
        <w:tc>
          <w:tcPr>
            <w:tcW w:w="5180" w:type="dxa"/>
            <w:vAlign w:val="bottom"/>
          </w:tcPr>
          <w:p>
            <w:pPr>
              <w:spacing w:after="0"/>
              <w:rPr>
                <w:sz w:val="20"/>
                <w:szCs w:val="20"/>
                <w:color w:val="auto"/>
              </w:rPr>
            </w:pPr>
            <w:r>
              <w:rPr>
                <w:rFonts w:ascii="Arial" w:cs="Arial" w:eastAsia="Arial" w:hAnsi="Arial"/>
                <w:sz w:val="20"/>
                <w:szCs w:val="20"/>
                <w:color w:val="auto"/>
              </w:rPr>
              <w:t>Total non-current liabilities</w:t>
            </w:r>
          </w:p>
        </w:tc>
        <w:tc>
          <w:tcPr>
            <w:tcW w:w="16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15,068</w:t>
            </w:r>
          </w:p>
        </w:tc>
        <w:tc>
          <w:tcPr>
            <w:tcW w:w="260" w:type="dxa"/>
            <w:vAlign w:val="bottom"/>
          </w:tcPr>
          <w:p>
            <w:pPr>
              <w:spacing w:after="0"/>
              <w:rPr>
                <w:sz w:val="22"/>
                <w:szCs w:val="22"/>
                <w:color w:val="auto"/>
              </w:rPr>
            </w:pPr>
          </w:p>
        </w:tc>
        <w:tc>
          <w:tcPr>
            <w:tcW w:w="1320" w:type="dxa"/>
            <w:vAlign w:val="bottom"/>
          </w:tcPr>
          <w:p>
            <w:pPr>
              <w:jc w:val="right"/>
              <w:ind w:right="5"/>
              <w:spacing w:after="0"/>
              <w:rPr>
                <w:sz w:val="20"/>
                <w:szCs w:val="20"/>
                <w:color w:val="auto"/>
              </w:rPr>
            </w:pPr>
            <w:r>
              <w:rPr>
                <w:rFonts w:ascii="Arial" w:cs="Arial" w:eastAsia="Arial" w:hAnsi="Arial"/>
                <w:sz w:val="20"/>
                <w:szCs w:val="20"/>
                <w:color w:val="auto"/>
              </w:rPr>
              <w:t>14,442</w:t>
            </w:r>
          </w:p>
        </w:tc>
      </w:tr>
      <w:tr>
        <w:trPr>
          <w:trHeight w:val="759"/>
        </w:trPr>
        <w:tc>
          <w:tcPr>
            <w:tcW w:w="5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405"/>
              <w:spacing w:after="0"/>
              <w:rPr>
                <w:sz w:val="20"/>
                <w:szCs w:val="20"/>
                <w:color w:val="auto"/>
              </w:rPr>
            </w:pPr>
            <w:r>
              <w:rPr>
                <w:rFonts w:ascii="Arial" w:cs="Arial" w:eastAsia="Arial" w:hAnsi="Arial"/>
                <w:sz w:val="16"/>
                <w:szCs w:val="16"/>
                <w:b w:val="1"/>
                <w:bCs w:val="1"/>
                <w:color w:val="auto"/>
                <w:w w:val="90"/>
              </w:rPr>
              <w:t>Year ended</w:t>
            </w:r>
          </w:p>
        </w:tc>
      </w:tr>
      <w:tr>
        <w:trPr>
          <w:trHeight w:val="240"/>
        </w:trPr>
        <w:tc>
          <w:tcPr>
            <w:tcW w:w="5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gridSpan w:val="2"/>
          </w:tcPr>
          <w:p>
            <w:pPr>
              <w:jc w:val="center"/>
              <w:ind w:right="145"/>
              <w:spacing w:after="0"/>
              <w:rPr>
                <w:sz w:val="20"/>
                <w:szCs w:val="20"/>
                <w:color w:val="auto"/>
              </w:rPr>
            </w:pPr>
            <w:r>
              <w:rPr>
                <w:rFonts w:ascii="Arial" w:cs="Arial" w:eastAsia="Arial" w:hAnsi="Arial"/>
                <w:sz w:val="16"/>
                <w:szCs w:val="16"/>
                <w:b w:val="1"/>
                <w:bCs w:val="1"/>
                <w:color w:val="auto"/>
                <w:w w:val="90"/>
              </w:rPr>
              <w:t>December 31, 2025</w:t>
            </w:r>
          </w:p>
        </w:tc>
      </w:tr>
      <w:tr>
        <w:trPr>
          <w:trHeight w:val="250"/>
        </w:trPr>
        <w:tc>
          <w:tcPr>
            <w:tcW w:w="5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center"/>
              <w:ind w:right="405"/>
              <w:spacing w:after="0"/>
              <w:rPr>
                <w:sz w:val="20"/>
                <w:szCs w:val="20"/>
                <w:color w:val="auto"/>
              </w:rPr>
            </w:pPr>
            <w:r>
              <w:rPr>
                <w:rFonts w:ascii="Arial" w:cs="Arial" w:eastAsia="Arial" w:hAnsi="Arial"/>
                <w:sz w:val="16"/>
                <w:szCs w:val="16"/>
                <w:b w:val="1"/>
                <w:bCs w:val="1"/>
                <w:color w:val="auto"/>
                <w:w w:val="91"/>
              </w:rPr>
              <w:t>(in millions)</w:t>
            </w:r>
          </w:p>
        </w:tc>
      </w:tr>
      <w:tr>
        <w:trPr>
          <w:trHeight w:val="32"/>
        </w:trPr>
        <w:tc>
          <w:tcPr>
            <w:tcW w:w="5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0"/>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Revenue</w:t>
            </w:r>
          </w:p>
        </w:tc>
        <w:tc>
          <w:tcPr>
            <w:tcW w:w="16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20"/>
                <w:szCs w:val="20"/>
                <w:color w:val="auto"/>
              </w:rPr>
              <w:t>2,242</w:t>
            </w:r>
          </w:p>
        </w:tc>
      </w:tr>
      <w:tr>
        <w:trPr>
          <w:trHeight w:val="259"/>
        </w:trPr>
        <w:tc>
          <w:tcPr>
            <w:tcW w:w="5180" w:type="dxa"/>
            <w:vAlign w:val="bottom"/>
          </w:tcPr>
          <w:p>
            <w:pPr>
              <w:spacing w:after="0"/>
              <w:rPr>
                <w:sz w:val="20"/>
                <w:szCs w:val="20"/>
                <w:color w:val="auto"/>
              </w:rPr>
            </w:pPr>
            <w:r>
              <w:rPr>
                <w:rFonts w:ascii="Arial" w:cs="Arial" w:eastAsia="Arial" w:hAnsi="Arial"/>
                <w:sz w:val="20"/>
                <w:szCs w:val="20"/>
                <w:color w:val="auto"/>
              </w:rPr>
              <w:t>Income from operations</w:t>
            </w:r>
          </w:p>
        </w:tc>
        <w:tc>
          <w:tcPr>
            <w:tcW w:w="1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5"/>
              <w:spacing w:after="0"/>
              <w:rPr>
                <w:sz w:val="20"/>
                <w:szCs w:val="20"/>
                <w:color w:val="auto"/>
              </w:rPr>
            </w:pPr>
            <w:r>
              <w:rPr>
                <w:rFonts w:ascii="Arial" w:cs="Arial" w:eastAsia="Arial" w:hAnsi="Arial"/>
                <w:sz w:val="20"/>
                <w:szCs w:val="20"/>
                <w:color w:val="auto"/>
              </w:rPr>
              <w:t>2,015</w:t>
            </w:r>
          </w:p>
        </w:tc>
      </w:tr>
      <w:tr>
        <w:trPr>
          <w:trHeight w:val="41"/>
        </w:trPr>
        <w:tc>
          <w:tcPr>
            <w:tcW w:w="680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300"/>
        </w:trPr>
        <w:tc>
          <w:tcPr>
            <w:tcW w:w="680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0"/>
              </w:rPr>
              <w:t xml:space="preserve">Income from operations before income taxes and interest in earnings of associates </w:t>
            </w:r>
            <w:r>
              <w:rPr>
                <w:rFonts w:ascii="Arial" w:cs="Arial" w:eastAsia="Arial" w:hAnsi="Arial"/>
                <w:sz w:val="26"/>
                <w:szCs w:val="26"/>
                <w:color w:val="auto"/>
                <w:w w:val="90"/>
                <w:vertAlign w:val="superscript"/>
              </w:rPr>
              <w:t>(i)</w:t>
            </w:r>
          </w:p>
        </w:tc>
        <w:tc>
          <w:tcPr>
            <w:tcW w:w="10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5"/>
              <w:spacing w:after="0"/>
              <w:rPr>
                <w:sz w:val="20"/>
                <w:szCs w:val="20"/>
                <w:color w:val="auto"/>
              </w:rPr>
            </w:pPr>
            <w:r>
              <w:rPr>
                <w:rFonts w:ascii="Arial" w:cs="Arial" w:eastAsia="Arial" w:hAnsi="Arial"/>
                <w:sz w:val="20"/>
                <w:szCs w:val="20"/>
                <w:color w:val="auto"/>
              </w:rPr>
              <w:t>924</w:t>
            </w:r>
          </w:p>
        </w:tc>
      </w:tr>
      <w:tr>
        <w:trPr>
          <w:trHeight w:val="259"/>
        </w:trPr>
        <w:tc>
          <w:tcPr>
            <w:tcW w:w="5180" w:type="dxa"/>
            <w:vAlign w:val="bottom"/>
          </w:tcPr>
          <w:p>
            <w:pPr>
              <w:spacing w:after="0"/>
              <w:rPr>
                <w:sz w:val="20"/>
                <w:szCs w:val="20"/>
                <w:color w:val="auto"/>
              </w:rPr>
            </w:pPr>
            <w:r>
              <w:rPr>
                <w:rFonts w:ascii="Arial" w:cs="Arial" w:eastAsia="Arial" w:hAnsi="Arial"/>
                <w:sz w:val="20"/>
                <w:szCs w:val="20"/>
                <w:color w:val="auto"/>
              </w:rPr>
              <w:t>Net income</w:t>
            </w:r>
          </w:p>
        </w:tc>
        <w:tc>
          <w:tcPr>
            <w:tcW w:w="1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right"/>
              <w:ind w:right="5"/>
              <w:spacing w:after="0"/>
              <w:rPr>
                <w:sz w:val="20"/>
                <w:szCs w:val="20"/>
                <w:color w:val="auto"/>
              </w:rPr>
            </w:pPr>
            <w:r>
              <w:rPr>
                <w:rFonts w:ascii="Arial" w:cs="Arial" w:eastAsia="Arial" w:hAnsi="Arial"/>
                <w:sz w:val="20"/>
                <w:szCs w:val="20"/>
                <w:color w:val="auto"/>
              </w:rPr>
              <w:t>1,164</w:t>
            </w:r>
          </w:p>
        </w:tc>
      </w:tr>
      <w:tr>
        <w:trPr>
          <w:trHeight w:val="41"/>
        </w:trPr>
        <w:tc>
          <w:tcPr>
            <w:tcW w:w="51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9"/>
        </w:trPr>
        <w:tc>
          <w:tcPr>
            <w:tcW w:w="5180" w:type="dxa"/>
            <w:vAlign w:val="bottom"/>
            <w:shd w:val="clear" w:color="auto" w:fill="CFF0FC"/>
          </w:tcPr>
          <w:p>
            <w:pPr>
              <w:spacing w:after="0"/>
              <w:rPr>
                <w:sz w:val="20"/>
                <w:szCs w:val="20"/>
                <w:color w:val="auto"/>
              </w:rPr>
            </w:pPr>
            <w:r>
              <w:rPr>
                <w:rFonts w:ascii="Arial" w:cs="Arial" w:eastAsia="Arial" w:hAnsi="Arial"/>
                <w:sz w:val="20"/>
                <w:szCs w:val="20"/>
                <w:color w:val="auto"/>
              </w:rPr>
              <w:t>Net income attributable to Willis Towers Watson</w:t>
            </w:r>
          </w:p>
        </w:tc>
        <w:tc>
          <w:tcPr>
            <w:tcW w:w="16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5"/>
              <w:spacing w:after="0"/>
              <w:rPr>
                <w:sz w:val="20"/>
                <w:szCs w:val="20"/>
                <w:color w:val="auto"/>
              </w:rPr>
            </w:pPr>
            <w:r>
              <w:rPr>
                <w:rFonts w:ascii="Arial" w:cs="Arial" w:eastAsia="Arial" w:hAnsi="Arial"/>
                <w:sz w:val="20"/>
                <w:szCs w:val="20"/>
                <w:color w:val="auto"/>
              </w:rPr>
              <w:t>1,164</w:t>
            </w:r>
          </w:p>
        </w:tc>
      </w:tr>
      <w:tr>
        <w:trPr>
          <w:trHeight w:val="41"/>
        </w:trPr>
        <w:tc>
          <w:tcPr>
            <w:tcW w:w="5180" w:type="dxa"/>
            <w:vAlign w:val="bottom"/>
            <w:shd w:val="clear" w:color="auto" w:fill="CFF0FC"/>
          </w:tcPr>
          <w:p>
            <w:pPr>
              <w:spacing w:after="0"/>
              <w:rPr>
                <w:sz w:val="3"/>
                <w:szCs w:val="3"/>
                <w:color w:val="auto"/>
              </w:rPr>
            </w:pPr>
          </w:p>
        </w:tc>
        <w:tc>
          <w:tcPr>
            <w:tcW w:w="162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3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4074160</wp:posOffset>
            </wp:positionH>
            <wp:positionV relativeFrom="paragraph">
              <wp:posOffset>-2660015</wp:posOffset>
            </wp:positionV>
            <wp:extent cx="189293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6">
                      <a:extLst>
                        <a:ext uri="{28A0092B-C50C-407E-A947-70E740481C1C}"/>
                      </a:extLst>
                    </a:blip>
                    <a:srcRect/>
                    <a:stretch>
                      <a:fillRect/>
                    </a:stretch>
                  </pic:blipFill>
                  <pic:spPr bwMode="auto">
                    <a:xfrm>
                      <a:off x="0" y="0"/>
                      <a:ext cx="1892935" cy="6350"/>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-1110615</wp:posOffset>
            </wp:positionV>
            <wp:extent cx="107759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7">
                      <a:extLst>
                        <a:ext uri="{28A0092B-C50C-407E-A947-70E740481C1C}"/>
                      </a:extLst>
                    </a:blip>
                    <a:srcRect/>
                    <a:stretch>
                      <a:fillRect/>
                    </a:stretch>
                  </pic:blipFill>
                  <pic:spPr bwMode="auto">
                    <a:xfrm>
                      <a:off x="0" y="0"/>
                      <a:ext cx="107759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79565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8">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26" w:right="260" w:hanging="226"/>
        <w:spacing w:after="0" w:line="459" w:lineRule="auto"/>
        <w:tabs>
          <w:tab w:leader="none" w:pos="226"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intercompany expense, net of the Obligor group from non-guarantor subsidiaries of $552 million for the year ended December 31, 2025.</w:t>
      </w:r>
    </w:p>
    <w:p>
      <w:pPr>
        <w:spacing w:after="0" w:line="275" w:lineRule="exact"/>
        <w:rPr>
          <w:sz w:val="20"/>
          <w:szCs w:val="20"/>
          <w:color w:val="auto"/>
        </w:rPr>
      </w:pPr>
    </w:p>
    <w:p>
      <w:pPr>
        <w:jc w:val="both"/>
        <w:ind w:left="6"/>
        <w:spacing w:after="0" w:line="307" w:lineRule="auto"/>
        <w:rPr>
          <w:sz w:val="20"/>
          <w:szCs w:val="20"/>
          <w:color w:val="auto"/>
        </w:rPr>
      </w:pPr>
      <w:r>
        <w:rPr>
          <w:rFonts w:ascii="Arial" w:cs="Arial" w:eastAsia="Arial" w:hAnsi="Arial"/>
          <w:sz w:val="20"/>
          <w:szCs w:val="20"/>
          <w:color w:val="auto"/>
        </w:rPr>
        <w:t>On January 7, 2026, the Company, together with Trinity Acquisition plc and Willis North America Inc. as borrowers, entered into a $775 million delayed draw term loan (see Note 22 — Subsequent Events within Item 8 of this Annual Report on Form 10-K).</w:t>
      </w:r>
    </w:p>
    <w:p>
      <w:pPr>
        <w:spacing w:after="0" w:line="18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Non-GAAP Financial Measures</w:t>
      </w:r>
    </w:p>
    <w:p>
      <w:pPr>
        <w:spacing w:after="0" w:line="260" w:lineRule="exact"/>
        <w:rPr>
          <w:sz w:val="20"/>
          <w:szCs w:val="20"/>
          <w:color w:val="auto"/>
        </w:rPr>
      </w:pPr>
    </w:p>
    <w:p>
      <w:pPr>
        <w:jc w:val="both"/>
        <w:ind w:left="6" w:right="380"/>
        <w:spacing w:after="0" w:line="330" w:lineRule="auto"/>
        <w:rPr>
          <w:sz w:val="20"/>
          <w:szCs w:val="20"/>
          <w:color w:val="auto"/>
        </w:rPr>
      </w:pPr>
      <w:r>
        <w:rPr>
          <w:rFonts w:ascii="Arial" w:cs="Arial" w:eastAsia="Arial" w:hAnsi="Arial"/>
          <w:sz w:val="19"/>
          <w:szCs w:val="19"/>
          <w:color w:val="auto"/>
        </w:rPr>
        <w:t>In order to assist readers of our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319"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r>
              <w:rPr>
                <w:rFonts w:ascii="Arial" w:cs="Arial" w:eastAsia="Arial" w:hAnsi="Arial"/>
                <w:sz w:val="20"/>
                <w:szCs w:val="20"/>
                <w:b w:val="1"/>
                <w:bCs w:val="1"/>
                <w:color w:val="auto"/>
              </w:rPr>
              <w:t>Most Directly Comparable U.S. GAAP Measure</w:t>
            </w:r>
          </w:p>
        </w:tc>
        <w:tc>
          <w:tcPr>
            <w:tcW w:w="4960" w:type="dxa"/>
            <w:vAlign w:val="bottom"/>
          </w:tcPr>
          <w:p>
            <w:pPr>
              <w:ind w:left="360"/>
              <w:spacing w:after="0"/>
              <w:rPr>
                <w:sz w:val="20"/>
                <w:szCs w:val="20"/>
                <w:color w:val="auto"/>
              </w:rPr>
            </w:pPr>
            <w:r>
              <w:rPr>
                <w:rFonts w:ascii="Arial" w:cs="Arial" w:eastAsia="Arial" w:hAnsi="Arial"/>
                <w:sz w:val="20"/>
                <w:szCs w:val="20"/>
                <w:b w:val="1"/>
                <w:bCs w:val="1"/>
                <w:color w:val="auto"/>
              </w:rPr>
              <w:t>Non-GAAP Measure</w:t>
            </w:r>
          </w:p>
        </w:tc>
      </w:tr>
      <w:tr>
        <w:trPr>
          <w:trHeight w:val="41"/>
        </w:trPr>
        <w:tc>
          <w:tcPr>
            <w:tcW w:w="444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280"/>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As reported change</w:t>
            </w:r>
          </w:p>
        </w:tc>
        <w:tc>
          <w:tcPr>
            <w:tcW w:w="4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20"/>
                <w:szCs w:val="20"/>
                <w:color w:val="auto"/>
              </w:rPr>
              <w:t>Constant currency change</w:t>
            </w:r>
          </w:p>
        </w:tc>
      </w:tr>
      <w:tr>
        <w:trPr>
          <w:trHeight w:val="259"/>
        </w:trPr>
        <w:tc>
          <w:tcPr>
            <w:tcW w:w="4440" w:type="dxa"/>
            <w:vAlign w:val="bottom"/>
          </w:tcPr>
          <w:p>
            <w:pPr>
              <w:spacing w:after="0"/>
              <w:rPr>
                <w:sz w:val="20"/>
                <w:szCs w:val="20"/>
                <w:color w:val="auto"/>
              </w:rPr>
            </w:pPr>
            <w:r>
              <w:rPr>
                <w:rFonts w:ascii="Arial" w:cs="Arial" w:eastAsia="Arial" w:hAnsi="Arial"/>
                <w:sz w:val="20"/>
                <w:szCs w:val="20"/>
                <w:color w:val="auto"/>
              </w:rPr>
              <w:t>As reported change</w:t>
            </w:r>
          </w:p>
        </w:tc>
        <w:tc>
          <w:tcPr>
            <w:tcW w:w="4960" w:type="dxa"/>
            <w:vAlign w:val="bottom"/>
          </w:tcPr>
          <w:p>
            <w:pPr>
              <w:ind w:left="360"/>
              <w:spacing w:after="0"/>
              <w:rPr>
                <w:sz w:val="20"/>
                <w:szCs w:val="20"/>
                <w:color w:val="auto"/>
              </w:rPr>
            </w:pPr>
            <w:r>
              <w:rPr>
                <w:rFonts w:ascii="Arial" w:cs="Arial" w:eastAsia="Arial" w:hAnsi="Arial"/>
                <w:sz w:val="20"/>
                <w:szCs w:val="20"/>
                <w:color w:val="auto"/>
              </w:rPr>
              <w:t>Organic change</w:t>
            </w:r>
          </w:p>
        </w:tc>
      </w:tr>
      <w:tr>
        <w:trPr>
          <w:trHeight w:val="41"/>
        </w:trPr>
        <w:tc>
          <w:tcPr>
            <w:tcW w:w="444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280"/>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Income from operations/margin</w:t>
            </w:r>
          </w:p>
        </w:tc>
        <w:tc>
          <w:tcPr>
            <w:tcW w:w="4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20"/>
                <w:szCs w:val="20"/>
                <w:color w:val="auto"/>
              </w:rPr>
              <w:t>Adjusted operating income/margin</w:t>
            </w:r>
          </w:p>
        </w:tc>
      </w:tr>
      <w:tr>
        <w:trPr>
          <w:trHeight w:val="259"/>
        </w:trPr>
        <w:tc>
          <w:tcPr>
            <w:tcW w:w="4440" w:type="dxa"/>
            <w:vAlign w:val="bottom"/>
          </w:tcPr>
          <w:p>
            <w:pPr>
              <w:spacing w:after="0"/>
              <w:rPr>
                <w:sz w:val="20"/>
                <w:szCs w:val="20"/>
                <w:color w:val="auto"/>
              </w:rPr>
            </w:pPr>
            <w:r>
              <w:rPr>
                <w:rFonts w:ascii="Arial" w:cs="Arial" w:eastAsia="Arial" w:hAnsi="Arial"/>
                <w:sz w:val="20"/>
                <w:szCs w:val="20"/>
                <w:color w:val="auto"/>
              </w:rPr>
              <w:t>Net income/(loss)/margin</w:t>
            </w:r>
          </w:p>
        </w:tc>
        <w:tc>
          <w:tcPr>
            <w:tcW w:w="4960" w:type="dxa"/>
            <w:vAlign w:val="bottom"/>
          </w:tcPr>
          <w:p>
            <w:pPr>
              <w:ind w:left="360"/>
              <w:spacing w:after="0"/>
              <w:rPr>
                <w:sz w:val="20"/>
                <w:szCs w:val="20"/>
                <w:color w:val="auto"/>
              </w:rPr>
            </w:pPr>
            <w:r>
              <w:rPr>
                <w:rFonts w:ascii="Arial" w:cs="Arial" w:eastAsia="Arial" w:hAnsi="Arial"/>
                <w:sz w:val="20"/>
                <w:szCs w:val="20"/>
                <w:color w:val="auto"/>
              </w:rPr>
              <w:t>Adjusted EBITDA/margin</w:t>
            </w:r>
          </w:p>
        </w:tc>
      </w:tr>
      <w:tr>
        <w:trPr>
          <w:trHeight w:val="41"/>
        </w:trPr>
        <w:tc>
          <w:tcPr>
            <w:tcW w:w="444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280"/>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income/(loss) attributable to WTW</w:t>
            </w:r>
          </w:p>
        </w:tc>
        <w:tc>
          <w:tcPr>
            <w:tcW w:w="49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20"/>
                <w:szCs w:val="20"/>
                <w:color w:val="auto"/>
              </w:rPr>
              <w:t>Adjusted net income</w:t>
            </w:r>
          </w:p>
        </w:tc>
      </w:tr>
      <w:tr>
        <w:trPr>
          <w:trHeight w:val="259"/>
        </w:trPr>
        <w:tc>
          <w:tcPr>
            <w:tcW w:w="4440" w:type="dxa"/>
            <w:vAlign w:val="bottom"/>
          </w:tcPr>
          <w:p>
            <w:pPr>
              <w:spacing w:after="0"/>
              <w:rPr>
                <w:sz w:val="20"/>
                <w:szCs w:val="20"/>
                <w:color w:val="auto"/>
              </w:rPr>
            </w:pPr>
            <w:r>
              <w:rPr>
                <w:rFonts w:ascii="Arial" w:cs="Arial" w:eastAsia="Arial" w:hAnsi="Arial"/>
                <w:sz w:val="20"/>
                <w:szCs w:val="20"/>
                <w:color w:val="auto"/>
              </w:rPr>
              <w:t>Diluted earnings/(loss) per share</w:t>
            </w:r>
          </w:p>
        </w:tc>
        <w:tc>
          <w:tcPr>
            <w:tcW w:w="4960" w:type="dxa"/>
            <w:vAlign w:val="bottom"/>
          </w:tcPr>
          <w:p>
            <w:pPr>
              <w:ind w:left="360"/>
              <w:spacing w:after="0"/>
              <w:rPr>
                <w:sz w:val="20"/>
                <w:szCs w:val="20"/>
                <w:color w:val="auto"/>
              </w:rPr>
            </w:pPr>
            <w:r>
              <w:rPr>
                <w:rFonts w:ascii="Arial" w:cs="Arial" w:eastAsia="Arial" w:hAnsi="Arial"/>
                <w:sz w:val="20"/>
                <w:szCs w:val="20"/>
                <w:color w:val="auto"/>
              </w:rPr>
              <w:t>Adjusted diluted earnings per share</w:t>
            </w:r>
          </w:p>
        </w:tc>
      </w:tr>
      <w:tr>
        <w:trPr>
          <w:trHeight w:val="41"/>
        </w:trPr>
        <w:tc>
          <w:tcPr>
            <w:tcW w:w="444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259"/>
        </w:trPr>
        <w:tc>
          <w:tcPr>
            <w:tcW w:w="4440" w:type="dxa"/>
            <w:vAlign w:val="bottom"/>
            <w:shd w:val="clear" w:color="auto" w:fill="CFF0FC"/>
          </w:tcPr>
          <w:p>
            <w:pPr>
              <w:spacing w:after="0"/>
              <w:rPr>
                <w:sz w:val="20"/>
                <w:szCs w:val="20"/>
                <w:color w:val="auto"/>
              </w:rPr>
            </w:pPr>
            <w:r>
              <w:rPr>
                <w:rFonts w:ascii="Arial" w:cs="Arial" w:eastAsia="Arial" w:hAnsi="Arial"/>
                <w:sz w:val="20"/>
                <w:szCs w:val="20"/>
                <w:color w:val="auto"/>
              </w:rPr>
              <w:t>Income from operations before income taxes and</w:t>
            </w:r>
          </w:p>
        </w:tc>
        <w:tc>
          <w:tcPr>
            <w:tcW w:w="4960" w:type="dxa"/>
            <w:vAlign w:val="bottom"/>
            <w:shd w:val="clear" w:color="auto" w:fill="CFF0FC"/>
          </w:tcPr>
          <w:p>
            <w:pPr>
              <w:ind w:left="360"/>
              <w:spacing w:after="0"/>
              <w:rPr>
                <w:sz w:val="20"/>
                <w:szCs w:val="20"/>
                <w:color w:val="auto"/>
              </w:rPr>
            </w:pPr>
            <w:r>
              <w:rPr>
                <w:rFonts w:ascii="Arial" w:cs="Arial" w:eastAsia="Arial" w:hAnsi="Arial"/>
                <w:sz w:val="20"/>
                <w:szCs w:val="20"/>
                <w:color w:val="auto"/>
              </w:rPr>
              <w:t>Adjusted income before taxes</w:t>
            </w:r>
          </w:p>
        </w:tc>
      </w:tr>
      <w:tr>
        <w:trPr>
          <w:trHeight w:val="300"/>
        </w:trPr>
        <w:tc>
          <w:tcPr>
            <w:tcW w:w="4440" w:type="dxa"/>
            <w:vAlign w:val="bottom"/>
            <w:shd w:val="clear" w:color="auto" w:fill="CFF0FC"/>
          </w:tcPr>
          <w:p>
            <w:pPr>
              <w:spacing w:after="0"/>
              <w:rPr>
                <w:sz w:val="20"/>
                <w:szCs w:val="20"/>
                <w:color w:val="auto"/>
              </w:rPr>
            </w:pPr>
            <w:r>
              <w:rPr>
                <w:rFonts w:ascii="Arial" w:cs="Arial" w:eastAsia="Arial" w:hAnsi="Arial"/>
                <w:sz w:val="20"/>
                <w:szCs w:val="20"/>
                <w:color w:val="auto"/>
              </w:rPr>
              <w:t>interest</w:t>
            </w:r>
          </w:p>
        </w:tc>
        <w:tc>
          <w:tcPr>
            <w:tcW w:w="4960" w:type="dxa"/>
            <w:vAlign w:val="bottom"/>
            <w:shd w:val="clear" w:color="auto" w:fill="CFF0FC"/>
          </w:tcPr>
          <w:p>
            <w:pPr>
              <w:spacing w:after="0"/>
              <w:rPr>
                <w:sz w:val="24"/>
                <w:szCs w:val="24"/>
                <w:color w:val="auto"/>
              </w:rPr>
            </w:pPr>
          </w:p>
        </w:tc>
      </w:tr>
      <w:tr>
        <w:trPr>
          <w:trHeight w:val="300"/>
        </w:trPr>
        <w:tc>
          <w:tcPr>
            <w:tcW w:w="4440" w:type="dxa"/>
            <w:vAlign w:val="bottom"/>
            <w:shd w:val="clear" w:color="auto" w:fill="CFF0FC"/>
          </w:tcPr>
          <w:p>
            <w:pPr>
              <w:ind w:left="140"/>
              <w:spacing w:after="0"/>
              <w:rPr>
                <w:sz w:val="20"/>
                <w:szCs w:val="20"/>
                <w:color w:val="auto"/>
              </w:rPr>
            </w:pPr>
            <w:r>
              <w:rPr>
                <w:rFonts w:ascii="Arial" w:cs="Arial" w:eastAsia="Arial" w:hAnsi="Arial"/>
                <w:sz w:val="20"/>
                <w:szCs w:val="20"/>
                <w:color w:val="auto"/>
              </w:rPr>
              <w:t>in earnings of associates</w:t>
            </w:r>
          </w:p>
        </w:tc>
        <w:tc>
          <w:tcPr>
            <w:tcW w:w="4960" w:type="dxa"/>
            <w:vAlign w:val="bottom"/>
            <w:shd w:val="clear" w:color="auto" w:fill="CFF0FC"/>
          </w:tcPr>
          <w:p>
            <w:pPr>
              <w:spacing w:after="0"/>
              <w:rPr>
                <w:sz w:val="24"/>
                <w:szCs w:val="24"/>
                <w:color w:val="auto"/>
              </w:rPr>
            </w:pPr>
          </w:p>
        </w:tc>
      </w:tr>
      <w:tr>
        <w:trPr>
          <w:trHeight w:val="41"/>
        </w:trPr>
        <w:tc>
          <w:tcPr>
            <w:tcW w:w="4440" w:type="dxa"/>
            <w:vAlign w:val="bottom"/>
            <w:shd w:val="clear" w:color="auto" w:fill="CFF0FC"/>
          </w:tcPr>
          <w:p>
            <w:pPr>
              <w:spacing w:after="0"/>
              <w:rPr>
                <w:sz w:val="3"/>
                <w:szCs w:val="3"/>
                <w:color w:val="auto"/>
              </w:rPr>
            </w:pPr>
          </w:p>
        </w:tc>
        <w:tc>
          <w:tcPr>
            <w:tcW w:w="4960" w:type="dxa"/>
            <w:vAlign w:val="bottom"/>
            <w:shd w:val="clear" w:color="auto" w:fill="CFF0FC"/>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9406"/>
          </w:cols>
          <w:pgMar w:left="1254" w:top="1440" w:right="1246" w:bottom="0" w:gutter="0" w:footer="0" w:header="0"/>
        </w:sectPr>
      </w:pPr>
    </w:p>
    <w:p>
      <w:pPr>
        <w:spacing w:after="0" w:line="29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27 / 47</w:t>
      </w:r>
    </w:p>
    <w:p>
      <w:pPr>
        <w:sectPr>
          <w:pgSz w:w="11900" w:h="16838" w:orient="portrait"/>
          <w:cols w:equalWidth="0" w:num="1">
            <w:col w:w="9406"/>
          </w:cols>
          <w:pgMar w:left="1254" w:top="1440" w:right="1246" w:bottom="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20"/>
                <w:szCs w:val="20"/>
                <w:color w:val="auto"/>
              </w:rPr>
              <w:t>Provision for income taxes/U.S. GAAP tax rate</w:t>
            </w:r>
          </w:p>
        </w:tc>
        <w:tc>
          <w:tcPr>
            <w:tcW w:w="5100" w:type="dxa"/>
            <w:vAlign w:val="bottom"/>
          </w:tcPr>
          <w:p>
            <w:pPr>
              <w:ind w:left="500"/>
              <w:spacing w:after="0"/>
              <w:rPr>
                <w:sz w:val="20"/>
                <w:szCs w:val="20"/>
                <w:color w:val="auto"/>
              </w:rPr>
            </w:pPr>
            <w:r>
              <w:rPr>
                <w:rFonts w:ascii="Arial" w:cs="Arial" w:eastAsia="Arial" w:hAnsi="Arial"/>
                <w:sz w:val="20"/>
                <w:szCs w:val="20"/>
                <w:color w:val="auto"/>
              </w:rPr>
              <w:t>Adjusted income taxes/tax rate</w:t>
            </w:r>
          </w:p>
        </w:tc>
      </w:tr>
      <w:tr>
        <w:trPr>
          <w:trHeight w:val="41"/>
        </w:trPr>
        <w:tc>
          <w:tcPr>
            <w:tcW w:w="4300" w:type="dxa"/>
            <w:vAlign w:val="bottom"/>
          </w:tcPr>
          <w:p>
            <w:pPr>
              <w:spacing w:after="0"/>
              <w:rPr>
                <w:sz w:val="3"/>
                <w:szCs w:val="3"/>
                <w:color w:val="auto"/>
              </w:rPr>
            </w:pPr>
          </w:p>
        </w:tc>
        <w:tc>
          <w:tcPr>
            <w:tcW w:w="5100" w:type="dxa"/>
            <w:vAlign w:val="bottom"/>
          </w:tcPr>
          <w:p>
            <w:pPr>
              <w:spacing w:after="0"/>
              <w:rPr>
                <w:sz w:val="3"/>
                <w:szCs w:val="3"/>
                <w:color w:val="auto"/>
              </w:rPr>
            </w:pPr>
          </w:p>
        </w:tc>
      </w:tr>
      <w:tr>
        <w:trPr>
          <w:trHeight w:val="259"/>
        </w:trPr>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Net cash from operating activities</w:t>
            </w:r>
          </w:p>
        </w:tc>
        <w:tc>
          <w:tcPr>
            <w:tcW w:w="5100" w:type="dxa"/>
            <w:vAlign w:val="bottom"/>
            <w:shd w:val="clear" w:color="auto" w:fill="CFF0FC"/>
          </w:tcPr>
          <w:p>
            <w:pPr>
              <w:ind w:left="500"/>
              <w:spacing w:after="0"/>
              <w:rPr>
                <w:sz w:val="20"/>
                <w:szCs w:val="20"/>
                <w:color w:val="auto"/>
              </w:rPr>
            </w:pPr>
            <w:r>
              <w:rPr>
                <w:rFonts w:ascii="Arial" w:cs="Arial" w:eastAsia="Arial" w:hAnsi="Arial"/>
                <w:sz w:val="20"/>
                <w:szCs w:val="20"/>
                <w:color w:val="auto"/>
              </w:rPr>
              <w:t>Free cash flow/margin</w:t>
            </w:r>
          </w:p>
        </w:tc>
      </w:tr>
      <w:tr>
        <w:trPr>
          <w:trHeight w:val="41"/>
        </w:trPr>
        <w:tc>
          <w:tcPr>
            <w:tcW w:w="4300" w:type="dxa"/>
            <w:vAlign w:val="bottom"/>
            <w:shd w:val="clear" w:color="auto" w:fill="CFF0FC"/>
          </w:tcPr>
          <w:p>
            <w:pPr>
              <w:spacing w:after="0"/>
              <w:rPr>
                <w:sz w:val="3"/>
                <w:szCs w:val="3"/>
                <w:color w:val="auto"/>
              </w:rPr>
            </w:pPr>
          </w:p>
        </w:tc>
        <w:tc>
          <w:tcPr>
            <w:tcW w:w="5100" w:type="dxa"/>
            <w:vAlign w:val="bottom"/>
            <w:shd w:val="clear" w:color="auto" w:fill="CFF0FC"/>
          </w:tcPr>
          <w:p>
            <w:pPr>
              <w:spacing w:after="0"/>
              <w:rPr>
                <w:sz w:val="3"/>
                <w:szCs w:val="3"/>
                <w:color w:val="auto"/>
              </w:rPr>
            </w:pPr>
          </w:p>
        </w:tc>
      </w:tr>
    </w:tbl>
    <w:p>
      <w:pPr>
        <w:spacing w:after="0" w:line="339" w:lineRule="exact"/>
        <w:rPr>
          <w:sz w:val="20"/>
          <w:szCs w:val="20"/>
          <w:color w:val="auto"/>
        </w:rPr>
      </w:pPr>
    </w:p>
    <w:p>
      <w:pPr>
        <w:ind w:right="200"/>
        <w:spacing w:after="0" w:line="307" w:lineRule="auto"/>
        <w:rPr>
          <w:sz w:val="20"/>
          <w:szCs w:val="20"/>
          <w:color w:val="auto"/>
        </w:rPr>
      </w:pPr>
      <w:r>
        <w:rPr>
          <w:rFonts w:ascii="Arial" w:cs="Arial" w:eastAsia="Arial" w:hAnsi="Arial"/>
          <w:sz w:val="20"/>
          <w:szCs w:val="20"/>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197" w:lineRule="exact"/>
        <w:rPr>
          <w:sz w:val="20"/>
          <w:szCs w:val="20"/>
          <w:color w:val="auto"/>
        </w:rPr>
      </w:pPr>
    </w:p>
    <w:p>
      <w:pPr>
        <w:ind w:right="100"/>
        <w:spacing w:after="0" w:line="363" w:lineRule="auto"/>
        <w:rPr>
          <w:sz w:val="20"/>
          <w:szCs w:val="20"/>
          <w:color w:val="auto"/>
        </w:rPr>
      </w:pPr>
      <w:r>
        <w:rPr>
          <w:rFonts w:ascii="Arial" w:cs="Arial" w:eastAsia="Arial" w:hAnsi="Arial"/>
          <w:sz w:val="18"/>
          <w:szCs w:val="18"/>
          <w:color w:val="auto"/>
        </w:rPr>
        <w:t>Within the measures referred to as ‘adjusted’, we adjust for significant items which will not be settled in cash, or which we believe to be items that are not core to our current or future operations. These items include the following:</w:t>
      </w:r>
    </w:p>
    <w:p>
      <w:pPr>
        <w:spacing w:after="0" w:line="199" w:lineRule="exact"/>
        <w:rPr>
          <w:sz w:val="20"/>
          <w:szCs w:val="20"/>
          <w:color w:val="auto"/>
        </w:rPr>
      </w:pPr>
    </w:p>
    <w:p>
      <w:pPr>
        <w:ind w:left="620" w:right="60" w:hanging="313"/>
        <w:spacing w:after="0" w:line="373" w:lineRule="auto"/>
        <w:tabs>
          <w:tab w:leader="none" w:pos="6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Restructuring costs and transaction and transformation – Management believes it is appropriate to adjust for restructuring costs and transaction and transformation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w:t>
      </w:r>
    </w:p>
    <w:p>
      <w:pPr>
        <w:spacing w:after="0" w:line="195" w:lineRule="exact"/>
        <w:rPr>
          <w:rFonts w:ascii="Arial" w:cs="Arial" w:eastAsia="Arial" w:hAnsi="Arial"/>
          <w:sz w:val="20"/>
          <w:szCs w:val="20"/>
          <w:color w:val="auto"/>
        </w:rPr>
      </w:pPr>
    </w:p>
    <w:p>
      <w:pPr>
        <w:ind w:left="620" w:right="200" w:hanging="313"/>
        <w:spacing w:after="0" w:line="365" w:lineRule="auto"/>
        <w:tabs>
          <w:tab w:leader="none" w:pos="6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Impairment – Adjustment to remove the non-cash goodwill impairment associated with our BDO reporting unit related to the sale of our TRANZACT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47</w:t>
      </w:r>
    </w:p>
    <w:p>
      <w:pPr>
        <w:sectPr>
          <w:pgSz w:w="11900" w:h="16838" w:orient="portrait"/>
          <w:cols w:equalWidth="0" w:num="1">
            <w:col w:w="9400"/>
          </w:cols>
          <w:pgMar w:left="1260" w:top="1163" w:right="1246" w:bottom="0" w:gutter="0" w:footer="0" w:header="0"/>
          <w:type w:val="continuous"/>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0" w:hanging="313"/>
        <w:spacing w:after="0" w:line="373" w:lineRule="auto"/>
        <w:tabs>
          <w:tab w:leader="none" w:pos="6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Provisions for specified litigation matters – We will include provisions for litigation matters which we believe are not representative of our core business operations. Among other things, we determine this by reference to the amount of the loss (net of insurance and other recovery receivables) and by reference to whether the matter relates to an unusual and complex scenario that is not expected to be repeated as part of our ongoing, ordinary business. These amounts are presented net of insurance and other recovery receivables. See the footnotes to the reconciliation tables below for more specificity on the litigation matter excluded from adjusted results.</w:t>
      </w:r>
    </w:p>
    <w:p>
      <w:pPr>
        <w:spacing w:after="0" w:line="198" w:lineRule="exact"/>
        <w:rPr>
          <w:rFonts w:ascii="Arial" w:cs="Arial" w:eastAsia="Arial" w:hAnsi="Arial"/>
          <w:sz w:val="20"/>
          <w:szCs w:val="20"/>
          <w:color w:val="auto"/>
        </w:rPr>
      </w:pPr>
    </w:p>
    <w:p>
      <w:pPr>
        <w:ind w:left="620" w:right="620" w:hanging="313"/>
        <w:spacing w:after="0" w:line="365" w:lineRule="auto"/>
        <w:tabs>
          <w:tab w:leader="none" w:pos="6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Gains and losses on disposals of operations – Adjustment to remove the gains or losses resulting from disposed operations that have not been classified as discontinued operations.</w:t>
      </w:r>
    </w:p>
    <w:p>
      <w:pPr>
        <w:spacing w:after="0" w:line="200" w:lineRule="exact"/>
        <w:rPr>
          <w:rFonts w:ascii="Arial" w:cs="Arial" w:eastAsia="Arial" w:hAnsi="Arial"/>
          <w:sz w:val="20"/>
          <w:szCs w:val="20"/>
          <w:color w:val="auto"/>
        </w:rPr>
      </w:pPr>
    </w:p>
    <w:p>
      <w:pPr>
        <w:ind w:left="620" w:right="280" w:hanging="313"/>
        <w:spacing w:after="0" w:line="372" w:lineRule="auto"/>
        <w:tabs>
          <w:tab w:leader="none" w:pos="6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Net periodic pension and postretirement benefits – Adjustment to remove the recognition of net periodic pension and postretirement benefits (including pension settlements), other than service costs. We have included this adjustment as applicable in our prior-year disclosures in order to conform to the current-year presentation.</w:t>
      </w:r>
    </w:p>
    <w:p>
      <w:pPr>
        <w:spacing w:after="0" w:line="194" w:lineRule="exact"/>
        <w:rPr>
          <w:rFonts w:ascii="Arial" w:cs="Arial" w:eastAsia="Arial" w:hAnsi="Arial"/>
          <w:sz w:val="20"/>
          <w:szCs w:val="20"/>
          <w:color w:val="auto"/>
        </w:rPr>
      </w:pPr>
    </w:p>
    <w:p>
      <w:pPr>
        <w:ind w:left="620" w:right="80" w:hanging="313"/>
        <w:spacing w:after="0" w:line="373" w:lineRule="auto"/>
        <w:tabs>
          <w:tab w:leader="none" w:pos="6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Tax effect of significant adjustments – Relates to the incremental tax expense or benefit resulting from significant or unusual events including significant statutory tax rate changes enacted in material jurisdictions in which we operate, internal reorganizations of ownership of certain businesses that reduced the investment held by our U.S.-controlled subsidiaries and the recovery of certain refunds or payment of taxes related to businesses in which we no longer participate.</w:t>
      </w:r>
    </w:p>
    <w:p>
      <w:pPr>
        <w:spacing w:after="0" w:line="147" w:lineRule="exact"/>
        <w:rPr>
          <w:sz w:val="20"/>
          <w:szCs w:val="20"/>
          <w:color w:val="auto"/>
        </w:rPr>
      </w:pPr>
    </w:p>
    <w:p>
      <w:pPr>
        <w:ind w:right="300"/>
        <w:spacing w:after="0" w:line="355" w:lineRule="auto"/>
        <w:rPr>
          <w:sz w:val="20"/>
          <w:szCs w:val="20"/>
          <w:color w:val="auto"/>
        </w:rPr>
      </w:pPr>
      <w:r>
        <w:rPr>
          <w:rFonts w:ascii="Arial" w:cs="Arial" w:eastAsia="Arial" w:hAnsi="Arial"/>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Constant Currency Change and Organic Change</w:t>
      </w:r>
    </w:p>
    <w:p>
      <w:pPr>
        <w:spacing w:after="0" w:line="260" w:lineRule="exact"/>
        <w:rPr>
          <w:sz w:val="20"/>
          <w:szCs w:val="20"/>
          <w:color w:val="auto"/>
        </w:rPr>
      </w:pPr>
    </w:p>
    <w:p>
      <w:pPr>
        <w:ind w:right="20"/>
        <w:spacing w:after="0" w:line="307" w:lineRule="auto"/>
        <w:rPr>
          <w:sz w:val="20"/>
          <w:szCs w:val="20"/>
          <w:color w:val="auto"/>
        </w:rPr>
      </w:pPr>
      <w:r>
        <w:rPr>
          <w:rFonts w:ascii="Arial" w:cs="Arial" w:eastAsia="Arial" w:hAnsi="Arial"/>
          <w:sz w:val="20"/>
          <w:szCs w:val="20"/>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243" w:lineRule="exact"/>
        <w:rPr>
          <w:sz w:val="20"/>
          <w:szCs w:val="20"/>
          <w:color w:val="auto"/>
        </w:rPr>
      </w:pPr>
    </w:p>
    <w:p>
      <w:pPr>
        <w:ind w:left="620" w:hanging="313"/>
        <w:spacing w:after="0" w:line="374" w:lineRule="auto"/>
        <w:tabs>
          <w:tab w:leader="none" w:pos="620" w:val="left"/>
        </w:tabs>
        <w:numPr>
          <w:ilvl w:val="0"/>
          <w:numId w:val="37"/>
        </w:numPr>
        <w:rPr>
          <w:rFonts w:ascii="Arial" w:cs="Arial" w:eastAsia="Arial" w:hAnsi="Arial"/>
          <w:sz w:val="20"/>
          <w:szCs w:val="20"/>
          <w:color w:val="auto"/>
        </w:rPr>
      </w:pPr>
      <w:r>
        <w:rPr>
          <w:rFonts w:ascii="Arial" w:cs="Arial" w:eastAsia="Arial" w:hAnsi="Arial"/>
          <w:sz w:val="20"/>
          <w:szCs w:val="20"/>
          <w:i w:val="1"/>
          <w:iCs w:val="1"/>
          <w:color w:val="auto"/>
        </w:rPr>
        <w:t xml:space="preserve">Constant Currency Change - </w:t>
      </w:r>
      <w:r>
        <w:rPr>
          <w:rFonts w:ascii="Arial" w:cs="Arial" w:eastAsia="Arial" w:hAnsi="Arial"/>
          <w:sz w:val="20"/>
          <w:szCs w:val="20"/>
          <w:color w:val="auto"/>
        </w:rPr>
        <w:t>Represents the year-over-year change in revenue excluding the impact of</w:t>
      </w:r>
      <w:r>
        <w:rPr>
          <w:rFonts w:ascii="Arial" w:cs="Arial" w:eastAsia="Arial" w:hAnsi="Arial"/>
          <w:sz w:val="20"/>
          <w:szCs w:val="20"/>
          <w:i w:val="1"/>
          <w:iCs w:val="1"/>
          <w:color w:val="auto"/>
        </w:rPr>
        <w:t xml:space="preserve"> </w:t>
      </w:r>
      <w:r>
        <w:rPr>
          <w:rFonts w:ascii="Arial" w:cs="Arial" w:eastAsia="Arial" w:hAnsi="Arial"/>
          <w:sz w:val="20"/>
          <w:szCs w:val="20"/>
          <w:color w:val="auto"/>
        </w:rPr>
        <w:t>foreign currency fluctuations. To calculate this impact, the prior year local currency results are first translated using the current year monthly average exchange rates. The change is calculated by comparing the prior year revenue, translated at the current year monthly average exchange rates, to the current year as 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47</w:t>
      </w:r>
    </w:p>
    <w:p>
      <w:pPr>
        <w:sectPr>
          <w:pgSz w:w="11900" w:h="16838" w:orient="portrait"/>
          <w:cols w:equalWidth="0" w:num="1">
            <w:col w:w="9400"/>
          </w:cols>
          <w:pgMar w:left="1260" w:top="1440" w:right="1246" w:bottom="0" w:gutter="0" w:footer="0" w:header="0"/>
          <w:type w:val="continuous"/>
        </w:sectPr>
      </w:pPr>
    </w:p>
    <w:bookmarkStart w:id="116" w:name="page117"/>
    <w:bookmarkEnd w:id="116"/>
    <w:p>
      <w:pPr>
        <w:ind w:left="620" w:right="60" w:hanging="313"/>
        <w:spacing w:after="0" w:line="395" w:lineRule="auto"/>
        <w:tabs>
          <w:tab w:leader="none" w:pos="620" w:val="left"/>
        </w:tabs>
        <w:numPr>
          <w:ilvl w:val="0"/>
          <w:numId w:val="38"/>
        </w:numPr>
        <w:rPr>
          <w:rFonts w:ascii="Arial" w:cs="Arial" w:eastAsia="Arial" w:hAnsi="Arial"/>
          <w:sz w:val="19"/>
          <w:szCs w:val="19"/>
          <w:color w:val="auto"/>
        </w:rPr>
      </w:pPr>
      <w:r>
        <w:rPr>
          <w:rFonts w:ascii="Arial" w:cs="Arial" w:eastAsia="Arial" w:hAnsi="Arial"/>
          <w:sz w:val="19"/>
          <w:szCs w:val="19"/>
          <w:i w:val="1"/>
          <w:iCs w:val="1"/>
          <w:color w:val="auto"/>
        </w:rPr>
        <w:t xml:space="preserve">Organic Change - </w:t>
      </w:r>
      <w:r>
        <w:rPr>
          <w:rFonts w:ascii="Arial" w:cs="Arial" w:eastAsia="Arial" w:hAnsi="Arial"/>
          <w:sz w:val="19"/>
          <w:szCs w:val="19"/>
          <w:color w:val="auto"/>
        </w:rPr>
        <w:t>Excludes the impact of fluctuations in foreign currency exchange rates as described above</w:t>
      </w:r>
      <w:r>
        <w:rPr>
          <w:rFonts w:ascii="Arial" w:cs="Arial" w:eastAsia="Arial" w:hAnsi="Arial"/>
          <w:sz w:val="19"/>
          <w:szCs w:val="19"/>
          <w:i w:val="1"/>
          <w:iCs w:val="1"/>
          <w:color w:val="auto"/>
        </w:rPr>
        <w:t xml:space="preserve"> </w:t>
      </w:r>
      <w:r>
        <w:rPr>
          <w:rFonts w:ascii="Arial" w:cs="Arial" w:eastAsia="Arial" w:hAnsi="Arial"/>
          <w:sz w:val="19"/>
          <w:szCs w:val="19"/>
          <w:color w:val="auto"/>
        </w:rPr>
        <w:t>and the period-over-period impact 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37" w:lineRule="exact"/>
        <w:rPr>
          <w:sz w:val="20"/>
          <w:szCs w:val="20"/>
          <w:color w:val="auto"/>
        </w:rPr>
      </w:pPr>
    </w:p>
    <w:p>
      <w:pPr>
        <w:ind w:right="400"/>
        <w:spacing w:after="0" w:line="355" w:lineRule="auto"/>
        <w:rPr>
          <w:sz w:val="20"/>
          <w:szCs w:val="20"/>
          <w:color w:val="auto"/>
        </w:rPr>
      </w:pPr>
      <w:r>
        <w:rPr>
          <w:rFonts w:ascii="Arial" w:cs="Arial" w:eastAsia="Arial" w:hAnsi="Arial"/>
          <w:sz w:val="18"/>
          <w:szCs w:val="18"/>
          <w:color w:val="auto"/>
        </w:rPr>
        <w:t>The constant currency and organic change results, and a reconciliation from the reported results for consolidated revenue, are included in the ‘Consolidated Revenue’ section within this Form 10-K. These measures are also reported by segment in the ‘Segment Revenue and Segment Operating Income’ section within this Form 10-K.</w:t>
      </w:r>
    </w:p>
    <w:p>
      <w:pPr>
        <w:spacing w:after="0" w:line="162"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A reconciliation of the as-reported change to the constant currency and organic change for the year ended December 31, 2025 from the year ended December 31, 2024 is as follows. The components of revenue change may not add due to rounding.</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00" w:type="dxa"/>
            <w:vAlign w:val="bottom"/>
            <w:gridSpan w:val="2"/>
          </w:tcPr>
          <w:p>
            <w:pPr>
              <w:ind w:left="40"/>
              <w:spacing w:after="0"/>
              <w:rPr>
                <w:sz w:val="20"/>
                <w:szCs w:val="20"/>
                <w:color w:val="auto"/>
              </w:rPr>
            </w:pPr>
            <w:r>
              <w:rPr>
                <w:rFonts w:ascii="Arial" w:cs="Arial" w:eastAsia="Arial" w:hAnsi="Arial"/>
                <w:sz w:val="16"/>
                <w:szCs w:val="16"/>
                <w:b w:val="1"/>
                <w:bCs w:val="1"/>
                <w:color w:val="auto"/>
                <w:w w:val="89"/>
              </w:rPr>
              <w:t>Components of Revenue Change</w:t>
            </w:r>
          </w:p>
        </w:tc>
        <w:tc>
          <w:tcPr>
            <w:tcW w:w="820" w:type="dxa"/>
            <w:vAlign w:val="bottom"/>
          </w:tcPr>
          <w:p>
            <w:pPr>
              <w:spacing w:after="0"/>
              <w:rPr>
                <w:sz w:val="16"/>
                <w:szCs w:val="16"/>
                <w:color w:val="auto"/>
              </w:rPr>
            </w:pPr>
          </w:p>
        </w:tc>
      </w:tr>
      <w:tr>
        <w:trPr>
          <w:trHeight w:val="250"/>
        </w:trPr>
        <w:tc>
          <w:tcPr>
            <w:tcW w:w="1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7"/>
              </w:rPr>
              <w:t>As</w:t>
            </w:r>
          </w:p>
        </w:tc>
        <w:tc>
          <w:tcPr>
            <w:tcW w:w="880" w:type="dxa"/>
            <w:vAlign w:val="bottom"/>
          </w:tcPr>
          <w:p>
            <w:pPr>
              <w:jc w:val="center"/>
              <w:ind w:left="75"/>
              <w:spacing w:after="0"/>
              <w:rPr>
                <w:sz w:val="20"/>
                <w:szCs w:val="20"/>
                <w:color w:val="auto"/>
              </w:rPr>
            </w:pPr>
            <w:r>
              <w:rPr>
                <w:rFonts w:ascii="Arial" w:cs="Arial" w:eastAsia="Arial" w:hAnsi="Arial"/>
                <w:sz w:val="16"/>
                <w:szCs w:val="16"/>
                <w:b w:val="1"/>
                <w:bCs w:val="1"/>
                <w:color w:val="auto"/>
                <w:w w:val="86"/>
              </w:rPr>
              <w:t>Less:</w:t>
            </w:r>
          </w:p>
        </w:tc>
        <w:tc>
          <w:tcPr>
            <w:tcW w:w="1080" w:type="dxa"/>
            <w:vAlign w:val="bottom"/>
          </w:tcPr>
          <w:p>
            <w:pPr>
              <w:jc w:val="center"/>
              <w:ind w:left="136"/>
              <w:spacing w:after="0"/>
              <w:rPr>
                <w:sz w:val="20"/>
                <w:szCs w:val="20"/>
                <w:color w:val="auto"/>
              </w:rPr>
            </w:pPr>
            <w:r>
              <w:rPr>
                <w:rFonts w:ascii="Arial" w:cs="Arial" w:eastAsia="Arial" w:hAnsi="Arial"/>
                <w:sz w:val="16"/>
                <w:szCs w:val="16"/>
                <w:b w:val="1"/>
                <w:bCs w:val="1"/>
                <w:color w:val="auto"/>
                <w:w w:val="89"/>
              </w:rPr>
              <w:t>Constant</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1"/>
              </w:rPr>
              <w:t>Less:</w:t>
            </w:r>
          </w:p>
        </w:tc>
        <w:tc>
          <w:tcPr>
            <w:tcW w:w="820" w:type="dxa"/>
            <w:vAlign w:val="bottom"/>
          </w:tcPr>
          <w:p>
            <w:pPr>
              <w:spacing w:after="0"/>
              <w:rPr>
                <w:sz w:val="21"/>
                <w:szCs w:val="21"/>
                <w:color w:val="auto"/>
              </w:rPr>
            </w:pPr>
          </w:p>
        </w:tc>
      </w:tr>
      <w:tr>
        <w:trPr>
          <w:trHeight w:val="250"/>
        </w:trPr>
        <w:tc>
          <w:tcPr>
            <w:tcW w:w="1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0" w:type="dxa"/>
            <w:vAlign w:val="bottom"/>
            <w:gridSpan w:val="3"/>
          </w:tcPr>
          <w:p>
            <w:pPr>
              <w:jc w:val="center"/>
              <w:ind w:right="210"/>
              <w:spacing w:after="0"/>
              <w:rPr>
                <w:sz w:val="20"/>
                <w:szCs w:val="20"/>
                <w:color w:val="auto"/>
              </w:rPr>
            </w:pPr>
            <w:r>
              <w:rPr>
                <w:rFonts w:ascii="Arial" w:cs="Arial" w:eastAsia="Arial" w:hAnsi="Arial"/>
                <w:sz w:val="16"/>
                <w:szCs w:val="16"/>
                <w:b w:val="1"/>
                <w:bCs w:val="1"/>
                <w:color w:val="auto"/>
                <w:w w:val="89"/>
              </w:rPr>
              <w:t>Years ended December 31,</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880" w:type="dxa"/>
            <w:vAlign w:val="bottom"/>
          </w:tcPr>
          <w:p>
            <w:pPr>
              <w:jc w:val="center"/>
              <w:ind w:left="55"/>
              <w:spacing w:after="0"/>
              <w:rPr>
                <w:sz w:val="20"/>
                <w:szCs w:val="20"/>
                <w:color w:val="auto"/>
              </w:rPr>
            </w:pPr>
            <w:r>
              <w:rPr>
                <w:rFonts w:ascii="Arial" w:cs="Arial" w:eastAsia="Arial" w:hAnsi="Arial"/>
                <w:sz w:val="16"/>
                <w:szCs w:val="16"/>
                <w:b w:val="1"/>
                <w:bCs w:val="1"/>
                <w:color w:val="auto"/>
                <w:w w:val="93"/>
              </w:rPr>
              <w:t>Currency</w:t>
            </w:r>
          </w:p>
        </w:tc>
        <w:tc>
          <w:tcPr>
            <w:tcW w:w="1080" w:type="dxa"/>
            <w:vAlign w:val="bottom"/>
          </w:tcPr>
          <w:p>
            <w:pPr>
              <w:jc w:val="center"/>
              <w:ind w:left="136"/>
              <w:spacing w:after="0"/>
              <w:rPr>
                <w:sz w:val="20"/>
                <w:szCs w:val="20"/>
                <w:color w:val="auto"/>
              </w:rPr>
            </w:pPr>
            <w:r>
              <w:rPr>
                <w:rFonts w:ascii="Arial" w:cs="Arial" w:eastAsia="Arial" w:hAnsi="Arial"/>
                <w:sz w:val="16"/>
                <w:szCs w:val="16"/>
                <w:b w:val="1"/>
                <w:bCs w:val="1"/>
                <w:color w:val="auto"/>
                <w:w w:val="93"/>
              </w:rPr>
              <w:t>Currency</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Acquisitions/</w:t>
            </w:r>
          </w:p>
        </w:tc>
        <w:tc>
          <w:tcPr>
            <w:tcW w:w="820" w:type="dxa"/>
            <w:vAlign w:val="bottom"/>
          </w:tcPr>
          <w:p>
            <w:pPr>
              <w:jc w:val="center"/>
              <w:ind w:right="13"/>
              <w:spacing w:after="0"/>
              <w:rPr>
                <w:sz w:val="20"/>
                <w:szCs w:val="20"/>
                <w:color w:val="auto"/>
              </w:rPr>
            </w:pPr>
            <w:r>
              <w:rPr>
                <w:rFonts w:ascii="Arial" w:cs="Arial" w:eastAsia="Arial" w:hAnsi="Arial"/>
                <w:sz w:val="16"/>
                <w:szCs w:val="16"/>
                <w:b w:val="1"/>
                <w:bCs w:val="1"/>
                <w:color w:val="auto"/>
                <w:w w:val="92"/>
              </w:rPr>
              <w:t>Organic</w:t>
            </w:r>
          </w:p>
        </w:tc>
      </w:tr>
      <w:tr>
        <w:trPr>
          <w:trHeight w:val="296"/>
        </w:trPr>
        <w:tc>
          <w:tcPr>
            <w:tcW w:w="1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jc w:val="right"/>
              <w:ind w:right="355"/>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24"/>
                <w:szCs w:val="24"/>
                <w:color w:val="auto"/>
              </w:rPr>
            </w:pPr>
          </w:p>
        </w:tc>
        <w:tc>
          <w:tcPr>
            <w:tcW w:w="940" w:type="dxa"/>
            <w:vAlign w:val="bottom"/>
          </w:tcPr>
          <w:p>
            <w:pPr>
              <w:jc w:val="right"/>
              <w:ind w:right="410"/>
              <w:spacing w:after="0"/>
              <w:rPr>
                <w:sz w:val="20"/>
                <w:szCs w:val="20"/>
                <w:color w:val="auto"/>
              </w:rPr>
            </w:pPr>
            <w:r>
              <w:rPr>
                <w:rFonts w:ascii="Arial" w:cs="Arial" w:eastAsia="Arial" w:hAnsi="Arial"/>
                <w:sz w:val="16"/>
                <w:szCs w:val="16"/>
                <w:b w:val="1"/>
                <w:bCs w:val="1"/>
                <w:color w:val="auto"/>
              </w:rPr>
              <w:t>2024</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c>
          <w:tcPr>
            <w:tcW w:w="880" w:type="dxa"/>
            <w:vAlign w:val="bottom"/>
          </w:tcPr>
          <w:p>
            <w:pPr>
              <w:jc w:val="center"/>
              <w:ind w:left="75"/>
              <w:spacing w:after="0"/>
              <w:rPr>
                <w:sz w:val="20"/>
                <w:szCs w:val="20"/>
                <w:color w:val="auto"/>
              </w:rPr>
            </w:pPr>
            <w:r>
              <w:rPr>
                <w:rFonts w:ascii="Arial" w:cs="Arial" w:eastAsia="Arial" w:hAnsi="Arial"/>
                <w:sz w:val="16"/>
                <w:szCs w:val="16"/>
                <w:b w:val="1"/>
                <w:bCs w:val="1"/>
                <w:color w:val="auto"/>
                <w:w w:val="92"/>
              </w:rPr>
              <w:t>Impact</w:t>
            </w:r>
          </w:p>
        </w:tc>
        <w:tc>
          <w:tcPr>
            <w:tcW w:w="1080" w:type="dxa"/>
            <w:vAlign w:val="bottom"/>
          </w:tcPr>
          <w:p>
            <w:pPr>
              <w:jc w:val="center"/>
              <w:ind w:left="116"/>
              <w:spacing w:after="0"/>
              <w:rPr>
                <w:sz w:val="20"/>
                <w:szCs w:val="20"/>
                <w:color w:val="auto"/>
              </w:rPr>
            </w:pPr>
            <w:r>
              <w:rPr>
                <w:rFonts w:ascii="Arial" w:cs="Arial" w:eastAsia="Arial" w:hAnsi="Arial"/>
                <w:sz w:val="16"/>
                <w:szCs w:val="16"/>
                <w:b w:val="1"/>
                <w:bCs w:val="1"/>
                <w:color w:val="auto"/>
                <w:w w:val="88"/>
              </w:rPr>
              <w:t>Change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Divestitures</w:t>
            </w:r>
          </w:p>
        </w:tc>
        <w:tc>
          <w:tcPr>
            <w:tcW w:w="820" w:type="dxa"/>
            <w:vAlign w:val="bottom"/>
          </w:tcPr>
          <w:p>
            <w:pPr>
              <w:jc w:val="center"/>
              <w:ind w:right="13"/>
              <w:spacing w:after="0"/>
              <w:rPr>
                <w:sz w:val="20"/>
                <w:szCs w:val="20"/>
                <w:color w:val="auto"/>
              </w:rPr>
            </w:pPr>
            <w:r>
              <w:rPr>
                <w:rFonts w:ascii="Arial" w:cs="Arial" w:eastAsia="Arial" w:hAnsi="Arial"/>
                <w:sz w:val="16"/>
                <w:szCs w:val="16"/>
                <w:b w:val="1"/>
                <w:bCs w:val="1"/>
                <w:color w:val="auto"/>
                <w:w w:val="89"/>
              </w:rPr>
              <w:t xml:space="preserve">Change </w:t>
            </w:r>
            <w:r>
              <w:rPr>
                <w:rFonts w:ascii="Arial" w:cs="Arial" w:eastAsia="Arial" w:hAnsi="Arial"/>
                <w:sz w:val="21"/>
                <w:szCs w:val="21"/>
                <w:b w:val="1"/>
                <w:bCs w:val="1"/>
                <w:color w:val="auto"/>
                <w:w w:val="89"/>
                <w:vertAlign w:val="superscript"/>
              </w:rPr>
              <w:t>(i)</w:t>
            </w:r>
          </w:p>
        </w:tc>
      </w:tr>
      <w:tr>
        <w:trPr>
          <w:trHeight w:val="194"/>
        </w:trPr>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0" w:type="dxa"/>
            <w:vAlign w:val="bottom"/>
            <w:gridSpan w:val="3"/>
          </w:tcPr>
          <w:p>
            <w:pPr>
              <w:jc w:val="center"/>
              <w:ind w:right="210"/>
              <w:spacing w:after="0"/>
              <w:rPr>
                <w:sz w:val="20"/>
                <w:szCs w:val="20"/>
                <w:color w:val="auto"/>
              </w:rPr>
            </w:pPr>
            <w:r>
              <w:rPr>
                <w:rFonts w:ascii="Arial" w:cs="Arial" w:eastAsia="Arial" w:hAnsi="Arial"/>
                <w:sz w:val="16"/>
                <w:szCs w:val="16"/>
                <w:b w:val="1"/>
                <w:bCs w:val="1"/>
                <w:color w:val="auto"/>
                <w:w w:val="91"/>
              </w:rPr>
              <w:t>($ in millions)</w:t>
            </w: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2"/>
        </w:trPr>
        <w:tc>
          <w:tcPr>
            <w:tcW w:w="1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04"/>
        </w:trPr>
        <w:tc>
          <w:tcPr>
            <w:tcW w:w="1380" w:type="dxa"/>
            <w:vAlign w:val="bottom"/>
            <w:shd w:val="clear" w:color="auto" w:fill="CFF0FC"/>
          </w:tcPr>
          <w:p>
            <w:pPr>
              <w:spacing w:after="0"/>
              <w:rPr>
                <w:sz w:val="20"/>
                <w:szCs w:val="20"/>
                <w:color w:val="auto"/>
              </w:rPr>
            </w:pPr>
            <w:r>
              <w:rPr>
                <w:rFonts w:ascii="Arial" w:cs="Arial" w:eastAsia="Arial" w:hAnsi="Arial"/>
                <w:sz w:val="20"/>
                <w:szCs w:val="20"/>
                <w:color w:val="auto"/>
              </w:rPr>
              <w:t>Revenue</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ind w:right="15"/>
              <w:spacing w:after="0"/>
              <w:rPr>
                <w:sz w:val="20"/>
                <w:szCs w:val="20"/>
                <w:color w:val="auto"/>
              </w:rPr>
            </w:pPr>
            <w:r>
              <w:rPr>
                <w:rFonts w:ascii="Arial" w:cs="Arial" w:eastAsia="Arial" w:hAnsi="Arial"/>
                <w:sz w:val="20"/>
                <w:szCs w:val="20"/>
                <w:color w:val="auto"/>
              </w:rPr>
              <w:t>9,708</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ind w:right="70"/>
              <w:spacing w:after="0"/>
              <w:rPr>
                <w:sz w:val="20"/>
                <w:szCs w:val="20"/>
                <w:color w:val="auto"/>
              </w:rPr>
            </w:pPr>
            <w:r>
              <w:rPr>
                <w:rFonts w:ascii="Arial" w:cs="Arial" w:eastAsia="Arial" w:hAnsi="Arial"/>
                <w:sz w:val="20"/>
                <w:szCs w:val="20"/>
                <w:color w:val="auto"/>
              </w:rPr>
              <w:t>9,930</w:t>
            </w:r>
          </w:p>
        </w:tc>
        <w:tc>
          <w:tcPr>
            <w:tcW w:w="9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4"/>
              </w:rPr>
              <w:t>(2)%</w:t>
            </w:r>
          </w:p>
        </w:tc>
        <w:tc>
          <w:tcPr>
            <w:tcW w:w="880" w:type="dxa"/>
            <w:vAlign w:val="bottom"/>
            <w:shd w:val="clear" w:color="auto" w:fill="CFF0FC"/>
          </w:tcPr>
          <w:p>
            <w:pPr>
              <w:jc w:val="center"/>
              <w:ind w:left="55"/>
              <w:spacing w:after="0"/>
              <w:rPr>
                <w:sz w:val="20"/>
                <w:szCs w:val="20"/>
                <w:color w:val="auto"/>
              </w:rPr>
            </w:pPr>
            <w:r>
              <w:rPr>
                <w:rFonts w:ascii="Arial" w:cs="Arial" w:eastAsia="Arial" w:hAnsi="Arial"/>
                <w:sz w:val="20"/>
                <w:szCs w:val="20"/>
                <w:color w:val="auto"/>
                <w:w w:val="89"/>
              </w:rPr>
              <w:t>1%</w:t>
            </w:r>
          </w:p>
        </w:tc>
        <w:tc>
          <w:tcPr>
            <w:tcW w:w="1080" w:type="dxa"/>
            <w:vAlign w:val="bottom"/>
            <w:shd w:val="clear" w:color="auto" w:fill="CFF0FC"/>
          </w:tcPr>
          <w:p>
            <w:pPr>
              <w:jc w:val="center"/>
              <w:ind w:left="116"/>
              <w:spacing w:after="0"/>
              <w:rPr>
                <w:sz w:val="20"/>
                <w:szCs w:val="20"/>
                <w:color w:val="auto"/>
              </w:rPr>
            </w:pPr>
            <w:r>
              <w:rPr>
                <w:rFonts w:ascii="Arial" w:cs="Arial" w:eastAsia="Arial" w:hAnsi="Arial"/>
                <w:sz w:val="20"/>
                <w:szCs w:val="20"/>
                <w:color w:val="auto"/>
                <w:w w:val="94"/>
              </w:rPr>
              <w:t>(3)%</w:t>
            </w:r>
          </w:p>
        </w:tc>
        <w:tc>
          <w:tcPr>
            <w:tcW w:w="12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4"/>
              </w:rPr>
              <w:t>(8)%</w:t>
            </w:r>
          </w:p>
        </w:tc>
        <w:tc>
          <w:tcPr>
            <w:tcW w:w="820" w:type="dxa"/>
            <w:vAlign w:val="bottom"/>
            <w:shd w:val="clear" w:color="auto" w:fill="CFF0FC"/>
          </w:tcPr>
          <w:p>
            <w:pPr>
              <w:jc w:val="center"/>
              <w:ind w:right="13"/>
              <w:spacing w:after="0"/>
              <w:rPr>
                <w:sz w:val="20"/>
                <w:szCs w:val="20"/>
                <w:color w:val="auto"/>
              </w:rPr>
            </w:pPr>
            <w:r>
              <w:rPr>
                <w:rFonts w:ascii="Arial" w:cs="Arial" w:eastAsia="Arial" w:hAnsi="Arial"/>
                <w:sz w:val="20"/>
                <w:szCs w:val="20"/>
                <w:color w:val="auto"/>
                <w:w w:val="96"/>
              </w:rPr>
              <w:t>5%</w:t>
            </w:r>
          </w:p>
        </w:tc>
      </w:tr>
      <w:tr>
        <w:trPr>
          <w:trHeight w:val="41"/>
        </w:trPr>
        <w:tc>
          <w:tcPr>
            <w:tcW w:w="138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1080" w:type="dxa"/>
            <w:vAlign w:val="bottom"/>
            <w:shd w:val="clear" w:color="auto" w:fill="CFF0FC"/>
          </w:tcPr>
          <w:p>
            <w:pPr>
              <w:spacing w:after="0"/>
              <w:rPr>
                <w:sz w:val="3"/>
                <w:szCs w:val="3"/>
                <w:color w:val="auto"/>
              </w:rPr>
            </w:pPr>
          </w:p>
        </w:tc>
        <w:tc>
          <w:tcPr>
            <w:tcW w:w="122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-847090</wp:posOffset>
            </wp:positionV>
            <wp:extent cx="249491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0">
                      <a:extLst>
                        <a:ext uri="{28A0092B-C50C-407E-A947-70E740481C1C}"/>
                      </a:extLst>
                    </a:blip>
                    <a:srcRect/>
                    <a:stretch>
                      <a:fillRect/>
                    </a:stretch>
                  </pic:blipFill>
                  <pic:spPr bwMode="auto">
                    <a:xfrm>
                      <a:off x="0" y="0"/>
                      <a:ext cx="2494915" cy="6350"/>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-535940</wp:posOffset>
            </wp:positionV>
            <wp:extent cx="143764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1">
                      <a:extLst>
                        <a:ext uri="{28A0092B-C50C-407E-A947-70E740481C1C}"/>
                      </a:extLst>
                    </a:blip>
                    <a:srcRect/>
                    <a:stretch>
                      <a:fillRect/>
                    </a:stretch>
                  </pic:blipFill>
                  <pic:spPr bwMode="auto">
                    <a:xfrm>
                      <a:off x="0" y="0"/>
                      <a:ext cx="1437640" cy="6350"/>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-377190</wp:posOffset>
            </wp:positionV>
            <wp:extent cx="463931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2">
                      <a:extLst>
                        <a:ext uri="{28A0092B-C50C-407E-A947-70E740481C1C}"/>
                      </a:extLst>
                    </a:blip>
                    <a:srcRect/>
                    <a:stretch>
                      <a:fillRect/>
                    </a:stretch>
                  </pic:blipFill>
                  <pic:spPr bwMode="auto">
                    <a:xfrm>
                      <a:off x="0" y="0"/>
                      <a:ext cx="4639310" cy="6350"/>
                    </a:xfrm>
                    <a:prstGeom prst="rect">
                      <a:avLst/>
                    </a:prstGeom>
                    <a:noFill/>
                  </pic:spPr>
                </pic:pic>
              </a:graphicData>
            </a:graphic>
          </wp:anchor>
        </w:drawing>
        <w:drawing>
          <wp:anchor simplePos="0" relativeHeight="251657728" behindDoc="1" locked="0" layoutInCell="0" allowOverlap="1">
            <wp:simplePos x="0" y="0"/>
            <wp:positionH relativeFrom="column">
              <wp:posOffset>1323975</wp:posOffset>
            </wp:positionH>
            <wp:positionV relativeFrom="paragraph">
              <wp:posOffset>-27940</wp:posOffset>
            </wp:positionV>
            <wp:extent cx="1504315" cy="285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3">
                      <a:extLst>
                        <a:ext uri="{28A0092B-C50C-407E-A947-70E740481C1C}"/>
                      </a:extLst>
                    </a:blip>
                    <a:srcRect/>
                    <a:stretch>
                      <a:fillRect/>
                    </a:stretch>
                  </pic:blipFill>
                  <pic:spPr bwMode="auto">
                    <a:xfrm>
                      <a:off x="0" y="0"/>
                      <a:ext cx="1504315"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wp:posOffset>
            </wp:positionV>
            <wp:extent cx="795655"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4">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(i) Interest income did not contribute to organic change for the year ended December 31, 2025.</w:t>
      </w:r>
    </w:p>
    <w:p>
      <w:pPr>
        <w:spacing w:after="0" w:line="282" w:lineRule="exact"/>
        <w:rPr>
          <w:sz w:val="20"/>
          <w:szCs w:val="20"/>
          <w:color w:val="auto"/>
        </w:rPr>
      </w:pPr>
    </w:p>
    <w:p>
      <w:pPr>
        <w:ind w:right="180"/>
        <w:spacing w:after="0" w:line="307" w:lineRule="auto"/>
        <w:rPr>
          <w:sz w:val="20"/>
          <w:szCs w:val="20"/>
          <w:color w:val="auto"/>
        </w:rPr>
      </w:pPr>
      <w:r>
        <w:rPr>
          <w:rFonts w:ascii="Arial" w:cs="Arial" w:eastAsia="Arial" w:hAnsi="Arial"/>
          <w:sz w:val="20"/>
          <w:szCs w:val="20"/>
          <w:color w:val="auto"/>
        </w:rPr>
        <w:t>For the year ended December 31, 2025, our as-reported revenue decreased by $222 million, or 2%, and our organic revenue increased by 5%. The decrease in as-reported revenue was due primarily to the sale of our TRANZACT business on December 31, 2024. The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9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47</w:t>
      </w:r>
    </w:p>
    <w:p>
      <w:pPr>
        <w:sectPr>
          <w:pgSz w:w="11900" w:h="16838" w:orient="portrait"/>
          <w:cols w:equalWidth="0" w:num="1">
            <w:col w:w="9400"/>
          </w:cols>
          <w:pgMar w:left="1260" w:top="1398" w:right="1246" w:bottom="0" w:gutter="0" w:footer="0" w:header="0"/>
          <w:type w:val="continuous"/>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 w:right="280"/>
        <w:spacing w:after="0" w:line="307" w:lineRule="auto"/>
        <w:rPr>
          <w:sz w:val="20"/>
          <w:szCs w:val="20"/>
          <w:color w:val="auto"/>
        </w:rPr>
      </w:pPr>
      <w:r>
        <w:rPr>
          <w:rFonts w:ascii="Arial" w:cs="Arial" w:eastAsia="Arial" w:hAnsi="Arial"/>
          <w:sz w:val="20"/>
          <w:szCs w:val="20"/>
          <w:color w:val="auto"/>
        </w:rPr>
        <w:t>increases in organic revenue were driven by strong performances in both segments. For additional information, please see the section entitled ‘Segment Revenue and Segment Operating Income’ elsewhere within Item 7 of this Annual Report on Form 10-K.</w:t>
      </w:r>
    </w:p>
    <w:p>
      <w:pPr>
        <w:spacing w:after="0" w:line="188"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Adjusted Operating Income/Margin</w:t>
      </w:r>
    </w:p>
    <w:p>
      <w:pPr>
        <w:spacing w:after="0" w:line="260" w:lineRule="exact"/>
        <w:rPr>
          <w:sz w:val="20"/>
          <w:szCs w:val="20"/>
          <w:color w:val="auto"/>
        </w:rPr>
      </w:pPr>
    </w:p>
    <w:p>
      <w:pPr>
        <w:ind w:left="6" w:right="480"/>
        <w:spacing w:after="0" w:line="363" w:lineRule="auto"/>
        <w:rPr>
          <w:sz w:val="20"/>
          <w:szCs w:val="20"/>
          <w:color w:val="auto"/>
        </w:rPr>
      </w:pPr>
      <w:r>
        <w:rPr>
          <w:rFonts w:ascii="Arial" w:cs="Arial" w:eastAsia="Arial" w:hAnsi="Arial"/>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54" w:lineRule="exact"/>
        <w:rPr>
          <w:sz w:val="20"/>
          <w:szCs w:val="20"/>
          <w:color w:val="auto"/>
        </w:rPr>
      </w:pPr>
    </w:p>
    <w:p>
      <w:pPr>
        <w:ind w:left="6" w:right="20"/>
        <w:spacing w:after="0" w:line="309" w:lineRule="auto"/>
        <w:rPr>
          <w:sz w:val="20"/>
          <w:szCs w:val="20"/>
          <w:color w:val="auto"/>
        </w:rPr>
      </w:pPr>
      <w:r>
        <w:rPr>
          <w:rFonts w:ascii="Arial" w:cs="Arial" w:eastAsia="Arial" w:hAnsi="Arial"/>
          <w:sz w:val="20"/>
          <w:szCs w:val="20"/>
          <w:color w:val="auto"/>
        </w:rPr>
        <w:t>Adjusted operating income is defined as income from operations adjusted for impairment, amortization, restructuring costs, transaction and transformation and non-recurring items that, in management’s judgment, significantly affect the period-over-period assessment of operating results. Adjusted operating income margin is calculated by dividing adjusted operating income by revenue.</w:t>
      </w:r>
    </w:p>
    <w:p>
      <w:pPr>
        <w:spacing w:after="0" w:line="196" w:lineRule="exact"/>
        <w:rPr>
          <w:sz w:val="20"/>
          <w:szCs w:val="20"/>
          <w:color w:val="auto"/>
        </w:rPr>
      </w:pPr>
    </w:p>
    <w:p>
      <w:pPr>
        <w:ind w:left="6" w:right="80"/>
        <w:spacing w:after="0" w:line="302" w:lineRule="auto"/>
        <w:rPr>
          <w:sz w:val="20"/>
          <w:szCs w:val="20"/>
          <w:color w:val="auto"/>
        </w:rPr>
      </w:pPr>
      <w:r>
        <w:rPr>
          <w:rFonts w:ascii="Arial" w:cs="Arial" w:eastAsia="Arial" w:hAnsi="Arial"/>
          <w:sz w:val="20"/>
          <w:szCs w:val="20"/>
          <w:color w:val="auto"/>
        </w:rPr>
        <w:t>Reconciliations of income from operations to adjusted operating income for the years ended December 31, 2025 and 2024 are as follows:</w:t>
      </w:r>
    </w:p>
    <w:p>
      <w:pPr>
        <w:spacing w:after="0" w:line="350"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4080" w:type="dxa"/>
            <w:vAlign w:val="bottom"/>
            <w:gridSpan w:val="3"/>
          </w:tcPr>
          <w:p>
            <w:pPr>
              <w:jc w:val="right"/>
              <w:ind w:right="167"/>
              <w:spacing w:after="0"/>
              <w:rPr>
                <w:sz w:val="20"/>
                <w:szCs w:val="20"/>
                <w:color w:val="auto"/>
              </w:rPr>
            </w:pPr>
            <w:r>
              <w:rPr>
                <w:rFonts w:ascii="Arial" w:cs="Arial" w:eastAsia="Arial" w:hAnsi="Arial"/>
                <w:sz w:val="16"/>
                <w:szCs w:val="16"/>
                <w:b w:val="1"/>
                <w:bCs w:val="1"/>
                <w:color w:val="auto"/>
              </w:rPr>
              <w:t>Years Ended December 31,</w:t>
            </w:r>
          </w:p>
        </w:tc>
        <w:tc>
          <w:tcPr>
            <w:tcW w:w="740" w:type="dxa"/>
            <w:vAlign w:val="bottom"/>
          </w:tcPr>
          <w:p>
            <w:pPr>
              <w:spacing w:after="0"/>
              <w:rPr>
                <w:sz w:val="16"/>
                <w:szCs w:val="16"/>
                <w:color w:val="auto"/>
              </w:rPr>
            </w:pPr>
          </w:p>
        </w:tc>
      </w:tr>
      <w:tr>
        <w:trPr>
          <w:trHeight w:val="264"/>
        </w:trPr>
        <w:tc>
          <w:tcPr>
            <w:tcW w:w="4580" w:type="dxa"/>
            <w:vAlign w:val="bottom"/>
          </w:tcPr>
          <w:p>
            <w:pPr>
              <w:spacing w:after="0"/>
              <w:rPr>
                <w:sz w:val="22"/>
                <w:szCs w:val="22"/>
                <w:color w:val="auto"/>
              </w:rPr>
            </w:pPr>
          </w:p>
        </w:tc>
        <w:tc>
          <w:tcPr>
            <w:tcW w:w="2180" w:type="dxa"/>
            <w:vAlign w:val="bottom"/>
          </w:tcPr>
          <w:p>
            <w:pPr>
              <w:jc w:val="right"/>
              <w:ind w:right="10"/>
              <w:spacing w:after="0"/>
              <w:rPr>
                <w:sz w:val="20"/>
                <w:szCs w:val="20"/>
                <w:color w:val="auto"/>
              </w:rPr>
            </w:pPr>
            <w:r>
              <w:rPr>
                <w:rFonts w:ascii="Arial" w:cs="Arial" w:eastAsia="Arial" w:hAnsi="Arial"/>
                <w:sz w:val="16"/>
                <w:szCs w:val="16"/>
                <w:b w:val="1"/>
                <w:bCs w:val="1"/>
                <w:color w:val="auto"/>
              </w:rPr>
              <w:t>2025</w:t>
            </w:r>
          </w:p>
        </w:tc>
        <w:tc>
          <w:tcPr>
            <w:tcW w:w="8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740" w:type="dxa"/>
            <w:vAlign w:val="bottom"/>
          </w:tcPr>
          <w:p>
            <w:pPr>
              <w:spacing w:after="0"/>
              <w:rPr>
                <w:sz w:val="22"/>
                <w:szCs w:val="22"/>
                <w:color w:val="auto"/>
              </w:rPr>
            </w:pPr>
          </w:p>
        </w:tc>
      </w:tr>
      <w:tr>
        <w:trPr>
          <w:trHeight w:val="264"/>
        </w:trPr>
        <w:tc>
          <w:tcPr>
            <w:tcW w:w="45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900" w:type="dxa"/>
            <w:vAlign w:val="bottom"/>
            <w:gridSpan w:val="2"/>
          </w:tcPr>
          <w:p>
            <w:pPr>
              <w:jc w:val="right"/>
              <w:ind w:right="627"/>
              <w:spacing w:after="0"/>
              <w:rPr>
                <w:sz w:val="20"/>
                <w:szCs w:val="20"/>
                <w:color w:val="auto"/>
              </w:rPr>
            </w:pPr>
            <w:r>
              <w:rPr>
                <w:rFonts w:ascii="Arial" w:cs="Arial" w:eastAsia="Arial" w:hAnsi="Arial"/>
                <w:sz w:val="16"/>
                <w:szCs w:val="16"/>
                <w:b w:val="1"/>
                <w:bCs w:val="1"/>
                <w:color w:val="auto"/>
              </w:rPr>
              <w:t>($ in millions)</w:t>
            </w:r>
          </w:p>
        </w:tc>
        <w:tc>
          <w:tcPr>
            <w:tcW w:w="740" w:type="dxa"/>
            <w:vAlign w:val="bottom"/>
          </w:tcPr>
          <w:p>
            <w:pPr>
              <w:spacing w:after="0"/>
              <w:rPr>
                <w:sz w:val="22"/>
                <w:szCs w:val="22"/>
                <w:color w:val="auto"/>
              </w:rPr>
            </w:pPr>
          </w:p>
        </w:tc>
      </w:tr>
      <w:tr>
        <w:trPr>
          <w:trHeight w:val="32"/>
        </w:trPr>
        <w:tc>
          <w:tcPr>
            <w:tcW w:w="4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94"/>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Income from operations</w:t>
            </w:r>
          </w:p>
        </w:tc>
        <w:tc>
          <w:tcPr>
            <w:tcW w:w="2180" w:type="dxa"/>
            <w:vAlign w:val="bottom"/>
            <w:tcBorders>
              <w:bottom w:val="single" w:sz="8" w:color="CFF0FC"/>
            </w:tcBorders>
            <w:shd w:val="clear" w:color="auto" w:fill="CFF0FC"/>
          </w:tcPr>
          <w:p>
            <w:pPr>
              <w:jc w:val="right"/>
              <w:ind w:right="850"/>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FF0FC"/>
            </w:tcBorders>
            <w:shd w:val="clear" w:color="auto" w:fill="CFF0FC"/>
          </w:tcPr>
          <w:p>
            <w:pPr>
              <w:jc w:val="right"/>
              <w:ind w:right="162"/>
              <w:spacing w:after="0"/>
              <w:rPr>
                <w:sz w:val="20"/>
                <w:szCs w:val="20"/>
                <w:color w:val="auto"/>
              </w:rPr>
            </w:pPr>
            <w:r>
              <w:rPr>
                <w:rFonts w:ascii="Arial" w:cs="Arial" w:eastAsia="Arial" w:hAnsi="Arial"/>
                <w:sz w:val="20"/>
                <w:szCs w:val="20"/>
                <w:color w:val="auto"/>
              </w:rPr>
              <w:t>2,234</w:t>
            </w:r>
          </w:p>
        </w:tc>
        <w:tc>
          <w:tcPr>
            <w:tcW w:w="1100" w:type="dxa"/>
            <w:vAlign w:val="bottom"/>
            <w:tcBorders>
              <w:bottom w:val="single" w:sz="8" w:color="CFF0FC"/>
            </w:tcBorders>
            <w:shd w:val="clear" w:color="auto" w:fill="CFF0FC"/>
          </w:tcPr>
          <w:p>
            <w:pPr>
              <w:jc w:val="right"/>
              <w:ind w:right="827"/>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627</w:t>
            </w:r>
          </w:p>
        </w:tc>
      </w:tr>
      <w:tr>
        <w:trPr>
          <w:trHeight w:val="274"/>
        </w:trPr>
        <w:tc>
          <w:tcPr>
            <w:tcW w:w="4580" w:type="dxa"/>
            <w:vAlign w:val="bottom"/>
          </w:tcPr>
          <w:p>
            <w:pPr>
              <w:spacing w:after="0"/>
              <w:rPr>
                <w:sz w:val="20"/>
                <w:szCs w:val="20"/>
                <w:color w:val="auto"/>
              </w:rPr>
            </w:pPr>
            <w:r>
              <w:rPr>
                <w:rFonts w:ascii="Arial" w:cs="Arial" w:eastAsia="Arial" w:hAnsi="Arial"/>
                <w:sz w:val="20"/>
                <w:szCs w:val="20"/>
                <w:color w:val="auto"/>
              </w:rPr>
              <w:t>Adjusted for certain items:</w:t>
            </w:r>
          </w:p>
        </w:tc>
        <w:tc>
          <w:tcPr>
            <w:tcW w:w="2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41"/>
        </w:trPr>
        <w:tc>
          <w:tcPr>
            <w:tcW w:w="45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94"/>
        </w:trPr>
        <w:tc>
          <w:tcPr>
            <w:tcW w:w="45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Impairment</w:t>
            </w:r>
          </w:p>
        </w:tc>
        <w:tc>
          <w:tcPr>
            <w:tcW w:w="21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62"/>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1,042</w:t>
            </w:r>
          </w:p>
        </w:tc>
      </w:tr>
      <w:tr>
        <w:trPr>
          <w:trHeight w:val="274"/>
        </w:trPr>
        <w:tc>
          <w:tcPr>
            <w:tcW w:w="4580" w:type="dxa"/>
            <w:vAlign w:val="bottom"/>
          </w:tcPr>
          <w:p>
            <w:pPr>
              <w:ind w:left="100"/>
              <w:spacing w:after="0"/>
              <w:rPr>
                <w:sz w:val="20"/>
                <w:szCs w:val="20"/>
                <w:color w:val="auto"/>
              </w:rPr>
            </w:pPr>
            <w:r>
              <w:rPr>
                <w:rFonts w:ascii="Arial" w:cs="Arial" w:eastAsia="Arial" w:hAnsi="Arial"/>
                <w:sz w:val="20"/>
                <w:szCs w:val="20"/>
                <w:color w:val="auto"/>
              </w:rPr>
              <w:t>Amortization</w:t>
            </w:r>
          </w:p>
        </w:tc>
        <w:tc>
          <w:tcPr>
            <w:tcW w:w="2180" w:type="dxa"/>
            <w:vAlign w:val="bottom"/>
          </w:tcPr>
          <w:p>
            <w:pPr>
              <w:spacing w:after="0"/>
              <w:rPr>
                <w:sz w:val="23"/>
                <w:szCs w:val="23"/>
                <w:color w:val="auto"/>
              </w:rPr>
            </w:pPr>
          </w:p>
        </w:tc>
        <w:tc>
          <w:tcPr>
            <w:tcW w:w="800" w:type="dxa"/>
            <w:vAlign w:val="bottom"/>
          </w:tcPr>
          <w:p>
            <w:pPr>
              <w:jc w:val="right"/>
              <w:ind w:right="162"/>
              <w:spacing w:after="0"/>
              <w:rPr>
                <w:sz w:val="20"/>
                <w:szCs w:val="20"/>
                <w:color w:val="auto"/>
              </w:rPr>
            </w:pPr>
            <w:r>
              <w:rPr>
                <w:rFonts w:ascii="Arial" w:cs="Arial" w:eastAsia="Arial" w:hAnsi="Arial"/>
                <w:sz w:val="20"/>
                <w:szCs w:val="20"/>
                <w:color w:val="auto"/>
              </w:rPr>
              <w:t>192</w:t>
            </w:r>
          </w:p>
        </w:tc>
        <w:tc>
          <w:tcPr>
            <w:tcW w:w="1100" w:type="dxa"/>
            <w:vAlign w:val="bottom"/>
          </w:tcPr>
          <w:p>
            <w:pPr>
              <w:spacing w:after="0"/>
              <w:rPr>
                <w:sz w:val="23"/>
                <w:szCs w:val="23"/>
                <w:color w:val="auto"/>
              </w:rPr>
            </w:pPr>
          </w:p>
        </w:tc>
        <w:tc>
          <w:tcPr>
            <w:tcW w:w="740" w:type="dxa"/>
            <w:vAlign w:val="bottom"/>
          </w:tcPr>
          <w:p>
            <w:pPr>
              <w:jc w:val="right"/>
              <w:ind w:right="100"/>
              <w:spacing w:after="0"/>
              <w:rPr>
                <w:sz w:val="20"/>
                <w:szCs w:val="20"/>
                <w:color w:val="auto"/>
              </w:rPr>
            </w:pPr>
            <w:r>
              <w:rPr>
                <w:rFonts w:ascii="Arial" w:cs="Arial" w:eastAsia="Arial" w:hAnsi="Arial"/>
                <w:sz w:val="20"/>
                <w:szCs w:val="20"/>
                <w:color w:val="auto"/>
              </w:rPr>
              <w:t>226</w:t>
            </w:r>
          </w:p>
        </w:tc>
      </w:tr>
      <w:tr>
        <w:trPr>
          <w:trHeight w:val="41"/>
        </w:trPr>
        <w:tc>
          <w:tcPr>
            <w:tcW w:w="45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94"/>
        </w:trPr>
        <w:tc>
          <w:tcPr>
            <w:tcW w:w="45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Restructuring costs</w:t>
            </w:r>
          </w:p>
        </w:tc>
        <w:tc>
          <w:tcPr>
            <w:tcW w:w="21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62"/>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61</w:t>
            </w:r>
          </w:p>
        </w:tc>
      </w:tr>
      <w:tr>
        <w:trPr>
          <w:trHeight w:val="274"/>
        </w:trPr>
        <w:tc>
          <w:tcPr>
            <w:tcW w:w="4580" w:type="dxa"/>
            <w:vAlign w:val="bottom"/>
          </w:tcPr>
          <w:p>
            <w:pPr>
              <w:ind w:left="100"/>
              <w:spacing w:after="0"/>
              <w:rPr>
                <w:sz w:val="20"/>
                <w:szCs w:val="20"/>
                <w:color w:val="auto"/>
              </w:rPr>
            </w:pPr>
            <w:r>
              <w:rPr>
                <w:rFonts w:ascii="Arial" w:cs="Arial" w:eastAsia="Arial" w:hAnsi="Arial"/>
                <w:sz w:val="20"/>
                <w:szCs w:val="20"/>
                <w:color w:val="auto"/>
              </w:rPr>
              <w:t>Transaction and transformation</w:t>
            </w:r>
          </w:p>
        </w:tc>
        <w:tc>
          <w:tcPr>
            <w:tcW w:w="2180" w:type="dxa"/>
            <w:vAlign w:val="bottom"/>
          </w:tcPr>
          <w:p>
            <w:pPr>
              <w:spacing w:after="0"/>
              <w:rPr>
                <w:sz w:val="23"/>
                <w:szCs w:val="23"/>
                <w:color w:val="auto"/>
              </w:rPr>
            </w:pPr>
          </w:p>
        </w:tc>
        <w:tc>
          <w:tcPr>
            <w:tcW w:w="800" w:type="dxa"/>
            <w:vAlign w:val="bottom"/>
          </w:tcPr>
          <w:p>
            <w:pPr>
              <w:jc w:val="right"/>
              <w:ind w:right="162"/>
              <w:spacing w:after="0"/>
              <w:rPr>
                <w:sz w:val="20"/>
                <w:szCs w:val="20"/>
                <w:color w:val="auto"/>
              </w:rPr>
            </w:pPr>
            <w:r>
              <w:rPr>
                <w:rFonts w:ascii="Arial" w:cs="Arial" w:eastAsia="Arial" w:hAnsi="Arial"/>
                <w:sz w:val="20"/>
                <w:szCs w:val="20"/>
                <w:color w:val="auto"/>
              </w:rPr>
              <w:t>23</w:t>
            </w:r>
          </w:p>
        </w:tc>
        <w:tc>
          <w:tcPr>
            <w:tcW w:w="1100" w:type="dxa"/>
            <w:vAlign w:val="bottom"/>
          </w:tcPr>
          <w:p>
            <w:pPr>
              <w:spacing w:after="0"/>
              <w:rPr>
                <w:sz w:val="23"/>
                <w:szCs w:val="23"/>
                <w:color w:val="auto"/>
              </w:rPr>
            </w:pPr>
          </w:p>
        </w:tc>
        <w:tc>
          <w:tcPr>
            <w:tcW w:w="740" w:type="dxa"/>
            <w:vAlign w:val="bottom"/>
          </w:tcPr>
          <w:p>
            <w:pPr>
              <w:jc w:val="right"/>
              <w:ind w:right="100"/>
              <w:spacing w:after="0"/>
              <w:rPr>
                <w:sz w:val="20"/>
                <w:szCs w:val="20"/>
                <w:color w:val="auto"/>
              </w:rPr>
            </w:pPr>
            <w:r>
              <w:rPr>
                <w:rFonts w:ascii="Arial" w:cs="Arial" w:eastAsia="Arial" w:hAnsi="Arial"/>
                <w:sz w:val="20"/>
                <w:szCs w:val="20"/>
                <w:color w:val="auto"/>
              </w:rPr>
              <w:t>409</w:t>
            </w:r>
          </w:p>
        </w:tc>
      </w:tr>
      <w:tr>
        <w:trPr>
          <w:trHeight w:val="41"/>
        </w:trPr>
        <w:tc>
          <w:tcPr>
            <w:tcW w:w="45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324"/>
        </w:trPr>
        <w:tc>
          <w:tcPr>
            <w:tcW w:w="4580" w:type="dxa"/>
            <w:vAlign w:val="bottom"/>
            <w:shd w:val="clear" w:color="auto" w:fill="CFF0FC"/>
          </w:tcPr>
          <w:p>
            <w:pPr>
              <w:ind w:left="100"/>
              <w:spacing w:after="0"/>
              <w:rPr>
                <w:sz w:val="20"/>
                <w:szCs w:val="20"/>
                <w:color w:val="auto"/>
              </w:rPr>
            </w:pPr>
            <w:r>
              <w:rPr>
                <w:rFonts w:ascii="Arial" w:cs="Arial" w:eastAsia="Arial" w:hAnsi="Arial"/>
                <w:sz w:val="20"/>
                <w:szCs w:val="20"/>
                <w:color w:val="auto"/>
              </w:rPr>
              <w:t xml:space="preserve">Provision for specified litigation matter </w:t>
            </w:r>
            <w:r>
              <w:rPr>
                <w:rFonts w:ascii="Arial" w:cs="Arial" w:eastAsia="Arial" w:hAnsi="Arial"/>
                <w:sz w:val="26"/>
                <w:szCs w:val="26"/>
                <w:color w:val="auto"/>
                <w:vertAlign w:val="superscript"/>
              </w:rPr>
              <w:t>(i)</w:t>
            </w:r>
          </w:p>
        </w:tc>
        <w:tc>
          <w:tcPr>
            <w:tcW w:w="218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162"/>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spacing w:after="0"/>
              <w:rPr>
                <w:sz w:val="24"/>
                <w:szCs w:val="24"/>
                <w:color w:val="auto"/>
              </w:rPr>
            </w:pPr>
          </w:p>
        </w:tc>
        <w:tc>
          <w:tcPr>
            <w:tcW w:w="74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13</w:t>
            </w:r>
          </w:p>
        </w:tc>
      </w:tr>
      <w:tr>
        <w:trPr>
          <w:trHeight w:val="319"/>
        </w:trPr>
        <w:tc>
          <w:tcPr>
            <w:tcW w:w="4580" w:type="dxa"/>
            <w:vAlign w:val="bottom"/>
          </w:tcPr>
          <w:p>
            <w:pPr>
              <w:spacing w:after="0"/>
              <w:rPr>
                <w:sz w:val="20"/>
                <w:szCs w:val="20"/>
                <w:color w:val="auto"/>
              </w:rPr>
            </w:pPr>
            <w:r>
              <w:rPr>
                <w:rFonts w:ascii="Arial" w:cs="Arial" w:eastAsia="Arial" w:hAnsi="Arial"/>
                <w:sz w:val="20"/>
                <w:szCs w:val="20"/>
                <w:color w:val="auto"/>
              </w:rPr>
              <w:t>Adjusted operating income</w:t>
            </w:r>
          </w:p>
        </w:tc>
        <w:tc>
          <w:tcPr>
            <w:tcW w:w="2180" w:type="dxa"/>
            <w:vAlign w:val="bottom"/>
          </w:tcPr>
          <w:p>
            <w:pPr>
              <w:jc w:val="right"/>
              <w:ind w:right="850"/>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62"/>
              <w:spacing w:after="0"/>
              <w:rPr>
                <w:sz w:val="20"/>
                <w:szCs w:val="20"/>
                <w:color w:val="auto"/>
              </w:rPr>
            </w:pPr>
            <w:r>
              <w:rPr>
                <w:rFonts w:ascii="Arial" w:cs="Arial" w:eastAsia="Arial" w:hAnsi="Arial"/>
                <w:sz w:val="20"/>
                <w:szCs w:val="20"/>
                <w:color w:val="auto"/>
              </w:rPr>
              <w:t>2,449</w:t>
            </w:r>
          </w:p>
        </w:tc>
        <w:tc>
          <w:tcPr>
            <w:tcW w:w="1100" w:type="dxa"/>
            <w:vAlign w:val="bottom"/>
          </w:tcPr>
          <w:p>
            <w:pPr>
              <w:jc w:val="right"/>
              <w:ind w:right="827"/>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100"/>
              <w:spacing w:after="0"/>
              <w:rPr>
                <w:sz w:val="20"/>
                <w:szCs w:val="20"/>
                <w:color w:val="auto"/>
              </w:rPr>
            </w:pPr>
            <w:r>
              <w:rPr>
                <w:rFonts w:ascii="Arial" w:cs="Arial" w:eastAsia="Arial" w:hAnsi="Arial"/>
                <w:sz w:val="20"/>
                <w:szCs w:val="20"/>
                <w:color w:val="auto"/>
              </w:rPr>
              <w:t>2,378</w:t>
            </w:r>
          </w:p>
        </w:tc>
      </w:tr>
      <w:tr>
        <w:trPr>
          <w:trHeight w:val="41"/>
        </w:trPr>
        <w:tc>
          <w:tcPr>
            <w:tcW w:w="45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94"/>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Income from operations margin</w:t>
            </w:r>
          </w:p>
        </w:tc>
        <w:tc>
          <w:tcPr>
            <w:tcW w:w="21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23.0%</w:t>
            </w:r>
          </w:p>
        </w:tc>
        <w:tc>
          <w:tcPr>
            <w:tcW w:w="11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6.3%</w:t>
            </w:r>
          </w:p>
        </w:tc>
      </w:tr>
      <w:tr>
        <w:trPr>
          <w:trHeight w:val="274"/>
        </w:trPr>
        <w:tc>
          <w:tcPr>
            <w:tcW w:w="4580" w:type="dxa"/>
            <w:vAlign w:val="bottom"/>
          </w:tcPr>
          <w:p>
            <w:pPr>
              <w:spacing w:after="0"/>
              <w:rPr>
                <w:sz w:val="20"/>
                <w:szCs w:val="20"/>
                <w:color w:val="auto"/>
              </w:rPr>
            </w:pPr>
            <w:r>
              <w:rPr>
                <w:rFonts w:ascii="Arial" w:cs="Arial" w:eastAsia="Arial" w:hAnsi="Arial"/>
                <w:sz w:val="20"/>
                <w:szCs w:val="20"/>
                <w:color w:val="auto"/>
              </w:rPr>
              <w:t>Adjusted operating income margin</w:t>
            </w:r>
          </w:p>
        </w:tc>
        <w:tc>
          <w:tcPr>
            <w:tcW w:w="2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25.2%</w:t>
            </w:r>
          </w:p>
        </w:tc>
        <w:tc>
          <w:tcPr>
            <w:tcW w:w="1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-2340610</wp:posOffset>
            </wp:positionV>
            <wp:extent cx="232664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6">
                      <a:extLst>
                        <a:ext uri="{28A0092B-C50C-407E-A947-70E740481C1C}"/>
                      </a:extLst>
                    </a:blip>
                    <a:srcRect/>
                    <a:stretch>
                      <a:fillRect/>
                    </a:stretch>
                  </pic:blipFill>
                  <pic:spPr bwMode="auto">
                    <a:xfrm>
                      <a:off x="0" y="0"/>
                      <a:ext cx="232664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-2172970</wp:posOffset>
            </wp:positionV>
            <wp:extent cx="232664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7">
                      <a:extLst>
                        <a:ext uri="{28A0092B-C50C-407E-A947-70E740481C1C}"/>
                      </a:extLst>
                    </a:blip>
                    <a:srcRect/>
                    <a:stretch>
                      <a:fillRect/>
                    </a:stretch>
                  </pic:blipFill>
                  <pic:spPr bwMode="auto">
                    <a:xfrm>
                      <a:off x="0" y="0"/>
                      <a:ext cx="232664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-607695</wp:posOffset>
            </wp:positionV>
            <wp:extent cx="232664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8">
                      <a:extLst>
                        <a:ext uri="{28A0092B-C50C-407E-A947-70E740481C1C}"/>
                      </a:extLst>
                    </a:blip>
                    <a:srcRect/>
                    <a:stretch>
                      <a:fillRect/>
                    </a:stretch>
                  </pic:blipFill>
                  <pic:spPr bwMode="auto">
                    <a:xfrm>
                      <a:off x="0" y="0"/>
                      <a:ext cx="2326640" cy="6350"/>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-401320</wp:posOffset>
            </wp:positionV>
            <wp:extent cx="2326640" cy="285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9">
                      <a:extLst>
                        <a:ext uri="{28A0092B-C50C-407E-A947-70E740481C1C}"/>
                      </a:extLst>
                    </a:blip>
                    <a:srcRect/>
                    <a:stretch>
                      <a:fillRect/>
                    </a:stretch>
                  </pic:blipFill>
                  <pic:spPr bwMode="auto">
                    <a:xfrm>
                      <a:off x="0" y="0"/>
                      <a:ext cx="232664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79565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0">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26" w:right="200" w:hanging="226"/>
        <w:spacing w:after="0" w:line="502" w:lineRule="auto"/>
        <w:tabs>
          <w:tab w:leader="none" w:pos="226" w:val="left"/>
        </w:tabs>
        <w:numPr>
          <w:ilvl w:val="0"/>
          <w:numId w:val="39"/>
        </w:numPr>
        <w:rPr>
          <w:rFonts w:ascii="Arial" w:cs="Arial" w:eastAsia="Arial" w:hAnsi="Arial"/>
          <w:sz w:val="15"/>
          <w:szCs w:val="15"/>
          <w:color w:val="auto"/>
        </w:rPr>
      </w:pPr>
      <w:r>
        <w:rPr>
          <w:rFonts w:ascii="Arial" w:cs="Arial" w:eastAsia="Arial" w:hAnsi="Arial"/>
          <w:sz w:val="15"/>
          <w:szCs w:val="15"/>
          <w:color w:val="auto"/>
        </w:rPr>
        <w:t>Represents a provision related to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216" w:lineRule="exact"/>
        <w:rPr>
          <w:sz w:val="20"/>
          <w:szCs w:val="20"/>
          <w:color w:val="auto"/>
        </w:rPr>
      </w:pPr>
    </w:p>
    <w:p>
      <w:pPr>
        <w:ind w:left="6" w:right="260"/>
        <w:spacing w:after="0" w:line="352" w:lineRule="auto"/>
        <w:rPr>
          <w:sz w:val="20"/>
          <w:szCs w:val="20"/>
          <w:color w:val="auto"/>
        </w:rPr>
      </w:pPr>
      <w:r>
        <w:rPr>
          <w:rFonts w:ascii="Arial" w:cs="Arial" w:eastAsia="Arial" w:hAnsi="Arial"/>
          <w:sz w:val="18"/>
          <w:szCs w:val="18"/>
          <w:color w:val="auto"/>
        </w:rPr>
        <w:t>Adjusted operating income for both the years ended December 31, 2025 and 2024 was $2.4 billion, an increase of $71 million. This increase resulted primarily due to lower marketing expenses attributable to the prior-year sale of our TRANZACT business, decreased office expenses and lower professional services costs in the current year, partially offset by lower revenue due to the prior-year sale of TRANZACT and higher salary expense.</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Adjusted EBITDA/Margin</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31 / 47</w:t>
      </w:r>
    </w:p>
    <w:p>
      <w:pPr>
        <w:sectPr>
          <w:pgSz w:w="11900" w:h="16838" w:orient="portrait"/>
          <w:cols w:equalWidth="0" w:num="1">
            <w:col w:w="9406"/>
          </w:cols>
          <w:pgMar w:left="1254" w:top="1440" w:right="1246" w:bottom="0" w:gutter="0" w:footer="0" w:header="0"/>
          <w:type w:val="continuous"/>
        </w:sectPr>
      </w:pPr>
    </w:p>
    <w:bookmarkStart w:id="118" w:name="page119"/>
    <w:bookmarkEnd w:id="118"/>
    <w:p>
      <w:pPr>
        <w:spacing w:after="0" w:line="307" w:lineRule="auto"/>
        <w:rPr>
          <w:sz w:val="20"/>
          <w:szCs w:val="20"/>
          <w:color w:val="auto"/>
        </w:rPr>
      </w:pPr>
      <w:r>
        <w:rPr>
          <w:rFonts w:ascii="Arial" w:cs="Arial" w:eastAsia="Arial" w:hAnsi="Arial"/>
          <w:sz w:val="20"/>
          <w:szCs w:val="20"/>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197" w:lineRule="exact"/>
        <w:rPr>
          <w:sz w:val="20"/>
          <w:szCs w:val="20"/>
          <w:color w:val="auto"/>
        </w:rPr>
      </w:pPr>
    </w:p>
    <w:p>
      <w:pPr>
        <w:ind w:right="160"/>
        <w:spacing w:after="0" w:line="330" w:lineRule="auto"/>
        <w:rPr>
          <w:sz w:val="20"/>
          <w:szCs w:val="20"/>
          <w:color w:val="auto"/>
        </w:rPr>
      </w:pPr>
      <w:r>
        <w:rPr>
          <w:rFonts w:ascii="Arial" w:cs="Arial" w:eastAsia="Arial" w:hAnsi="Arial"/>
          <w:sz w:val="19"/>
          <w:szCs w:val="19"/>
          <w:color w:val="auto"/>
        </w:rPr>
        <w:t>Adjusted EBITDA is defined as net income/(loss) adjusted for provision for income taxes, interest expense, impairment, depreciation and amortization, restructuring costs, transaction and transformation, gains and losses on disposals of operations, net periodic pension and postretirement benefits and non-recurring items that, in management’s judgment, significantly affect the period-over-period assessment of operating results. Adjusted EBITDA margin is calculated by dividing adjusted EBITDA by revenue.</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32 / 47</w:t>
      </w:r>
    </w:p>
    <w:p>
      <w:pPr>
        <w:sectPr>
          <w:pgSz w:w="11900" w:h="16838" w:orient="portrait"/>
          <w:cols w:equalWidth="0" w:num="1">
            <w:col w:w="9320"/>
          </w:cols>
          <w:pgMar w:left="1260" w:top="1173" w:right="1326" w:bottom="0" w:gutter="0" w:footer="0" w:header="0"/>
          <w:type w:val="continuous"/>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 w:right="300"/>
        <w:spacing w:after="0" w:line="302" w:lineRule="auto"/>
        <w:rPr>
          <w:sz w:val="20"/>
          <w:szCs w:val="20"/>
          <w:color w:val="auto"/>
        </w:rPr>
      </w:pPr>
      <w:r>
        <w:rPr>
          <w:rFonts w:ascii="Arial" w:cs="Arial" w:eastAsia="Arial" w:hAnsi="Arial"/>
          <w:sz w:val="20"/>
          <w:szCs w:val="20"/>
          <w:color w:val="auto"/>
        </w:rPr>
        <w:t>Reconciliations of net income/(loss) to adjusted EBITDA for the years ended December 31, 2025 and 2024 are as follows:</w:t>
      </w:r>
    </w:p>
    <w:p>
      <w:pPr>
        <w:spacing w:after="0" w:line="350"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760" w:type="dxa"/>
            <w:vAlign w:val="bottom"/>
            <w:gridSpan w:val="3"/>
          </w:tcPr>
          <w:p>
            <w:pPr>
              <w:jc w:val="right"/>
              <w:ind w:right="167"/>
              <w:spacing w:after="0"/>
              <w:rPr>
                <w:sz w:val="20"/>
                <w:szCs w:val="20"/>
                <w:color w:val="auto"/>
              </w:rPr>
            </w:pPr>
            <w:r>
              <w:rPr>
                <w:rFonts w:ascii="Arial" w:cs="Arial" w:eastAsia="Arial" w:hAnsi="Arial"/>
                <w:sz w:val="16"/>
                <w:szCs w:val="16"/>
                <w:b w:val="1"/>
                <w:bCs w:val="1"/>
                <w:color w:val="auto"/>
              </w:rPr>
              <w:t>Years Ended December 31,</w:t>
            </w:r>
          </w:p>
        </w:tc>
        <w:tc>
          <w:tcPr>
            <w:tcW w:w="800" w:type="dxa"/>
            <w:vAlign w:val="bottom"/>
          </w:tcPr>
          <w:p>
            <w:pPr>
              <w:spacing w:after="0"/>
              <w:rPr>
                <w:sz w:val="16"/>
                <w:szCs w:val="16"/>
                <w:color w:val="auto"/>
              </w:rPr>
            </w:pPr>
          </w:p>
        </w:tc>
      </w:tr>
      <w:tr>
        <w:trPr>
          <w:trHeight w:val="264"/>
        </w:trPr>
        <w:tc>
          <w:tcPr>
            <w:tcW w:w="484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8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800" w:type="dxa"/>
            <w:vAlign w:val="bottom"/>
          </w:tcPr>
          <w:p>
            <w:pPr>
              <w:spacing w:after="0"/>
              <w:rPr>
                <w:sz w:val="22"/>
                <w:szCs w:val="22"/>
                <w:color w:val="auto"/>
              </w:rPr>
            </w:pPr>
          </w:p>
        </w:tc>
      </w:tr>
      <w:tr>
        <w:trPr>
          <w:trHeight w:val="264"/>
        </w:trPr>
        <w:tc>
          <w:tcPr>
            <w:tcW w:w="48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900" w:type="dxa"/>
            <w:vAlign w:val="bottom"/>
            <w:gridSpan w:val="2"/>
          </w:tcPr>
          <w:p>
            <w:pPr>
              <w:jc w:val="right"/>
              <w:ind w:right="627"/>
              <w:spacing w:after="0"/>
              <w:rPr>
                <w:sz w:val="20"/>
                <w:szCs w:val="20"/>
                <w:color w:val="auto"/>
              </w:rPr>
            </w:pPr>
            <w:r>
              <w:rPr>
                <w:rFonts w:ascii="Arial" w:cs="Arial" w:eastAsia="Arial" w:hAnsi="Arial"/>
                <w:sz w:val="16"/>
                <w:szCs w:val="16"/>
                <w:b w:val="1"/>
                <w:bCs w:val="1"/>
                <w:color w:val="auto"/>
              </w:rPr>
              <w:t>($ in millions)</w:t>
            </w:r>
          </w:p>
        </w:tc>
        <w:tc>
          <w:tcPr>
            <w:tcW w:w="800" w:type="dxa"/>
            <w:vAlign w:val="bottom"/>
          </w:tcPr>
          <w:p>
            <w:pPr>
              <w:spacing w:after="0"/>
              <w:rPr>
                <w:sz w:val="22"/>
                <w:szCs w:val="22"/>
                <w:color w:val="auto"/>
              </w:rPr>
            </w:pPr>
          </w:p>
        </w:tc>
      </w:tr>
      <w:tr>
        <w:trPr>
          <w:trHeight w:val="32"/>
        </w:trPr>
        <w:tc>
          <w:tcPr>
            <w:tcW w:w="4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94"/>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INCOME/(LOSS)</w:t>
            </w:r>
          </w:p>
        </w:tc>
        <w:tc>
          <w:tcPr>
            <w:tcW w:w="1860" w:type="dxa"/>
            <w:vAlign w:val="bottom"/>
            <w:tcBorders>
              <w:bottom w:val="single" w:sz="8" w:color="CFF0FC"/>
            </w:tcBorders>
            <w:shd w:val="clear" w:color="auto" w:fill="CFF0FC"/>
          </w:tcPr>
          <w:p>
            <w:pPr>
              <w:jc w:val="right"/>
              <w:ind w:right="830"/>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20"/>
                <w:szCs w:val="20"/>
                <w:color w:val="auto"/>
              </w:rPr>
              <w:t>1,613</w:t>
            </w:r>
          </w:p>
        </w:tc>
        <w:tc>
          <w:tcPr>
            <w:tcW w:w="1100" w:type="dxa"/>
            <w:vAlign w:val="bottom"/>
            <w:tcBorders>
              <w:bottom w:val="single" w:sz="8" w:color="CFF0FC"/>
            </w:tcBorders>
            <w:shd w:val="clear" w:color="auto" w:fill="CFF0FC"/>
          </w:tcPr>
          <w:p>
            <w:pPr>
              <w:jc w:val="right"/>
              <w:ind w:right="827"/>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(88)</w:t>
            </w:r>
          </w:p>
        </w:tc>
      </w:tr>
      <w:tr>
        <w:trPr>
          <w:trHeight w:val="274"/>
        </w:trPr>
        <w:tc>
          <w:tcPr>
            <w:tcW w:w="4840" w:type="dxa"/>
            <w:vAlign w:val="bottom"/>
          </w:tcPr>
          <w:p>
            <w:pPr>
              <w:ind w:left="100"/>
              <w:spacing w:after="0"/>
              <w:rPr>
                <w:sz w:val="20"/>
                <w:szCs w:val="20"/>
                <w:color w:val="auto"/>
              </w:rPr>
            </w:pPr>
            <w:r>
              <w:rPr>
                <w:rFonts w:ascii="Arial" w:cs="Arial" w:eastAsia="Arial" w:hAnsi="Arial"/>
                <w:sz w:val="20"/>
                <w:szCs w:val="20"/>
                <w:color w:val="auto"/>
              </w:rPr>
              <w:t>Provision for income taxes</w:t>
            </w:r>
          </w:p>
        </w:tc>
        <w:tc>
          <w:tcPr>
            <w:tcW w:w="1860" w:type="dxa"/>
            <w:vAlign w:val="bottom"/>
          </w:tcPr>
          <w:p>
            <w:pPr>
              <w:spacing w:after="0"/>
              <w:rPr>
                <w:sz w:val="23"/>
                <w:szCs w:val="23"/>
                <w:color w:val="auto"/>
              </w:rPr>
            </w:pP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318</w:t>
            </w:r>
          </w:p>
        </w:tc>
        <w:tc>
          <w:tcPr>
            <w:tcW w:w="1100" w:type="dxa"/>
            <w:vAlign w:val="bottom"/>
          </w:tcPr>
          <w:p>
            <w:pPr>
              <w:spacing w:after="0"/>
              <w:rPr>
                <w:sz w:val="23"/>
                <w:szCs w:val="23"/>
                <w:color w:val="auto"/>
              </w:rPr>
            </w:pPr>
          </w:p>
        </w:tc>
        <w:tc>
          <w:tcPr>
            <w:tcW w:w="800" w:type="dxa"/>
            <w:vAlign w:val="bottom"/>
          </w:tcPr>
          <w:p>
            <w:pPr>
              <w:jc w:val="right"/>
              <w:ind w:right="180"/>
              <w:spacing w:after="0"/>
              <w:rPr>
                <w:sz w:val="20"/>
                <w:szCs w:val="20"/>
                <w:color w:val="auto"/>
              </w:rPr>
            </w:pPr>
            <w:r>
              <w:rPr>
                <w:rFonts w:ascii="Arial" w:cs="Arial" w:eastAsia="Arial" w:hAnsi="Arial"/>
                <w:sz w:val="20"/>
                <w:szCs w:val="20"/>
                <w:color w:val="auto"/>
              </w:rPr>
              <w:t>192</w:t>
            </w:r>
          </w:p>
        </w:tc>
      </w:tr>
      <w:tr>
        <w:trPr>
          <w:trHeight w:val="41"/>
        </w:trPr>
        <w:tc>
          <w:tcPr>
            <w:tcW w:w="48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48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Interest expense</w:t>
            </w:r>
          </w:p>
        </w:tc>
        <w:tc>
          <w:tcPr>
            <w:tcW w:w="18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20"/>
                <w:szCs w:val="20"/>
                <w:color w:val="auto"/>
              </w:rPr>
              <w:t>260</w:t>
            </w:r>
          </w:p>
        </w:tc>
        <w:tc>
          <w:tcPr>
            <w:tcW w:w="11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263</w:t>
            </w:r>
          </w:p>
        </w:tc>
      </w:tr>
      <w:tr>
        <w:trPr>
          <w:trHeight w:val="274"/>
        </w:trPr>
        <w:tc>
          <w:tcPr>
            <w:tcW w:w="4840" w:type="dxa"/>
            <w:vAlign w:val="bottom"/>
          </w:tcPr>
          <w:p>
            <w:pPr>
              <w:ind w:left="100"/>
              <w:spacing w:after="0"/>
              <w:rPr>
                <w:sz w:val="20"/>
                <w:szCs w:val="20"/>
                <w:color w:val="auto"/>
              </w:rPr>
            </w:pPr>
            <w:r>
              <w:rPr>
                <w:rFonts w:ascii="Arial" w:cs="Arial" w:eastAsia="Arial" w:hAnsi="Arial"/>
                <w:sz w:val="20"/>
                <w:szCs w:val="20"/>
                <w:color w:val="auto"/>
              </w:rPr>
              <w:t>Impairment</w:t>
            </w:r>
          </w:p>
        </w:tc>
        <w:tc>
          <w:tcPr>
            <w:tcW w:w="1860" w:type="dxa"/>
            <w:vAlign w:val="bottom"/>
          </w:tcPr>
          <w:p>
            <w:pPr>
              <w:spacing w:after="0"/>
              <w:rPr>
                <w:sz w:val="23"/>
                <w:szCs w:val="23"/>
                <w:color w:val="auto"/>
              </w:rPr>
            </w:pP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100" w:type="dxa"/>
            <w:vAlign w:val="bottom"/>
          </w:tcPr>
          <w:p>
            <w:pPr>
              <w:spacing w:after="0"/>
              <w:rPr>
                <w:sz w:val="23"/>
                <w:szCs w:val="23"/>
                <w:color w:val="auto"/>
              </w:rPr>
            </w:pPr>
          </w:p>
        </w:tc>
        <w:tc>
          <w:tcPr>
            <w:tcW w:w="800" w:type="dxa"/>
            <w:vAlign w:val="bottom"/>
          </w:tcPr>
          <w:p>
            <w:pPr>
              <w:jc w:val="right"/>
              <w:ind w:right="180"/>
              <w:spacing w:after="0"/>
              <w:rPr>
                <w:sz w:val="20"/>
                <w:szCs w:val="20"/>
                <w:color w:val="auto"/>
              </w:rPr>
            </w:pPr>
            <w:r>
              <w:rPr>
                <w:rFonts w:ascii="Arial" w:cs="Arial" w:eastAsia="Arial" w:hAnsi="Arial"/>
                <w:sz w:val="20"/>
                <w:szCs w:val="20"/>
                <w:color w:val="auto"/>
                <w:w w:val="99"/>
              </w:rPr>
              <w:t>1,042</w:t>
            </w:r>
          </w:p>
        </w:tc>
      </w:tr>
      <w:tr>
        <w:trPr>
          <w:trHeight w:val="41"/>
        </w:trPr>
        <w:tc>
          <w:tcPr>
            <w:tcW w:w="48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48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Depreciation</w:t>
            </w:r>
          </w:p>
        </w:tc>
        <w:tc>
          <w:tcPr>
            <w:tcW w:w="18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20"/>
                <w:szCs w:val="20"/>
                <w:color w:val="auto"/>
              </w:rPr>
              <w:t>226</w:t>
            </w:r>
          </w:p>
        </w:tc>
        <w:tc>
          <w:tcPr>
            <w:tcW w:w="11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230</w:t>
            </w:r>
          </w:p>
        </w:tc>
      </w:tr>
      <w:tr>
        <w:trPr>
          <w:trHeight w:val="274"/>
        </w:trPr>
        <w:tc>
          <w:tcPr>
            <w:tcW w:w="4840" w:type="dxa"/>
            <w:vAlign w:val="bottom"/>
          </w:tcPr>
          <w:p>
            <w:pPr>
              <w:ind w:left="100"/>
              <w:spacing w:after="0"/>
              <w:rPr>
                <w:sz w:val="20"/>
                <w:szCs w:val="20"/>
                <w:color w:val="auto"/>
              </w:rPr>
            </w:pPr>
            <w:r>
              <w:rPr>
                <w:rFonts w:ascii="Arial" w:cs="Arial" w:eastAsia="Arial" w:hAnsi="Arial"/>
                <w:sz w:val="20"/>
                <w:szCs w:val="20"/>
                <w:color w:val="auto"/>
              </w:rPr>
              <w:t>Amortization</w:t>
            </w:r>
          </w:p>
        </w:tc>
        <w:tc>
          <w:tcPr>
            <w:tcW w:w="1860" w:type="dxa"/>
            <w:vAlign w:val="bottom"/>
          </w:tcPr>
          <w:p>
            <w:pPr>
              <w:spacing w:after="0"/>
              <w:rPr>
                <w:sz w:val="23"/>
                <w:szCs w:val="23"/>
                <w:color w:val="auto"/>
              </w:rPr>
            </w:pP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192</w:t>
            </w:r>
          </w:p>
        </w:tc>
        <w:tc>
          <w:tcPr>
            <w:tcW w:w="1100" w:type="dxa"/>
            <w:vAlign w:val="bottom"/>
          </w:tcPr>
          <w:p>
            <w:pPr>
              <w:spacing w:after="0"/>
              <w:rPr>
                <w:sz w:val="23"/>
                <w:szCs w:val="23"/>
                <w:color w:val="auto"/>
              </w:rPr>
            </w:pPr>
          </w:p>
        </w:tc>
        <w:tc>
          <w:tcPr>
            <w:tcW w:w="800" w:type="dxa"/>
            <w:vAlign w:val="bottom"/>
          </w:tcPr>
          <w:p>
            <w:pPr>
              <w:jc w:val="right"/>
              <w:ind w:right="180"/>
              <w:spacing w:after="0"/>
              <w:rPr>
                <w:sz w:val="20"/>
                <w:szCs w:val="20"/>
                <w:color w:val="auto"/>
              </w:rPr>
            </w:pPr>
            <w:r>
              <w:rPr>
                <w:rFonts w:ascii="Arial" w:cs="Arial" w:eastAsia="Arial" w:hAnsi="Arial"/>
                <w:sz w:val="20"/>
                <w:szCs w:val="20"/>
                <w:color w:val="auto"/>
              </w:rPr>
              <w:t>226</w:t>
            </w:r>
          </w:p>
        </w:tc>
      </w:tr>
      <w:tr>
        <w:trPr>
          <w:trHeight w:val="41"/>
        </w:trPr>
        <w:tc>
          <w:tcPr>
            <w:tcW w:w="48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48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Restructuring costs</w:t>
            </w:r>
          </w:p>
        </w:tc>
        <w:tc>
          <w:tcPr>
            <w:tcW w:w="18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61</w:t>
            </w:r>
          </w:p>
        </w:tc>
      </w:tr>
      <w:tr>
        <w:trPr>
          <w:trHeight w:val="274"/>
        </w:trPr>
        <w:tc>
          <w:tcPr>
            <w:tcW w:w="4840" w:type="dxa"/>
            <w:vAlign w:val="bottom"/>
          </w:tcPr>
          <w:p>
            <w:pPr>
              <w:ind w:left="100"/>
              <w:spacing w:after="0"/>
              <w:rPr>
                <w:sz w:val="20"/>
                <w:szCs w:val="20"/>
                <w:color w:val="auto"/>
              </w:rPr>
            </w:pPr>
            <w:r>
              <w:rPr>
                <w:rFonts w:ascii="Arial" w:cs="Arial" w:eastAsia="Arial" w:hAnsi="Arial"/>
                <w:sz w:val="20"/>
                <w:szCs w:val="20"/>
                <w:color w:val="auto"/>
              </w:rPr>
              <w:t>Transaction and transformation</w:t>
            </w:r>
          </w:p>
        </w:tc>
        <w:tc>
          <w:tcPr>
            <w:tcW w:w="1860" w:type="dxa"/>
            <w:vAlign w:val="bottom"/>
          </w:tcPr>
          <w:p>
            <w:pPr>
              <w:spacing w:after="0"/>
              <w:rPr>
                <w:sz w:val="23"/>
                <w:szCs w:val="23"/>
                <w:color w:val="auto"/>
              </w:rPr>
            </w:pP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23</w:t>
            </w:r>
          </w:p>
        </w:tc>
        <w:tc>
          <w:tcPr>
            <w:tcW w:w="1100" w:type="dxa"/>
            <w:vAlign w:val="bottom"/>
          </w:tcPr>
          <w:p>
            <w:pPr>
              <w:spacing w:after="0"/>
              <w:rPr>
                <w:sz w:val="23"/>
                <w:szCs w:val="23"/>
                <w:color w:val="auto"/>
              </w:rPr>
            </w:pPr>
          </w:p>
        </w:tc>
        <w:tc>
          <w:tcPr>
            <w:tcW w:w="800" w:type="dxa"/>
            <w:vAlign w:val="bottom"/>
          </w:tcPr>
          <w:p>
            <w:pPr>
              <w:jc w:val="right"/>
              <w:ind w:right="180"/>
              <w:spacing w:after="0"/>
              <w:rPr>
                <w:sz w:val="20"/>
                <w:szCs w:val="20"/>
                <w:color w:val="auto"/>
              </w:rPr>
            </w:pPr>
            <w:r>
              <w:rPr>
                <w:rFonts w:ascii="Arial" w:cs="Arial" w:eastAsia="Arial" w:hAnsi="Arial"/>
                <w:sz w:val="20"/>
                <w:szCs w:val="20"/>
                <w:color w:val="auto"/>
              </w:rPr>
              <w:t>409</w:t>
            </w:r>
          </w:p>
        </w:tc>
      </w:tr>
      <w:tr>
        <w:trPr>
          <w:trHeight w:val="41"/>
        </w:trPr>
        <w:tc>
          <w:tcPr>
            <w:tcW w:w="48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314"/>
        </w:trPr>
        <w:tc>
          <w:tcPr>
            <w:tcW w:w="4840" w:type="dxa"/>
            <w:vAlign w:val="bottom"/>
            <w:shd w:val="clear" w:color="auto" w:fill="CFF0FC"/>
          </w:tcPr>
          <w:p>
            <w:pPr>
              <w:ind w:left="100"/>
              <w:spacing w:after="0"/>
              <w:rPr>
                <w:sz w:val="20"/>
                <w:szCs w:val="20"/>
                <w:color w:val="auto"/>
              </w:rPr>
            </w:pPr>
            <w:r>
              <w:rPr>
                <w:rFonts w:ascii="Arial" w:cs="Arial" w:eastAsia="Arial" w:hAnsi="Arial"/>
                <w:sz w:val="20"/>
                <w:szCs w:val="20"/>
                <w:color w:val="auto"/>
              </w:rPr>
              <w:t xml:space="preserve">Provision for specified litigation matter </w:t>
            </w:r>
            <w:r>
              <w:rPr>
                <w:rFonts w:ascii="Arial" w:cs="Arial" w:eastAsia="Arial" w:hAnsi="Arial"/>
                <w:sz w:val="26"/>
                <w:szCs w:val="26"/>
                <w:color w:val="auto"/>
                <w:vertAlign w:val="superscript"/>
              </w:rPr>
              <w:t>(i)</w:t>
            </w:r>
          </w:p>
        </w:tc>
        <w:tc>
          <w:tcPr>
            <w:tcW w:w="186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180"/>
              <w:spacing w:after="0"/>
              <w:rPr>
                <w:sz w:val="20"/>
                <w:szCs w:val="20"/>
                <w:color w:val="auto"/>
              </w:rPr>
            </w:pPr>
            <w:r>
              <w:rPr>
                <w:rFonts w:ascii="Arial" w:cs="Arial" w:eastAsia="Arial" w:hAnsi="Arial"/>
                <w:sz w:val="20"/>
                <w:szCs w:val="20"/>
                <w:color w:val="auto"/>
              </w:rPr>
              <w:t>13</w:t>
            </w:r>
          </w:p>
        </w:tc>
      </w:tr>
      <w:tr>
        <w:trPr>
          <w:trHeight w:val="274"/>
        </w:trPr>
        <w:tc>
          <w:tcPr>
            <w:tcW w:w="4840" w:type="dxa"/>
            <w:vAlign w:val="bottom"/>
          </w:tcPr>
          <w:p>
            <w:pPr>
              <w:ind w:left="100"/>
              <w:spacing w:after="0"/>
              <w:rPr>
                <w:sz w:val="20"/>
                <w:szCs w:val="20"/>
                <w:color w:val="auto"/>
              </w:rPr>
            </w:pPr>
            <w:r>
              <w:rPr>
                <w:rFonts w:ascii="Arial" w:cs="Arial" w:eastAsia="Arial" w:hAnsi="Arial"/>
                <w:sz w:val="20"/>
                <w:szCs w:val="20"/>
                <w:color w:val="auto"/>
              </w:rPr>
              <w:t>Net periodic pension and postretirement benefits</w:t>
            </w:r>
          </w:p>
        </w:tc>
        <w:tc>
          <w:tcPr>
            <w:tcW w:w="1860" w:type="dxa"/>
            <w:vAlign w:val="bottom"/>
          </w:tcPr>
          <w:p>
            <w:pPr>
              <w:spacing w:after="0"/>
              <w:rPr>
                <w:sz w:val="23"/>
                <w:szCs w:val="23"/>
                <w:color w:val="auto"/>
              </w:rPr>
            </w:pP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46</w:t>
            </w:r>
          </w:p>
        </w:tc>
        <w:tc>
          <w:tcPr>
            <w:tcW w:w="1100" w:type="dxa"/>
            <w:vAlign w:val="bottom"/>
          </w:tcPr>
          <w:p>
            <w:pPr>
              <w:spacing w:after="0"/>
              <w:rPr>
                <w:sz w:val="23"/>
                <w:szCs w:val="23"/>
                <w:color w:val="auto"/>
              </w:rPr>
            </w:pPr>
          </w:p>
        </w:tc>
        <w:tc>
          <w:tcPr>
            <w:tcW w:w="800" w:type="dxa"/>
            <w:vAlign w:val="bottom"/>
          </w:tcPr>
          <w:p>
            <w:pPr>
              <w:jc w:val="right"/>
              <w:ind w:right="80"/>
              <w:spacing w:after="0"/>
              <w:rPr>
                <w:sz w:val="20"/>
                <w:szCs w:val="20"/>
                <w:color w:val="auto"/>
              </w:rPr>
            </w:pPr>
            <w:r>
              <w:rPr>
                <w:rFonts w:ascii="Arial" w:cs="Arial" w:eastAsia="Arial" w:hAnsi="Arial"/>
                <w:sz w:val="20"/>
                <w:szCs w:val="20"/>
                <w:color w:val="auto"/>
              </w:rPr>
              <w:t>(64)</w:t>
            </w:r>
          </w:p>
        </w:tc>
      </w:tr>
      <w:tr>
        <w:trPr>
          <w:trHeight w:val="41"/>
        </w:trPr>
        <w:tc>
          <w:tcPr>
            <w:tcW w:w="48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304"/>
        </w:trPr>
        <w:tc>
          <w:tcPr>
            <w:tcW w:w="48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(Gain)/loss on disposal of operations</w:t>
            </w:r>
          </w:p>
        </w:tc>
        <w:tc>
          <w:tcPr>
            <w:tcW w:w="18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(40)</w:t>
            </w:r>
          </w:p>
        </w:tc>
        <w:tc>
          <w:tcPr>
            <w:tcW w:w="11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337</w:t>
            </w:r>
          </w:p>
        </w:tc>
      </w:tr>
      <w:tr>
        <w:trPr>
          <w:trHeight w:val="319"/>
        </w:trPr>
        <w:tc>
          <w:tcPr>
            <w:tcW w:w="4840" w:type="dxa"/>
            <w:vAlign w:val="bottom"/>
          </w:tcPr>
          <w:p>
            <w:pPr>
              <w:spacing w:after="0"/>
              <w:rPr>
                <w:sz w:val="20"/>
                <w:szCs w:val="20"/>
                <w:color w:val="auto"/>
              </w:rPr>
            </w:pPr>
            <w:r>
              <w:rPr>
                <w:rFonts w:ascii="Arial" w:cs="Arial" w:eastAsia="Arial" w:hAnsi="Arial"/>
                <w:sz w:val="20"/>
                <w:szCs w:val="20"/>
                <w:color w:val="auto"/>
              </w:rPr>
              <w:t>Adjusted EBITDA</w:t>
            </w:r>
          </w:p>
        </w:tc>
        <w:tc>
          <w:tcPr>
            <w:tcW w:w="1860" w:type="dxa"/>
            <w:vAlign w:val="bottom"/>
          </w:tcPr>
          <w:p>
            <w:pPr>
              <w:jc w:val="right"/>
              <w:ind w:right="830"/>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2,638</w:t>
            </w:r>
          </w:p>
        </w:tc>
        <w:tc>
          <w:tcPr>
            <w:tcW w:w="1100" w:type="dxa"/>
            <w:vAlign w:val="bottom"/>
          </w:tcPr>
          <w:p>
            <w:pPr>
              <w:jc w:val="right"/>
              <w:ind w:right="827"/>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80"/>
              <w:spacing w:after="0"/>
              <w:rPr>
                <w:sz w:val="20"/>
                <w:szCs w:val="20"/>
                <w:color w:val="auto"/>
              </w:rPr>
            </w:pPr>
            <w:r>
              <w:rPr>
                <w:rFonts w:ascii="Arial" w:cs="Arial" w:eastAsia="Arial" w:hAnsi="Arial"/>
                <w:sz w:val="20"/>
                <w:szCs w:val="20"/>
                <w:color w:val="auto"/>
                <w:w w:val="99"/>
              </w:rPr>
              <w:t>2,621</w:t>
            </w:r>
          </w:p>
        </w:tc>
      </w:tr>
      <w:tr>
        <w:trPr>
          <w:trHeight w:val="41"/>
        </w:trPr>
        <w:tc>
          <w:tcPr>
            <w:tcW w:w="48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income/(loss) margin</w:t>
            </w:r>
          </w:p>
        </w:tc>
        <w:tc>
          <w:tcPr>
            <w:tcW w:w="18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16.6%</w:t>
            </w:r>
          </w:p>
        </w:tc>
        <w:tc>
          <w:tcPr>
            <w:tcW w:w="11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(0.9)%</w:t>
            </w:r>
          </w:p>
        </w:tc>
      </w:tr>
      <w:tr>
        <w:trPr>
          <w:trHeight w:val="274"/>
        </w:trPr>
        <w:tc>
          <w:tcPr>
            <w:tcW w:w="4840" w:type="dxa"/>
            <w:vAlign w:val="bottom"/>
          </w:tcPr>
          <w:p>
            <w:pPr>
              <w:spacing w:after="0"/>
              <w:rPr>
                <w:sz w:val="20"/>
                <w:szCs w:val="20"/>
                <w:color w:val="auto"/>
              </w:rPr>
            </w:pPr>
            <w:r>
              <w:rPr>
                <w:rFonts w:ascii="Arial" w:cs="Arial" w:eastAsia="Arial" w:hAnsi="Arial"/>
                <w:sz w:val="20"/>
                <w:szCs w:val="20"/>
                <w:color w:val="auto"/>
              </w:rPr>
              <w:t>Adjusted EBITDA margin</w:t>
            </w:r>
          </w:p>
        </w:tc>
        <w:tc>
          <w:tcPr>
            <w:tcW w:w="18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27.2%</w:t>
            </w:r>
          </w:p>
        </w:tc>
        <w:tc>
          <w:tcPr>
            <w:tcW w:w="1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-3139440</wp:posOffset>
            </wp:positionV>
            <wp:extent cx="235585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2">
                      <a:extLst>
                        <a:ext uri="{28A0092B-C50C-407E-A947-70E740481C1C}"/>
                      </a:extLst>
                    </a:blip>
                    <a:srcRect/>
                    <a:stretch>
                      <a:fillRect/>
                    </a:stretch>
                  </pic:blipFill>
                  <pic:spPr bwMode="auto">
                    <a:xfrm>
                      <a:off x="0" y="0"/>
                      <a:ext cx="2355850" cy="635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-2971165</wp:posOffset>
            </wp:positionV>
            <wp:extent cx="235585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3">
                      <a:extLst>
                        <a:ext uri="{28A0092B-C50C-407E-A947-70E740481C1C}"/>
                      </a:extLst>
                    </a:blip>
                    <a:srcRect/>
                    <a:stretch>
                      <a:fillRect/>
                    </a:stretch>
                  </pic:blipFill>
                  <pic:spPr bwMode="auto">
                    <a:xfrm>
                      <a:off x="0" y="0"/>
                      <a:ext cx="2355850" cy="635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-607695</wp:posOffset>
            </wp:positionV>
            <wp:extent cx="235585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4">
                      <a:extLst>
                        <a:ext uri="{28A0092B-C50C-407E-A947-70E740481C1C}"/>
                      </a:extLst>
                    </a:blip>
                    <a:srcRect/>
                    <a:stretch>
                      <a:fillRect/>
                    </a:stretch>
                  </pic:blipFill>
                  <pic:spPr bwMode="auto">
                    <a:xfrm>
                      <a:off x="0" y="0"/>
                      <a:ext cx="2355850" cy="635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-401320</wp:posOffset>
            </wp:positionV>
            <wp:extent cx="2355850" cy="285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5">
                      <a:extLst>
                        <a:ext uri="{28A0092B-C50C-407E-A947-70E740481C1C}"/>
                      </a:extLst>
                    </a:blip>
                    <a:srcRect/>
                    <a:stretch>
                      <a:fillRect/>
                    </a:stretch>
                  </pic:blipFill>
                  <pic:spPr bwMode="auto">
                    <a:xfrm>
                      <a:off x="0" y="0"/>
                      <a:ext cx="235585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79565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6">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26" w:right="200" w:hanging="226"/>
        <w:spacing w:after="0" w:line="502" w:lineRule="auto"/>
        <w:tabs>
          <w:tab w:leader="none" w:pos="226"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Represents a provision related to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256" w:lineRule="exact"/>
        <w:rPr>
          <w:sz w:val="20"/>
          <w:szCs w:val="20"/>
          <w:color w:val="auto"/>
        </w:rPr>
      </w:pPr>
    </w:p>
    <w:p>
      <w:pPr>
        <w:ind w:left="6" w:right="480"/>
        <w:spacing w:after="0" w:line="352" w:lineRule="auto"/>
        <w:rPr>
          <w:sz w:val="20"/>
          <w:szCs w:val="20"/>
          <w:color w:val="auto"/>
        </w:rPr>
      </w:pPr>
      <w:r>
        <w:rPr>
          <w:rFonts w:ascii="Arial" w:cs="Arial" w:eastAsia="Arial" w:hAnsi="Arial"/>
          <w:sz w:val="18"/>
          <w:szCs w:val="18"/>
          <w:color w:val="auto"/>
        </w:rPr>
        <w:t>Adjusted EBITDA for both the years ended December 31, 2025 and 2024 was $2.6 billion, an increase of $17 million. This increase resulted primarily due to lower marketing expenses, decreased office expenses and lower professional services costs in the current year, partially offset by lower revenue due to the prior-year sale of our TRANZACT business, and lower pension income and higher salary expense in the current year.</w:t>
      </w:r>
    </w:p>
    <w:p>
      <w:pPr>
        <w:spacing w:after="0" w:line="276"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Adjusted Net Income and Adjusted Diluted Earnings Per Share</w:t>
      </w:r>
    </w:p>
    <w:p>
      <w:pPr>
        <w:spacing w:after="0" w:line="260" w:lineRule="exact"/>
        <w:rPr>
          <w:sz w:val="20"/>
          <w:szCs w:val="20"/>
          <w:color w:val="auto"/>
        </w:rPr>
      </w:pPr>
    </w:p>
    <w:p>
      <w:pPr>
        <w:ind w:left="6" w:right="100"/>
        <w:spacing w:after="0" w:line="311" w:lineRule="auto"/>
        <w:rPr>
          <w:sz w:val="20"/>
          <w:szCs w:val="20"/>
          <w:color w:val="auto"/>
        </w:rPr>
      </w:pPr>
      <w:r>
        <w:rPr>
          <w:rFonts w:ascii="Arial" w:cs="Arial" w:eastAsia="Arial" w:hAnsi="Arial"/>
          <w:sz w:val="20"/>
          <w:szCs w:val="20"/>
          <w:color w:val="auto"/>
        </w:rPr>
        <w:t>Adjusted net income is defined as net income/(loss) attributable to WTW adjusted for impairment, amortization, restructuring costs, transaction and transformation, gains and losses on disposals of operations, net periodic pension and postretirement benefits and non-recurring items that, in management’s judgment, significantly affect the period-over-period assessment of operating results and the related tax effect of those adjustments and the tax effects of significant adjustments. This measure is used solely for the purpose of calculating adjusted diluted earnings per share.</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33 / 47</w:t>
      </w:r>
    </w:p>
    <w:p>
      <w:pPr>
        <w:sectPr>
          <w:pgSz w:w="11900" w:h="16838" w:orient="portrait"/>
          <w:cols w:equalWidth="0" w:num="1">
            <w:col w:w="9406"/>
          </w:cols>
          <w:pgMar w:left="1254" w:top="1440" w:right="1246" w:bottom="0" w:gutter="0" w:footer="0" w:header="0"/>
          <w:type w:val="continuous"/>
        </w:sectPr>
      </w:pPr>
    </w:p>
    <w:bookmarkStart w:id="120" w:name="page121"/>
    <w:bookmarkEnd w:id="120"/>
    <w:p>
      <w:pPr>
        <w:ind w:right="106"/>
        <w:spacing w:after="0" w:line="352" w:lineRule="auto"/>
        <w:rPr>
          <w:sz w:val="20"/>
          <w:szCs w:val="20"/>
          <w:color w:val="auto"/>
        </w:rPr>
      </w:pPr>
      <w:r>
        <w:rPr>
          <w:rFonts w:ascii="Arial" w:cs="Arial" w:eastAsia="Arial" w:hAnsi="Arial"/>
          <w:sz w:val="18"/>
          <w:szCs w:val="18"/>
          <w:color w:val="auto"/>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 When there is a net loss attributable to WTW for the period, basic and diluted shares and earnings per share are the same values.</w:t>
      </w:r>
    </w:p>
    <w:p>
      <w:pPr>
        <w:spacing w:after="0" w:line="216"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34 / 47</w:t>
      </w:r>
    </w:p>
    <w:p>
      <w:pPr>
        <w:sectPr>
          <w:pgSz w:w="11900" w:h="16838" w:orient="portrait"/>
          <w:cols w:equalWidth="0" w:num="1">
            <w:col w:w="9206"/>
          </w:cols>
          <w:pgMar w:left="1260" w:top="1173" w:right="1440" w:bottom="0" w:gutter="0" w:footer="0" w:header="0"/>
          <w:type w:val="continuous"/>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
        <w:spacing w:after="0"/>
        <w:rPr>
          <w:sz w:val="20"/>
          <w:szCs w:val="20"/>
          <w:color w:val="auto"/>
        </w:rPr>
      </w:pPr>
      <w:r>
        <w:rPr>
          <w:rFonts w:ascii="Arial" w:cs="Arial" w:eastAsia="Arial" w:hAnsi="Arial"/>
          <w:sz w:val="18"/>
          <w:szCs w:val="18"/>
          <w:color w:val="auto"/>
        </w:rPr>
        <w:t>Reconciliations of net income/(loss) attributable to WTW to adjusted diluted earnings per share for the years ended</w:t>
      </w:r>
    </w:p>
    <w:p>
      <w:pPr>
        <w:spacing w:after="0" w:line="83" w:lineRule="exact"/>
        <w:rPr>
          <w:sz w:val="20"/>
          <w:szCs w:val="20"/>
          <w:color w:val="auto"/>
        </w:rPr>
      </w:pPr>
    </w:p>
    <w:p>
      <w:pPr>
        <w:ind w:left="6"/>
        <w:spacing w:after="0"/>
        <w:rPr>
          <w:sz w:val="20"/>
          <w:szCs w:val="20"/>
          <w:color w:val="auto"/>
        </w:rPr>
      </w:pPr>
      <w:r>
        <w:rPr>
          <w:rFonts w:ascii="Arial" w:cs="Arial" w:eastAsia="Arial" w:hAnsi="Arial"/>
          <w:sz w:val="20"/>
          <w:szCs w:val="20"/>
          <w:color w:val="auto"/>
        </w:rPr>
        <w:t>December 31, 2025 and 2024 are as follows:</w:t>
      </w:r>
    </w:p>
    <w:p>
      <w:pPr>
        <w:spacing w:after="0" w:line="200" w:lineRule="exact"/>
        <w:rPr>
          <w:sz w:val="20"/>
          <w:szCs w:val="20"/>
          <w:color w:val="auto"/>
        </w:rPr>
      </w:pPr>
    </w:p>
    <w:p>
      <w:pPr>
        <w:spacing w:after="0" w:line="209"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60" w:type="dxa"/>
            <w:vAlign w:val="bottom"/>
            <w:gridSpan w:val="3"/>
          </w:tcPr>
          <w:p>
            <w:pPr>
              <w:jc w:val="right"/>
              <w:ind w:right="801"/>
              <w:spacing w:after="0"/>
              <w:rPr>
                <w:sz w:val="20"/>
                <w:szCs w:val="20"/>
                <w:color w:val="auto"/>
              </w:rPr>
            </w:pPr>
            <w:r>
              <w:rPr>
                <w:rFonts w:ascii="Arial" w:cs="Arial" w:eastAsia="Arial" w:hAnsi="Arial"/>
                <w:sz w:val="16"/>
                <w:szCs w:val="16"/>
                <w:b w:val="1"/>
                <w:bCs w:val="1"/>
                <w:color w:val="auto"/>
              </w:rPr>
              <w:t>Years Ended December 31,</w:t>
            </w:r>
          </w:p>
        </w:tc>
      </w:tr>
      <w:tr>
        <w:trPr>
          <w:trHeight w:val="264"/>
        </w:trPr>
        <w:tc>
          <w:tcPr>
            <w:tcW w:w="5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60" w:type="dxa"/>
            <w:vAlign w:val="bottom"/>
          </w:tcPr>
          <w:p>
            <w:pPr>
              <w:jc w:val="right"/>
              <w:ind w:right="702"/>
              <w:spacing w:after="0"/>
              <w:rPr>
                <w:sz w:val="20"/>
                <w:szCs w:val="20"/>
                <w:color w:val="auto"/>
              </w:rPr>
            </w:pPr>
            <w:r>
              <w:rPr>
                <w:rFonts w:ascii="Arial" w:cs="Arial" w:eastAsia="Arial" w:hAnsi="Arial"/>
                <w:sz w:val="16"/>
                <w:szCs w:val="16"/>
                <w:b w:val="1"/>
                <w:bCs w:val="1"/>
                <w:color w:val="auto"/>
              </w:rPr>
              <w:t>2025</w:t>
            </w:r>
          </w:p>
        </w:tc>
        <w:tc>
          <w:tcPr>
            <w:tcW w:w="460" w:type="dxa"/>
            <w:vAlign w:val="bottom"/>
          </w:tcPr>
          <w:p>
            <w:pPr>
              <w:spacing w:after="0"/>
              <w:rPr>
                <w:sz w:val="22"/>
                <w:szCs w:val="22"/>
                <w:color w:val="auto"/>
              </w:rPr>
            </w:pPr>
          </w:p>
        </w:tc>
        <w:tc>
          <w:tcPr>
            <w:tcW w:w="1340" w:type="dxa"/>
            <w:vAlign w:val="bottom"/>
          </w:tcPr>
          <w:p>
            <w:pPr>
              <w:jc w:val="right"/>
              <w:ind w:right="661"/>
              <w:spacing w:after="0"/>
              <w:rPr>
                <w:sz w:val="20"/>
                <w:szCs w:val="20"/>
                <w:color w:val="auto"/>
              </w:rPr>
            </w:pPr>
            <w:r>
              <w:rPr>
                <w:rFonts w:ascii="Arial" w:cs="Arial" w:eastAsia="Arial" w:hAnsi="Arial"/>
                <w:sz w:val="16"/>
                <w:szCs w:val="16"/>
                <w:b w:val="1"/>
                <w:bCs w:val="1"/>
                <w:color w:val="auto"/>
              </w:rPr>
              <w:t>2024</w:t>
            </w:r>
          </w:p>
        </w:tc>
      </w:tr>
      <w:tr>
        <w:trPr>
          <w:trHeight w:val="264"/>
        </w:trPr>
        <w:tc>
          <w:tcPr>
            <w:tcW w:w="50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160" w:type="dxa"/>
            <w:vAlign w:val="bottom"/>
            <w:gridSpan w:val="3"/>
          </w:tcPr>
          <w:p>
            <w:pPr>
              <w:jc w:val="right"/>
              <w:ind w:right="261"/>
              <w:spacing w:after="0"/>
              <w:rPr>
                <w:sz w:val="20"/>
                <w:szCs w:val="20"/>
                <w:color w:val="auto"/>
              </w:rPr>
            </w:pPr>
            <w:r>
              <w:rPr>
                <w:rFonts w:ascii="Arial" w:cs="Arial" w:eastAsia="Arial" w:hAnsi="Arial"/>
                <w:sz w:val="16"/>
                <w:szCs w:val="16"/>
                <w:b w:val="1"/>
                <w:bCs w:val="1"/>
                <w:color w:val="auto"/>
                <w:w w:val="88"/>
              </w:rPr>
              <w:t>and weighted-average shares in millions)</w:t>
            </w:r>
          </w:p>
        </w:tc>
      </w:tr>
      <w:tr>
        <w:trPr>
          <w:trHeight w:val="32"/>
        </w:trPr>
        <w:tc>
          <w:tcPr>
            <w:tcW w:w="5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94"/>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INCOME/(LOSS) ATTRIBUTABLE TO WTW</w:t>
            </w:r>
          </w:p>
        </w:tc>
        <w:tc>
          <w:tcPr>
            <w:tcW w:w="1160" w:type="dxa"/>
            <w:vAlign w:val="bottom"/>
            <w:tcBorders>
              <w:bottom w:val="single" w:sz="8" w:color="CFF0FC"/>
            </w:tcBorders>
            <w:shd w:val="clear" w:color="auto" w:fill="CFF0FC"/>
          </w:tcPr>
          <w:p>
            <w:pPr>
              <w:jc w:val="right"/>
              <w:ind w:right="204"/>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FF0FC"/>
            </w:tcBorders>
            <w:shd w:val="clear" w:color="auto" w:fill="CFF0FC"/>
          </w:tcPr>
          <w:p>
            <w:pPr>
              <w:jc w:val="right"/>
              <w:ind w:right="62"/>
              <w:spacing w:after="0"/>
              <w:rPr>
                <w:sz w:val="20"/>
                <w:szCs w:val="20"/>
                <w:color w:val="auto"/>
              </w:rPr>
            </w:pPr>
            <w:r>
              <w:rPr>
                <w:rFonts w:ascii="Arial" w:cs="Arial" w:eastAsia="Arial" w:hAnsi="Arial"/>
                <w:sz w:val="20"/>
                <w:szCs w:val="20"/>
                <w:color w:val="auto"/>
              </w:rPr>
              <w:t>1,605</w:t>
            </w:r>
          </w:p>
        </w:tc>
        <w:tc>
          <w:tcPr>
            <w:tcW w:w="46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(98)</w:t>
            </w:r>
          </w:p>
        </w:tc>
      </w:tr>
      <w:tr>
        <w:trPr>
          <w:trHeight w:val="274"/>
        </w:trPr>
        <w:tc>
          <w:tcPr>
            <w:tcW w:w="5080" w:type="dxa"/>
            <w:vAlign w:val="bottom"/>
          </w:tcPr>
          <w:p>
            <w:pPr>
              <w:spacing w:after="0"/>
              <w:rPr>
                <w:sz w:val="20"/>
                <w:szCs w:val="20"/>
                <w:color w:val="auto"/>
              </w:rPr>
            </w:pPr>
            <w:r>
              <w:rPr>
                <w:rFonts w:ascii="Arial" w:cs="Arial" w:eastAsia="Arial" w:hAnsi="Arial"/>
                <w:sz w:val="20"/>
                <w:szCs w:val="20"/>
                <w:color w:val="auto"/>
              </w:rPr>
              <w:t>Adjusted for certain items:</w:t>
            </w:r>
          </w:p>
        </w:tc>
        <w:tc>
          <w:tcPr>
            <w:tcW w:w="1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41"/>
        </w:trPr>
        <w:tc>
          <w:tcPr>
            <w:tcW w:w="5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4"/>
        </w:trPr>
        <w:tc>
          <w:tcPr>
            <w:tcW w:w="50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Impairment</w:t>
            </w:r>
          </w:p>
        </w:tc>
        <w:tc>
          <w:tcPr>
            <w:tcW w:w="11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1,042</w:t>
            </w:r>
          </w:p>
        </w:tc>
      </w:tr>
      <w:tr>
        <w:trPr>
          <w:trHeight w:val="274"/>
        </w:trPr>
        <w:tc>
          <w:tcPr>
            <w:tcW w:w="5080" w:type="dxa"/>
            <w:vAlign w:val="bottom"/>
          </w:tcPr>
          <w:p>
            <w:pPr>
              <w:ind w:left="100"/>
              <w:spacing w:after="0"/>
              <w:rPr>
                <w:sz w:val="20"/>
                <w:szCs w:val="20"/>
                <w:color w:val="auto"/>
              </w:rPr>
            </w:pPr>
            <w:r>
              <w:rPr>
                <w:rFonts w:ascii="Arial" w:cs="Arial" w:eastAsia="Arial" w:hAnsi="Arial"/>
                <w:sz w:val="20"/>
                <w:szCs w:val="20"/>
                <w:color w:val="auto"/>
              </w:rPr>
              <w:t>Amortization</w:t>
            </w:r>
          </w:p>
        </w:tc>
        <w:tc>
          <w:tcPr>
            <w:tcW w:w="1160" w:type="dxa"/>
            <w:vAlign w:val="bottom"/>
          </w:tcPr>
          <w:p>
            <w:pPr>
              <w:spacing w:after="0"/>
              <w:rPr>
                <w:sz w:val="23"/>
                <w:szCs w:val="23"/>
                <w:color w:val="auto"/>
              </w:rPr>
            </w:pPr>
          </w:p>
        </w:tc>
        <w:tc>
          <w:tcPr>
            <w:tcW w:w="1360" w:type="dxa"/>
            <w:vAlign w:val="bottom"/>
          </w:tcPr>
          <w:p>
            <w:pPr>
              <w:jc w:val="right"/>
              <w:ind w:right="62"/>
              <w:spacing w:after="0"/>
              <w:rPr>
                <w:sz w:val="20"/>
                <w:szCs w:val="20"/>
                <w:color w:val="auto"/>
              </w:rPr>
            </w:pPr>
            <w:r>
              <w:rPr>
                <w:rFonts w:ascii="Arial" w:cs="Arial" w:eastAsia="Arial" w:hAnsi="Arial"/>
                <w:sz w:val="20"/>
                <w:szCs w:val="20"/>
                <w:color w:val="auto"/>
              </w:rPr>
              <w:t>192</w:t>
            </w:r>
          </w:p>
        </w:tc>
        <w:tc>
          <w:tcPr>
            <w:tcW w:w="46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226</w:t>
            </w:r>
          </w:p>
        </w:tc>
      </w:tr>
      <w:tr>
        <w:trPr>
          <w:trHeight w:val="41"/>
        </w:trPr>
        <w:tc>
          <w:tcPr>
            <w:tcW w:w="5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4"/>
        </w:trPr>
        <w:tc>
          <w:tcPr>
            <w:tcW w:w="50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Restructuring costs</w:t>
            </w:r>
          </w:p>
        </w:tc>
        <w:tc>
          <w:tcPr>
            <w:tcW w:w="11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61</w:t>
            </w:r>
          </w:p>
        </w:tc>
      </w:tr>
      <w:tr>
        <w:trPr>
          <w:trHeight w:val="274"/>
        </w:trPr>
        <w:tc>
          <w:tcPr>
            <w:tcW w:w="5080" w:type="dxa"/>
            <w:vAlign w:val="bottom"/>
          </w:tcPr>
          <w:p>
            <w:pPr>
              <w:ind w:left="100"/>
              <w:spacing w:after="0"/>
              <w:rPr>
                <w:sz w:val="20"/>
                <w:szCs w:val="20"/>
                <w:color w:val="auto"/>
              </w:rPr>
            </w:pPr>
            <w:r>
              <w:rPr>
                <w:rFonts w:ascii="Arial" w:cs="Arial" w:eastAsia="Arial" w:hAnsi="Arial"/>
                <w:sz w:val="20"/>
                <w:szCs w:val="20"/>
                <w:color w:val="auto"/>
              </w:rPr>
              <w:t>Transaction and transformation</w:t>
            </w:r>
          </w:p>
        </w:tc>
        <w:tc>
          <w:tcPr>
            <w:tcW w:w="1160" w:type="dxa"/>
            <w:vAlign w:val="bottom"/>
          </w:tcPr>
          <w:p>
            <w:pPr>
              <w:spacing w:after="0"/>
              <w:rPr>
                <w:sz w:val="23"/>
                <w:szCs w:val="23"/>
                <w:color w:val="auto"/>
              </w:rPr>
            </w:pPr>
          </w:p>
        </w:tc>
        <w:tc>
          <w:tcPr>
            <w:tcW w:w="1360" w:type="dxa"/>
            <w:vAlign w:val="bottom"/>
          </w:tcPr>
          <w:p>
            <w:pPr>
              <w:jc w:val="right"/>
              <w:ind w:right="62"/>
              <w:spacing w:after="0"/>
              <w:rPr>
                <w:sz w:val="20"/>
                <w:szCs w:val="20"/>
                <w:color w:val="auto"/>
              </w:rPr>
            </w:pPr>
            <w:r>
              <w:rPr>
                <w:rFonts w:ascii="Arial" w:cs="Arial" w:eastAsia="Arial" w:hAnsi="Arial"/>
                <w:sz w:val="20"/>
                <w:szCs w:val="20"/>
                <w:color w:val="auto"/>
              </w:rPr>
              <w:t>23</w:t>
            </w:r>
          </w:p>
        </w:tc>
        <w:tc>
          <w:tcPr>
            <w:tcW w:w="46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409</w:t>
            </w:r>
          </w:p>
        </w:tc>
      </w:tr>
      <w:tr>
        <w:trPr>
          <w:trHeight w:val="41"/>
        </w:trPr>
        <w:tc>
          <w:tcPr>
            <w:tcW w:w="5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314"/>
        </w:trPr>
        <w:tc>
          <w:tcPr>
            <w:tcW w:w="5080" w:type="dxa"/>
            <w:vAlign w:val="bottom"/>
            <w:shd w:val="clear" w:color="auto" w:fill="CFF0FC"/>
          </w:tcPr>
          <w:p>
            <w:pPr>
              <w:ind w:left="100"/>
              <w:spacing w:after="0"/>
              <w:rPr>
                <w:sz w:val="20"/>
                <w:szCs w:val="20"/>
                <w:color w:val="auto"/>
              </w:rPr>
            </w:pPr>
            <w:r>
              <w:rPr>
                <w:rFonts w:ascii="Arial" w:cs="Arial" w:eastAsia="Arial" w:hAnsi="Arial"/>
                <w:sz w:val="20"/>
                <w:szCs w:val="20"/>
                <w:color w:val="auto"/>
              </w:rPr>
              <w:t xml:space="preserve">Provision for specified litigation matter </w:t>
            </w:r>
            <w:r>
              <w:rPr>
                <w:rFonts w:ascii="Arial" w:cs="Arial" w:eastAsia="Arial" w:hAnsi="Arial"/>
                <w:sz w:val="26"/>
                <w:szCs w:val="26"/>
                <w:color w:val="auto"/>
                <w:vertAlign w:val="superscript"/>
              </w:rPr>
              <w:t>(i)</w:t>
            </w:r>
          </w:p>
        </w:tc>
        <w:tc>
          <w:tcPr>
            <w:tcW w:w="1160" w:type="dxa"/>
            <w:vAlign w:val="bottom"/>
            <w:shd w:val="clear" w:color="auto" w:fill="CFF0FC"/>
          </w:tcPr>
          <w:p>
            <w:pPr>
              <w:spacing w:after="0"/>
              <w:rPr>
                <w:sz w:val="24"/>
                <w:szCs w:val="24"/>
                <w:color w:val="auto"/>
              </w:rPr>
            </w:pPr>
          </w:p>
        </w:tc>
        <w:tc>
          <w:tcPr>
            <w:tcW w:w="13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13</w:t>
            </w:r>
          </w:p>
        </w:tc>
      </w:tr>
      <w:tr>
        <w:trPr>
          <w:trHeight w:val="274"/>
        </w:trPr>
        <w:tc>
          <w:tcPr>
            <w:tcW w:w="5080" w:type="dxa"/>
            <w:vAlign w:val="bottom"/>
          </w:tcPr>
          <w:p>
            <w:pPr>
              <w:ind w:left="100"/>
              <w:spacing w:after="0"/>
              <w:rPr>
                <w:sz w:val="20"/>
                <w:szCs w:val="20"/>
                <w:color w:val="auto"/>
              </w:rPr>
            </w:pPr>
            <w:r>
              <w:rPr>
                <w:rFonts w:ascii="Arial" w:cs="Arial" w:eastAsia="Arial" w:hAnsi="Arial"/>
                <w:sz w:val="20"/>
                <w:szCs w:val="20"/>
                <w:color w:val="auto"/>
              </w:rPr>
              <w:t>Net periodic pension and postretirement benefits</w:t>
            </w:r>
          </w:p>
        </w:tc>
        <w:tc>
          <w:tcPr>
            <w:tcW w:w="1160" w:type="dxa"/>
            <w:vAlign w:val="bottom"/>
          </w:tcPr>
          <w:p>
            <w:pPr>
              <w:spacing w:after="0"/>
              <w:rPr>
                <w:sz w:val="23"/>
                <w:szCs w:val="23"/>
                <w:color w:val="auto"/>
              </w:rPr>
            </w:pPr>
          </w:p>
        </w:tc>
        <w:tc>
          <w:tcPr>
            <w:tcW w:w="1360" w:type="dxa"/>
            <w:vAlign w:val="bottom"/>
          </w:tcPr>
          <w:p>
            <w:pPr>
              <w:jc w:val="right"/>
              <w:ind w:right="62"/>
              <w:spacing w:after="0"/>
              <w:rPr>
                <w:sz w:val="20"/>
                <w:szCs w:val="20"/>
                <w:color w:val="auto"/>
              </w:rPr>
            </w:pPr>
            <w:r>
              <w:rPr>
                <w:rFonts w:ascii="Arial" w:cs="Arial" w:eastAsia="Arial" w:hAnsi="Arial"/>
                <w:sz w:val="20"/>
                <w:szCs w:val="20"/>
                <w:color w:val="auto"/>
              </w:rPr>
              <w:t>46</w:t>
            </w:r>
          </w:p>
        </w:tc>
        <w:tc>
          <w:tcPr>
            <w:tcW w:w="4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41"/>
        </w:trPr>
        <w:tc>
          <w:tcPr>
            <w:tcW w:w="5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4"/>
        </w:trPr>
        <w:tc>
          <w:tcPr>
            <w:tcW w:w="50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(Gain)/loss on disposal of operations</w:t>
            </w:r>
          </w:p>
        </w:tc>
        <w:tc>
          <w:tcPr>
            <w:tcW w:w="11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(40)</w:t>
            </w:r>
          </w:p>
        </w:tc>
        <w:tc>
          <w:tcPr>
            <w:tcW w:w="46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337</w:t>
            </w:r>
          </w:p>
        </w:tc>
      </w:tr>
      <w:tr>
        <w:trPr>
          <w:trHeight w:val="314"/>
        </w:trPr>
        <w:tc>
          <w:tcPr>
            <w:tcW w:w="5080" w:type="dxa"/>
            <w:vAlign w:val="bottom"/>
          </w:tcPr>
          <w:p>
            <w:pPr>
              <w:ind w:left="100"/>
              <w:spacing w:after="0"/>
              <w:rPr>
                <w:sz w:val="20"/>
                <w:szCs w:val="20"/>
                <w:color w:val="auto"/>
              </w:rPr>
            </w:pPr>
            <w:r>
              <w:rPr>
                <w:rFonts w:ascii="Arial" w:cs="Arial" w:eastAsia="Arial" w:hAnsi="Arial"/>
                <w:sz w:val="20"/>
                <w:szCs w:val="20"/>
                <w:color w:val="auto"/>
              </w:rPr>
              <w:t xml:space="preserve">Tax effect on certain items listed above </w:t>
            </w:r>
            <w:r>
              <w:rPr>
                <w:rFonts w:ascii="Arial" w:cs="Arial" w:eastAsia="Arial" w:hAnsi="Arial"/>
                <w:sz w:val="26"/>
                <w:szCs w:val="26"/>
                <w:color w:val="auto"/>
                <w:vertAlign w:val="superscript"/>
              </w:rPr>
              <w:t>(ii)</w:t>
            </w:r>
          </w:p>
        </w:tc>
        <w:tc>
          <w:tcPr>
            <w:tcW w:w="1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(61)</w:t>
            </w:r>
          </w:p>
        </w:tc>
        <w:tc>
          <w:tcPr>
            <w:tcW w:w="4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(254)</w:t>
            </w:r>
          </w:p>
        </w:tc>
      </w:tr>
      <w:tr>
        <w:trPr>
          <w:trHeight w:val="304"/>
        </w:trPr>
        <w:tc>
          <w:tcPr>
            <w:tcW w:w="50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Tax effect of significant adjustments</w:t>
            </w:r>
          </w:p>
        </w:tc>
        <w:tc>
          <w:tcPr>
            <w:tcW w:w="11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(79)</w:t>
            </w:r>
          </w:p>
        </w:tc>
        <w:tc>
          <w:tcPr>
            <w:tcW w:w="46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w:t>
            </w:r>
          </w:p>
        </w:tc>
      </w:tr>
      <w:tr>
        <w:trPr>
          <w:trHeight w:val="274"/>
        </w:trPr>
        <w:tc>
          <w:tcPr>
            <w:tcW w:w="5080" w:type="dxa"/>
            <w:vAlign w:val="bottom"/>
          </w:tcPr>
          <w:p>
            <w:pPr>
              <w:spacing w:after="0"/>
              <w:rPr>
                <w:sz w:val="23"/>
                <w:szCs w:val="23"/>
                <w:color w:val="auto"/>
              </w:rPr>
            </w:pPr>
          </w:p>
        </w:tc>
        <w:tc>
          <w:tcPr>
            <w:tcW w:w="1160" w:type="dxa"/>
            <w:vAlign w:val="bottom"/>
          </w:tcPr>
          <w:p>
            <w:pPr>
              <w:jc w:val="right"/>
              <w:ind w:right="204"/>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62"/>
              <w:spacing w:after="0"/>
              <w:rPr>
                <w:sz w:val="20"/>
                <w:szCs w:val="20"/>
                <w:color w:val="auto"/>
              </w:rPr>
            </w:pPr>
            <w:r>
              <w:rPr>
                <w:rFonts w:ascii="Arial" w:cs="Arial" w:eastAsia="Arial" w:hAnsi="Arial"/>
                <w:sz w:val="20"/>
                <w:szCs w:val="20"/>
                <w:color w:val="auto"/>
              </w:rPr>
              <w:t>1,686</w:t>
            </w:r>
          </w:p>
        </w:tc>
        <w:tc>
          <w:tcPr>
            <w:tcW w:w="4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1,665</w:t>
            </w:r>
          </w:p>
        </w:tc>
      </w:tr>
      <w:tr>
        <w:trPr>
          <w:trHeight w:val="86"/>
        </w:trPr>
        <w:tc>
          <w:tcPr>
            <w:tcW w:w="5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94"/>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Weighted-average ordinary shares — diluted</w:t>
            </w:r>
          </w:p>
        </w:tc>
        <w:tc>
          <w:tcPr>
            <w:tcW w:w="11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62"/>
              <w:spacing w:after="0"/>
              <w:rPr>
                <w:sz w:val="20"/>
                <w:szCs w:val="20"/>
                <w:color w:val="auto"/>
              </w:rPr>
            </w:pPr>
            <w:r>
              <w:rPr>
                <w:rFonts w:ascii="Arial" w:cs="Arial" w:eastAsia="Arial" w:hAnsi="Arial"/>
                <w:sz w:val="20"/>
                <w:szCs w:val="20"/>
                <w:color w:val="auto"/>
              </w:rPr>
              <w:t>99</w:t>
            </w:r>
          </w:p>
        </w:tc>
        <w:tc>
          <w:tcPr>
            <w:tcW w:w="46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102</w:t>
            </w:r>
          </w:p>
        </w:tc>
      </w:tr>
      <w:tr>
        <w:trPr>
          <w:trHeight w:val="274"/>
        </w:trPr>
        <w:tc>
          <w:tcPr>
            <w:tcW w:w="5080" w:type="dxa"/>
            <w:vAlign w:val="bottom"/>
          </w:tcPr>
          <w:p>
            <w:pPr>
              <w:spacing w:after="0"/>
              <w:rPr>
                <w:sz w:val="20"/>
                <w:szCs w:val="20"/>
                <w:color w:val="auto"/>
              </w:rPr>
            </w:pPr>
            <w:r>
              <w:rPr>
                <w:rFonts w:ascii="Arial" w:cs="Arial" w:eastAsia="Arial" w:hAnsi="Arial"/>
                <w:sz w:val="20"/>
                <w:szCs w:val="20"/>
                <w:color w:val="auto"/>
              </w:rPr>
              <w:t>Diluted earnings/(loss) per share</w:t>
            </w:r>
          </w:p>
        </w:tc>
        <w:tc>
          <w:tcPr>
            <w:tcW w:w="1160" w:type="dxa"/>
            <w:vAlign w:val="bottom"/>
          </w:tcPr>
          <w:p>
            <w:pPr>
              <w:jc w:val="right"/>
              <w:ind w:right="204"/>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62"/>
              <w:spacing w:after="0"/>
              <w:rPr>
                <w:sz w:val="20"/>
                <w:szCs w:val="20"/>
                <w:color w:val="auto"/>
              </w:rPr>
            </w:pPr>
            <w:r>
              <w:rPr>
                <w:rFonts w:ascii="Arial" w:cs="Arial" w:eastAsia="Arial" w:hAnsi="Arial"/>
                <w:sz w:val="20"/>
                <w:szCs w:val="20"/>
                <w:color w:val="auto"/>
              </w:rPr>
              <w:t>16.26</w:t>
            </w:r>
          </w:p>
        </w:tc>
        <w:tc>
          <w:tcPr>
            <w:tcW w:w="46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(0.96)</w:t>
            </w:r>
          </w:p>
        </w:tc>
      </w:tr>
      <w:tr>
        <w:trPr>
          <w:trHeight w:val="41"/>
        </w:trPr>
        <w:tc>
          <w:tcPr>
            <w:tcW w:w="5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314"/>
        </w:trPr>
        <w:tc>
          <w:tcPr>
            <w:tcW w:w="508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Adjusted for certain items </w:t>
            </w:r>
            <w:r>
              <w:rPr>
                <w:rFonts w:ascii="Arial" w:cs="Arial" w:eastAsia="Arial" w:hAnsi="Arial"/>
                <w:sz w:val="26"/>
                <w:szCs w:val="26"/>
                <w:color w:val="auto"/>
                <w:vertAlign w:val="superscript"/>
              </w:rPr>
              <w:t>(iii)</w:t>
            </w:r>
            <w:r>
              <w:rPr>
                <w:rFonts w:ascii="Arial" w:cs="Arial" w:eastAsia="Arial" w:hAnsi="Arial"/>
                <w:sz w:val="20"/>
                <w:szCs w:val="20"/>
                <w:color w:val="auto"/>
              </w:rPr>
              <w:t>:</w:t>
            </w:r>
          </w:p>
        </w:tc>
        <w:tc>
          <w:tcPr>
            <w:tcW w:w="1160" w:type="dxa"/>
            <w:vAlign w:val="bottom"/>
            <w:shd w:val="clear" w:color="auto" w:fill="CFF0FC"/>
          </w:tcPr>
          <w:p>
            <w:pPr>
              <w:spacing w:after="0"/>
              <w:rPr>
                <w:sz w:val="24"/>
                <w:szCs w:val="24"/>
                <w:color w:val="auto"/>
              </w:rPr>
            </w:pPr>
          </w:p>
        </w:tc>
        <w:tc>
          <w:tcPr>
            <w:tcW w:w="136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r>
      <w:tr>
        <w:trPr>
          <w:trHeight w:val="274"/>
        </w:trPr>
        <w:tc>
          <w:tcPr>
            <w:tcW w:w="5080" w:type="dxa"/>
            <w:vAlign w:val="bottom"/>
          </w:tcPr>
          <w:p>
            <w:pPr>
              <w:ind w:left="100"/>
              <w:spacing w:after="0"/>
              <w:rPr>
                <w:sz w:val="20"/>
                <w:szCs w:val="20"/>
                <w:color w:val="auto"/>
              </w:rPr>
            </w:pPr>
            <w:r>
              <w:rPr>
                <w:rFonts w:ascii="Arial" w:cs="Arial" w:eastAsia="Arial" w:hAnsi="Arial"/>
                <w:sz w:val="20"/>
                <w:szCs w:val="20"/>
                <w:color w:val="auto"/>
              </w:rPr>
              <w:t>Impairment</w:t>
            </w:r>
          </w:p>
        </w:tc>
        <w:tc>
          <w:tcPr>
            <w:tcW w:w="1160" w:type="dxa"/>
            <w:vAlign w:val="bottom"/>
          </w:tcPr>
          <w:p>
            <w:pPr>
              <w:spacing w:after="0"/>
              <w:rPr>
                <w:sz w:val="23"/>
                <w:szCs w:val="23"/>
                <w:color w:val="auto"/>
              </w:rPr>
            </w:pPr>
          </w:p>
        </w:tc>
        <w:tc>
          <w:tcPr>
            <w:tcW w:w="136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10.20</w:t>
            </w:r>
          </w:p>
        </w:tc>
      </w:tr>
      <w:tr>
        <w:trPr>
          <w:trHeight w:val="41"/>
        </w:trPr>
        <w:tc>
          <w:tcPr>
            <w:tcW w:w="5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4"/>
        </w:trPr>
        <w:tc>
          <w:tcPr>
            <w:tcW w:w="50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Amortization</w:t>
            </w:r>
          </w:p>
        </w:tc>
        <w:tc>
          <w:tcPr>
            <w:tcW w:w="11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62"/>
              <w:spacing w:after="0"/>
              <w:rPr>
                <w:sz w:val="20"/>
                <w:szCs w:val="20"/>
                <w:color w:val="auto"/>
              </w:rPr>
            </w:pPr>
            <w:r>
              <w:rPr>
                <w:rFonts w:ascii="Arial" w:cs="Arial" w:eastAsia="Arial" w:hAnsi="Arial"/>
                <w:sz w:val="20"/>
                <w:szCs w:val="20"/>
                <w:color w:val="auto"/>
              </w:rPr>
              <w:t>1.95</w:t>
            </w:r>
          </w:p>
        </w:tc>
        <w:tc>
          <w:tcPr>
            <w:tcW w:w="46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2.21</w:t>
            </w:r>
          </w:p>
        </w:tc>
      </w:tr>
      <w:tr>
        <w:trPr>
          <w:trHeight w:val="274"/>
        </w:trPr>
        <w:tc>
          <w:tcPr>
            <w:tcW w:w="5080" w:type="dxa"/>
            <w:vAlign w:val="bottom"/>
          </w:tcPr>
          <w:p>
            <w:pPr>
              <w:ind w:left="100"/>
              <w:spacing w:after="0"/>
              <w:rPr>
                <w:sz w:val="20"/>
                <w:szCs w:val="20"/>
                <w:color w:val="auto"/>
              </w:rPr>
            </w:pPr>
            <w:r>
              <w:rPr>
                <w:rFonts w:ascii="Arial" w:cs="Arial" w:eastAsia="Arial" w:hAnsi="Arial"/>
                <w:sz w:val="20"/>
                <w:szCs w:val="20"/>
                <w:color w:val="auto"/>
              </w:rPr>
              <w:t>Restructuring costs</w:t>
            </w:r>
          </w:p>
        </w:tc>
        <w:tc>
          <w:tcPr>
            <w:tcW w:w="1160" w:type="dxa"/>
            <w:vAlign w:val="bottom"/>
          </w:tcPr>
          <w:p>
            <w:pPr>
              <w:spacing w:after="0"/>
              <w:rPr>
                <w:sz w:val="23"/>
                <w:szCs w:val="23"/>
                <w:color w:val="auto"/>
              </w:rPr>
            </w:pPr>
          </w:p>
        </w:tc>
        <w:tc>
          <w:tcPr>
            <w:tcW w:w="136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0.60</w:t>
            </w:r>
          </w:p>
        </w:tc>
      </w:tr>
      <w:tr>
        <w:trPr>
          <w:trHeight w:val="41"/>
        </w:trPr>
        <w:tc>
          <w:tcPr>
            <w:tcW w:w="5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4"/>
        </w:trPr>
        <w:tc>
          <w:tcPr>
            <w:tcW w:w="50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Transaction and transformation</w:t>
            </w:r>
          </w:p>
        </w:tc>
        <w:tc>
          <w:tcPr>
            <w:tcW w:w="11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62"/>
              <w:spacing w:after="0"/>
              <w:rPr>
                <w:sz w:val="20"/>
                <w:szCs w:val="20"/>
                <w:color w:val="auto"/>
              </w:rPr>
            </w:pPr>
            <w:r>
              <w:rPr>
                <w:rFonts w:ascii="Arial" w:cs="Arial" w:eastAsia="Arial" w:hAnsi="Arial"/>
                <w:sz w:val="20"/>
                <w:szCs w:val="20"/>
                <w:color w:val="auto"/>
              </w:rPr>
              <w:t>0.23</w:t>
            </w:r>
          </w:p>
        </w:tc>
        <w:tc>
          <w:tcPr>
            <w:tcW w:w="46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4.00</w:t>
            </w:r>
          </w:p>
        </w:tc>
      </w:tr>
      <w:tr>
        <w:trPr>
          <w:trHeight w:val="314"/>
        </w:trPr>
        <w:tc>
          <w:tcPr>
            <w:tcW w:w="5080" w:type="dxa"/>
            <w:vAlign w:val="bottom"/>
          </w:tcPr>
          <w:p>
            <w:pPr>
              <w:ind w:left="100"/>
              <w:spacing w:after="0"/>
              <w:rPr>
                <w:sz w:val="20"/>
                <w:szCs w:val="20"/>
                <w:color w:val="auto"/>
              </w:rPr>
            </w:pPr>
            <w:r>
              <w:rPr>
                <w:rFonts w:ascii="Arial" w:cs="Arial" w:eastAsia="Arial" w:hAnsi="Arial"/>
                <w:sz w:val="20"/>
                <w:szCs w:val="20"/>
                <w:color w:val="auto"/>
              </w:rPr>
              <w:t xml:space="preserve">Provision for specified litigation matter </w:t>
            </w:r>
            <w:r>
              <w:rPr>
                <w:rFonts w:ascii="Arial" w:cs="Arial" w:eastAsia="Arial" w:hAnsi="Arial"/>
                <w:sz w:val="26"/>
                <w:szCs w:val="26"/>
                <w:color w:val="auto"/>
                <w:vertAlign w:val="superscript"/>
              </w:rPr>
              <w:t>(i)</w:t>
            </w:r>
          </w:p>
        </w:tc>
        <w:tc>
          <w:tcPr>
            <w:tcW w:w="1160" w:type="dxa"/>
            <w:vAlign w:val="bottom"/>
          </w:tcPr>
          <w:p>
            <w:pPr>
              <w:spacing w:after="0"/>
              <w:rPr>
                <w:sz w:val="24"/>
                <w:szCs w:val="24"/>
                <w:color w:val="auto"/>
              </w:rPr>
            </w:pPr>
          </w:p>
        </w:tc>
        <w:tc>
          <w:tcPr>
            <w:tcW w:w="136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0.13</w:t>
            </w:r>
          </w:p>
        </w:tc>
      </w:tr>
      <w:tr>
        <w:trPr>
          <w:trHeight w:val="294"/>
        </w:trPr>
        <w:tc>
          <w:tcPr>
            <w:tcW w:w="50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Net periodic pension and postretirement benefits</w:t>
            </w:r>
          </w:p>
        </w:tc>
        <w:tc>
          <w:tcPr>
            <w:tcW w:w="116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62"/>
              <w:spacing w:after="0"/>
              <w:rPr>
                <w:sz w:val="20"/>
                <w:szCs w:val="20"/>
                <w:color w:val="auto"/>
              </w:rPr>
            </w:pPr>
            <w:r>
              <w:rPr>
                <w:rFonts w:ascii="Arial" w:cs="Arial" w:eastAsia="Arial" w:hAnsi="Arial"/>
                <w:sz w:val="20"/>
                <w:szCs w:val="20"/>
                <w:color w:val="auto"/>
              </w:rPr>
              <w:t>0.47</w:t>
            </w:r>
          </w:p>
        </w:tc>
        <w:tc>
          <w:tcPr>
            <w:tcW w:w="46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(0.63)</w:t>
            </w:r>
          </w:p>
        </w:tc>
      </w:tr>
      <w:tr>
        <w:trPr>
          <w:trHeight w:val="274"/>
        </w:trPr>
        <w:tc>
          <w:tcPr>
            <w:tcW w:w="5080" w:type="dxa"/>
            <w:vAlign w:val="bottom"/>
          </w:tcPr>
          <w:p>
            <w:pPr>
              <w:ind w:left="100"/>
              <w:spacing w:after="0"/>
              <w:rPr>
                <w:sz w:val="20"/>
                <w:szCs w:val="20"/>
                <w:color w:val="auto"/>
              </w:rPr>
            </w:pPr>
            <w:r>
              <w:rPr>
                <w:rFonts w:ascii="Arial" w:cs="Arial" w:eastAsia="Arial" w:hAnsi="Arial"/>
                <w:sz w:val="20"/>
                <w:szCs w:val="20"/>
                <w:color w:val="auto"/>
              </w:rPr>
              <w:t>(Gain)/loss on disposal of operations</w:t>
            </w:r>
          </w:p>
        </w:tc>
        <w:tc>
          <w:tcPr>
            <w:tcW w:w="1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(0.41)</w:t>
            </w:r>
          </w:p>
        </w:tc>
        <w:tc>
          <w:tcPr>
            <w:tcW w:w="46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20"/>
                <w:szCs w:val="20"/>
                <w:color w:val="auto"/>
              </w:rPr>
              <w:t>3.30</w:t>
            </w:r>
          </w:p>
        </w:tc>
      </w:tr>
      <w:tr>
        <w:trPr>
          <w:trHeight w:val="41"/>
        </w:trPr>
        <w:tc>
          <w:tcPr>
            <w:tcW w:w="5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314"/>
        </w:trPr>
        <w:tc>
          <w:tcPr>
            <w:tcW w:w="5080" w:type="dxa"/>
            <w:vAlign w:val="bottom"/>
            <w:shd w:val="clear" w:color="auto" w:fill="CFF0FC"/>
          </w:tcPr>
          <w:p>
            <w:pPr>
              <w:ind w:left="100"/>
              <w:spacing w:after="0"/>
              <w:rPr>
                <w:sz w:val="20"/>
                <w:szCs w:val="20"/>
                <w:color w:val="auto"/>
              </w:rPr>
            </w:pPr>
            <w:r>
              <w:rPr>
                <w:rFonts w:ascii="Arial" w:cs="Arial" w:eastAsia="Arial" w:hAnsi="Arial"/>
                <w:sz w:val="20"/>
                <w:szCs w:val="20"/>
                <w:color w:val="auto"/>
              </w:rPr>
              <w:t xml:space="preserve">Tax effect on certain items listed above </w:t>
            </w:r>
            <w:r>
              <w:rPr>
                <w:rFonts w:ascii="Arial" w:cs="Arial" w:eastAsia="Arial" w:hAnsi="Arial"/>
                <w:sz w:val="26"/>
                <w:szCs w:val="26"/>
                <w:color w:val="auto"/>
                <w:vertAlign w:val="superscript"/>
              </w:rPr>
              <w:t>(ii)</w:t>
            </w:r>
          </w:p>
        </w:tc>
        <w:tc>
          <w:tcPr>
            <w:tcW w:w="1160" w:type="dxa"/>
            <w:vAlign w:val="bottom"/>
            <w:shd w:val="clear" w:color="auto" w:fill="CFF0FC"/>
          </w:tcPr>
          <w:p>
            <w:pPr>
              <w:spacing w:after="0"/>
              <w:rPr>
                <w:sz w:val="24"/>
                <w:szCs w:val="2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(0.62)</w:t>
            </w:r>
          </w:p>
        </w:tc>
        <w:tc>
          <w:tcPr>
            <w:tcW w:w="460" w:type="dxa"/>
            <w:vAlign w:val="bottom"/>
            <w:shd w:val="clear" w:color="auto" w:fill="CFF0FC"/>
          </w:tcPr>
          <w:p>
            <w:pPr>
              <w:spacing w:after="0"/>
              <w:rPr>
                <w:sz w:val="24"/>
                <w:szCs w:val="2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(2.49)</w:t>
            </w:r>
          </w:p>
        </w:tc>
      </w:tr>
      <w:tr>
        <w:trPr>
          <w:trHeight w:val="284"/>
        </w:trPr>
        <w:tc>
          <w:tcPr>
            <w:tcW w:w="5080" w:type="dxa"/>
            <w:vAlign w:val="bottom"/>
          </w:tcPr>
          <w:p>
            <w:pPr>
              <w:ind w:left="100"/>
              <w:spacing w:after="0"/>
              <w:rPr>
                <w:sz w:val="20"/>
                <w:szCs w:val="20"/>
                <w:color w:val="auto"/>
              </w:rPr>
            </w:pPr>
            <w:r>
              <w:rPr>
                <w:rFonts w:ascii="Arial" w:cs="Arial" w:eastAsia="Arial" w:hAnsi="Arial"/>
                <w:sz w:val="20"/>
                <w:szCs w:val="20"/>
                <w:color w:val="auto"/>
              </w:rPr>
              <w:t>Tax effect of significant adjustments</w:t>
            </w:r>
          </w:p>
        </w:tc>
        <w:tc>
          <w:tcPr>
            <w:tcW w:w="1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(0.80)</w:t>
            </w:r>
          </w:p>
        </w:tc>
        <w:tc>
          <w:tcPr>
            <w:tcW w:w="4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(0.07)</w:t>
            </w:r>
          </w:p>
        </w:tc>
      </w:tr>
      <w:tr>
        <w:trPr>
          <w:trHeight w:val="41"/>
        </w:trPr>
        <w:tc>
          <w:tcPr>
            <w:tcW w:w="5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359"/>
        </w:trPr>
        <w:tc>
          <w:tcPr>
            <w:tcW w:w="508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Adjusted diluted earnings per share </w:t>
            </w:r>
            <w:r>
              <w:rPr>
                <w:rFonts w:ascii="Arial" w:cs="Arial" w:eastAsia="Arial" w:hAnsi="Arial"/>
                <w:sz w:val="26"/>
                <w:szCs w:val="26"/>
                <w:color w:val="auto"/>
                <w:vertAlign w:val="superscript"/>
              </w:rPr>
              <w:t>(iii)</w:t>
            </w:r>
          </w:p>
        </w:tc>
        <w:tc>
          <w:tcPr>
            <w:tcW w:w="1160" w:type="dxa"/>
            <w:vAlign w:val="bottom"/>
            <w:shd w:val="clear" w:color="auto" w:fill="CFF0FC"/>
          </w:tcPr>
          <w:p>
            <w:pPr>
              <w:jc w:val="right"/>
              <w:ind w:right="204"/>
              <w:spacing w:after="0"/>
              <w:rPr>
                <w:sz w:val="20"/>
                <w:szCs w:val="20"/>
                <w:color w:val="auto"/>
              </w:rPr>
            </w:pPr>
            <w:r>
              <w:rPr>
                <w:rFonts w:ascii="Arial" w:cs="Arial" w:eastAsia="Arial" w:hAnsi="Arial"/>
                <w:sz w:val="20"/>
                <w:szCs w:val="20"/>
                <w:color w:val="auto"/>
              </w:rPr>
              <w:t>$</w:t>
            </w:r>
          </w:p>
        </w:tc>
        <w:tc>
          <w:tcPr>
            <w:tcW w:w="136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17.08</w:t>
            </w:r>
          </w:p>
        </w:tc>
        <w:tc>
          <w:tcPr>
            <w:tcW w:w="460" w:type="dxa"/>
            <w:vAlign w:val="bottom"/>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16.29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-5396230</wp:posOffset>
            </wp:positionV>
            <wp:extent cx="225234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8">
                      <a:extLst>
                        <a:ext uri="{28A0092B-C50C-407E-A947-70E740481C1C}"/>
                      </a:extLst>
                    </a:blip>
                    <a:srcRect/>
                    <a:stretch>
                      <a:fillRect/>
                    </a:stretch>
                  </pic:blipFill>
                  <pic:spPr bwMode="auto">
                    <a:xfrm>
                      <a:off x="0" y="0"/>
                      <a:ext cx="2252345" cy="63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-5227955</wp:posOffset>
            </wp:positionV>
            <wp:extent cx="225234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9">
                      <a:extLst>
                        <a:ext uri="{28A0092B-C50C-407E-A947-70E740481C1C}"/>
                      </a:extLst>
                    </a:blip>
                    <a:srcRect/>
                    <a:stretch>
                      <a:fillRect/>
                    </a:stretch>
                  </pic:blipFill>
                  <pic:spPr bwMode="auto">
                    <a:xfrm>
                      <a:off x="0" y="0"/>
                      <a:ext cx="2252345" cy="63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-2864485</wp:posOffset>
            </wp:positionV>
            <wp:extent cx="225234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0">
                      <a:extLst>
                        <a:ext uri="{28A0092B-C50C-407E-A947-70E740481C1C}"/>
                      </a:extLst>
                    </a:blip>
                    <a:srcRect/>
                    <a:stretch>
                      <a:fillRect/>
                    </a:stretch>
                  </pic:blipFill>
                  <pic:spPr bwMode="auto">
                    <a:xfrm>
                      <a:off x="0" y="0"/>
                      <a:ext cx="2252345" cy="63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-2658110</wp:posOffset>
            </wp:positionV>
            <wp:extent cx="2252345" cy="285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1">
                      <a:extLst>
                        <a:ext uri="{28A0092B-C50C-407E-A947-70E740481C1C}"/>
                      </a:extLst>
                    </a:blip>
                    <a:srcRect/>
                    <a:stretch>
                      <a:fillRect/>
                    </a:stretch>
                  </pic:blipFill>
                  <pic:spPr bwMode="auto">
                    <a:xfrm>
                      <a:off x="0" y="0"/>
                      <a:ext cx="2252345" cy="2857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-233680</wp:posOffset>
            </wp:positionV>
            <wp:extent cx="225234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2">
                      <a:extLst>
                        <a:ext uri="{28A0092B-C50C-407E-A947-70E740481C1C}"/>
                      </a:extLst>
                    </a:blip>
                    <a:srcRect/>
                    <a:stretch>
                      <a:fillRect/>
                    </a:stretch>
                  </pic:blipFill>
                  <pic:spPr bwMode="auto">
                    <a:xfrm>
                      <a:off x="0" y="0"/>
                      <a:ext cx="2252345" cy="63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-27940</wp:posOffset>
            </wp:positionV>
            <wp:extent cx="2252345" cy="285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3">
                      <a:extLst>
                        <a:ext uri="{28A0092B-C50C-407E-A947-70E740481C1C}"/>
                      </a:extLst>
                    </a:blip>
                    <a:srcRect/>
                    <a:stretch>
                      <a:fillRect/>
                    </a:stretch>
                  </pic:blipFill>
                  <pic:spPr bwMode="auto">
                    <a:xfrm>
                      <a:off x="0" y="0"/>
                      <a:ext cx="2252345"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79565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4">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26" w:right="200" w:hanging="226"/>
        <w:spacing w:after="0" w:line="502" w:lineRule="auto"/>
        <w:tabs>
          <w:tab w:leader="none" w:pos="226" w:val="left"/>
        </w:tabs>
        <w:numPr>
          <w:ilvl w:val="0"/>
          <w:numId w:val="41"/>
        </w:numPr>
        <w:rPr>
          <w:rFonts w:ascii="Arial" w:cs="Arial" w:eastAsia="Arial" w:hAnsi="Arial"/>
          <w:sz w:val="15"/>
          <w:szCs w:val="15"/>
          <w:color w:val="auto"/>
        </w:rPr>
      </w:pPr>
      <w:r>
        <w:rPr>
          <w:rFonts w:ascii="Arial" w:cs="Arial" w:eastAsia="Arial" w:hAnsi="Arial"/>
          <w:sz w:val="15"/>
          <w:szCs w:val="15"/>
          <w:color w:val="auto"/>
        </w:rPr>
        <w:t>Represents a provision related to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29" w:lineRule="exact"/>
        <w:rPr>
          <w:rFonts w:ascii="Arial" w:cs="Arial" w:eastAsia="Arial" w:hAnsi="Arial"/>
          <w:sz w:val="15"/>
          <w:szCs w:val="15"/>
          <w:color w:val="auto"/>
        </w:rPr>
      </w:pPr>
    </w:p>
    <w:p>
      <w:pPr>
        <w:ind w:left="226" w:hanging="226"/>
        <w:spacing w:after="0"/>
        <w:tabs>
          <w:tab w:leader="none" w:pos="226"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tax effect was calculated using an effective tax rate for each item.</w:t>
      </w:r>
    </w:p>
    <w:p>
      <w:pPr>
        <w:spacing w:after="0" w:line="216" w:lineRule="exact"/>
        <w:rPr>
          <w:sz w:val="20"/>
          <w:szCs w:val="20"/>
          <w:color w:val="auto"/>
        </w:rPr>
      </w:pPr>
    </w:p>
    <w:p>
      <w:pPr>
        <w:ind w:left="6"/>
        <w:spacing w:after="0"/>
        <w:rPr>
          <w:sz w:val="20"/>
          <w:szCs w:val="20"/>
          <w:color w:val="auto"/>
        </w:rPr>
      </w:pPr>
      <w:r>
        <w:rPr>
          <w:rFonts w:ascii="Arial" w:cs="Arial" w:eastAsia="Arial" w:hAnsi="Arial"/>
          <w:sz w:val="16"/>
          <w:szCs w:val="16"/>
          <w:color w:val="auto"/>
        </w:rPr>
        <w:t>(iii)Per share values and totals may differ due to rounding.</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35 / 47</w:t>
      </w:r>
    </w:p>
    <w:p>
      <w:pPr>
        <w:sectPr>
          <w:pgSz w:w="11900" w:h="16838" w:orient="portrait"/>
          <w:cols w:equalWidth="0" w:num="1">
            <w:col w:w="9406"/>
          </w:cols>
          <w:pgMar w:left="1254" w:top="1440" w:right="1246" w:bottom="0" w:gutter="0" w:footer="0" w:header="0"/>
          <w:type w:val="continuous"/>
        </w:sectPr>
      </w:pPr>
    </w:p>
    <w:bookmarkStart w:id="122" w:name="page123"/>
    <w:bookmarkEnd w:id="122"/>
    <w:p>
      <w:pPr>
        <w:ind w:right="380"/>
        <w:spacing w:after="0" w:line="352" w:lineRule="auto"/>
        <w:rPr>
          <w:sz w:val="20"/>
          <w:szCs w:val="20"/>
          <w:color w:val="auto"/>
        </w:rPr>
      </w:pPr>
      <w:r>
        <w:rPr>
          <w:rFonts w:ascii="Arial" w:cs="Arial" w:eastAsia="Arial" w:hAnsi="Arial"/>
          <w:sz w:val="18"/>
          <w:szCs w:val="18"/>
          <w:color w:val="auto"/>
        </w:rPr>
        <w:t>Our adjusted diluted earnings per share increased for the year ended December 31, 2025 as compared to the year ended December 31, 2024 primarily due to lower marketing expenses, decreased office expenses and lower professional services costs in the current year, partially offset by lower revenue due to the prior-year sale of our TRANZACT business, and lower pension income and higher salary expense in the current year.</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Adjusted Income Before Taxes and Adjusted Income Taxes/Tax Rate</w:t>
      </w:r>
    </w:p>
    <w:p>
      <w:pPr>
        <w:spacing w:after="0" w:line="260" w:lineRule="exact"/>
        <w:rPr>
          <w:sz w:val="20"/>
          <w:szCs w:val="20"/>
          <w:color w:val="auto"/>
        </w:rPr>
      </w:pPr>
    </w:p>
    <w:p>
      <w:pPr>
        <w:spacing w:after="0" w:line="351" w:lineRule="auto"/>
        <w:rPr>
          <w:sz w:val="20"/>
          <w:szCs w:val="20"/>
          <w:color w:val="auto"/>
        </w:rPr>
      </w:pPr>
      <w:r>
        <w:rPr>
          <w:rFonts w:ascii="Arial" w:cs="Arial" w:eastAsia="Arial" w:hAnsi="Arial"/>
          <w:sz w:val="18"/>
          <w:szCs w:val="18"/>
          <w:color w:val="auto"/>
        </w:rPr>
        <w:t>Adjusted income before taxes is defined as income from operations before income taxes and interest in earnings of associates adjusted for impairment, amortization, restructuring costs, transaction and transformation, gains and losses on disposals of operations, net periodic pension and postretirement benefits and non-recurring items that, in management’s judgment, significantly affect the period-over-period assessment of operating results. Adjusted income before taxes is used solely for the purpose of calculating the adjusted income tax rate.</w:t>
      </w:r>
    </w:p>
    <w:p>
      <w:pPr>
        <w:spacing w:after="0" w:line="166" w:lineRule="exact"/>
        <w:rPr>
          <w:sz w:val="20"/>
          <w:szCs w:val="20"/>
          <w:color w:val="auto"/>
        </w:rPr>
      </w:pPr>
    </w:p>
    <w:p>
      <w:pPr>
        <w:ind w:right="120"/>
        <w:spacing w:after="0" w:line="351" w:lineRule="auto"/>
        <w:rPr>
          <w:sz w:val="20"/>
          <w:szCs w:val="20"/>
          <w:color w:val="auto"/>
        </w:rPr>
      </w:pPr>
      <w:r>
        <w:rPr>
          <w:rFonts w:ascii="Arial" w:cs="Arial" w:eastAsia="Arial" w:hAnsi="Arial"/>
          <w:sz w:val="18"/>
          <w:szCs w:val="18"/>
          <w:color w:val="auto"/>
        </w:rPr>
        <w:t>Adjusted income taxes/tax rate is defined as the provision for income taxes adjusted for taxes on certain items of impairment, amortization, restructuring costs, transaction and transformation, gains and losses on disposals of operations, the tax effects of significant adjustments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 / 47</w:t>
      </w:r>
    </w:p>
    <w:p>
      <w:pPr>
        <w:sectPr>
          <w:pgSz w:w="11900" w:h="16838" w:orient="portrait"/>
          <w:cols w:equalWidth="0" w:num="1">
            <w:col w:w="9380"/>
          </w:cols>
          <w:pgMar w:left="1260" w:top="1173" w:right="1266" w:bottom="0" w:gutter="0" w:footer="0" w:header="0"/>
          <w:type w:val="continuous"/>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 w:right="80"/>
        <w:spacing w:after="0" w:line="307" w:lineRule="auto"/>
        <w:rPr>
          <w:sz w:val="20"/>
          <w:szCs w:val="20"/>
          <w:color w:val="auto"/>
        </w:rPr>
      </w:pPr>
      <w:r>
        <w:rPr>
          <w:rFonts w:ascii="Arial" w:cs="Arial" w:eastAsia="Arial" w:hAnsi="Arial"/>
          <w:sz w:val="20"/>
          <w:szCs w:val="20"/>
          <w:color w:val="auto"/>
        </w:rPr>
        <w:t>Management believes that the adjusted income tax rate presents a rate that is more closely aligned to the rate that we would incur if not for the reduction of pre-tax income for the adjusted items and the tax effects of internal reorganizations, which are not core to our current and future operations.</w:t>
      </w:r>
    </w:p>
    <w:p>
      <w:pPr>
        <w:spacing w:after="0" w:line="197" w:lineRule="exact"/>
        <w:rPr>
          <w:sz w:val="20"/>
          <w:szCs w:val="20"/>
          <w:color w:val="auto"/>
        </w:rPr>
      </w:pPr>
    </w:p>
    <w:p>
      <w:pPr>
        <w:ind w:left="6" w:right="320"/>
        <w:spacing w:after="0" w:line="363" w:lineRule="auto"/>
        <w:rPr>
          <w:sz w:val="20"/>
          <w:szCs w:val="20"/>
          <w:color w:val="auto"/>
        </w:rPr>
      </w:pPr>
      <w:r>
        <w:rPr>
          <w:rFonts w:ascii="Arial" w:cs="Arial" w:eastAsia="Arial" w:hAnsi="Arial"/>
          <w:sz w:val="18"/>
          <w:szCs w:val="18"/>
          <w:color w:val="auto"/>
        </w:rPr>
        <w:t>Reconciliations of income from operations before income taxes to adjusted income before taxes and provision for income taxes to adjusted income taxes for the years ended December 31, 2025 and 2024 are as follows:</w:t>
      </w:r>
    </w:p>
    <w:p>
      <w:pPr>
        <w:spacing w:after="0" w:line="303"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3280" w:type="dxa"/>
            <w:vAlign w:val="bottom"/>
            <w:gridSpan w:val="3"/>
          </w:tcPr>
          <w:p>
            <w:pPr>
              <w:jc w:val="right"/>
              <w:ind w:right="164"/>
              <w:spacing w:after="0"/>
              <w:rPr>
                <w:sz w:val="20"/>
                <w:szCs w:val="20"/>
                <w:color w:val="auto"/>
              </w:rPr>
            </w:pPr>
            <w:r>
              <w:rPr>
                <w:rFonts w:ascii="Arial" w:cs="Arial" w:eastAsia="Arial" w:hAnsi="Arial"/>
                <w:sz w:val="16"/>
                <w:szCs w:val="16"/>
                <w:b w:val="1"/>
                <w:bCs w:val="1"/>
                <w:color w:val="auto"/>
              </w:rPr>
              <w:t>Years Ended December 31,</w:t>
            </w:r>
          </w:p>
        </w:tc>
        <w:tc>
          <w:tcPr>
            <w:tcW w:w="740" w:type="dxa"/>
            <w:vAlign w:val="bottom"/>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8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740" w:type="dxa"/>
            <w:vAlign w:val="bottom"/>
          </w:tcPr>
          <w:p>
            <w:pPr>
              <w:spacing w:after="0"/>
              <w:rPr>
                <w:sz w:val="22"/>
                <w:szCs w:val="22"/>
                <w:color w:val="auto"/>
              </w:rPr>
            </w:pPr>
          </w:p>
        </w:tc>
      </w:tr>
      <w:tr>
        <w:trPr>
          <w:trHeight w:val="264"/>
        </w:trPr>
        <w:tc>
          <w:tcPr>
            <w:tcW w:w="53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900" w:type="dxa"/>
            <w:vAlign w:val="bottom"/>
            <w:gridSpan w:val="2"/>
          </w:tcPr>
          <w:p>
            <w:pPr>
              <w:jc w:val="right"/>
              <w:ind w:right="624"/>
              <w:spacing w:after="0"/>
              <w:rPr>
                <w:sz w:val="20"/>
                <w:szCs w:val="20"/>
                <w:color w:val="auto"/>
              </w:rPr>
            </w:pPr>
            <w:r>
              <w:rPr>
                <w:rFonts w:ascii="Arial" w:cs="Arial" w:eastAsia="Arial" w:hAnsi="Arial"/>
                <w:sz w:val="16"/>
                <w:szCs w:val="16"/>
                <w:b w:val="1"/>
                <w:bCs w:val="1"/>
                <w:color w:val="auto"/>
              </w:rPr>
              <w:t>($ in millions)</w:t>
            </w:r>
          </w:p>
        </w:tc>
        <w:tc>
          <w:tcPr>
            <w:tcW w:w="740" w:type="dxa"/>
            <w:vAlign w:val="bottom"/>
          </w:tcPr>
          <w:p>
            <w:pPr>
              <w:spacing w:after="0"/>
              <w:rPr>
                <w:sz w:val="22"/>
                <w:szCs w:val="22"/>
                <w:color w:val="auto"/>
              </w:rPr>
            </w:pPr>
          </w:p>
        </w:tc>
      </w:tr>
      <w:tr>
        <w:trPr>
          <w:trHeight w:val="32"/>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4"/>
        </w:trPr>
        <w:tc>
          <w:tcPr>
            <w:tcW w:w="5380" w:type="dxa"/>
            <w:vAlign w:val="bottom"/>
            <w:shd w:val="clear" w:color="auto" w:fill="CFF0FC"/>
          </w:tcPr>
          <w:p>
            <w:pPr>
              <w:spacing w:after="0"/>
              <w:rPr>
                <w:sz w:val="20"/>
                <w:szCs w:val="20"/>
                <w:color w:val="auto"/>
              </w:rPr>
            </w:pPr>
            <w:r>
              <w:rPr>
                <w:rFonts w:ascii="Arial" w:cs="Arial" w:eastAsia="Arial" w:hAnsi="Arial"/>
                <w:sz w:val="20"/>
                <w:szCs w:val="20"/>
                <w:color w:val="auto"/>
              </w:rPr>
              <w:t>INCOME FROM OPERATIONS BEFORE INCOME TAXES</w:t>
            </w:r>
          </w:p>
        </w:tc>
        <w:tc>
          <w:tcPr>
            <w:tcW w:w="1380" w:type="dxa"/>
            <w:vAlign w:val="bottom"/>
            <w:shd w:val="clear" w:color="auto" w:fill="CFF0FC"/>
          </w:tcPr>
          <w:p>
            <w:pPr>
              <w:spacing w:after="0"/>
              <w:rPr>
                <w:sz w:val="23"/>
                <w:szCs w:val="23"/>
                <w:color w:val="auto"/>
              </w:rPr>
            </w:pPr>
          </w:p>
        </w:tc>
        <w:tc>
          <w:tcPr>
            <w:tcW w:w="800" w:type="dxa"/>
            <w:vAlign w:val="bottom"/>
            <w:shd w:val="clear" w:color="auto" w:fill="CFF0FC"/>
          </w:tcPr>
          <w:p>
            <w:pPr>
              <w:spacing w:after="0"/>
              <w:rPr>
                <w:sz w:val="23"/>
                <w:szCs w:val="23"/>
                <w:color w:val="auto"/>
              </w:rPr>
            </w:pPr>
          </w:p>
        </w:tc>
        <w:tc>
          <w:tcPr>
            <w:tcW w:w="110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r>
      <w:tr>
        <w:trPr>
          <w:trHeight w:val="321"/>
        </w:trPr>
        <w:tc>
          <w:tcPr>
            <w:tcW w:w="53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AND INTEREST IN EARNINGS OF ASSOCIATES</w:t>
            </w:r>
          </w:p>
        </w:tc>
        <w:tc>
          <w:tcPr>
            <w:tcW w:w="1380" w:type="dxa"/>
            <w:vAlign w:val="bottom"/>
            <w:tcBorders>
              <w:bottom w:val="single" w:sz="8" w:color="CFF0FC"/>
            </w:tcBorders>
            <w:shd w:val="clear" w:color="auto" w:fill="CFF0FC"/>
          </w:tcPr>
          <w:p>
            <w:pPr>
              <w:jc w:val="right"/>
              <w:ind w:right="847"/>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20"/>
                <w:szCs w:val="20"/>
                <w:color w:val="auto"/>
              </w:rPr>
              <w:t>1,953</w:t>
            </w:r>
          </w:p>
        </w:tc>
        <w:tc>
          <w:tcPr>
            <w:tcW w:w="1100" w:type="dxa"/>
            <w:vAlign w:val="bottom"/>
            <w:tcBorders>
              <w:bottom w:val="single" w:sz="8" w:color="CFF0FC"/>
            </w:tcBorders>
            <w:shd w:val="clear" w:color="auto" w:fill="CFF0FC"/>
          </w:tcPr>
          <w:p>
            <w:pPr>
              <w:jc w:val="right"/>
              <w:ind w:right="824"/>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102</w:t>
            </w:r>
          </w:p>
        </w:tc>
      </w:tr>
      <w:tr>
        <w:trPr>
          <w:trHeight w:val="274"/>
        </w:trPr>
        <w:tc>
          <w:tcPr>
            <w:tcW w:w="5380" w:type="dxa"/>
            <w:vAlign w:val="bottom"/>
          </w:tcPr>
          <w:p>
            <w:pPr>
              <w:spacing w:after="0"/>
              <w:rPr>
                <w:sz w:val="20"/>
                <w:szCs w:val="20"/>
                <w:color w:val="auto"/>
              </w:rPr>
            </w:pPr>
            <w:r>
              <w:rPr>
                <w:rFonts w:ascii="Arial" w:cs="Arial" w:eastAsia="Arial" w:hAnsi="Arial"/>
                <w:sz w:val="20"/>
                <w:szCs w:val="20"/>
                <w:color w:val="auto"/>
              </w:rPr>
              <w:t>Adjusted for certain items:</w:t>
            </w:r>
          </w:p>
        </w:tc>
        <w:tc>
          <w:tcPr>
            <w:tcW w:w="1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41"/>
        </w:trPr>
        <w:tc>
          <w:tcPr>
            <w:tcW w:w="5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94"/>
        </w:trPr>
        <w:tc>
          <w:tcPr>
            <w:tcW w:w="53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Impairment</w:t>
            </w:r>
          </w:p>
        </w:tc>
        <w:tc>
          <w:tcPr>
            <w:tcW w:w="13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1,042</w:t>
            </w:r>
          </w:p>
        </w:tc>
      </w:tr>
      <w:tr>
        <w:trPr>
          <w:trHeight w:val="274"/>
        </w:trPr>
        <w:tc>
          <w:tcPr>
            <w:tcW w:w="5380" w:type="dxa"/>
            <w:vAlign w:val="bottom"/>
          </w:tcPr>
          <w:p>
            <w:pPr>
              <w:ind w:left="100"/>
              <w:spacing w:after="0"/>
              <w:rPr>
                <w:sz w:val="20"/>
                <w:szCs w:val="20"/>
                <w:color w:val="auto"/>
              </w:rPr>
            </w:pPr>
            <w:r>
              <w:rPr>
                <w:rFonts w:ascii="Arial" w:cs="Arial" w:eastAsia="Arial" w:hAnsi="Arial"/>
                <w:sz w:val="20"/>
                <w:szCs w:val="20"/>
                <w:color w:val="auto"/>
              </w:rPr>
              <w:t>Amortization</w:t>
            </w:r>
          </w:p>
        </w:tc>
        <w:tc>
          <w:tcPr>
            <w:tcW w:w="1380" w:type="dxa"/>
            <w:vAlign w:val="bottom"/>
          </w:tcPr>
          <w:p>
            <w:pPr>
              <w:spacing w:after="0"/>
              <w:rPr>
                <w:sz w:val="23"/>
                <w:szCs w:val="23"/>
                <w:color w:val="auto"/>
              </w:rPr>
            </w:pP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192</w:t>
            </w:r>
          </w:p>
        </w:tc>
        <w:tc>
          <w:tcPr>
            <w:tcW w:w="1100" w:type="dxa"/>
            <w:vAlign w:val="bottom"/>
          </w:tcPr>
          <w:p>
            <w:pPr>
              <w:spacing w:after="0"/>
              <w:rPr>
                <w:sz w:val="23"/>
                <w:szCs w:val="23"/>
                <w:color w:val="auto"/>
              </w:rPr>
            </w:pPr>
          </w:p>
        </w:tc>
        <w:tc>
          <w:tcPr>
            <w:tcW w:w="740" w:type="dxa"/>
            <w:vAlign w:val="bottom"/>
          </w:tcPr>
          <w:p>
            <w:pPr>
              <w:jc w:val="right"/>
              <w:ind w:right="100"/>
              <w:spacing w:after="0"/>
              <w:rPr>
                <w:sz w:val="20"/>
                <w:szCs w:val="20"/>
                <w:color w:val="auto"/>
              </w:rPr>
            </w:pPr>
            <w:r>
              <w:rPr>
                <w:rFonts w:ascii="Arial" w:cs="Arial" w:eastAsia="Arial" w:hAnsi="Arial"/>
                <w:sz w:val="20"/>
                <w:szCs w:val="20"/>
                <w:color w:val="auto"/>
              </w:rPr>
              <w:t>226</w:t>
            </w:r>
          </w:p>
        </w:tc>
      </w:tr>
      <w:tr>
        <w:trPr>
          <w:trHeight w:val="41"/>
        </w:trPr>
        <w:tc>
          <w:tcPr>
            <w:tcW w:w="5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94"/>
        </w:trPr>
        <w:tc>
          <w:tcPr>
            <w:tcW w:w="53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Restructuring costs</w:t>
            </w:r>
          </w:p>
        </w:tc>
        <w:tc>
          <w:tcPr>
            <w:tcW w:w="13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61</w:t>
            </w:r>
          </w:p>
        </w:tc>
      </w:tr>
      <w:tr>
        <w:trPr>
          <w:trHeight w:val="274"/>
        </w:trPr>
        <w:tc>
          <w:tcPr>
            <w:tcW w:w="5380" w:type="dxa"/>
            <w:vAlign w:val="bottom"/>
          </w:tcPr>
          <w:p>
            <w:pPr>
              <w:ind w:left="100"/>
              <w:spacing w:after="0"/>
              <w:rPr>
                <w:sz w:val="20"/>
                <w:szCs w:val="20"/>
                <w:color w:val="auto"/>
              </w:rPr>
            </w:pPr>
            <w:r>
              <w:rPr>
                <w:rFonts w:ascii="Arial" w:cs="Arial" w:eastAsia="Arial" w:hAnsi="Arial"/>
                <w:sz w:val="20"/>
                <w:szCs w:val="20"/>
                <w:color w:val="auto"/>
              </w:rPr>
              <w:t>Transaction and transformation</w:t>
            </w:r>
          </w:p>
        </w:tc>
        <w:tc>
          <w:tcPr>
            <w:tcW w:w="1380" w:type="dxa"/>
            <w:vAlign w:val="bottom"/>
          </w:tcPr>
          <w:p>
            <w:pPr>
              <w:spacing w:after="0"/>
              <w:rPr>
                <w:sz w:val="23"/>
                <w:szCs w:val="23"/>
                <w:color w:val="auto"/>
              </w:rPr>
            </w:pP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23</w:t>
            </w:r>
          </w:p>
        </w:tc>
        <w:tc>
          <w:tcPr>
            <w:tcW w:w="1100" w:type="dxa"/>
            <w:vAlign w:val="bottom"/>
          </w:tcPr>
          <w:p>
            <w:pPr>
              <w:spacing w:after="0"/>
              <w:rPr>
                <w:sz w:val="23"/>
                <w:szCs w:val="23"/>
                <w:color w:val="auto"/>
              </w:rPr>
            </w:pPr>
          </w:p>
        </w:tc>
        <w:tc>
          <w:tcPr>
            <w:tcW w:w="740" w:type="dxa"/>
            <w:vAlign w:val="bottom"/>
          </w:tcPr>
          <w:p>
            <w:pPr>
              <w:jc w:val="right"/>
              <w:ind w:right="100"/>
              <w:spacing w:after="0"/>
              <w:rPr>
                <w:sz w:val="20"/>
                <w:szCs w:val="20"/>
                <w:color w:val="auto"/>
              </w:rPr>
            </w:pPr>
            <w:r>
              <w:rPr>
                <w:rFonts w:ascii="Arial" w:cs="Arial" w:eastAsia="Arial" w:hAnsi="Arial"/>
                <w:sz w:val="20"/>
                <w:szCs w:val="20"/>
                <w:color w:val="auto"/>
              </w:rPr>
              <w:t>409</w:t>
            </w:r>
          </w:p>
        </w:tc>
      </w:tr>
      <w:tr>
        <w:trPr>
          <w:trHeight w:val="41"/>
        </w:trPr>
        <w:tc>
          <w:tcPr>
            <w:tcW w:w="5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314"/>
        </w:trPr>
        <w:tc>
          <w:tcPr>
            <w:tcW w:w="5380" w:type="dxa"/>
            <w:vAlign w:val="bottom"/>
            <w:shd w:val="clear" w:color="auto" w:fill="CFF0FC"/>
          </w:tcPr>
          <w:p>
            <w:pPr>
              <w:ind w:left="100"/>
              <w:spacing w:after="0"/>
              <w:rPr>
                <w:sz w:val="20"/>
                <w:szCs w:val="20"/>
                <w:color w:val="auto"/>
              </w:rPr>
            </w:pPr>
            <w:r>
              <w:rPr>
                <w:rFonts w:ascii="Arial" w:cs="Arial" w:eastAsia="Arial" w:hAnsi="Arial"/>
                <w:sz w:val="20"/>
                <w:szCs w:val="20"/>
                <w:color w:val="auto"/>
              </w:rPr>
              <w:t xml:space="preserve">Provision for specified litigation matter </w:t>
            </w:r>
            <w:r>
              <w:rPr>
                <w:rFonts w:ascii="Arial" w:cs="Arial" w:eastAsia="Arial" w:hAnsi="Arial"/>
                <w:sz w:val="26"/>
                <w:szCs w:val="26"/>
                <w:color w:val="auto"/>
                <w:vertAlign w:val="superscript"/>
              </w:rPr>
              <w:t>(i)</w:t>
            </w:r>
          </w:p>
        </w:tc>
        <w:tc>
          <w:tcPr>
            <w:tcW w:w="138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spacing w:after="0"/>
              <w:rPr>
                <w:sz w:val="24"/>
                <w:szCs w:val="24"/>
                <w:color w:val="auto"/>
              </w:rPr>
            </w:pPr>
          </w:p>
        </w:tc>
        <w:tc>
          <w:tcPr>
            <w:tcW w:w="74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13</w:t>
            </w:r>
          </w:p>
        </w:tc>
      </w:tr>
      <w:tr>
        <w:trPr>
          <w:trHeight w:val="274"/>
        </w:trPr>
        <w:tc>
          <w:tcPr>
            <w:tcW w:w="5380" w:type="dxa"/>
            <w:vAlign w:val="bottom"/>
          </w:tcPr>
          <w:p>
            <w:pPr>
              <w:ind w:left="100"/>
              <w:spacing w:after="0"/>
              <w:rPr>
                <w:sz w:val="20"/>
                <w:szCs w:val="20"/>
                <w:color w:val="auto"/>
              </w:rPr>
            </w:pPr>
            <w:r>
              <w:rPr>
                <w:rFonts w:ascii="Arial" w:cs="Arial" w:eastAsia="Arial" w:hAnsi="Arial"/>
                <w:sz w:val="20"/>
                <w:szCs w:val="20"/>
                <w:color w:val="auto"/>
              </w:rPr>
              <w:t>Net periodic pension and postretirement benefits</w:t>
            </w:r>
          </w:p>
        </w:tc>
        <w:tc>
          <w:tcPr>
            <w:tcW w:w="1380" w:type="dxa"/>
            <w:vAlign w:val="bottom"/>
          </w:tcPr>
          <w:p>
            <w:pPr>
              <w:spacing w:after="0"/>
              <w:rPr>
                <w:sz w:val="23"/>
                <w:szCs w:val="23"/>
                <w:color w:val="auto"/>
              </w:rPr>
            </w:pP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46</w:t>
            </w:r>
          </w:p>
        </w:tc>
        <w:tc>
          <w:tcPr>
            <w:tcW w:w="110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20"/>
                <w:szCs w:val="20"/>
                <w:color w:val="auto"/>
              </w:rPr>
              <w:t>(64)</w:t>
            </w:r>
          </w:p>
        </w:tc>
      </w:tr>
      <w:tr>
        <w:trPr>
          <w:trHeight w:val="41"/>
        </w:trPr>
        <w:tc>
          <w:tcPr>
            <w:tcW w:w="5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304"/>
        </w:trPr>
        <w:tc>
          <w:tcPr>
            <w:tcW w:w="53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(Gain)/loss on disposal of operations</w:t>
            </w:r>
          </w:p>
        </w:tc>
        <w:tc>
          <w:tcPr>
            <w:tcW w:w="13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(40)</w:t>
            </w:r>
          </w:p>
        </w:tc>
        <w:tc>
          <w:tcPr>
            <w:tcW w:w="11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337</w:t>
            </w:r>
          </w:p>
        </w:tc>
      </w:tr>
      <w:tr>
        <w:trPr>
          <w:trHeight w:val="319"/>
        </w:trPr>
        <w:tc>
          <w:tcPr>
            <w:tcW w:w="5380" w:type="dxa"/>
            <w:vAlign w:val="bottom"/>
          </w:tcPr>
          <w:p>
            <w:pPr>
              <w:spacing w:after="0"/>
              <w:rPr>
                <w:sz w:val="20"/>
                <w:szCs w:val="20"/>
                <w:color w:val="auto"/>
              </w:rPr>
            </w:pPr>
            <w:r>
              <w:rPr>
                <w:rFonts w:ascii="Arial" w:cs="Arial" w:eastAsia="Arial" w:hAnsi="Arial"/>
                <w:sz w:val="20"/>
                <w:szCs w:val="20"/>
                <w:color w:val="auto"/>
              </w:rPr>
              <w:t>Adjusted income before taxes</w:t>
            </w:r>
          </w:p>
        </w:tc>
        <w:tc>
          <w:tcPr>
            <w:tcW w:w="1380" w:type="dxa"/>
            <w:vAlign w:val="bottom"/>
          </w:tcPr>
          <w:p>
            <w:pPr>
              <w:jc w:val="right"/>
              <w:ind w:right="847"/>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2,174</w:t>
            </w:r>
          </w:p>
        </w:tc>
        <w:tc>
          <w:tcPr>
            <w:tcW w:w="1100" w:type="dxa"/>
            <w:vAlign w:val="bottom"/>
          </w:tcPr>
          <w:p>
            <w:pPr>
              <w:jc w:val="right"/>
              <w:ind w:right="824"/>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100"/>
              <w:spacing w:after="0"/>
              <w:rPr>
                <w:sz w:val="20"/>
                <w:szCs w:val="20"/>
                <w:color w:val="auto"/>
              </w:rPr>
            </w:pPr>
            <w:r>
              <w:rPr>
                <w:rFonts w:ascii="Arial" w:cs="Arial" w:eastAsia="Arial" w:hAnsi="Arial"/>
                <w:sz w:val="20"/>
                <w:szCs w:val="20"/>
                <w:color w:val="auto"/>
              </w:rPr>
              <w:t>2,126</w:t>
            </w:r>
          </w:p>
        </w:tc>
      </w:tr>
      <w:tr>
        <w:trPr>
          <w:trHeight w:val="41"/>
        </w:trPr>
        <w:tc>
          <w:tcPr>
            <w:tcW w:w="5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314"/>
        </w:trPr>
        <w:tc>
          <w:tcPr>
            <w:tcW w:w="5380" w:type="dxa"/>
            <w:vAlign w:val="bottom"/>
            <w:shd w:val="clear" w:color="auto" w:fill="CFF0FC"/>
          </w:tcPr>
          <w:p>
            <w:pPr>
              <w:spacing w:after="0"/>
              <w:rPr>
                <w:sz w:val="24"/>
                <w:szCs w:val="24"/>
                <w:color w:val="auto"/>
              </w:rPr>
            </w:pPr>
          </w:p>
        </w:tc>
        <w:tc>
          <w:tcPr>
            <w:tcW w:w="138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r>
      <w:tr>
        <w:trPr>
          <w:trHeight w:val="274"/>
        </w:trPr>
        <w:tc>
          <w:tcPr>
            <w:tcW w:w="5380" w:type="dxa"/>
            <w:vAlign w:val="bottom"/>
          </w:tcPr>
          <w:p>
            <w:pPr>
              <w:spacing w:after="0"/>
              <w:rPr>
                <w:sz w:val="20"/>
                <w:szCs w:val="20"/>
                <w:color w:val="auto"/>
              </w:rPr>
            </w:pPr>
            <w:r>
              <w:rPr>
                <w:rFonts w:ascii="Arial" w:cs="Arial" w:eastAsia="Arial" w:hAnsi="Arial"/>
                <w:sz w:val="20"/>
                <w:szCs w:val="20"/>
                <w:color w:val="auto"/>
              </w:rPr>
              <w:t>Provision for income taxes</w:t>
            </w:r>
          </w:p>
        </w:tc>
        <w:tc>
          <w:tcPr>
            <w:tcW w:w="1380" w:type="dxa"/>
            <w:vAlign w:val="bottom"/>
          </w:tcPr>
          <w:p>
            <w:pPr>
              <w:jc w:val="right"/>
              <w:ind w:right="847"/>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318</w:t>
            </w:r>
          </w:p>
        </w:tc>
        <w:tc>
          <w:tcPr>
            <w:tcW w:w="1100" w:type="dxa"/>
            <w:vAlign w:val="bottom"/>
          </w:tcPr>
          <w:p>
            <w:pPr>
              <w:jc w:val="right"/>
              <w:ind w:right="824"/>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100"/>
              <w:spacing w:after="0"/>
              <w:rPr>
                <w:sz w:val="20"/>
                <w:szCs w:val="20"/>
                <w:color w:val="auto"/>
              </w:rPr>
            </w:pPr>
            <w:r>
              <w:rPr>
                <w:rFonts w:ascii="Arial" w:cs="Arial" w:eastAsia="Arial" w:hAnsi="Arial"/>
                <w:sz w:val="20"/>
                <w:szCs w:val="20"/>
                <w:color w:val="auto"/>
              </w:rPr>
              <w:t>192</w:t>
            </w:r>
          </w:p>
        </w:tc>
      </w:tr>
      <w:tr>
        <w:trPr>
          <w:trHeight w:val="41"/>
        </w:trPr>
        <w:tc>
          <w:tcPr>
            <w:tcW w:w="5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314"/>
        </w:trPr>
        <w:tc>
          <w:tcPr>
            <w:tcW w:w="5380" w:type="dxa"/>
            <w:vAlign w:val="bottom"/>
            <w:shd w:val="clear" w:color="auto" w:fill="CFF0FC"/>
          </w:tcPr>
          <w:p>
            <w:pPr>
              <w:ind w:left="100"/>
              <w:spacing w:after="0"/>
              <w:rPr>
                <w:sz w:val="20"/>
                <w:szCs w:val="20"/>
                <w:color w:val="auto"/>
              </w:rPr>
            </w:pPr>
            <w:r>
              <w:rPr>
                <w:rFonts w:ascii="Arial" w:cs="Arial" w:eastAsia="Arial" w:hAnsi="Arial"/>
                <w:sz w:val="20"/>
                <w:szCs w:val="20"/>
                <w:color w:val="auto"/>
              </w:rPr>
              <w:t xml:space="preserve">Tax effect on certain items listed above </w:t>
            </w:r>
            <w:r>
              <w:rPr>
                <w:rFonts w:ascii="Arial" w:cs="Arial" w:eastAsia="Arial" w:hAnsi="Arial"/>
                <w:sz w:val="26"/>
                <w:szCs w:val="26"/>
                <w:color w:val="auto"/>
                <w:vertAlign w:val="superscript"/>
              </w:rPr>
              <w:t>(ii)</w:t>
            </w:r>
          </w:p>
        </w:tc>
        <w:tc>
          <w:tcPr>
            <w:tcW w:w="138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61</w:t>
            </w:r>
          </w:p>
        </w:tc>
        <w:tc>
          <w:tcPr>
            <w:tcW w:w="1100" w:type="dxa"/>
            <w:vAlign w:val="bottom"/>
            <w:shd w:val="clear" w:color="auto" w:fill="CFF0FC"/>
          </w:tcPr>
          <w:p>
            <w:pPr>
              <w:spacing w:after="0"/>
              <w:rPr>
                <w:sz w:val="24"/>
                <w:szCs w:val="24"/>
                <w:color w:val="auto"/>
              </w:rPr>
            </w:pPr>
          </w:p>
        </w:tc>
        <w:tc>
          <w:tcPr>
            <w:tcW w:w="74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254</w:t>
            </w:r>
          </w:p>
        </w:tc>
      </w:tr>
      <w:tr>
        <w:trPr>
          <w:trHeight w:val="284"/>
        </w:trPr>
        <w:tc>
          <w:tcPr>
            <w:tcW w:w="5380" w:type="dxa"/>
            <w:vAlign w:val="bottom"/>
          </w:tcPr>
          <w:p>
            <w:pPr>
              <w:ind w:left="100"/>
              <w:spacing w:after="0"/>
              <w:rPr>
                <w:sz w:val="20"/>
                <w:szCs w:val="20"/>
                <w:color w:val="auto"/>
              </w:rPr>
            </w:pPr>
            <w:r>
              <w:rPr>
                <w:rFonts w:ascii="Arial" w:cs="Arial" w:eastAsia="Arial" w:hAnsi="Arial"/>
                <w:sz w:val="20"/>
                <w:szCs w:val="20"/>
                <w:color w:val="auto"/>
              </w:rPr>
              <w:t>Tax effect of significant adjustments</w:t>
            </w:r>
          </w:p>
        </w:tc>
        <w:tc>
          <w:tcPr>
            <w:tcW w:w="1380" w:type="dxa"/>
            <w:vAlign w:val="bottom"/>
          </w:tcPr>
          <w:p>
            <w:pPr>
              <w:spacing w:after="0"/>
              <w:rPr>
                <w:sz w:val="24"/>
                <w:szCs w:val="24"/>
                <w:color w:val="auto"/>
              </w:rPr>
            </w:pPr>
          </w:p>
        </w:tc>
        <w:tc>
          <w:tcPr>
            <w:tcW w:w="800" w:type="dxa"/>
            <w:vAlign w:val="bottom"/>
          </w:tcPr>
          <w:p>
            <w:pPr>
              <w:jc w:val="right"/>
              <w:ind w:right="161"/>
              <w:spacing w:after="0"/>
              <w:rPr>
                <w:sz w:val="20"/>
                <w:szCs w:val="20"/>
                <w:color w:val="auto"/>
              </w:rPr>
            </w:pPr>
            <w:r>
              <w:rPr>
                <w:rFonts w:ascii="Arial" w:cs="Arial" w:eastAsia="Arial" w:hAnsi="Arial"/>
                <w:sz w:val="20"/>
                <w:szCs w:val="20"/>
                <w:color w:val="auto"/>
              </w:rPr>
              <w:t>79</w:t>
            </w:r>
          </w:p>
        </w:tc>
        <w:tc>
          <w:tcPr>
            <w:tcW w:w="1100" w:type="dxa"/>
            <w:vAlign w:val="bottom"/>
          </w:tcPr>
          <w:p>
            <w:pPr>
              <w:spacing w:after="0"/>
              <w:rPr>
                <w:sz w:val="24"/>
                <w:szCs w:val="24"/>
                <w:color w:val="auto"/>
              </w:rPr>
            </w:pPr>
          </w:p>
        </w:tc>
        <w:tc>
          <w:tcPr>
            <w:tcW w:w="740" w:type="dxa"/>
            <w:vAlign w:val="bottom"/>
          </w:tcPr>
          <w:p>
            <w:pPr>
              <w:jc w:val="right"/>
              <w:ind w:right="100"/>
              <w:spacing w:after="0"/>
              <w:rPr>
                <w:sz w:val="20"/>
                <w:szCs w:val="20"/>
                <w:color w:val="auto"/>
              </w:rPr>
            </w:pPr>
            <w:r>
              <w:rPr>
                <w:rFonts w:ascii="Arial" w:cs="Arial" w:eastAsia="Arial" w:hAnsi="Arial"/>
                <w:sz w:val="20"/>
                <w:szCs w:val="20"/>
                <w:color w:val="auto"/>
              </w:rPr>
              <w:t>7</w:t>
            </w:r>
          </w:p>
        </w:tc>
      </w:tr>
      <w:tr>
        <w:trPr>
          <w:trHeight w:val="41"/>
        </w:trPr>
        <w:tc>
          <w:tcPr>
            <w:tcW w:w="5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339"/>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Adjusted income taxes</w:t>
            </w:r>
          </w:p>
        </w:tc>
        <w:tc>
          <w:tcPr>
            <w:tcW w:w="1380" w:type="dxa"/>
            <w:vAlign w:val="bottom"/>
            <w:tcBorders>
              <w:bottom w:val="single" w:sz="8" w:color="CFF0FC"/>
            </w:tcBorders>
            <w:shd w:val="clear" w:color="auto" w:fill="CFF0FC"/>
          </w:tcPr>
          <w:p>
            <w:pPr>
              <w:jc w:val="right"/>
              <w:ind w:right="847"/>
              <w:spacing w:after="0"/>
              <w:rPr>
                <w:sz w:val="20"/>
                <w:szCs w:val="20"/>
                <w:color w:val="auto"/>
              </w:rPr>
            </w:pPr>
            <w:r>
              <w:rPr>
                <w:rFonts w:ascii="Arial" w:cs="Arial" w:eastAsia="Arial" w:hAnsi="Arial"/>
                <w:sz w:val="20"/>
                <w:szCs w:val="20"/>
                <w:color w:val="auto"/>
              </w:rPr>
              <w:t>$</w:t>
            </w:r>
          </w:p>
        </w:tc>
        <w:tc>
          <w:tcPr>
            <w:tcW w:w="8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20"/>
                <w:szCs w:val="20"/>
                <w:color w:val="auto"/>
              </w:rPr>
              <w:t>458</w:t>
            </w:r>
          </w:p>
        </w:tc>
        <w:tc>
          <w:tcPr>
            <w:tcW w:w="1100" w:type="dxa"/>
            <w:vAlign w:val="bottom"/>
            <w:tcBorders>
              <w:bottom w:val="single" w:sz="8" w:color="CFF0FC"/>
            </w:tcBorders>
            <w:shd w:val="clear" w:color="auto" w:fill="CFF0FC"/>
          </w:tcPr>
          <w:p>
            <w:pPr>
              <w:jc w:val="right"/>
              <w:ind w:right="824"/>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453</w:t>
            </w:r>
          </w:p>
        </w:tc>
      </w:tr>
      <w:tr>
        <w:trPr>
          <w:trHeight w:val="314"/>
        </w:trPr>
        <w:tc>
          <w:tcPr>
            <w:tcW w:w="5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4"/>
        </w:trPr>
        <w:tc>
          <w:tcPr>
            <w:tcW w:w="53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U.S. GAAP tax rate</w:t>
            </w:r>
          </w:p>
        </w:tc>
        <w:tc>
          <w:tcPr>
            <w:tcW w:w="13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16.3%</w:t>
            </w:r>
          </w:p>
        </w:tc>
        <w:tc>
          <w:tcPr>
            <w:tcW w:w="11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188.8%</w:t>
            </w:r>
          </w:p>
        </w:tc>
      </w:tr>
      <w:tr>
        <w:trPr>
          <w:trHeight w:val="274"/>
        </w:trPr>
        <w:tc>
          <w:tcPr>
            <w:tcW w:w="5380" w:type="dxa"/>
            <w:vAlign w:val="bottom"/>
          </w:tcPr>
          <w:p>
            <w:pPr>
              <w:ind w:left="100"/>
              <w:spacing w:after="0"/>
              <w:rPr>
                <w:sz w:val="20"/>
                <w:szCs w:val="20"/>
                <w:color w:val="auto"/>
              </w:rPr>
            </w:pPr>
            <w:r>
              <w:rPr>
                <w:rFonts w:ascii="Arial" w:cs="Arial" w:eastAsia="Arial" w:hAnsi="Arial"/>
                <w:sz w:val="20"/>
                <w:szCs w:val="20"/>
                <w:color w:val="auto"/>
              </w:rPr>
              <w:t>Adjusted income tax rate</w:t>
            </w:r>
          </w:p>
        </w:tc>
        <w:tc>
          <w:tcPr>
            <w:tcW w:w="1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21.1%</w:t>
            </w:r>
          </w:p>
        </w:tc>
        <w:tc>
          <w:tcPr>
            <w:tcW w:w="1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-4163060</wp:posOffset>
            </wp:positionV>
            <wp:extent cx="232600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6">
                      <a:extLst>
                        <a:ext uri="{28A0092B-C50C-407E-A947-70E740481C1C}"/>
                      </a:extLst>
                    </a:blip>
                    <a:srcRect/>
                    <a:stretch>
                      <a:fillRect/>
                    </a:stretch>
                  </pic:blipFill>
                  <pic:spPr bwMode="auto">
                    <a:xfrm>
                      <a:off x="0" y="0"/>
                      <a:ext cx="2326005" cy="635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-3995420</wp:posOffset>
            </wp:positionV>
            <wp:extent cx="2326005"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7">
                      <a:extLst>
                        <a:ext uri="{28A0092B-C50C-407E-A947-70E740481C1C}"/>
                      </a:extLst>
                    </a:blip>
                    <a:srcRect/>
                    <a:stretch>
                      <a:fillRect/>
                    </a:stretch>
                  </pic:blipFill>
                  <pic:spPr bwMode="auto">
                    <a:xfrm>
                      <a:off x="0" y="0"/>
                      <a:ext cx="2326005" cy="635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-1840230</wp:posOffset>
            </wp:positionV>
            <wp:extent cx="232600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8">
                      <a:extLst>
                        <a:ext uri="{28A0092B-C50C-407E-A947-70E740481C1C}"/>
                      </a:extLst>
                    </a:blip>
                    <a:srcRect/>
                    <a:stretch>
                      <a:fillRect/>
                    </a:stretch>
                  </pic:blipFill>
                  <pic:spPr bwMode="auto">
                    <a:xfrm>
                      <a:off x="0" y="0"/>
                      <a:ext cx="2326005" cy="635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-1634490</wp:posOffset>
            </wp:positionV>
            <wp:extent cx="2326005" cy="285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9">
                      <a:extLst>
                        <a:ext uri="{28A0092B-C50C-407E-A947-70E740481C1C}"/>
                      </a:extLst>
                    </a:blip>
                    <a:srcRect/>
                    <a:stretch>
                      <a:fillRect/>
                    </a:stretch>
                  </pic:blipFill>
                  <pic:spPr bwMode="auto">
                    <a:xfrm>
                      <a:off x="0" y="0"/>
                      <a:ext cx="2326005" cy="28575"/>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-807085</wp:posOffset>
            </wp:positionV>
            <wp:extent cx="232600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0">
                      <a:extLst>
                        <a:ext uri="{28A0092B-C50C-407E-A947-70E740481C1C}"/>
                      </a:extLst>
                    </a:blip>
                    <a:srcRect/>
                    <a:stretch>
                      <a:fillRect/>
                    </a:stretch>
                  </pic:blipFill>
                  <pic:spPr bwMode="auto">
                    <a:xfrm>
                      <a:off x="0" y="0"/>
                      <a:ext cx="2326005" cy="6350"/>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-601345</wp:posOffset>
            </wp:positionV>
            <wp:extent cx="2326005" cy="285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1">
                      <a:extLst>
                        <a:ext uri="{28A0092B-C50C-407E-A947-70E740481C1C}"/>
                      </a:extLst>
                    </a:blip>
                    <a:srcRect/>
                    <a:stretch>
                      <a:fillRect/>
                    </a:stretch>
                  </pic:blipFill>
                  <pic:spPr bwMode="auto">
                    <a:xfrm>
                      <a:off x="0" y="0"/>
                      <a:ext cx="2326005"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229235</wp:posOffset>
            </wp:positionV>
            <wp:extent cx="79565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2">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26" w:right="200" w:hanging="226"/>
        <w:spacing w:after="0" w:line="502" w:lineRule="auto"/>
        <w:tabs>
          <w:tab w:leader="none" w:pos="226"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Represents a provision related to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29" w:lineRule="exact"/>
        <w:rPr>
          <w:rFonts w:ascii="Arial" w:cs="Arial" w:eastAsia="Arial" w:hAnsi="Arial"/>
          <w:sz w:val="15"/>
          <w:szCs w:val="15"/>
          <w:color w:val="auto"/>
        </w:rPr>
      </w:pPr>
    </w:p>
    <w:p>
      <w:pPr>
        <w:ind w:left="226" w:hanging="226"/>
        <w:spacing w:after="0"/>
        <w:tabs>
          <w:tab w:leader="none" w:pos="22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tax effect was calculated using an effective tax rate for each item.</w:t>
      </w:r>
    </w:p>
    <w:p>
      <w:pPr>
        <w:spacing w:after="0" w:line="282" w:lineRule="exact"/>
        <w:rPr>
          <w:sz w:val="20"/>
          <w:szCs w:val="20"/>
          <w:color w:val="auto"/>
        </w:rPr>
      </w:pPr>
    </w:p>
    <w:p>
      <w:pPr>
        <w:ind w:left="6" w:right="100"/>
        <w:spacing w:after="0" w:line="329" w:lineRule="auto"/>
        <w:rPr>
          <w:sz w:val="20"/>
          <w:szCs w:val="20"/>
          <w:color w:val="auto"/>
        </w:rPr>
      </w:pPr>
      <w:r>
        <w:rPr>
          <w:rFonts w:ascii="Arial" w:cs="Arial" w:eastAsia="Arial" w:hAnsi="Arial"/>
          <w:sz w:val="19"/>
          <w:szCs w:val="19"/>
          <w:color w:val="auto"/>
        </w:rPr>
        <w:t>Our U.S. GAAP tax rates were 16.3% and 188.8% for the years ended December 31, 2025 and 2024, respectively. The current-year U.S. GAAP effective tax rate includes a $79 million tax benefit adjustment related to both the final allocation of the Willis Re earnout received from the sale of our Willis Re business and a change in uncertain tax positions. The prior-year effective tax rate includes a $137 million tax benefit recognized on the sale of our TRANZACT business, partially offset with a $55 million provision for tax expense on the accrual for the Willis Re earnout and a $34 million provision for changes in uncertain tax positions.</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37 / 47</w:t>
      </w:r>
    </w:p>
    <w:p>
      <w:pPr>
        <w:sectPr>
          <w:pgSz w:w="11900" w:h="16838" w:orient="portrait"/>
          <w:cols w:equalWidth="0" w:num="1">
            <w:col w:w="9406"/>
          </w:cols>
          <w:pgMar w:left="1254" w:top="1440" w:right="1246" w:bottom="0" w:gutter="0" w:footer="0" w:header="0"/>
          <w:type w:val="continuous"/>
        </w:sectPr>
      </w:pPr>
    </w:p>
    <w:bookmarkStart w:id="124" w:name="page125"/>
    <w:bookmarkEnd w:id="124"/>
    <w:p>
      <w:pPr>
        <w:ind w:right="1040"/>
        <w:spacing w:after="0" w:line="302" w:lineRule="auto"/>
        <w:rPr>
          <w:sz w:val="20"/>
          <w:szCs w:val="20"/>
          <w:color w:val="auto"/>
        </w:rPr>
      </w:pPr>
      <w:r>
        <w:rPr>
          <w:rFonts w:ascii="Arial" w:cs="Arial" w:eastAsia="Arial" w:hAnsi="Arial"/>
          <w:sz w:val="20"/>
          <w:szCs w:val="20"/>
          <w:color w:val="auto"/>
        </w:rPr>
        <w:t>Our adjusted income tax rates were 21.1% and 21.3% for the years ended December 31, 2025 and 2024,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Free Cash Flow/Margin</w:t>
      </w:r>
    </w:p>
    <w:p>
      <w:pPr>
        <w:spacing w:after="0" w:line="260"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Free cash flow is defined as cash flows from operating activities less cash used to purchase fixed assets and software. Free cash flow margin, which we include on an annual basis as seasonal fluctuations in our revenue render it not meaningful during interim periods, is calculated by dividing free cash flow by revenue.</w:t>
      </w:r>
    </w:p>
    <w:p>
      <w:pPr>
        <w:spacing w:after="0" w:line="179" w:lineRule="exact"/>
        <w:rPr>
          <w:sz w:val="20"/>
          <w:szCs w:val="20"/>
          <w:color w:val="auto"/>
        </w:rPr>
      </w:pPr>
    </w:p>
    <w:p>
      <w:pPr>
        <w:ind w:right="520"/>
        <w:spacing w:after="0" w:line="363" w:lineRule="auto"/>
        <w:rPr>
          <w:sz w:val="20"/>
          <w:szCs w:val="20"/>
          <w:color w:val="auto"/>
        </w:rPr>
      </w:pPr>
      <w:r>
        <w:rPr>
          <w:rFonts w:ascii="Arial" w:cs="Arial" w:eastAsia="Arial" w:hAnsi="Arial"/>
          <w:sz w:val="18"/>
          <w:szCs w:val="18"/>
          <w:color w:val="auto"/>
        </w:rPr>
        <w:t>As a result of our change in presentation, free cash flow and free cash flow margin for the prior year have been adjusted to conform to the current year, which includes the deduction of our capitalized software costs.</w:t>
      </w:r>
    </w:p>
    <w:p>
      <w:pPr>
        <w:spacing w:after="0" w:line="154" w:lineRule="exact"/>
        <w:rPr>
          <w:sz w:val="20"/>
          <w:szCs w:val="20"/>
          <w:color w:val="auto"/>
        </w:rPr>
      </w:pPr>
    </w:p>
    <w:p>
      <w:pPr>
        <w:ind w:right="40"/>
        <w:spacing w:after="0" w:line="302" w:lineRule="auto"/>
        <w:rPr>
          <w:sz w:val="20"/>
          <w:szCs w:val="20"/>
          <w:color w:val="auto"/>
        </w:rPr>
      </w:pPr>
      <w:r>
        <w:rPr>
          <w:rFonts w:ascii="Arial" w:cs="Arial" w:eastAsia="Arial" w:hAnsi="Arial"/>
          <w:sz w:val="20"/>
          <w:szCs w:val="20"/>
          <w:color w:val="auto"/>
        </w:rPr>
        <w:t>Management believes that free cash flow and free cash flow margin present the core operating performance and cash generating capabilities of our business operations.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 / 47</w:t>
      </w:r>
    </w:p>
    <w:p>
      <w:pPr>
        <w:sectPr>
          <w:pgSz w:w="11900" w:h="16838" w:orient="portrait"/>
          <w:cols w:equalWidth="0" w:num="1">
            <w:col w:w="9380"/>
          </w:cols>
          <w:pgMar w:left="1260" w:top="1173" w:right="1266" w:bottom="0" w:gutter="0" w:footer="0" w:header="0"/>
          <w:type w:val="continuous"/>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spacing w:after="0" w:line="302" w:lineRule="auto"/>
        <w:rPr>
          <w:sz w:val="20"/>
          <w:szCs w:val="20"/>
          <w:color w:val="auto"/>
        </w:rPr>
      </w:pPr>
      <w:r>
        <w:rPr>
          <w:rFonts w:ascii="Arial" w:cs="Arial" w:eastAsia="Arial" w:hAnsi="Arial"/>
          <w:sz w:val="20"/>
          <w:szCs w:val="20"/>
          <w:color w:val="auto"/>
        </w:rPr>
        <w:t>Reconciliations of cash flows from operating activities to free cash flow for the years ended December 31, 2025 and 2024 are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38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680" w:type="dxa"/>
            <w:vAlign w:val="bottom"/>
          </w:tcPr>
          <w:p>
            <w:pPr>
              <w:spacing w:after="0"/>
              <w:rPr>
                <w:sz w:val="16"/>
                <w:szCs w:val="16"/>
                <w:color w:val="auto"/>
              </w:rPr>
            </w:pPr>
          </w:p>
        </w:tc>
      </w:tr>
      <w:tr>
        <w:trPr>
          <w:trHeight w:val="264"/>
        </w:trPr>
        <w:tc>
          <w:tcPr>
            <w:tcW w:w="488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7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680" w:type="dxa"/>
            <w:vAlign w:val="bottom"/>
          </w:tcPr>
          <w:p>
            <w:pPr>
              <w:spacing w:after="0"/>
              <w:rPr>
                <w:sz w:val="22"/>
                <w:szCs w:val="22"/>
                <w:color w:val="auto"/>
              </w:rPr>
            </w:pPr>
          </w:p>
        </w:tc>
      </w:tr>
      <w:tr>
        <w:trPr>
          <w:trHeight w:val="264"/>
        </w:trPr>
        <w:tc>
          <w:tcPr>
            <w:tcW w:w="48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640" w:type="dxa"/>
            <w:vAlign w:val="bottom"/>
            <w:gridSpan w:val="2"/>
          </w:tcPr>
          <w:p>
            <w:pPr>
              <w:jc w:val="right"/>
              <w:ind w:right="485"/>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22"/>
                <w:szCs w:val="22"/>
                <w:color w:val="auto"/>
              </w:rPr>
            </w:pPr>
          </w:p>
        </w:tc>
      </w:tr>
      <w:tr>
        <w:trPr>
          <w:trHeight w:val="32"/>
        </w:trPr>
        <w:tc>
          <w:tcPr>
            <w:tcW w:w="4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94"/>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Cash flows from operating activities</w:t>
            </w:r>
          </w:p>
        </w:tc>
        <w:tc>
          <w:tcPr>
            <w:tcW w:w="2200" w:type="dxa"/>
            <w:vAlign w:val="bottom"/>
            <w:tcBorders>
              <w:bottom w:val="single" w:sz="8" w:color="CFF0FC"/>
            </w:tcBorders>
            <w:shd w:val="clear" w:color="auto" w:fill="CFF0FC"/>
          </w:tcPr>
          <w:p>
            <w:pPr>
              <w:jc w:val="right"/>
              <w:ind w:right="628"/>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ind w:right="163"/>
              <w:spacing w:after="0"/>
              <w:rPr>
                <w:sz w:val="20"/>
                <w:szCs w:val="20"/>
                <w:color w:val="auto"/>
              </w:rPr>
            </w:pPr>
            <w:r>
              <w:rPr>
                <w:rFonts w:ascii="Arial" w:cs="Arial" w:eastAsia="Arial" w:hAnsi="Arial"/>
                <w:sz w:val="20"/>
                <w:szCs w:val="20"/>
                <w:color w:val="auto"/>
                <w:w w:val="91"/>
              </w:rPr>
              <w:t>1,775</w:t>
            </w:r>
          </w:p>
        </w:tc>
        <w:tc>
          <w:tcPr>
            <w:tcW w:w="900" w:type="dxa"/>
            <w:vAlign w:val="bottom"/>
            <w:tcBorders>
              <w:bottom w:val="single" w:sz="8" w:color="CFF0FC"/>
            </w:tcBorders>
            <w:shd w:val="clear" w:color="auto" w:fill="CFF0FC"/>
          </w:tcPr>
          <w:p>
            <w:pPr>
              <w:jc w:val="right"/>
              <w:ind w:right="625"/>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w w:val="91"/>
              </w:rPr>
              <w:t>1,512</w:t>
            </w:r>
          </w:p>
        </w:tc>
      </w:tr>
      <w:tr>
        <w:trPr>
          <w:trHeight w:val="284"/>
        </w:trPr>
        <w:tc>
          <w:tcPr>
            <w:tcW w:w="4880" w:type="dxa"/>
            <w:vAlign w:val="bottom"/>
          </w:tcPr>
          <w:p>
            <w:pPr>
              <w:spacing w:after="0"/>
              <w:rPr>
                <w:sz w:val="20"/>
                <w:szCs w:val="20"/>
                <w:color w:val="auto"/>
              </w:rPr>
            </w:pPr>
            <w:r>
              <w:rPr>
                <w:rFonts w:ascii="Arial" w:cs="Arial" w:eastAsia="Arial" w:hAnsi="Arial"/>
                <w:sz w:val="20"/>
                <w:szCs w:val="20"/>
                <w:color w:val="auto"/>
              </w:rPr>
              <w:t>Less: Additions to fixed assets and software</w:t>
            </w:r>
          </w:p>
        </w:tc>
        <w:tc>
          <w:tcPr>
            <w:tcW w:w="2200" w:type="dxa"/>
            <w:vAlign w:val="bottom"/>
          </w:tcPr>
          <w:p>
            <w:pPr>
              <w:spacing w:after="0"/>
              <w:rPr>
                <w:sz w:val="24"/>
                <w:szCs w:val="24"/>
                <w:color w:val="auto"/>
              </w:rPr>
            </w:pPr>
          </w:p>
        </w:tc>
        <w:tc>
          <w:tcPr>
            <w:tcW w:w="740" w:type="dxa"/>
            <w:vAlign w:val="bottom"/>
          </w:tcPr>
          <w:p>
            <w:pPr>
              <w:jc w:val="right"/>
              <w:ind w:right="83"/>
              <w:spacing w:after="0"/>
              <w:rPr>
                <w:sz w:val="20"/>
                <w:szCs w:val="20"/>
                <w:color w:val="auto"/>
              </w:rPr>
            </w:pPr>
            <w:r>
              <w:rPr>
                <w:rFonts w:ascii="Arial" w:cs="Arial" w:eastAsia="Arial" w:hAnsi="Arial"/>
                <w:sz w:val="20"/>
                <w:szCs w:val="20"/>
                <w:color w:val="auto"/>
              </w:rPr>
              <w:t>(229)</w:t>
            </w:r>
          </w:p>
        </w:tc>
        <w:tc>
          <w:tcPr>
            <w:tcW w:w="90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20"/>
                <w:szCs w:val="20"/>
                <w:color w:val="auto"/>
              </w:rPr>
              <w:t>(245)</w:t>
            </w:r>
          </w:p>
        </w:tc>
      </w:tr>
      <w:tr>
        <w:trPr>
          <w:trHeight w:val="41"/>
        </w:trPr>
        <w:tc>
          <w:tcPr>
            <w:tcW w:w="48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339"/>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Free cash flow</w:t>
            </w:r>
          </w:p>
        </w:tc>
        <w:tc>
          <w:tcPr>
            <w:tcW w:w="2200" w:type="dxa"/>
            <w:vAlign w:val="bottom"/>
            <w:tcBorders>
              <w:bottom w:val="single" w:sz="8" w:color="CFF0FC"/>
            </w:tcBorders>
            <w:shd w:val="clear" w:color="auto" w:fill="CFF0FC"/>
          </w:tcPr>
          <w:p>
            <w:pPr>
              <w:jc w:val="right"/>
              <w:ind w:right="628"/>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ind w:right="163"/>
              <w:spacing w:after="0"/>
              <w:rPr>
                <w:sz w:val="20"/>
                <w:szCs w:val="20"/>
                <w:color w:val="auto"/>
              </w:rPr>
            </w:pPr>
            <w:r>
              <w:rPr>
                <w:rFonts w:ascii="Arial" w:cs="Arial" w:eastAsia="Arial" w:hAnsi="Arial"/>
                <w:sz w:val="20"/>
                <w:szCs w:val="20"/>
                <w:color w:val="auto"/>
                <w:w w:val="91"/>
              </w:rPr>
              <w:t>1,546</w:t>
            </w:r>
          </w:p>
        </w:tc>
        <w:tc>
          <w:tcPr>
            <w:tcW w:w="900" w:type="dxa"/>
            <w:vAlign w:val="bottom"/>
            <w:tcBorders>
              <w:bottom w:val="single" w:sz="8" w:color="CFF0FC"/>
            </w:tcBorders>
            <w:shd w:val="clear" w:color="auto" w:fill="CFF0FC"/>
          </w:tcPr>
          <w:p>
            <w:pPr>
              <w:jc w:val="right"/>
              <w:ind w:right="625"/>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w w:val="91"/>
              </w:rPr>
              <w:t>1,267</w:t>
            </w:r>
          </w:p>
        </w:tc>
      </w:tr>
      <w:tr>
        <w:trPr>
          <w:trHeight w:val="274"/>
        </w:trPr>
        <w:tc>
          <w:tcPr>
            <w:tcW w:w="4880" w:type="dxa"/>
            <w:vAlign w:val="bottom"/>
          </w:tcPr>
          <w:p>
            <w:pPr>
              <w:spacing w:after="0"/>
              <w:rPr>
                <w:sz w:val="20"/>
                <w:szCs w:val="20"/>
                <w:color w:val="auto"/>
              </w:rPr>
            </w:pPr>
            <w:r>
              <w:rPr>
                <w:rFonts w:ascii="Arial" w:cs="Arial" w:eastAsia="Arial" w:hAnsi="Arial"/>
                <w:sz w:val="20"/>
                <w:szCs w:val="20"/>
                <w:color w:val="auto"/>
              </w:rPr>
              <w:t>Revenue</w:t>
            </w:r>
          </w:p>
        </w:tc>
        <w:tc>
          <w:tcPr>
            <w:tcW w:w="2200" w:type="dxa"/>
            <w:vAlign w:val="bottom"/>
          </w:tcPr>
          <w:p>
            <w:pPr>
              <w:jc w:val="right"/>
              <w:ind w:right="628"/>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163"/>
              <w:spacing w:after="0"/>
              <w:rPr>
                <w:sz w:val="20"/>
                <w:szCs w:val="20"/>
                <w:color w:val="auto"/>
              </w:rPr>
            </w:pPr>
            <w:r>
              <w:rPr>
                <w:rFonts w:ascii="Arial" w:cs="Arial" w:eastAsia="Arial" w:hAnsi="Arial"/>
                <w:sz w:val="20"/>
                <w:szCs w:val="20"/>
                <w:color w:val="auto"/>
                <w:w w:val="91"/>
              </w:rPr>
              <w:t>9,708</w:t>
            </w:r>
          </w:p>
        </w:tc>
        <w:tc>
          <w:tcPr>
            <w:tcW w:w="900" w:type="dxa"/>
            <w:vAlign w:val="bottom"/>
          </w:tcPr>
          <w:p>
            <w:pPr>
              <w:jc w:val="right"/>
              <w:ind w:right="625"/>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100"/>
              <w:spacing w:after="0"/>
              <w:rPr>
                <w:sz w:val="20"/>
                <w:szCs w:val="20"/>
                <w:color w:val="auto"/>
              </w:rPr>
            </w:pPr>
            <w:r>
              <w:rPr>
                <w:rFonts w:ascii="Arial" w:cs="Arial" w:eastAsia="Arial" w:hAnsi="Arial"/>
                <w:sz w:val="20"/>
                <w:szCs w:val="20"/>
                <w:color w:val="auto"/>
                <w:w w:val="91"/>
              </w:rPr>
              <w:t>9,930</w:t>
            </w:r>
          </w:p>
        </w:tc>
      </w:tr>
      <w:tr>
        <w:trPr>
          <w:trHeight w:val="41"/>
        </w:trPr>
        <w:tc>
          <w:tcPr>
            <w:tcW w:w="48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74"/>
        </w:trPr>
        <w:tc>
          <w:tcPr>
            <w:tcW w:w="4880" w:type="dxa"/>
            <w:vAlign w:val="bottom"/>
            <w:shd w:val="clear" w:color="auto" w:fill="CFF0FC"/>
          </w:tcPr>
          <w:p>
            <w:pPr>
              <w:spacing w:after="0"/>
              <w:rPr>
                <w:sz w:val="20"/>
                <w:szCs w:val="20"/>
                <w:color w:val="auto"/>
              </w:rPr>
            </w:pPr>
            <w:r>
              <w:rPr>
                <w:rFonts w:ascii="Arial" w:cs="Arial" w:eastAsia="Arial" w:hAnsi="Arial"/>
                <w:sz w:val="20"/>
                <w:szCs w:val="20"/>
                <w:color w:val="auto"/>
              </w:rPr>
              <w:t>Free cash flow margin</w:t>
            </w:r>
          </w:p>
        </w:tc>
        <w:tc>
          <w:tcPr>
            <w:tcW w:w="220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15.9%</w:t>
            </w:r>
          </w:p>
        </w:tc>
        <w:tc>
          <w:tcPr>
            <w:tcW w:w="900" w:type="dxa"/>
            <w:vAlign w:val="bottom"/>
            <w:shd w:val="clear" w:color="auto" w:fill="CFF0FC"/>
          </w:tcPr>
          <w:p>
            <w:pPr>
              <w:spacing w:after="0"/>
              <w:rPr>
                <w:sz w:val="23"/>
                <w:szCs w:val="2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12.8%</w:t>
            </w:r>
          </w:p>
        </w:tc>
      </w:tr>
      <w:tr>
        <w:trPr>
          <w:trHeight w:val="41"/>
        </w:trPr>
        <w:tc>
          <w:tcPr>
            <w:tcW w:w="4880" w:type="dxa"/>
            <w:vAlign w:val="bottom"/>
            <w:shd w:val="clear" w:color="auto" w:fill="CFF0FC"/>
          </w:tcPr>
          <w:p>
            <w:pPr>
              <w:spacing w:after="0"/>
              <w:rPr>
                <w:sz w:val="3"/>
                <w:szCs w:val="3"/>
                <w:color w:val="auto"/>
              </w:rPr>
            </w:pPr>
          </w:p>
        </w:tc>
        <w:tc>
          <w:tcPr>
            <w:tcW w:w="220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3976370</wp:posOffset>
            </wp:positionH>
            <wp:positionV relativeFrom="paragraph">
              <wp:posOffset>-1368425</wp:posOffset>
            </wp:positionV>
            <wp:extent cx="198755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4">
                      <a:extLst>
                        <a:ext uri="{28A0092B-C50C-407E-A947-70E740481C1C}"/>
                      </a:extLst>
                    </a:blip>
                    <a:srcRect/>
                    <a:stretch>
                      <a:fillRect/>
                    </a:stretch>
                  </pic:blipFill>
                  <pic:spPr bwMode="auto">
                    <a:xfrm>
                      <a:off x="0" y="0"/>
                      <a:ext cx="1987550" cy="6350"/>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-1200150</wp:posOffset>
            </wp:positionV>
            <wp:extent cx="198755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5">
                      <a:extLst>
                        <a:ext uri="{28A0092B-C50C-407E-A947-70E740481C1C}"/>
                      </a:extLst>
                    </a:blip>
                    <a:srcRect/>
                    <a:stretch>
                      <a:fillRect/>
                    </a:stretch>
                  </pic:blipFill>
                  <pic:spPr bwMode="auto">
                    <a:xfrm>
                      <a:off x="0" y="0"/>
                      <a:ext cx="1987550" cy="6350"/>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-633095</wp:posOffset>
            </wp:positionV>
            <wp:extent cx="198755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6">
                      <a:extLst>
                        <a:ext uri="{28A0092B-C50C-407E-A947-70E740481C1C}"/>
                      </a:extLst>
                    </a:blip>
                    <a:srcRect/>
                    <a:stretch>
                      <a:fillRect/>
                    </a:stretch>
                  </pic:blipFill>
                  <pic:spPr bwMode="auto">
                    <a:xfrm>
                      <a:off x="0" y="0"/>
                      <a:ext cx="1987550" cy="6350"/>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-427355</wp:posOffset>
            </wp:positionV>
            <wp:extent cx="1987550" cy="285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7">
                      <a:extLst>
                        <a:ext uri="{28A0092B-C50C-407E-A947-70E740481C1C}"/>
                      </a:extLst>
                    </a:blip>
                    <a:srcRect/>
                    <a:stretch>
                      <a:fillRect/>
                    </a:stretch>
                  </pic:blipFill>
                  <pic:spPr bwMode="auto">
                    <a:xfrm>
                      <a:off x="0" y="0"/>
                      <a:ext cx="1987550" cy="28575"/>
                    </a:xfrm>
                    <a:prstGeom prst="rect">
                      <a:avLst/>
                    </a:prstGeom>
                    <a:noFill/>
                  </pic:spPr>
                </pic:pic>
              </a:graphicData>
            </a:graphic>
          </wp:anchor>
        </w:drawing>
      </w:r>
    </w:p>
    <w:p>
      <w:pPr>
        <w:spacing w:after="0" w:line="199" w:lineRule="exact"/>
        <w:rPr>
          <w:sz w:val="20"/>
          <w:szCs w:val="20"/>
          <w:color w:val="auto"/>
        </w:rPr>
      </w:pPr>
    </w:p>
    <w:p>
      <w:pPr>
        <w:jc w:val="both"/>
        <w:ind w:right="40"/>
        <w:spacing w:after="0" w:line="302" w:lineRule="auto"/>
        <w:rPr>
          <w:sz w:val="20"/>
          <w:szCs w:val="20"/>
          <w:color w:val="auto"/>
        </w:rPr>
      </w:pPr>
      <w:r>
        <w:rPr>
          <w:rFonts w:ascii="Arial" w:cs="Arial" w:eastAsia="Arial" w:hAnsi="Arial"/>
          <w:sz w:val="20"/>
          <w:szCs w:val="20"/>
          <w:color w:val="auto"/>
        </w:rPr>
        <w:t>The increase in free cash flow during the current year was primarily driven by operating margin expansion and lower Transformation program residual cash outflows.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260" w:lineRule="exact"/>
        <w:rPr>
          <w:sz w:val="20"/>
          <w:szCs w:val="20"/>
          <w:color w:val="auto"/>
        </w:rPr>
      </w:pPr>
    </w:p>
    <w:p>
      <w:pPr>
        <w:jc w:val="both"/>
        <w:ind w:right="20"/>
        <w:spacing w:after="0" w:line="368" w:lineRule="auto"/>
        <w:rPr>
          <w:sz w:val="20"/>
          <w:szCs w:val="20"/>
          <w:color w:val="auto"/>
        </w:rPr>
      </w:pPr>
      <w:r>
        <w:rPr>
          <w:rFonts w:ascii="Arial" w:cs="Arial" w:eastAsia="Arial" w:hAnsi="Arial"/>
          <w:sz w:val="17"/>
          <w:szCs w:val="17"/>
          <w:color w:val="auto"/>
        </w:rPr>
        <w:t>These consolidated financial statements conform to U.S. GAAP, which requires management to make estimates and assumptions that affect the reported amounts of assets and liabilities, disclosures of contingent assets and liabilities at the date of the financial statements and the reported amounts of revenue and expenses during the reporting period.</w:t>
      </w:r>
    </w:p>
    <w:p>
      <w:pPr>
        <w:spacing w:after="0" w:line="1" w:lineRule="exact"/>
        <w:rPr>
          <w:sz w:val="20"/>
          <w:szCs w:val="20"/>
          <w:color w:val="auto"/>
        </w:rPr>
      </w:pPr>
    </w:p>
    <w:p>
      <w:pPr>
        <w:ind w:right="100"/>
        <w:spacing w:after="0" w:line="349" w:lineRule="auto"/>
        <w:rPr>
          <w:sz w:val="20"/>
          <w:szCs w:val="20"/>
          <w:color w:val="auto"/>
        </w:rPr>
      </w:pPr>
      <w:r>
        <w:rPr>
          <w:rFonts w:ascii="Arial" w:cs="Arial" w:eastAsia="Arial" w:hAnsi="Arial"/>
          <w:sz w:val="18"/>
          <w:szCs w:val="18"/>
          <w:color w:val="auto"/>
        </w:rPr>
        <w:t>Our estimates, judgments and assumptions are continually evaluated based on available information and experience. Because of the use of estimates inherent in the financial reporting process, actual results could differ from those estimates. The areas that we believe include critical accounting estimates are revenue recognition, income taxes, commitments, contingencies and accrued liabilities, pension assumptions, and goodwill and intangible assets. The critical accounting estimates discussed below involve making difficult, subjective or complex accounting estimates that could have a material effect on our financial condition and results of operations. These critical accounting estimates require us to make assumptions about matters that are highly uncertain at the time of the estimate or assumption. Different estimates that we could have used, or changes in estimates that are reasonably likely to occur, may have a material effect on our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260" w:lineRule="exact"/>
        <w:rPr>
          <w:sz w:val="20"/>
          <w:szCs w:val="20"/>
          <w:color w:val="auto"/>
        </w:rPr>
      </w:pPr>
    </w:p>
    <w:p>
      <w:pPr>
        <w:ind w:right="120"/>
        <w:spacing w:after="0" w:line="307" w:lineRule="auto"/>
        <w:rPr>
          <w:sz w:val="20"/>
          <w:szCs w:val="20"/>
          <w:color w:val="auto"/>
        </w:rPr>
      </w:pPr>
      <w:r>
        <w:rPr>
          <w:rFonts w:ascii="Arial" w:cs="Arial" w:eastAsia="Arial" w:hAnsi="Arial"/>
          <w:sz w:val="20"/>
          <w:szCs w:val="20"/>
          <w:color w:val="auto"/>
        </w:rPr>
        <w:t>We use significant estimates related to revenue recognition most commonly during our estimation of the transaction prices or where we recognize revenue over time on a proportional performance basis. A brief description of these policies and estimates is included below:</w:t>
      </w:r>
    </w:p>
    <w:p>
      <w:pPr>
        <w:spacing w:after="0" w:line="197" w:lineRule="exact"/>
        <w:rPr>
          <w:sz w:val="20"/>
          <w:szCs w:val="20"/>
          <w:color w:val="auto"/>
        </w:rPr>
      </w:pPr>
    </w:p>
    <w:p>
      <w:pPr>
        <w:ind w:right="80"/>
        <w:spacing w:after="0" w:line="349" w:lineRule="auto"/>
        <w:rPr>
          <w:sz w:val="20"/>
          <w:szCs w:val="20"/>
          <w:color w:val="auto"/>
        </w:rPr>
      </w:pPr>
      <w:r>
        <w:rPr>
          <w:rFonts w:ascii="Arial" w:cs="Arial" w:eastAsia="Arial" w:hAnsi="Arial"/>
          <w:sz w:val="18"/>
          <w:szCs w:val="18"/>
          <w:i w:val="1"/>
          <w:iCs w:val="1"/>
          <w:color w:val="auto"/>
        </w:rPr>
        <w:t xml:space="preserve">Estimation of transaction prices </w:t>
      </w:r>
      <w:r>
        <w:rPr>
          <w:rFonts w:ascii="Arial" w:cs="Arial" w:eastAsia="Arial" w:hAnsi="Arial"/>
          <w:sz w:val="18"/>
          <w:szCs w:val="18"/>
          <w:color w:val="auto"/>
        </w:rPr>
        <w:t>— This process occurs most frequently in certain broking transactions. In situations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which our fees are not fixed but are variable, we must estimate the likely commission per policy, taking into account the likelihood of cancellation before the end of the policy. For Medicare broking and Affinity arrangements, the commissions to which we will be entitled can vary based on the underlying individual insurance policies that are placed. For Medicare broking in particular, we base the estimates of transaction prices on supportable evidence from an analysis of past transactions, and only include amounts that are probable of being received or not refunded (referred to as applying ‘constraint’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Prior to the sale of TRANZACT, we had direct-to-consumer Medicare broking arrangements. The estimate of the total renewal commissions received over the lifetime of the policy required significant judgment, and varied based on product type, estimated commission rates, the expected lives of the respective policies and other factors. The Company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 / 47</w:t>
      </w:r>
    </w:p>
    <w:p>
      <w:pPr>
        <w:sectPr>
          <w:pgSz w:w="11900" w:h="16838" w:orient="portrait"/>
          <w:cols w:equalWidth="0" w:num="1">
            <w:col w:w="9400"/>
          </w:cols>
          <w:pgMar w:left="1260" w:top="1440" w:right="1246" w:bottom="0" w:gutter="0" w:footer="0" w:header="0"/>
          <w:type w:val="continuous"/>
        </w:sectPr>
      </w:pPr>
    </w:p>
    <w:bookmarkStart w:id="126" w:name="page127"/>
    <w:bookmarkEnd w:id="126"/>
    <w:p>
      <w:pPr>
        <w:ind w:right="140"/>
        <w:spacing w:after="0" w:line="310" w:lineRule="auto"/>
        <w:rPr>
          <w:sz w:val="20"/>
          <w:szCs w:val="20"/>
          <w:color w:val="auto"/>
        </w:rPr>
      </w:pPr>
      <w:r>
        <w:rPr>
          <w:rFonts w:ascii="Arial" w:cs="Arial" w:eastAsia="Arial" w:hAnsi="Arial"/>
          <w:sz w:val="20"/>
          <w:szCs w:val="20"/>
          <w:color w:val="auto"/>
        </w:rPr>
        <w:t>applied an actuarial model to account for these uncertainties, which was updated periodically based on actual experience. Each of these processes resulted in us estimating a transaction price that could have been significantly lower than the ultimate amount of commissions we would have collected. The transaction price was then adjusted over time as we received confirmation of our remuneration through receipt of commissions, or as other information became available.</w:t>
      </w:r>
    </w:p>
    <w:p>
      <w:pPr>
        <w:spacing w:after="0" w:line="195" w:lineRule="exact"/>
        <w:rPr>
          <w:sz w:val="20"/>
          <w:szCs w:val="20"/>
          <w:color w:val="auto"/>
        </w:rPr>
      </w:pPr>
    </w:p>
    <w:p>
      <w:pPr>
        <w:ind w:right="140"/>
        <w:spacing w:after="0" w:line="350" w:lineRule="auto"/>
        <w:rPr>
          <w:sz w:val="20"/>
          <w:szCs w:val="20"/>
          <w:color w:val="auto"/>
        </w:rPr>
      </w:pPr>
      <w:r>
        <w:rPr>
          <w:rFonts w:ascii="Arial" w:cs="Arial" w:eastAsia="Arial" w:hAnsi="Arial"/>
          <w:sz w:val="18"/>
          <w:szCs w:val="18"/>
          <w:i w:val="1"/>
          <w:iCs w:val="1"/>
          <w:color w:val="auto"/>
        </w:rPr>
        <w:t xml:space="preserve">Proportional performance basis over time recognition </w:t>
      </w:r>
      <w:r>
        <w:rPr>
          <w:rFonts w:ascii="Arial" w:cs="Arial" w:eastAsia="Arial" w:hAnsi="Arial"/>
          <w:sz w:val="18"/>
          <w:szCs w:val="18"/>
          <w:color w:val="auto"/>
        </w:rPr>
        <w:t>— Where we recognize revenue on a proportional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basis, primarily in our consulting and outsourced administration arrangements, the amount we recognize is affected by a number of factors that can change the estimated amount of work required to complete the project, such as the staffing on the engagement and/or the level of client participation. Our periodic engagement evaluations require us to make judgments and estimates regarding the overall profitability and stages of project completion that, in turn, affect how we recognize revenue. We recognize a loss on an engagement when estimated revenue to be received for that engagement is less than the total estimated costs associated with the engagement.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60" w:lineRule="exact"/>
        <w:rPr>
          <w:sz w:val="20"/>
          <w:szCs w:val="20"/>
          <w:color w:val="auto"/>
        </w:rPr>
      </w:pPr>
    </w:p>
    <w:p>
      <w:pPr>
        <w:spacing w:after="0" w:line="309" w:lineRule="auto"/>
        <w:rPr>
          <w:sz w:val="20"/>
          <w:szCs w:val="20"/>
          <w:color w:val="auto"/>
        </w:rPr>
      </w:pPr>
      <w:r>
        <w:rPr>
          <w:rFonts w:ascii="Arial" w:cs="Arial" w:eastAsia="Arial" w:hAnsi="Arial"/>
          <w:sz w:val="20"/>
          <w:szCs w:val="20"/>
          <w:color w:val="auto"/>
        </w:rPr>
        <w:t>The Company recognizes deferred tax assets and liabilities for the estimated future tax consequences of events attributable to differences between the financial statement carrying amounts of existing assets and liabilities and their respective tax bases and operating and capital loss and tax credit carryforwards. Deferred tax assets and liabilities are measured using enacted tax rates in effect</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 / 47</w:t>
      </w:r>
    </w:p>
    <w:p>
      <w:pPr>
        <w:sectPr>
          <w:pgSz w:w="11900" w:h="16838" w:orient="portrait"/>
          <w:cols w:equalWidth="0" w:num="1">
            <w:col w:w="9380"/>
          </w:cols>
          <w:pgMar w:left="1260" w:top="1173" w:right="1266" w:bottom="0" w:gutter="0" w:footer="0" w:header="0"/>
          <w:type w:val="continuous"/>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for the year in which the differences are expected to be recovered or settled. The effect on deferred tax assets and liabilities of changes in tax rates is recognized in the consolidated statement of comprehensive income in the period in which the change is enacted. Deferred tax assets are reduced through the establishment of a valuation allowance at such time as, based on available evidence, it is more likely than not that the deferred tax assets will not be realized. The Company adjusts valuation allowances to measure deferred tax assets at the amounts considered realizable in future periods, which is assessed at each balance sheet date. In making such determinations, the Company considers all available positive and negative evidence, including future reversals of existing taxable temporary differences, projected future taxable income, tax planning strategies and recent financial operating results. We place more reliance on evidence that is objectively verifiable.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Commitments, Contingencies and Accrued Liabilities</w:t>
      </w:r>
    </w:p>
    <w:p>
      <w:pPr>
        <w:spacing w:after="0" w:line="260" w:lineRule="exact"/>
        <w:rPr>
          <w:sz w:val="20"/>
          <w:szCs w:val="20"/>
          <w:color w:val="auto"/>
        </w:rPr>
      </w:pPr>
    </w:p>
    <w:p>
      <w:pPr>
        <w:ind w:right="160"/>
        <w:spacing w:after="0" w:line="350" w:lineRule="auto"/>
        <w:rPr>
          <w:sz w:val="20"/>
          <w:szCs w:val="20"/>
          <w:color w:val="auto"/>
        </w:rPr>
      </w:pPr>
      <w:r>
        <w:rPr>
          <w:rFonts w:ascii="Arial" w:cs="Arial" w:eastAsia="Arial" w:hAnsi="Arial"/>
          <w:sz w:val="18"/>
          <w:szCs w:val="18"/>
          <w:color w:val="auto"/>
        </w:rPr>
        <w:t>We have established provisions against various actual and potential claims, lawsuits and other proceedings relating principally to alleged errors and omissions in connection with the placement of insurance and reinsurance and the provision of consulting services in the ordinary course of business. Such provisions cover claims that have been reported but not paid and also claims that have been incurred but not reported. These provisions are established based on actuarial estimates together with individual case reviews and are believed to be adequate in the light of current information and legal advice. In certain cases, where a range of loss exists, we accrue the minimum amount in the range if no amount within the range is a better estimate than any other amount.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See Note 15 — Commitments and Contingencies in Item 8 within this Annual Report on Form 10-K.</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Pension Assumptions</w:t>
      </w:r>
    </w:p>
    <w:p>
      <w:pPr>
        <w:spacing w:after="0" w:line="260" w:lineRule="exact"/>
        <w:rPr>
          <w:sz w:val="20"/>
          <w:szCs w:val="20"/>
          <w:color w:val="auto"/>
        </w:rPr>
      </w:pPr>
    </w:p>
    <w:p>
      <w:pPr>
        <w:ind w:right="40"/>
        <w:spacing w:after="0" w:line="351" w:lineRule="auto"/>
        <w:rPr>
          <w:sz w:val="20"/>
          <w:szCs w:val="20"/>
          <w:color w:val="auto"/>
        </w:rPr>
      </w:pPr>
      <w:r>
        <w:rPr>
          <w:rFonts w:ascii="Arial" w:cs="Arial" w:eastAsia="Arial" w:hAnsi="Arial"/>
          <w:sz w:val="18"/>
          <w:szCs w:val="18"/>
          <w:color w:val="auto"/>
        </w:rPr>
        <w:t>We maintain defined benefit pension plans for employees in several countries, with the most significant defined benefit plans offered in the U.S. and U.K. Our disclosures in Note 13 — Retirement Benefits within this Annual Report on Form 10-K contain additional information about our other less significant but material retirement plans. Within our critical accounting policy discussion, we have excluded analysis for plans outside of those noted in the description below, as any variance of recorded information based on management’s estimates would not be material.</w:t>
      </w:r>
    </w:p>
    <w:p>
      <w:pPr>
        <w:spacing w:after="0" w:line="166" w:lineRule="exact"/>
        <w:rPr>
          <w:sz w:val="20"/>
          <w:szCs w:val="20"/>
          <w:color w:val="auto"/>
        </w:rPr>
      </w:pPr>
    </w:p>
    <w:p>
      <w:pPr>
        <w:ind w:right="240"/>
        <w:spacing w:after="0" w:line="302" w:lineRule="auto"/>
        <w:rPr>
          <w:sz w:val="20"/>
          <w:szCs w:val="20"/>
          <w:color w:val="auto"/>
        </w:rPr>
      </w:pPr>
      <w:r>
        <w:rPr>
          <w:rFonts w:ascii="Arial" w:cs="Arial" w:eastAsia="Arial" w:hAnsi="Arial"/>
          <w:sz w:val="20"/>
          <w:szCs w:val="20"/>
          <w:color w:val="auto"/>
        </w:rPr>
        <w:t>Descriptions of our U.S. and U.K. plans, which comprise 87% of our projected benefit obligations and 88% of our plan assets, are below:</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United States</w:t>
      </w:r>
    </w:p>
    <w:p>
      <w:pPr>
        <w:spacing w:after="0" w:line="250" w:lineRule="exact"/>
        <w:rPr>
          <w:sz w:val="20"/>
          <w:szCs w:val="20"/>
          <w:color w:val="auto"/>
        </w:rPr>
      </w:pPr>
    </w:p>
    <w:p>
      <w:pPr>
        <w:ind w:left="620"/>
        <w:spacing w:after="0"/>
        <w:rPr>
          <w:sz w:val="20"/>
          <w:szCs w:val="20"/>
          <w:color w:val="auto"/>
        </w:rPr>
      </w:pPr>
      <w:r>
        <w:rPr>
          <w:rFonts w:ascii="Arial" w:cs="Arial" w:eastAsia="Arial" w:hAnsi="Arial"/>
          <w:sz w:val="20"/>
          <w:szCs w:val="20"/>
          <w:u w:val="single" w:color="auto"/>
          <w:color w:val="auto"/>
        </w:rPr>
        <w:t>Legacy broking</w:t>
      </w:r>
    </w:p>
    <w:p>
      <w:pPr>
        <w:spacing w:after="0" w:line="80" w:lineRule="exact"/>
        <w:rPr>
          <w:sz w:val="20"/>
          <w:szCs w:val="20"/>
          <w:color w:val="auto"/>
        </w:rPr>
      </w:pPr>
    </w:p>
    <w:p>
      <w:pPr>
        <w:ind w:left="620" w:right="240"/>
        <w:spacing w:after="0" w:line="307" w:lineRule="auto"/>
        <w:rPr>
          <w:sz w:val="20"/>
          <w:szCs w:val="20"/>
          <w:color w:val="auto"/>
        </w:rPr>
      </w:pPr>
      <w:r>
        <w:rPr>
          <w:rFonts w:ascii="Arial" w:cs="Arial" w:eastAsia="Arial" w:hAnsi="Arial"/>
          <w:sz w:val="20"/>
          <w:szCs w:val="20"/>
          <w:u w:val="single" w:color="auto"/>
          <w:color w:val="auto"/>
        </w:rPr>
        <w:t>business</w:t>
      </w:r>
      <w:r>
        <w:rPr>
          <w:rFonts w:ascii="Arial" w:cs="Arial" w:eastAsia="Arial" w:hAnsi="Arial"/>
          <w:sz w:val="20"/>
          <w:szCs w:val="20"/>
          <w:color w:val="auto"/>
        </w:rPr>
        <w:t xml:space="preserve"> – This plan was frozen in 2009. Approximately 550 WTW employees in the United States have a frozen accrued benefit under this plan. On August 31, 2025, this plan, including all of its assets and participants, merged into the WTW Plan.</w:t>
      </w:r>
    </w:p>
    <w:p>
      <w:pPr>
        <w:spacing w:after="0" w:line="197" w:lineRule="exact"/>
        <w:rPr>
          <w:sz w:val="20"/>
          <w:szCs w:val="20"/>
          <w:color w:val="auto"/>
        </w:rPr>
      </w:pPr>
    </w:p>
    <w:p>
      <w:pPr>
        <w:ind w:left="620"/>
        <w:spacing w:after="0" w:line="329" w:lineRule="auto"/>
        <w:rPr>
          <w:sz w:val="20"/>
          <w:szCs w:val="20"/>
          <w:color w:val="auto"/>
        </w:rPr>
      </w:pPr>
      <w:r>
        <w:rPr>
          <w:rFonts w:ascii="Arial" w:cs="Arial" w:eastAsia="Arial" w:hAnsi="Arial"/>
          <w:sz w:val="19"/>
          <w:szCs w:val="19"/>
          <w:u w:val="single" w:color="auto"/>
          <w:color w:val="auto"/>
        </w:rPr>
        <w:t>WTW Plan</w:t>
      </w:r>
      <w:r>
        <w:rPr>
          <w:rFonts w:ascii="Arial" w:cs="Arial" w:eastAsia="Arial" w:hAnsi="Arial"/>
          <w:sz w:val="19"/>
          <w:szCs w:val="19"/>
          <w:color w:val="auto"/>
        </w:rPr>
        <w:t xml:space="preserve"> – Substantially all U.S. employees are eligible to participate in this plan. Benefits are provided under a stable value pension plan design. The original stable value design came into effect on January 1, 2012. Plan participants prior to July 1, 2017 earn benefits without having to make employee contributions, and all newly-eligible employees after that date were required to contribute 2% of pay on an after-tax basis to participate in the plan. Effective January 1, 2024, stable value benefits are earned under the same contributory formula for all eligible colleagues. To participate, plan participants are required to contribute 2% of eligible earnings (base salary only) on an after-tax basis.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 / 47</w:t>
      </w:r>
    </w:p>
    <w:p>
      <w:pPr>
        <w:sectPr>
          <w:pgSz w:w="11900" w:h="16838" w:orient="portrait"/>
          <w:cols w:equalWidth="0" w:num="1">
            <w:col w:w="9380"/>
          </w:cols>
          <w:pgMar w:left="1260" w:top="1440" w:right="1266" w:bottom="0" w:gutter="0" w:footer="0" w:header="0"/>
          <w:type w:val="continuous"/>
        </w:sectPr>
      </w:pPr>
    </w:p>
    <w:bookmarkStart w:id="128" w:name="page129"/>
    <w:bookmarkEnd w:id="128"/>
    <w:p>
      <w:pPr>
        <w:ind w:left="120"/>
        <w:spacing w:after="0"/>
        <w:rPr>
          <w:sz w:val="20"/>
          <w:szCs w:val="20"/>
          <w:color w:val="auto"/>
        </w:rPr>
      </w:pPr>
      <w:r>
        <w:rPr>
          <w:rFonts w:ascii="Arial" w:cs="Arial" w:eastAsia="Arial" w:hAnsi="Arial"/>
          <w:sz w:val="20"/>
          <w:szCs w:val="20"/>
          <w:i w:val="1"/>
          <w:iCs w:val="1"/>
          <w:color w:val="auto"/>
        </w:rPr>
        <w:t>United Kingdom</w:t>
      </w:r>
    </w:p>
    <w:p>
      <w:pPr>
        <w:spacing w:after="0" w:line="260" w:lineRule="exact"/>
        <w:rPr>
          <w:sz w:val="20"/>
          <w:szCs w:val="20"/>
          <w:color w:val="auto"/>
        </w:rPr>
      </w:pPr>
    </w:p>
    <w:p>
      <w:pPr>
        <w:ind w:left="440"/>
        <w:spacing w:after="0" w:line="307" w:lineRule="auto"/>
        <w:rPr>
          <w:sz w:val="20"/>
          <w:szCs w:val="20"/>
          <w:color w:val="auto"/>
        </w:rPr>
      </w:pPr>
      <w:r>
        <w:rPr>
          <w:rFonts w:ascii="Arial" w:cs="Arial" w:eastAsia="Arial" w:hAnsi="Arial"/>
          <w:sz w:val="20"/>
          <w:szCs w:val="20"/>
          <w:u w:val="single" w:color="auto"/>
          <w:color w:val="auto"/>
        </w:rPr>
        <w:t>Legacy broking business</w:t>
      </w:r>
      <w:r>
        <w:rPr>
          <w:rFonts w:ascii="Arial" w:cs="Arial" w:eastAsia="Arial" w:hAnsi="Arial"/>
          <w:sz w:val="20"/>
          <w:szCs w:val="20"/>
          <w:color w:val="auto"/>
        </w:rPr>
        <w:t xml:space="preserve"> – This plan covers approximately 400 WTW employees in the U.K. that were historically part of the broking business. The plan is now closed to new entrants. New employees in the U.K. are offered the opportunity to join a defined contribution plan.</w:t>
      </w:r>
    </w:p>
    <w:p>
      <w:pPr>
        <w:spacing w:after="0" w:line="197" w:lineRule="exact"/>
        <w:rPr>
          <w:sz w:val="20"/>
          <w:szCs w:val="20"/>
          <w:color w:val="auto"/>
        </w:rPr>
      </w:pPr>
    </w:p>
    <w:p>
      <w:pPr>
        <w:ind w:left="440" w:right="20"/>
        <w:spacing w:after="0" w:line="351" w:lineRule="auto"/>
        <w:rPr>
          <w:sz w:val="20"/>
          <w:szCs w:val="20"/>
          <w:color w:val="auto"/>
        </w:rPr>
      </w:pPr>
      <w:r>
        <w:rPr>
          <w:rFonts w:ascii="Arial" w:cs="Arial" w:eastAsia="Arial" w:hAnsi="Arial"/>
          <w:sz w:val="18"/>
          <w:szCs w:val="18"/>
          <w:u w:val="single" w:color="auto"/>
          <w:color w:val="auto"/>
        </w:rPr>
        <w:t>Legacy consulting business</w:t>
      </w:r>
      <w:r>
        <w:rPr>
          <w:rFonts w:ascii="Arial" w:cs="Arial" w:eastAsia="Arial" w:hAnsi="Arial"/>
          <w:sz w:val="18"/>
          <w:szCs w:val="18"/>
          <w:color w:val="auto"/>
        </w:rPr>
        <w:t xml:space="preserve"> – There are two benefit formulas covering different legacy consulting populations. Benefit accruals earned under the first plan formula (predominantly pension benefits) ceased on February 28, 2015, although benefits earned prior to January 1, 2008 retain a link to salary until the employee leaves the Company. Benefit accruals earned under the second plan formula (predominantly lump sum benefits) were frozen on March 31, 2008. All participants now accrue defined contribution benefits.</w:t>
      </w:r>
    </w:p>
    <w:p>
      <w:pPr>
        <w:spacing w:after="0" w:line="217"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6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42 / 47</w:t>
      </w:r>
    </w:p>
    <w:p>
      <w:pPr>
        <w:sectPr>
          <w:pgSz w:w="11900" w:h="16838" w:orient="portrait"/>
          <w:cols w:equalWidth="0" w:num="1">
            <w:col w:w="9160"/>
          </w:cols>
          <w:pgMar w:left="1440" w:top="1163" w:right="1306" w:bottom="0" w:gutter="0" w:footer="0" w:header="0"/>
          <w:type w:val="continuous"/>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0"/>
        <w:spacing w:after="0" w:line="329" w:lineRule="auto"/>
        <w:rPr>
          <w:sz w:val="20"/>
          <w:szCs w:val="20"/>
          <w:color w:val="auto"/>
        </w:rPr>
      </w:pPr>
      <w:r>
        <w:rPr>
          <w:rFonts w:ascii="Arial" w:cs="Arial" w:eastAsia="Arial" w:hAnsi="Arial"/>
          <w:sz w:val="19"/>
          <w:szCs w:val="19"/>
          <w:color w:val="auto"/>
        </w:rPr>
        <w:t>The determination of the Company’s obligations and annual expense under the plans is based on a number of assumptions that, given the longevity of the plans, are long-term in focus. A change in one or a combination of these assumptions could have a material impact on our projected benefit obligation. However, certain of these changes, such as changes in the discount rates and other actuarial assumptions, are not recognized immediately in net income, but are instead recorded in other comprehensive income. The accumulated gains and losses not yet recognized in net income are amortized into net income as a component of the net periodic benefit cost/(credit) over the average remaining service period or average remaining life expectancy, as appropriate, of the plan’s participants to the extent that the net gains or losses as of the beginning of the year exceed 10% of the greater of the market-related value of plan assets or the projected benefit obligation.</w:t>
      </w:r>
    </w:p>
    <w:p>
      <w:pPr>
        <w:spacing w:after="0" w:line="184"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WTW considers several factors prior to the start of each fiscal year when determining the appropriate annual assumptions, including economic forecasts, relevant benchmarks, historical trends, portfolio composition and peer company comparisons. These assumptions, used to determine our pension liabilities and pension expense, are reviewed annually by senior management and changed when appropriate. A discount rate will be changed annually if underlying rates have moved, whereas an expected long-term return on assets will be changed less frequently as longer-term trends in asset returns emerge or long-term target asset allocations are revised. To calculate the discount rate, we use the granular approach to determining service cost and interest cost. The expected rate of return assumptions for all plans are supported by an analysis of the weighted-average yield expected to be achieved with the anticipated makeup of investments. We have allowed for actual and known inflation in preparing our estimates. Other material assumptions include rates of participant mortality, and the expected long-term rates of compensation and pension increases.</w:t>
      </w:r>
    </w:p>
    <w:p>
      <w:pPr>
        <w:spacing w:after="0" w:line="185" w:lineRule="exact"/>
        <w:rPr>
          <w:sz w:val="20"/>
          <w:szCs w:val="20"/>
          <w:color w:val="auto"/>
        </w:rPr>
      </w:pPr>
    </w:p>
    <w:p>
      <w:pPr>
        <w:ind w:right="160"/>
        <w:spacing w:after="0" w:line="309" w:lineRule="auto"/>
        <w:rPr>
          <w:sz w:val="20"/>
          <w:szCs w:val="20"/>
          <w:color w:val="auto"/>
        </w:rPr>
      </w:pPr>
      <w:r>
        <w:rPr>
          <w:rFonts w:ascii="Arial" w:cs="Arial" w:eastAsia="Arial" w:hAnsi="Arial"/>
          <w:sz w:val="20"/>
          <w:szCs w:val="20"/>
          <w:color w:val="auto"/>
        </w:rPr>
        <w:t>Funding is based on actuarially determined contributions and is limited to amounts that are currently deductible for tax purposes, or as agreed to with the plan trustees for the U.K. plans. Since funding calculations are based on different measurements than those used for accounting purposes, pension contributions are not equal to net periodic benefit cost.</w:t>
      </w:r>
    </w:p>
    <w:p>
      <w:pPr>
        <w:spacing w:after="0" w:line="196" w:lineRule="exact"/>
        <w:rPr>
          <w:sz w:val="20"/>
          <w:szCs w:val="20"/>
          <w:color w:val="auto"/>
        </w:rPr>
      </w:pPr>
    </w:p>
    <w:p>
      <w:pPr>
        <w:ind w:right="80"/>
        <w:spacing w:after="0" w:line="330" w:lineRule="auto"/>
        <w:rPr>
          <w:sz w:val="20"/>
          <w:szCs w:val="20"/>
          <w:color w:val="auto"/>
        </w:rPr>
      </w:pPr>
      <w:r>
        <w:rPr>
          <w:rFonts w:ascii="Arial" w:cs="Arial" w:eastAsia="Arial" w:hAnsi="Arial"/>
          <w:sz w:val="19"/>
          <w:szCs w:val="19"/>
          <w:color w:val="auto"/>
        </w:rPr>
        <w:t>We recorded a combined $109 million net periodic benefit cost for our U.S. and U.K. plans for the year ended December 31, 2025. For the U.S. and U.K. plans, the following table presents our estimated net periodic benefit cost for 2025 and the impact to both plans of a 0.25% increase and decrease to both the expected return on assets (‘EROA’) and the discount rate assumptions; and the projected benefit obligations as of December 31, 2025 and the impact of a 0.25% increase and decrease to the discount rates: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jc w:val="center"/>
              <w:ind w:right="209"/>
              <w:spacing w:after="0"/>
              <w:rPr>
                <w:sz w:val="20"/>
                <w:szCs w:val="20"/>
                <w:color w:val="auto"/>
              </w:rPr>
            </w:pPr>
            <w:r>
              <w:rPr>
                <w:rFonts w:ascii="Arial" w:cs="Arial" w:eastAsia="Arial" w:hAnsi="Arial"/>
                <w:sz w:val="16"/>
                <w:szCs w:val="16"/>
                <w:b w:val="1"/>
                <w:bCs w:val="1"/>
                <w:color w:val="auto"/>
                <w:w w:val="91"/>
              </w:rPr>
              <w:t>Totals -</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0"/>
        </w:trPr>
        <w:tc>
          <w:tcPr>
            <w:tcW w:w="2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jc w:val="center"/>
              <w:ind w:right="209"/>
              <w:spacing w:after="0"/>
              <w:rPr>
                <w:sz w:val="20"/>
                <w:szCs w:val="20"/>
                <w:color w:val="auto"/>
              </w:rPr>
            </w:pPr>
            <w:r>
              <w:rPr>
                <w:rFonts w:ascii="Arial" w:cs="Arial" w:eastAsia="Arial" w:hAnsi="Arial"/>
                <w:sz w:val="16"/>
                <w:szCs w:val="16"/>
                <w:b w:val="1"/>
                <w:bCs w:val="1"/>
                <w:color w:val="auto"/>
                <w:w w:val="94"/>
              </w:rPr>
              <w:t>current</w:t>
            </w:r>
          </w:p>
        </w:tc>
        <w:tc>
          <w:tcPr>
            <w:tcW w:w="260" w:type="dxa"/>
            <w:vAlign w:val="bottom"/>
          </w:tcPr>
          <w:p>
            <w:pPr>
              <w:spacing w:after="0"/>
              <w:rPr>
                <w:sz w:val="20"/>
                <w:szCs w:val="20"/>
                <w:color w:val="auto"/>
              </w:rPr>
            </w:pPr>
          </w:p>
        </w:tc>
        <w:tc>
          <w:tcPr>
            <w:tcW w:w="2260" w:type="dxa"/>
            <w:vAlign w:val="bottom"/>
            <w:gridSpan w:val="3"/>
          </w:tcPr>
          <w:p>
            <w:pPr>
              <w:jc w:val="right"/>
              <w:ind w:right="264"/>
              <w:spacing w:after="0"/>
              <w:rPr>
                <w:sz w:val="20"/>
                <w:szCs w:val="20"/>
                <w:color w:val="auto"/>
              </w:rPr>
            </w:pPr>
            <w:r>
              <w:rPr>
                <w:rFonts w:ascii="Arial" w:cs="Arial" w:eastAsia="Arial" w:hAnsi="Arial"/>
                <w:sz w:val="16"/>
                <w:szCs w:val="16"/>
                <w:b w:val="1"/>
                <w:bCs w:val="1"/>
                <w:color w:val="auto"/>
                <w:w w:val="93"/>
              </w:rPr>
              <w:t>Impact of 0.25% change to</w:t>
            </w:r>
          </w:p>
        </w:tc>
        <w:tc>
          <w:tcPr>
            <w:tcW w:w="240" w:type="dxa"/>
            <w:vAlign w:val="bottom"/>
          </w:tcPr>
          <w:p>
            <w:pPr>
              <w:spacing w:after="0"/>
              <w:rPr>
                <w:sz w:val="20"/>
                <w:szCs w:val="20"/>
                <w:color w:val="auto"/>
              </w:rPr>
            </w:pPr>
          </w:p>
        </w:tc>
        <w:tc>
          <w:tcPr>
            <w:tcW w:w="2240" w:type="dxa"/>
            <w:vAlign w:val="bottom"/>
            <w:gridSpan w:val="3"/>
          </w:tcPr>
          <w:p>
            <w:pPr>
              <w:jc w:val="right"/>
              <w:ind w:right="244"/>
              <w:spacing w:after="0"/>
              <w:rPr>
                <w:sz w:val="20"/>
                <w:szCs w:val="20"/>
                <w:color w:val="auto"/>
              </w:rPr>
            </w:pPr>
            <w:r>
              <w:rPr>
                <w:rFonts w:ascii="Arial" w:cs="Arial" w:eastAsia="Arial" w:hAnsi="Arial"/>
                <w:sz w:val="16"/>
                <w:szCs w:val="16"/>
                <w:b w:val="1"/>
                <w:bCs w:val="1"/>
                <w:color w:val="auto"/>
                <w:w w:val="93"/>
              </w:rPr>
              <w:t>Impact of 0.25% change to</w:t>
            </w:r>
          </w:p>
        </w:tc>
      </w:tr>
      <w:tr>
        <w:trPr>
          <w:trHeight w:val="240"/>
        </w:trPr>
        <w:tc>
          <w:tcPr>
            <w:tcW w:w="2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jc w:val="center"/>
              <w:ind w:right="149"/>
              <w:spacing w:after="0"/>
              <w:rPr>
                <w:sz w:val="20"/>
                <w:szCs w:val="20"/>
                <w:color w:val="auto"/>
              </w:rPr>
            </w:pPr>
            <w:r>
              <w:rPr>
                <w:rFonts w:ascii="Arial" w:cs="Arial" w:eastAsia="Arial" w:hAnsi="Arial"/>
                <w:sz w:val="16"/>
                <w:szCs w:val="16"/>
                <w:b w:val="1"/>
                <w:bCs w:val="1"/>
                <w:color w:val="auto"/>
                <w:w w:val="83"/>
              </w:rPr>
              <w:t>estimates</w:t>
            </w:r>
          </w:p>
        </w:tc>
        <w:tc>
          <w:tcPr>
            <w:tcW w:w="2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EROA</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3"/>
          </w:tcPr>
          <w:p>
            <w:pPr>
              <w:jc w:val="right"/>
              <w:ind w:right="704"/>
              <w:spacing w:after="0"/>
              <w:rPr>
                <w:sz w:val="20"/>
                <w:szCs w:val="20"/>
                <w:color w:val="auto"/>
              </w:rPr>
            </w:pPr>
            <w:r>
              <w:rPr>
                <w:rFonts w:ascii="Arial" w:cs="Arial" w:eastAsia="Arial" w:hAnsi="Arial"/>
                <w:sz w:val="16"/>
                <w:szCs w:val="16"/>
                <w:b w:val="1"/>
                <w:bCs w:val="1"/>
                <w:color w:val="auto"/>
              </w:rPr>
              <w:t>discount rate</w:t>
            </w:r>
          </w:p>
        </w:tc>
      </w:tr>
      <w:tr>
        <w:trPr>
          <w:trHeight w:val="250"/>
        </w:trPr>
        <w:tc>
          <w:tcPr>
            <w:tcW w:w="2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269"/>
              <w:spacing w:after="0"/>
              <w:rPr>
                <w:sz w:val="20"/>
                <w:szCs w:val="20"/>
                <w:color w:val="auto"/>
              </w:rPr>
            </w:pPr>
            <w:r>
              <w:rPr>
                <w:rFonts w:ascii="Arial" w:cs="Arial" w:eastAsia="Arial" w:hAnsi="Arial"/>
                <w:sz w:val="16"/>
                <w:szCs w:val="16"/>
                <w:b w:val="1"/>
                <w:bCs w:val="1"/>
                <w:color w:val="auto"/>
                <w:w w:val="98"/>
              </w:rPr>
              <w:t>Increase</w:t>
            </w:r>
          </w:p>
        </w:tc>
        <w:tc>
          <w:tcPr>
            <w:tcW w:w="260" w:type="dxa"/>
            <w:vAlign w:val="bottom"/>
          </w:tcPr>
          <w:p>
            <w:pPr>
              <w:spacing w:after="0"/>
              <w:rPr>
                <w:sz w:val="21"/>
                <w:szCs w:val="21"/>
                <w:color w:val="auto"/>
              </w:rPr>
            </w:pPr>
          </w:p>
        </w:tc>
        <w:tc>
          <w:tcPr>
            <w:tcW w:w="980" w:type="dxa"/>
            <w:vAlign w:val="bottom"/>
          </w:tcPr>
          <w:p>
            <w:pPr>
              <w:jc w:val="right"/>
              <w:ind w:right="244"/>
              <w:spacing w:after="0"/>
              <w:rPr>
                <w:sz w:val="20"/>
                <w:szCs w:val="20"/>
                <w:color w:val="auto"/>
              </w:rPr>
            </w:pPr>
            <w:r>
              <w:rPr>
                <w:rFonts w:ascii="Arial" w:cs="Arial" w:eastAsia="Arial" w:hAnsi="Arial"/>
                <w:sz w:val="16"/>
                <w:szCs w:val="16"/>
                <w:b w:val="1"/>
                <w:bCs w:val="1"/>
                <w:color w:val="auto"/>
                <w:w w:val="87"/>
              </w:rPr>
              <w:t>Decrease</w:t>
            </w:r>
          </w:p>
        </w:tc>
        <w:tc>
          <w:tcPr>
            <w:tcW w:w="240" w:type="dxa"/>
            <w:vAlign w:val="bottom"/>
          </w:tcPr>
          <w:p>
            <w:pPr>
              <w:spacing w:after="0"/>
              <w:rPr>
                <w:sz w:val="21"/>
                <w:szCs w:val="21"/>
                <w:color w:val="auto"/>
              </w:rPr>
            </w:pPr>
          </w:p>
        </w:tc>
        <w:tc>
          <w:tcPr>
            <w:tcW w:w="1020" w:type="dxa"/>
            <w:vAlign w:val="bottom"/>
          </w:tcPr>
          <w:p>
            <w:pPr>
              <w:jc w:val="right"/>
              <w:ind w:right="269"/>
              <w:spacing w:after="0"/>
              <w:rPr>
                <w:sz w:val="20"/>
                <w:szCs w:val="20"/>
                <w:color w:val="auto"/>
              </w:rPr>
            </w:pPr>
            <w:r>
              <w:rPr>
                <w:rFonts w:ascii="Arial" w:cs="Arial" w:eastAsia="Arial" w:hAnsi="Arial"/>
                <w:sz w:val="16"/>
                <w:szCs w:val="16"/>
                <w:b w:val="1"/>
                <w:bCs w:val="1"/>
                <w:color w:val="auto"/>
                <w:w w:val="98"/>
              </w:rPr>
              <w:t>Increase</w:t>
            </w:r>
          </w:p>
        </w:tc>
        <w:tc>
          <w:tcPr>
            <w:tcW w:w="240" w:type="dxa"/>
            <w:vAlign w:val="bottom"/>
          </w:tcPr>
          <w:p>
            <w:pPr>
              <w:spacing w:after="0"/>
              <w:rPr>
                <w:sz w:val="21"/>
                <w:szCs w:val="21"/>
                <w:color w:val="auto"/>
              </w:rPr>
            </w:pPr>
          </w:p>
        </w:tc>
        <w:tc>
          <w:tcPr>
            <w:tcW w:w="980" w:type="dxa"/>
            <w:vAlign w:val="bottom"/>
          </w:tcPr>
          <w:p>
            <w:pPr>
              <w:jc w:val="right"/>
              <w:ind w:right="224"/>
              <w:spacing w:after="0"/>
              <w:rPr>
                <w:sz w:val="20"/>
                <w:szCs w:val="20"/>
                <w:color w:val="auto"/>
              </w:rPr>
            </w:pPr>
            <w:r>
              <w:rPr>
                <w:rFonts w:ascii="Arial" w:cs="Arial" w:eastAsia="Arial" w:hAnsi="Arial"/>
                <w:sz w:val="16"/>
                <w:szCs w:val="16"/>
                <w:b w:val="1"/>
                <w:bCs w:val="1"/>
                <w:color w:val="auto"/>
                <w:w w:val="89"/>
              </w:rPr>
              <w:t>Decrease</w:t>
            </w:r>
          </w:p>
        </w:tc>
      </w:tr>
      <w:tr>
        <w:trPr>
          <w:trHeight w:val="42"/>
        </w:trPr>
        <w:tc>
          <w:tcPr>
            <w:tcW w:w="2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0"/>
        </w:trPr>
        <w:tc>
          <w:tcPr>
            <w:tcW w:w="2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Estimated 2026 expense:</w:t>
            </w:r>
          </w:p>
        </w:tc>
        <w:tc>
          <w:tcPr>
            <w:tcW w:w="7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59"/>
        </w:trPr>
        <w:tc>
          <w:tcPr>
            <w:tcW w:w="2640" w:type="dxa"/>
            <w:vAlign w:val="bottom"/>
          </w:tcPr>
          <w:p>
            <w:pPr>
              <w:ind w:left="60"/>
              <w:spacing w:after="0"/>
              <w:rPr>
                <w:sz w:val="20"/>
                <w:szCs w:val="20"/>
                <w:color w:val="auto"/>
              </w:rPr>
            </w:pPr>
            <w:r>
              <w:rPr>
                <w:rFonts w:ascii="Arial" w:cs="Arial" w:eastAsia="Arial" w:hAnsi="Arial"/>
                <w:sz w:val="20"/>
                <w:szCs w:val="20"/>
                <w:color w:val="auto"/>
              </w:rPr>
              <w:t>U.S. Plans</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9"/>
              <w:spacing w:after="0"/>
              <w:rPr>
                <w:sz w:val="20"/>
                <w:szCs w:val="20"/>
                <w:color w:val="auto"/>
              </w:rPr>
            </w:pPr>
            <w:r>
              <w:rPr>
                <w:rFonts w:ascii="Arial" w:cs="Arial" w:eastAsia="Arial" w:hAnsi="Arial"/>
                <w:sz w:val="20"/>
                <w:szCs w:val="20"/>
                <w:color w:val="auto"/>
              </w:rPr>
              <w:t>21</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(8)</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4"/>
              <w:spacing w:after="0"/>
              <w:rPr>
                <w:sz w:val="20"/>
                <w:szCs w:val="20"/>
                <w:color w:val="auto"/>
              </w:rPr>
            </w:pPr>
            <w:r>
              <w:rPr>
                <w:rFonts w:ascii="Arial" w:cs="Arial" w:eastAsia="Arial" w:hAnsi="Arial"/>
                <w:sz w:val="20"/>
                <w:szCs w:val="20"/>
                <w:color w:val="auto"/>
              </w:rPr>
              <w:t>8</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(8)</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4"/>
              <w:spacing w:after="0"/>
              <w:rPr>
                <w:sz w:val="20"/>
                <w:szCs w:val="20"/>
                <w:color w:val="auto"/>
              </w:rPr>
            </w:pPr>
            <w:r>
              <w:rPr>
                <w:rFonts w:ascii="Arial" w:cs="Arial" w:eastAsia="Arial" w:hAnsi="Arial"/>
                <w:sz w:val="20"/>
                <w:szCs w:val="20"/>
                <w:color w:val="auto"/>
              </w:rPr>
              <w:t>9</w:t>
            </w:r>
          </w:p>
        </w:tc>
      </w:tr>
      <w:tr>
        <w:trPr>
          <w:trHeight w:val="41"/>
        </w:trPr>
        <w:tc>
          <w:tcPr>
            <w:tcW w:w="2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0"/>
        </w:trPr>
        <w:tc>
          <w:tcPr>
            <w:tcW w:w="26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U.K. Plans</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9"/>
              <w:spacing w:after="0"/>
              <w:rPr>
                <w:sz w:val="20"/>
                <w:szCs w:val="20"/>
                <w:color w:val="auto"/>
              </w:rPr>
            </w:pPr>
            <w:r>
              <w:rPr>
                <w:rFonts w:ascii="Arial" w:cs="Arial" w:eastAsia="Arial" w:hAnsi="Arial"/>
                <w:sz w:val="20"/>
                <w:szCs w:val="20"/>
                <w:color w:val="auto"/>
              </w:rPr>
              <w:t>4</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20"/>
                <w:szCs w:val="20"/>
                <w:color w:val="auto"/>
              </w:rPr>
              <w:t>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1</w:t>
            </w:r>
          </w:p>
        </w:tc>
      </w:tr>
      <w:tr>
        <w:trPr>
          <w:trHeight w:val="259"/>
        </w:trPr>
        <w:tc>
          <w:tcPr>
            <w:tcW w:w="4400" w:type="dxa"/>
            <w:vAlign w:val="bottom"/>
            <w:gridSpan w:val="3"/>
          </w:tcPr>
          <w:p>
            <w:pPr>
              <w:spacing w:after="0"/>
              <w:rPr>
                <w:sz w:val="20"/>
                <w:szCs w:val="20"/>
                <w:color w:val="auto"/>
              </w:rPr>
            </w:pPr>
            <w:r>
              <w:rPr>
                <w:rFonts w:ascii="Arial" w:cs="Arial" w:eastAsia="Arial" w:hAnsi="Arial"/>
                <w:sz w:val="20"/>
                <w:szCs w:val="20"/>
                <w:color w:val="auto"/>
                <w:w w:val="97"/>
              </w:rPr>
              <w:t>Projected benefit obligation at December 31, 2025:</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41"/>
        </w:trPr>
        <w:tc>
          <w:tcPr>
            <w:tcW w:w="2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80"/>
        </w:trPr>
        <w:tc>
          <w:tcPr>
            <w:tcW w:w="26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U.S. Plans</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9"/>
              <w:spacing w:after="0"/>
              <w:rPr>
                <w:sz w:val="20"/>
                <w:szCs w:val="20"/>
                <w:color w:val="auto"/>
              </w:rPr>
            </w:pPr>
            <w:r>
              <w:rPr>
                <w:rFonts w:ascii="Arial" w:cs="Arial" w:eastAsia="Arial" w:hAnsi="Arial"/>
                <w:sz w:val="20"/>
                <w:szCs w:val="20"/>
                <w:color w:val="auto"/>
              </w:rPr>
              <w:t>3,550</w:t>
            </w:r>
          </w:p>
        </w:tc>
        <w:tc>
          <w:tcPr>
            <w:tcW w:w="2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49"/>
              <w:spacing w:after="0"/>
              <w:rPr>
                <w:sz w:val="20"/>
                <w:szCs w:val="20"/>
                <w:color w:val="auto"/>
              </w:rPr>
            </w:pPr>
            <w:r>
              <w:rPr>
                <w:rFonts w:ascii="Arial" w:cs="Arial" w:eastAsia="Arial" w:hAnsi="Arial"/>
                <w:sz w:val="20"/>
                <w:szCs w:val="20"/>
                <w:color w:val="auto"/>
              </w:rPr>
              <w:t>N/A</w:t>
            </w:r>
          </w:p>
        </w:tc>
        <w:tc>
          <w:tcPr>
            <w:tcW w:w="2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20"/>
                <w:szCs w:val="20"/>
                <w:color w:val="auto"/>
              </w:rPr>
              <w:t>N/A</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91</w:t>
            </w:r>
          </w:p>
        </w:tc>
      </w:tr>
      <w:tr>
        <w:trPr>
          <w:trHeight w:val="259"/>
        </w:trPr>
        <w:tc>
          <w:tcPr>
            <w:tcW w:w="2640" w:type="dxa"/>
            <w:vAlign w:val="bottom"/>
          </w:tcPr>
          <w:p>
            <w:pPr>
              <w:ind w:left="60"/>
              <w:spacing w:after="0"/>
              <w:rPr>
                <w:sz w:val="20"/>
                <w:szCs w:val="20"/>
                <w:color w:val="auto"/>
              </w:rPr>
            </w:pPr>
            <w:r>
              <w:rPr>
                <w:rFonts w:ascii="Arial" w:cs="Arial" w:eastAsia="Arial" w:hAnsi="Arial"/>
                <w:sz w:val="20"/>
                <w:szCs w:val="20"/>
                <w:color w:val="auto"/>
              </w:rPr>
              <w:t>U.K. Plans</w:t>
            </w: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9"/>
              <w:spacing w:after="0"/>
              <w:rPr>
                <w:sz w:val="20"/>
                <w:szCs w:val="20"/>
                <w:color w:val="auto"/>
              </w:rPr>
            </w:pPr>
            <w:r>
              <w:rPr>
                <w:rFonts w:ascii="Arial" w:cs="Arial" w:eastAsia="Arial" w:hAnsi="Arial"/>
                <w:sz w:val="20"/>
                <w:szCs w:val="20"/>
                <w:color w:val="auto"/>
              </w:rPr>
              <w:t>2,438</w:t>
            </w:r>
          </w:p>
        </w:tc>
        <w:tc>
          <w:tcPr>
            <w:tcW w:w="260" w:type="dxa"/>
            <w:vAlign w:val="bottom"/>
          </w:tcPr>
          <w:p>
            <w:pPr>
              <w:spacing w:after="0"/>
              <w:rPr>
                <w:sz w:val="22"/>
                <w:szCs w:val="22"/>
                <w:color w:val="auto"/>
              </w:rPr>
            </w:pPr>
          </w:p>
        </w:tc>
        <w:tc>
          <w:tcPr>
            <w:tcW w:w="1020" w:type="dxa"/>
            <w:vAlign w:val="bottom"/>
          </w:tcPr>
          <w:p>
            <w:pPr>
              <w:jc w:val="right"/>
              <w:ind w:right="49"/>
              <w:spacing w:after="0"/>
              <w:rPr>
                <w:sz w:val="20"/>
                <w:szCs w:val="20"/>
                <w:color w:val="auto"/>
              </w:rPr>
            </w:pPr>
            <w:r>
              <w:rPr>
                <w:rFonts w:ascii="Arial" w:cs="Arial" w:eastAsia="Arial" w:hAnsi="Arial"/>
                <w:sz w:val="20"/>
                <w:szCs w:val="20"/>
                <w:color w:val="auto"/>
              </w:rPr>
              <w:t>N/A</w:t>
            </w:r>
          </w:p>
        </w:tc>
        <w:tc>
          <w:tcPr>
            <w:tcW w:w="260" w:type="dxa"/>
            <w:vAlign w:val="bottom"/>
          </w:tcPr>
          <w:p>
            <w:pPr>
              <w:spacing w:after="0"/>
              <w:rPr>
                <w:sz w:val="22"/>
                <w:szCs w:val="22"/>
                <w:color w:val="auto"/>
              </w:rPr>
            </w:pPr>
          </w:p>
        </w:tc>
        <w:tc>
          <w:tcPr>
            <w:tcW w:w="980" w:type="dxa"/>
            <w:vAlign w:val="bottom"/>
          </w:tcPr>
          <w:p>
            <w:pPr>
              <w:jc w:val="right"/>
              <w:ind w:right="24"/>
              <w:spacing w:after="0"/>
              <w:rPr>
                <w:sz w:val="20"/>
                <w:szCs w:val="20"/>
                <w:color w:val="auto"/>
              </w:rPr>
            </w:pPr>
            <w:r>
              <w:rPr>
                <w:rFonts w:ascii="Arial" w:cs="Arial" w:eastAsia="Arial" w:hAnsi="Arial"/>
                <w:sz w:val="20"/>
                <w:szCs w:val="20"/>
                <w:color w:val="auto"/>
              </w:rPr>
              <w:t>N/A</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(69)</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4"/>
              <w:spacing w:after="0"/>
              <w:rPr>
                <w:sz w:val="20"/>
                <w:szCs w:val="20"/>
                <w:color w:val="auto"/>
              </w:rPr>
            </w:pPr>
            <w:r>
              <w:rPr>
                <w:rFonts w:ascii="Arial" w:cs="Arial" w:eastAsia="Arial" w:hAnsi="Arial"/>
                <w:sz w:val="20"/>
                <w:szCs w:val="20"/>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-1281430</wp:posOffset>
            </wp:positionV>
            <wp:extent cx="388366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0">
                      <a:extLst>
                        <a:ext uri="{28A0092B-C50C-407E-A947-70E740481C1C}"/>
                      </a:extLst>
                    </a:blip>
                    <a:srcRect/>
                    <a:stretch>
                      <a:fillRect/>
                    </a:stretch>
                  </pic:blipFill>
                  <pic:spPr bwMode="auto">
                    <a:xfrm>
                      <a:off x="0" y="0"/>
                      <a:ext cx="3883660" cy="6350"/>
                    </a:xfrm>
                    <a:prstGeom prst="rect">
                      <a:avLst/>
                    </a:prstGeom>
                    <a:noFill/>
                  </pic:spPr>
                </pic:pic>
              </a:graphicData>
            </a:graphic>
          </wp:anchor>
        </w:drawing>
        <w:drawing>
          <wp:anchor simplePos="0" relativeHeight="251657728" behindDoc="1" locked="0" layoutInCell="0" allowOverlap="1">
            <wp:simplePos x="0" y="0"/>
            <wp:positionH relativeFrom="column">
              <wp:posOffset>2861945</wp:posOffset>
            </wp:positionH>
            <wp:positionV relativeFrom="paragraph">
              <wp:posOffset>-1122680</wp:posOffset>
            </wp:positionV>
            <wp:extent cx="310134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1">
                      <a:extLst>
                        <a:ext uri="{28A0092B-C50C-407E-A947-70E740481C1C}"/>
                      </a:extLst>
                    </a:blip>
                    <a:srcRect/>
                    <a:stretch>
                      <a:fillRect/>
                    </a:stretch>
                  </pic:blipFill>
                  <pic:spPr bwMode="auto">
                    <a:xfrm>
                      <a:off x="0" y="0"/>
                      <a:ext cx="3101340" cy="6350"/>
                    </a:xfrm>
                    <a:prstGeom prst="rect">
                      <a:avLst/>
                    </a:prstGeom>
                    <a:noFill/>
                  </pic:spPr>
                </pic:pic>
              </a:graphicData>
            </a:graphic>
          </wp:anchor>
        </w:drawing>
      </w:r>
    </w:p>
    <w:p>
      <w:pPr>
        <w:spacing w:after="0" w:line="240"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color w:val="auto"/>
        </w:rPr>
        <w:t>Economic factors and conditions often affect multiple assumptions simultaneously, and the effects of changes in key assumptions are not necessarily linear.</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43 / 47</w:t>
      </w:r>
    </w:p>
    <w:p>
      <w:pPr>
        <w:sectPr>
          <w:pgSz w:w="11900" w:h="16838" w:orient="portrait"/>
          <w:cols w:equalWidth="0" w:num="1">
            <w:col w:w="9400"/>
          </w:cols>
          <w:pgMar w:left="1260" w:top="1440" w:right="1246"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20"/>
          <w:szCs w:val="20"/>
          <w:b w:val="1"/>
          <w:bCs w:val="1"/>
          <w:i w:val="1"/>
          <w:iCs w:val="1"/>
          <w:color w:val="auto"/>
        </w:rPr>
        <w:t>Goodwill and Intangible Assets — Impairment Review</w:t>
      </w:r>
    </w:p>
    <w:p>
      <w:pPr>
        <w:spacing w:after="0" w:line="260"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In applying the acquisition method of accounting for business combinations, amounts assigned to identifiable assets and liabilities acquired were based on estimated fair values as of the date of acquisition, with the remainder recorded as goodwill. 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Intangible assets with indefinite lives are tested for impairment annually as of October 1, and whenever indicators of impairment arise. The fair value of the intangible assets is compared with their carrying value and an impairment loss would be recognized for the amount by which the carrying amount exceeds the fair value. Goodwill is tested for impairment annually as of October 1, and whenever indicators of impairment arise.</w:t>
      </w:r>
    </w:p>
    <w:p>
      <w:pPr>
        <w:spacing w:after="0" w:line="184"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Goodwill is tested at the reporting unit level and in accordance with the relevant accounting standards, a company has the option to perform the test qualitatively or to proceed directly to a quantitative test. As discussed in Note 3 — Acquisitions and Divestitures within Item 8 of this Annual Report on Form 10-K, in connection with the sale of TRANZACT, completed on December 31, 2024, the Company recorded a $1.0 billion non-cash goodwill impairment charge on the BDO reporting unit during the third quarter of 2024. The BDO reporting unit goodwill after impairment is approximately $1.2 billion. After reflecting the impairment and the sale of TRANZACT, the fair value of the remaining reporting unit was estimated to be significantly in excess of its carrying value, and in 2025, the reporting unit was combined with another reporting unit which reduced the number of reporting units from seven at October 1, 2024 to six at October 1, 2025.</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44 / 47</w:t>
      </w:r>
    </w:p>
    <w:p>
      <w:pPr>
        <w:sectPr>
          <w:pgSz w:w="11900" w:h="16838" w:orient="portrait"/>
          <w:cols w:equalWidth="0" w:num="1">
            <w:col w:w="9340"/>
          </w:cols>
          <w:pgMar w:left="1260" w:top="1163" w:right="1306" w:bottom="0" w:gutter="0" w:footer="0" w:header="0"/>
          <w:type w:val="continuous"/>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09" w:lineRule="auto"/>
        <w:rPr>
          <w:sz w:val="20"/>
          <w:szCs w:val="20"/>
          <w:color w:val="auto"/>
        </w:rPr>
      </w:pPr>
      <w:r>
        <w:rPr>
          <w:rFonts w:ascii="Arial" w:cs="Arial" w:eastAsia="Arial" w:hAnsi="Arial"/>
          <w:sz w:val="20"/>
          <w:szCs w:val="20"/>
          <w:color w:val="auto"/>
        </w:rPr>
        <w:t>Due to the substantial excess of the fair value for each reporting unit determined at October 1, 2024 over the respective carrying values of the six reporting units at October 1, 2025, the Company performed a qualitative impairment test for all reporting units and confirmed that it was highly unlikely that a quantitative test of fair value at October 1, 2025 would result in an impairment.</w:t>
      </w:r>
    </w:p>
    <w:p>
      <w:pPr>
        <w:spacing w:after="0" w:line="196" w:lineRule="exact"/>
        <w:rPr>
          <w:sz w:val="20"/>
          <w:szCs w:val="20"/>
          <w:color w:val="auto"/>
        </w:rPr>
      </w:pPr>
    </w:p>
    <w:p>
      <w:pPr>
        <w:ind w:right="40"/>
        <w:spacing w:after="0" w:line="351" w:lineRule="auto"/>
        <w:rPr>
          <w:sz w:val="20"/>
          <w:szCs w:val="20"/>
          <w:color w:val="auto"/>
        </w:rPr>
      </w:pPr>
      <w:r>
        <w:rPr>
          <w:rFonts w:ascii="Arial" w:cs="Arial" w:eastAsia="Arial" w:hAnsi="Arial"/>
          <w:sz w:val="18"/>
          <w:szCs w:val="18"/>
          <w:color w:val="auto"/>
        </w:rPr>
        <w:t>The Company continuously monitors and evaluates relevant events and circumstances that could unfavorably impact the significant assumptions noted above, including changes to the regulatory environment, general industry, market and macro-economic conditions and recent market valuations from transactions of comparable companies. It is possible that future changes in such circumstances, or in the inputs or assumptions used in estimating the fair value of the reporting unit, could require the Company to record a non-cash impairment charge.</w:t>
      </w:r>
    </w:p>
    <w:p>
      <w:pPr>
        <w:spacing w:after="0" w:line="166" w:lineRule="exact"/>
        <w:rPr>
          <w:sz w:val="20"/>
          <w:szCs w:val="20"/>
          <w:color w:val="auto"/>
        </w:rPr>
      </w:pPr>
    </w:p>
    <w:p>
      <w:pPr>
        <w:spacing w:after="0" w:line="309" w:lineRule="auto"/>
        <w:rPr>
          <w:sz w:val="20"/>
          <w:szCs w:val="20"/>
          <w:color w:val="auto"/>
        </w:rPr>
      </w:pPr>
      <w:r>
        <w:rPr>
          <w:rFonts w:ascii="Arial" w:cs="Arial" w:eastAsia="Arial" w:hAnsi="Arial"/>
          <w:sz w:val="20"/>
          <w:szCs w:val="20"/>
          <w:color w:val="auto"/>
        </w:rPr>
        <w:t>To perform the qualitative test, the Company considered numerous factors besides the substantial excess of fair value as determined during 2024, including the financial performance and updated projections for each reporting unit, macroeconomic conditions, industry and market conditions, the impact of any significant acquisitions or dispositions and the performance of the Company's share price.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 / 47</w:t>
      </w:r>
    </w:p>
    <w:p>
      <w:pPr>
        <w:sectPr>
          <w:pgSz w:w="11900" w:h="16838" w:orient="portrait"/>
          <w:cols w:equalWidth="0" w:num="1">
            <w:col w:w="9380"/>
          </w:cols>
          <w:pgMar w:left="1260" w:top="1440" w:right="1266" w:bottom="0" w:gutter="0" w:footer="0" w:header="0"/>
          <w:type w:val="continuous"/>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Financial Risk Management</w:t>
      </w:r>
    </w:p>
    <w:p>
      <w:pPr>
        <w:spacing w:after="0" w:line="260" w:lineRule="exact"/>
        <w:rPr>
          <w:sz w:val="20"/>
          <w:szCs w:val="20"/>
          <w:color w:val="auto"/>
        </w:rPr>
      </w:pPr>
    </w:p>
    <w:p>
      <w:pPr>
        <w:jc w:val="both"/>
        <w:ind w:left="6" w:right="140"/>
        <w:spacing w:after="0" w:line="307" w:lineRule="auto"/>
        <w:rPr>
          <w:sz w:val="20"/>
          <w:szCs w:val="20"/>
          <w:color w:val="auto"/>
        </w:rPr>
      </w:pPr>
      <w:r>
        <w:rPr>
          <w:rFonts w:ascii="Arial" w:cs="Arial" w:eastAsia="Arial" w:hAnsi="Arial"/>
          <w:sz w:val="20"/>
          <w:szCs w:val="20"/>
          <w:color w:val="auto"/>
        </w:rPr>
        <w:t>We are exposed to market risk from changes in foreign currency exchange rates. In order to manage the risk arising from these exposures, we enter into a variety of foreign currency derivatives. We do not hold financial or derivative instruments for trading purposes.</w:t>
      </w:r>
    </w:p>
    <w:p>
      <w:pPr>
        <w:spacing w:after="0" w:line="197" w:lineRule="exact"/>
        <w:rPr>
          <w:sz w:val="20"/>
          <w:szCs w:val="20"/>
          <w:color w:val="auto"/>
        </w:rPr>
      </w:pPr>
    </w:p>
    <w:p>
      <w:pPr>
        <w:jc w:val="both"/>
        <w:ind w:left="6" w:right="300"/>
        <w:spacing w:after="0" w:line="307" w:lineRule="auto"/>
        <w:rPr>
          <w:sz w:val="20"/>
          <w:szCs w:val="20"/>
          <w:color w:val="auto"/>
        </w:rPr>
      </w:pPr>
      <w:r>
        <w:rPr>
          <w:rFonts w:ascii="Arial" w:cs="Arial" w:eastAsia="Arial" w:hAnsi="Arial"/>
          <w:sz w:val="20"/>
          <w:szCs w:val="20"/>
          <w:color w:val="auto"/>
        </w:rPr>
        <w:t>A discussion of our accounting policies for financial and derivative instruments is included in Note 2 — Basis of Presentation, Significant Accounting Policies and Recent Accounting Pronouncements and Note 10 — Derivative Financial Instruments within Item 8 of this Annual Report on Form 10-K.</w:t>
      </w:r>
    </w:p>
    <w:p>
      <w:pPr>
        <w:spacing w:after="0" w:line="18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Foreign Exchange Risk</w:t>
      </w:r>
    </w:p>
    <w:p>
      <w:pPr>
        <w:spacing w:after="0" w:line="260" w:lineRule="exact"/>
        <w:rPr>
          <w:sz w:val="20"/>
          <w:szCs w:val="20"/>
          <w:color w:val="auto"/>
        </w:rPr>
      </w:pPr>
    </w:p>
    <w:p>
      <w:pPr>
        <w:ind w:left="6" w:right="180"/>
        <w:spacing w:after="0" w:line="302" w:lineRule="auto"/>
        <w:rPr>
          <w:sz w:val="20"/>
          <w:szCs w:val="20"/>
          <w:color w:val="auto"/>
        </w:rPr>
      </w:pPr>
      <w:r>
        <w:rPr>
          <w:rFonts w:ascii="Arial" w:cs="Arial" w:eastAsia="Arial" w:hAnsi="Arial"/>
          <w:sz w:val="20"/>
          <w:szCs w:val="20"/>
          <w:color w:val="auto"/>
        </w:rPr>
        <w:t>Because of the large number of countries and currencies we operate in, movements in currency exchange rates may affect our results.</w:t>
      </w:r>
    </w:p>
    <w:p>
      <w:pPr>
        <w:spacing w:after="0" w:line="201" w:lineRule="exact"/>
        <w:rPr>
          <w:sz w:val="20"/>
          <w:szCs w:val="20"/>
          <w:color w:val="auto"/>
        </w:rPr>
      </w:pPr>
    </w:p>
    <w:p>
      <w:pPr>
        <w:ind w:left="6" w:right="240"/>
        <w:spacing w:after="0" w:line="309" w:lineRule="auto"/>
        <w:rPr>
          <w:sz w:val="20"/>
          <w:szCs w:val="20"/>
          <w:color w:val="auto"/>
        </w:rPr>
      </w:pPr>
      <w:r>
        <w:rPr>
          <w:rFonts w:ascii="Arial" w:cs="Arial" w:eastAsia="Arial" w:hAnsi="Arial"/>
          <w:sz w:val="20"/>
          <w:szCs w:val="20"/>
          <w:color w:val="auto"/>
        </w:rPr>
        <w:t>We report our operating results and financial condition in U.S. dollars. Our U.S. operations earn revenue and incur expenses primarily in U.S. dollars. Outside the U.S., we predominantly generate revenue and expenses in the local currency with the exception of our London market operations which earn revenue in several currencies but incur expenses predominantly in Pounds sterling.</w:t>
      </w:r>
    </w:p>
    <w:p>
      <w:pPr>
        <w:spacing w:after="0" w:line="186"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table below gives an approximate analysis of revenue and expenses by currency in 2025.</w:t>
      </w:r>
    </w:p>
    <w:p>
      <w:pPr>
        <w:spacing w:after="0" w:line="395"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920" w:type="dxa"/>
            <w:vAlign w:val="bottom"/>
          </w:tcPr>
          <w:p>
            <w:pPr>
              <w:jc w:val="center"/>
              <w:ind w:left="1670"/>
              <w:spacing w:after="0"/>
              <w:rPr>
                <w:sz w:val="20"/>
                <w:szCs w:val="20"/>
                <w:color w:val="auto"/>
              </w:rPr>
            </w:pPr>
            <w:r>
              <w:rPr>
                <w:rFonts w:ascii="Arial" w:cs="Arial" w:eastAsia="Arial" w:hAnsi="Arial"/>
                <w:sz w:val="16"/>
                <w:szCs w:val="16"/>
                <w:b w:val="1"/>
                <w:bCs w:val="1"/>
                <w:color w:val="auto"/>
                <w:w w:val="89"/>
              </w:rPr>
              <w:t>U.S.</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Pounds</w:t>
            </w:r>
          </w:p>
        </w:tc>
        <w:tc>
          <w:tcPr>
            <w:tcW w:w="1060" w:type="dxa"/>
            <w:vAlign w:val="bottom"/>
          </w:tcPr>
          <w:p>
            <w:pPr>
              <w:spacing w:after="0"/>
              <w:rPr>
                <w:sz w:val="16"/>
                <w:szCs w:val="16"/>
                <w:color w:val="auto"/>
              </w:rPr>
            </w:pPr>
          </w:p>
        </w:tc>
        <w:tc>
          <w:tcPr>
            <w:tcW w:w="1200" w:type="dxa"/>
            <w:vAlign w:val="bottom"/>
          </w:tcPr>
          <w:p>
            <w:pPr>
              <w:jc w:val="center"/>
              <w:ind w:left="50"/>
              <w:spacing w:after="0"/>
              <w:rPr>
                <w:sz w:val="20"/>
                <w:szCs w:val="20"/>
                <w:color w:val="auto"/>
              </w:rPr>
            </w:pPr>
            <w:r>
              <w:rPr>
                <w:rFonts w:ascii="Arial" w:cs="Arial" w:eastAsia="Arial" w:hAnsi="Arial"/>
                <w:sz w:val="16"/>
                <w:szCs w:val="16"/>
                <w:b w:val="1"/>
                <w:bCs w:val="1"/>
                <w:color w:val="auto"/>
                <w:w w:val="98"/>
              </w:rPr>
              <w:t>Other</w:t>
            </w:r>
          </w:p>
        </w:tc>
      </w:tr>
      <w:tr>
        <w:trPr>
          <w:trHeight w:val="240"/>
        </w:trPr>
        <w:tc>
          <w:tcPr>
            <w:tcW w:w="3000" w:type="dxa"/>
            <w:vAlign w:val="bottom"/>
          </w:tcPr>
          <w:p>
            <w:pPr>
              <w:spacing w:after="0"/>
              <w:rPr>
                <w:sz w:val="20"/>
                <w:szCs w:val="20"/>
                <w:color w:val="auto"/>
              </w:rPr>
            </w:pPr>
          </w:p>
        </w:tc>
        <w:tc>
          <w:tcPr>
            <w:tcW w:w="2920" w:type="dxa"/>
            <w:vAlign w:val="bottom"/>
          </w:tcPr>
          <w:p>
            <w:pPr>
              <w:jc w:val="center"/>
              <w:ind w:left="1690"/>
              <w:spacing w:after="0"/>
              <w:rPr>
                <w:sz w:val="20"/>
                <w:szCs w:val="20"/>
                <w:color w:val="auto"/>
              </w:rPr>
            </w:pPr>
            <w:r>
              <w:rPr>
                <w:rFonts w:ascii="Arial" w:cs="Arial" w:eastAsia="Arial" w:hAnsi="Arial"/>
                <w:sz w:val="16"/>
                <w:szCs w:val="16"/>
                <w:b w:val="1"/>
                <w:bCs w:val="1"/>
                <w:color w:val="auto"/>
                <w:w w:val="87"/>
              </w:rPr>
              <w:t>dollars</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sterling</w:t>
            </w:r>
          </w:p>
        </w:tc>
        <w:tc>
          <w:tcPr>
            <w:tcW w:w="1060" w:type="dxa"/>
            <w:vAlign w:val="bottom"/>
          </w:tcPr>
          <w:p>
            <w:pPr>
              <w:ind w:left="380"/>
              <w:spacing w:after="0"/>
              <w:rPr>
                <w:sz w:val="20"/>
                <w:szCs w:val="20"/>
                <w:color w:val="auto"/>
              </w:rPr>
            </w:pPr>
            <w:r>
              <w:rPr>
                <w:rFonts w:ascii="Arial" w:cs="Arial" w:eastAsia="Arial" w:hAnsi="Arial"/>
                <w:sz w:val="16"/>
                <w:szCs w:val="16"/>
                <w:b w:val="1"/>
                <w:bCs w:val="1"/>
                <w:color w:val="auto"/>
              </w:rPr>
              <w:t>Euro</w:t>
            </w:r>
          </w:p>
        </w:tc>
        <w:tc>
          <w:tcPr>
            <w:tcW w:w="1200" w:type="dxa"/>
            <w:vAlign w:val="bottom"/>
          </w:tcPr>
          <w:p>
            <w:pPr>
              <w:jc w:val="center"/>
              <w:ind w:left="50"/>
              <w:spacing w:after="0"/>
              <w:rPr>
                <w:sz w:val="20"/>
                <w:szCs w:val="20"/>
                <w:color w:val="auto"/>
              </w:rPr>
            </w:pPr>
            <w:r>
              <w:rPr>
                <w:rFonts w:ascii="Arial" w:cs="Arial" w:eastAsia="Arial" w:hAnsi="Arial"/>
                <w:sz w:val="16"/>
                <w:szCs w:val="16"/>
                <w:b w:val="1"/>
                <w:bCs w:val="1"/>
                <w:color w:val="auto"/>
                <w:w w:val="86"/>
              </w:rPr>
              <w:t>currencies</w:t>
            </w:r>
          </w:p>
        </w:tc>
      </w:tr>
      <w:tr>
        <w:trPr>
          <w:trHeight w:val="42"/>
        </w:trPr>
        <w:tc>
          <w:tcPr>
            <w:tcW w:w="300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80"/>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Revenue</w:t>
            </w:r>
          </w:p>
        </w:tc>
        <w:tc>
          <w:tcPr>
            <w:tcW w:w="2920" w:type="dxa"/>
            <w:vAlign w:val="bottom"/>
            <w:tcBorders>
              <w:bottom w:val="single" w:sz="8" w:color="CFF0FC"/>
            </w:tcBorders>
            <w:shd w:val="clear" w:color="auto" w:fill="CFF0FC"/>
          </w:tcPr>
          <w:p>
            <w:pPr>
              <w:jc w:val="center"/>
              <w:ind w:left="1690"/>
              <w:spacing w:after="0"/>
              <w:rPr>
                <w:sz w:val="20"/>
                <w:szCs w:val="20"/>
                <w:color w:val="auto"/>
              </w:rPr>
            </w:pPr>
            <w:r>
              <w:rPr>
                <w:rFonts w:ascii="Arial" w:cs="Arial" w:eastAsia="Arial" w:hAnsi="Arial"/>
                <w:sz w:val="20"/>
                <w:szCs w:val="20"/>
                <w:color w:val="auto"/>
                <w:w w:val="94"/>
              </w:rPr>
              <w:t>54%</w:t>
            </w:r>
          </w:p>
        </w:tc>
        <w:tc>
          <w:tcPr>
            <w:tcW w:w="1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13%</w:t>
            </w:r>
          </w:p>
        </w:tc>
        <w:tc>
          <w:tcPr>
            <w:tcW w:w="10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20"/>
                <w:szCs w:val="20"/>
                <w:color w:val="auto"/>
              </w:rPr>
              <w:t>16%</w:t>
            </w:r>
          </w:p>
        </w:tc>
        <w:tc>
          <w:tcPr>
            <w:tcW w:w="1200" w:type="dxa"/>
            <w:vAlign w:val="bottom"/>
            <w:tcBorders>
              <w:bottom w:val="single" w:sz="8" w:color="CFF0FC"/>
            </w:tcBorders>
            <w:shd w:val="clear" w:color="auto" w:fill="CFF0FC"/>
          </w:tcPr>
          <w:p>
            <w:pPr>
              <w:jc w:val="center"/>
              <w:ind w:left="30"/>
              <w:spacing w:after="0"/>
              <w:rPr>
                <w:sz w:val="20"/>
                <w:szCs w:val="20"/>
                <w:color w:val="auto"/>
              </w:rPr>
            </w:pPr>
            <w:r>
              <w:rPr>
                <w:rFonts w:ascii="Arial" w:cs="Arial" w:eastAsia="Arial" w:hAnsi="Arial"/>
                <w:sz w:val="20"/>
                <w:szCs w:val="20"/>
                <w:color w:val="auto"/>
                <w:w w:val="89"/>
              </w:rPr>
              <w:t>17%</w:t>
            </w:r>
          </w:p>
        </w:tc>
      </w:tr>
      <w:tr>
        <w:trPr>
          <w:trHeight w:val="259"/>
        </w:trPr>
        <w:tc>
          <w:tcPr>
            <w:tcW w:w="3000" w:type="dxa"/>
            <w:vAlign w:val="bottom"/>
          </w:tcPr>
          <w:p>
            <w:pPr>
              <w:spacing w:after="0"/>
              <w:rPr>
                <w:sz w:val="20"/>
                <w:szCs w:val="20"/>
                <w:color w:val="auto"/>
              </w:rPr>
            </w:pPr>
            <w:r>
              <w:rPr>
                <w:rFonts w:ascii="Arial" w:cs="Arial" w:eastAsia="Arial" w:hAnsi="Arial"/>
                <w:sz w:val="20"/>
                <w:szCs w:val="20"/>
                <w:color w:val="auto"/>
              </w:rPr>
              <w:t xml:space="preserve">Expenses </w:t>
            </w:r>
            <w:r>
              <w:rPr>
                <w:rFonts w:ascii="Arial" w:cs="Arial" w:eastAsia="Arial" w:hAnsi="Arial"/>
                <w:sz w:val="9"/>
                <w:szCs w:val="9"/>
                <w:color w:val="auto"/>
              </w:rPr>
              <w:t>(i)</w:t>
            </w:r>
          </w:p>
        </w:tc>
        <w:tc>
          <w:tcPr>
            <w:tcW w:w="2920" w:type="dxa"/>
            <w:vAlign w:val="bottom"/>
          </w:tcPr>
          <w:p>
            <w:pPr>
              <w:jc w:val="center"/>
              <w:ind w:left="1690"/>
              <w:spacing w:after="0"/>
              <w:rPr>
                <w:sz w:val="20"/>
                <w:szCs w:val="20"/>
                <w:color w:val="auto"/>
              </w:rPr>
            </w:pPr>
            <w:r>
              <w:rPr>
                <w:rFonts w:ascii="Arial" w:cs="Arial" w:eastAsia="Arial" w:hAnsi="Arial"/>
                <w:sz w:val="20"/>
                <w:szCs w:val="20"/>
                <w:color w:val="auto"/>
                <w:w w:val="94"/>
              </w:rPr>
              <w:t>47%</w:t>
            </w:r>
          </w:p>
        </w:tc>
        <w:tc>
          <w:tcPr>
            <w:tcW w:w="1220" w:type="dxa"/>
            <w:vAlign w:val="bottom"/>
          </w:tcPr>
          <w:p>
            <w:pPr>
              <w:jc w:val="center"/>
              <w:spacing w:after="0"/>
              <w:rPr>
                <w:sz w:val="20"/>
                <w:szCs w:val="20"/>
                <w:color w:val="auto"/>
              </w:rPr>
            </w:pPr>
            <w:r>
              <w:rPr>
                <w:rFonts w:ascii="Arial" w:cs="Arial" w:eastAsia="Arial" w:hAnsi="Arial"/>
                <w:sz w:val="20"/>
                <w:szCs w:val="20"/>
                <w:color w:val="auto"/>
                <w:w w:val="89"/>
              </w:rPr>
              <w:t>20%</w:t>
            </w:r>
          </w:p>
        </w:tc>
        <w:tc>
          <w:tcPr>
            <w:tcW w:w="1060" w:type="dxa"/>
            <w:vAlign w:val="bottom"/>
          </w:tcPr>
          <w:p>
            <w:pPr>
              <w:ind w:left="360"/>
              <w:spacing w:after="0"/>
              <w:rPr>
                <w:sz w:val="20"/>
                <w:szCs w:val="20"/>
                <w:color w:val="auto"/>
              </w:rPr>
            </w:pPr>
            <w:r>
              <w:rPr>
                <w:rFonts w:ascii="Arial" w:cs="Arial" w:eastAsia="Arial" w:hAnsi="Arial"/>
                <w:sz w:val="20"/>
                <w:szCs w:val="20"/>
                <w:color w:val="auto"/>
              </w:rPr>
              <w:t>14%</w:t>
            </w:r>
          </w:p>
        </w:tc>
        <w:tc>
          <w:tcPr>
            <w:tcW w:w="1200" w:type="dxa"/>
            <w:vAlign w:val="bottom"/>
          </w:tcPr>
          <w:p>
            <w:pPr>
              <w:jc w:val="center"/>
              <w:ind w:left="30"/>
              <w:spacing w:after="0"/>
              <w:rPr>
                <w:sz w:val="20"/>
                <w:szCs w:val="20"/>
                <w:color w:val="auto"/>
              </w:rPr>
            </w:pPr>
            <w:r>
              <w:rPr>
                <w:rFonts w:ascii="Arial" w:cs="Arial" w:eastAsia="Arial" w:hAnsi="Arial"/>
                <w:sz w:val="20"/>
                <w:szCs w:val="20"/>
                <w:color w:val="auto"/>
                <w:w w:val="89"/>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-360680</wp:posOffset>
            </wp:positionV>
            <wp:extent cx="290195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4">
                      <a:extLst>
                        <a:ext uri="{28A0092B-C50C-407E-A947-70E740481C1C}"/>
                      </a:extLst>
                    </a:blip>
                    <a:srcRect/>
                    <a:stretch>
                      <a:fillRect/>
                    </a:stretch>
                  </pic:blipFill>
                  <pic:spPr bwMode="auto">
                    <a:xfrm>
                      <a:off x="0" y="0"/>
                      <a:ext cx="29019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79565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5">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26" w:right="60" w:hanging="226"/>
        <w:spacing w:after="0" w:line="506" w:lineRule="auto"/>
        <w:tabs>
          <w:tab w:leader="none" w:pos="226"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w:t>
      </w:r>
    </w:p>
    <w:p>
      <w:pPr>
        <w:spacing w:after="0" w:line="82" w:lineRule="exact"/>
        <w:rPr>
          <w:sz w:val="20"/>
          <w:szCs w:val="20"/>
          <w:color w:val="auto"/>
        </w:rPr>
      </w:pPr>
    </w:p>
    <w:p>
      <w:pPr>
        <w:ind w:left="6"/>
        <w:spacing w:after="0"/>
        <w:rPr>
          <w:sz w:val="20"/>
          <w:szCs w:val="20"/>
          <w:color w:val="auto"/>
        </w:rPr>
      </w:pPr>
      <w:r>
        <w:rPr>
          <w:rFonts w:ascii="Arial" w:cs="Arial" w:eastAsia="Arial" w:hAnsi="Arial"/>
          <w:sz w:val="20"/>
          <w:szCs w:val="20"/>
          <w:color w:val="auto"/>
        </w:rPr>
        <w:t>Our principal exposures to foreign exchange risk arise from:</w:t>
      </w:r>
    </w:p>
    <w:p>
      <w:pPr>
        <w:spacing w:after="0" w:line="236" w:lineRule="exact"/>
        <w:rPr>
          <w:sz w:val="20"/>
          <w:szCs w:val="20"/>
          <w:color w:val="auto"/>
        </w:rPr>
      </w:pPr>
    </w:p>
    <w:p>
      <w:pPr>
        <w:ind w:left="626" w:hanging="313"/>
        <w:spacing w:after="0"/>
        <w:tabs>
          <w:tab w:leader="none" w:pos="626" w:val="left"/>
        </w:tabs>
        <w:numPr>
          <w:ilvl w:val="0"/>
          <w:numId w:val="44"/>
        </w:numPr>
        <w:rPr>
          <w:rFonts w:ascii="Arial" w:cs="Arial" w:eastAsia="Arial" w:hAnsi="Arial"/>
          <w:sz w:val="20"/>
          <w:szCs w:val="20"/>
          <w:color w:val="auto"/>
        </w:rPr>
      </w:pPr>
      <w:r>
        <w:rPr>
          <w:rFonts w:ascii="Arial" w:cs="Arial" w:eastAsia="Arial" w:hAnsi="Arial"/>
          <w:sz w:val="20"/>
          <w:szCs w:val="20"/>
          <w:color w:val="auto"/>
        </w:rPr>
        <w:t>our London market operations;</w:t>
      </w:r>
    </w:p>
    <w:p>
      <w:pPr>
        <w:spacing w:after="0" w:line="250" w:lineRule="exact"/>
        <w:rPr>
          <w:rFonts w:ascii="Arial" w:cs="Arial" w:eastAsia="Arial" w:hAnsi="Arial"/>
          <w:sz w:val="20"/>
          <w:szCs w:val="20"/>
          <w:color w:val="auto"/>
        </w:rPr>
      </w:pPr>
    </w:p>
    <w:p>
      <w:pPr>
        <w:ind w:left="626" w:hanging="313"/>
        <w:spacing w:after="0"/>
        <w:tabs>
          <w:tab w:leader="none" w:pos="626"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intercompany lending between subsidiaries; and</w:t>
      </w:r>
    </w:p>
    <w:p>
      <w:pPr>
        <w:spacing w:after="0" w:line="250" w:lineRule="exact"/>
        <w:rPr>
          <w:rFonts w:ascii="Arial" w:cs="Arial" w:eastAsia="Arial" w:hAnsi="Arial"/>
          <w:sz w:val="20"/>
          <w:szCs w:val="20"/>
          <w:color w:val="auto"/>
        </w:rPr>
      </w:pPr>
    </w:p>
    <w:p>
      <w:pPr>
        <w:ind w:left="626" w:hanging="313"/>
        <w:spacing w:after="0"/>
        <w:tabs>
          <w:tab w:leader="none" w:pos="626" w:val="left"/>
        </w:tabs>
        <w:numPr>
          <w:ilvl w:val="0"/>
          <w:numId w:val="44"/>
        </w:numPr>
        <w:rPr>
          <w:rFonts w:ascii="Arial" w:cs="Arial" w:eastAsia="Arial" w:hAnsi="Arial"/>
          <w:sz w:val="20"/>
          <w:szCs w:val="20"/>
          <w:color w:val="auto"/>
        </w:rPr>
      </w:pPr>
      <w:r>
        <w:rPr>
          <w:rFonts w:ascii="Arial" w:cs="Arial" w:eastAsia="Arial" w:hAnsi="Arial"/>
          <w:sz w:val="20"/>
          <w:szCs w:val="20"/>
          <w:color w:val="auto"/>
        </w:rPr>
        <w:t>translation.</w:t>
      </w:r>
    </w:p>
    <w:p>
      <w:pPr>
        <w:spacing w:after="0" w:line="264"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London market operations</w:t>
      </w:r>
    </w:p>
    <w:p>
      <w:pPr>
        <w:spacing w:after="0" w:line="260" w:lineRule="exact"/>
        <w:rPr>
          <w:sz w:val="20"/>
          <w:szCs w:val="20"/>
          <w:color w:val="auto"/>
        </w:rPr>
      </w:pPr>
    </w:p>
    <w:p>
      <w:pPr>
        <w:ind w:left="6" w:right="100"/>
        <w:spacing w:after="0" w:line="310" w:lineRule="auto"/>
        <w:rPr>
          <w:sz w:val="20"/>
          <w:szCs w:val="20"/>
          <w:color w:val="auto"/>
        </w:rPr>
      </w:pPr>
      <w:r>
        <w:rPr>
          <w:rFonts w:ascii="Arial" w:cs="Arial" w:eastAsia="Arial" w:hAnsi="Arial"/>
          <w:sz w:val="20"/>
          <w:szCs w:val="20"/>
          <w:color w:val="auto"/>
        </w:rPr>
        <w:t>The Company’s primary foreign exchange risks in its London market operations arise from changes in the exchange rate between the U.S. dollar and Pound sterling as its London market operations earn the majority of its revenue in U.S. dollars but incur expenses predominantly in Pounds sterling and may also hold significant foreign currency asset or liability positions on its consolidated balance sheet. In addition, the London market operations earn significant revenue in Euros.</w:t>
      </w:r>
    </w:p>
    <w:p>
      <w:pPr>
        <w:spacing w:after="0" w:line="185"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foreign exchange risks in our London market operations are hedged to the extent that:</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46 / 47</w:t>
      </w:r>
    </w:p>
    <w:p>
      <w:pPr>
        <w:sectPr>
          <w:pgSz w:w="11900" w:h="16838" w:orient="portrait"/>
          <w:cols w:equalWidth="0" w:num="1">
            <w:col w:w="9406"/>
          </w:cols>
          <w:pgMar w:left="1254" w:top="1440" w:right="1246" w:bottom="0" w:gutter="0" w:footer="0" w:header="0"/>
          <w:type w:val="continuous"/>
        </w:sectPr>
      </w:pPr>
    </w:p>
    <w:bookmarkStart w:id="133" w:name="page134"/>
    <w:bookmarkEnd w:id="133"/>
    <w:p>
      <w:pPr>
        <w:ind w:left="620" w:right="180" w:hanging="313"/>
        <w:spacing w:after="0" w:line="373" w:lineRule="auto"/>
        <w:tabs>
          <w:tab w:leader="none" w:pos="620" w:val="left"/>
        </w:tabs>
        <w:numPr>
          <w:ilvl w:val="0"/>
          <w:numId w:val="45"/>
        </w:numPr>
        <w:rPr>
          <w:rFonts w:ascii="Arial" w:cs="Arial" w:eastAsia="Arial" w:hAnsi="Arial"/>
          <w:sz w:val="20"/>
          <w:szCs w:val="20"/>
          <w:color w:val="auto"/>
        </w:rPr>
      </w:pPr>
      <w:r>
        <w:rPr>
          <w:rFonts w:ascii="Arial" w:cs="Arial" w:eastAsia="Arial" w:hAnsi="Arial"/>
          <w:sz w:val="20"/>
          <w:szCs w:val="20"/>
          <w:color w:val="auto"/>
        </w:rPr>
        <w:t>forecasted Pounds sterling expenses exceed Pounds sterling revenue, in which case the Company limits its exposure to this exchange rate risk by the use of forward and option contracts matched to a portion of the forecasted Pounds sterling outflows arising in the ordinary course of business. In addition, we are also exposed to foreign exchange risk on any net non-dollar asset or liability positions on our London market operations' balance sheets; and</w:t>
      </w:r>
    </w:p>
    <w:p>
      <w:pPr>
        <w:spacing w:after="0" w:line="132" w:lineRule="exact"/>
        <w:rPr>
          <w:rFonts w:ascii="Arial" w:cs="Arial" w:eastAsia="Arial" w:hAnsi="Arial"/>
          <w:sz w:val="20"/>
          <w:szCs w:val="20"/>
          <w:color w:val="auto"/>
        </w:rPr>
      </w:pPr>
    </w:p>
    <w:p>
      <w:pPr>
        <w:ind w:left="620" w:right="80" w:hanging="313"/>
        <w:spacing w:after="0" w:line="396" w:lineRule="auto"/>
        <w:tabs>
          <w:tab w:leader="none" w:pos="62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U.K. operations also earn significant revenue in Euros. The Company limits its exposure to changes in the exchange rates between the U.S. dollar and Euros by the use of foreign exchange contracts matched to a proportion of forecast revenue inflows in these specific currencies and periods.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Intercompany lending between subsidiaries</w:t>
      </w:r>
    </w:p>
    <w:p>
      <w:pPr>
        <w:spacing w:after="0" w:line="260" w:lineRule="exact"/>
        <w:rPr>
          <w:sz w:val="20"/>
          <w:szCs w:val="20"/>
          <w:color w:val="auto"/>
        </w:rPr>
      </w:pPr>
    </w:p>
    <w:p>
      <w:pPr>
        <w:spacing w:after="0" w:line="311" w:lineRule="auto"/>
        <w:rPr>
          <w:sz w:val="20"/>
          <w:szCs w:val="20"/>
          <w:color w:val="auto"/>
        </w:rPr>
      </w:pPr>
      <w:r>
        <w:rPr>
          <w:rFonts w:ascii="Arial" w:cs="Arial" w:eastAsia="Arial" w:hAnsi="Arial"/>
          <w:sz w:val="20"/>
          <w:szCs w:val="20"/>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December 31, 2025, we had notional amounts of $739 million (denominated primarily in U.S. dollars, Pounds sterling and Euros), with a net fair value asset of $1 million. Such derivatives typically mature within three months.</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9320"/>
          </w:cols>
          <w:pgMar w:left="1260" w:top="1338"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47 / 47</w:t>
      </w:r>
    </w:p>
    <w:p>
      <w:pPr>
        <w:sectPr>
          <w:pgSz w:w="11900" w:h="16838" w:orient="portrait"/>
          <w:cols w:equalWidth="0" w:num="1">
            <w:col w:w="9320"/>
          </w:cols>
          <w:pgMar w:left="1260" w:top="1338" w:right="1326" w:bottom="0" w:gutter="0" w:footer="0" w:header="0"/>
          <w:type w:val="continuous"/>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796290</wp:posOffset>
            </wp:positionV>
            <wp:extent cx="5967730"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15</w:t>
      </w:r>
    </w:p>
    <w:p>
      <w:pPr>
        <w:sectPr>
          <w:pgSz w:w="11900" w:h="16838" w:orient="portrait"/>
          <w:cols w:equalWidth="0" w:num="1">
            <w:col w:w="9026"/>
          </w:cols>
          <w:pgMar w:left="1440" w:top="1440" w:right="1440" w:bottom="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Translation risk</w:t>
      </w:r>
    </w:p>
    <w:p>
      <w:pPr>
        <w:spacing w:after="0" w:line="260" w:lineRule="exact"/>
        <w:rPr>
          <w:sz w:val="20"/>
          <w:szCs w:val="20"/>
          <w:color w:val="auto"/>
        </w:rPr>
      </w:pPr>
    </w:p>
    <w:p>
      <w:pPr>
        <w:ind w:left="6" w:right="240"/>
        <w:spacing w:after="0" w:line="369" w:lineRule="auto"/>
        <w:rPr>
          <w:sz w:val="20"/>
          <w:szCs w:val="20"/>
          <w:color w:val="auto"/>
        </w:rPr>
      </w:pPr>
      <w:r>
        <w:rPr>
          <w:rFonts w:ascii="Arial" w:cs="Arial" w:eastAsia="Arial" w:hAnsi="Arial"/>
          <w:sz w:val="18"/>
          <w:szCs w:val="18"/>
          <w:color w:val="auto"/>
        </w:rPr>
        <w:t>Outside our U.S. and London market operations, we predominantly earn revenue and incur expenses in the local currency. When we translate the results and net assets of these operations into U.S. dollars for reporting purposes, movements in exchange rates will affect reported results and net assets. For example, if the U.S. dollar strengthens against the Euro, the reported results of our Eurozone operations in U.S. dollar terms will be lower.</w:t>
      </w:r>
    </w:p>
    <w:p>
      <w:pPr>
        <w:spacing w:after="0" w:line="167" w:lineRule="exact"/>
        <w:rPr>
          <w:sz w:val="20"/>
          <w:szCs w:val="20"/>
          <w:color w:val="auto"/>
        </w:rPr>
      </w:pPr>
    </w:p>
    <w:p>
      <w:pPr>
        <w:ind w:left="6" w:right="120"/>
        <w:spacing w:after="0" w:line="309" w:lineRule="auto"/>
        <w:rPr>
          <w:sz w:val="20"/>
          <w:szCs w:val="20"/>
          <w:color w:val="auto"/>
        </w:rPr>
      </w:pPr>
      <w:r>
        <w:rPr>
          <w:rFonts w:ascii="Arial" w:cs="Arial" w:eastAsia="Arial" w:hAnsi="Arial"/>
          <w:sz w:val="20"/>
          <w:szCs w:val="20"/>
          <w:color w:val="auto"/>
        </w:rPr>
        <w:t>The table below provides information about our foreign currency forward exchange and option contracts which are designated as hedging instruments and are sensitive to exchange rate risk. The table summarizes the U.S. dollar equivalent amounts of each currency bought and sold forward and the weighted-average contractual exchange rates. All forward exchange contracts mature within two years.</w:t>
      </w:r>
    </w:p>
    <w:p>
      <w:pPr>
        <w:spacing w:after="0" w:line="330"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40" w:type="dxa"/>
            <w:vAlign w:val="bottom"/>
            <w:gridSpan w:val="3"/>
          </w:tcPr>
          <w:p>
            <w:pPr>
              <w:jc w:val="right"/>
              <w:ind w:right="64"/>
              <w:spacing w:after="0"/>
              <w:rPr>
                <w:sz w:val="20"/>
                <w:szCs w:val="20"/>
                <w:color w:val="auto"/>
              </w:rPr>
            </w:pPr>
            <w:r>
              <w:rPr>
                <w:rFonts w:ascii="Arial" w:cs="Arial" w:eastAsia="Arial" w:hAnsi="Arial"/>
                <w:sz w:val="16"/>
                <w:szCs w:val="16"/>
                <w:b w:val="1"/>
                <w:bCs w:val="1"/>
                <w:color w:val="auto"/>
                <w:w w:val="91"/>
              </w:rPr>
              <w:t>Settlement date before December 31,</w:t>
            </w:r>
          </w:p>
        </w:tc>
        <w:tc>
          <w:tcPr>
            <w:tcW w:w="980" w:type="dxa"/>
            <w:vAlign w:val="bottom"/>
          </w:tcPr>
          <w:p>
            <w:pPr>
              <w:spacing w:after="0"/>
              <w:rPr>
                <w:sz w:val="16"/>
                <w:szCs w:val="16"/>
                <w:color w:val="auto"/>
              </w:rPr>
            </w:pPr>
          </w:p>
        </w:tc>
      </w:tr>
      <w:tr>
        <w:trPr>
          <w:trHeight w:val="250"/>
        </w:trPr>
        <w:tc>
          <w:tcPr>
            <w:tcW w:w="3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60" w:type="dxa"/>
            <w:vAlign w:val="bottom"/>
            <w:gridSpan w:val="2"/>
          </w:tcPr>
          <w:p>
            <w:pPr>
              <w:jc w:val="right"/>
              <w:ind w:right="994"/>
              <w:spacing w:after="0"/>
              <w:rPr>
                <w:sz w:val="20"/>
                <w:szCs w:val="20"/>
                <w:color w:val="auto"/>
              </w:rPr>
            </w:pPr>
            <w:r>
              <w:rPr>
                <w:rFonts w:ascii="Arial" w:cs="Arial" w:eastAsia="Arial" w:hAnsi="Arial"/>
                <w:sz w:val="16"/>
                <w:szCs w:val="16"/>
                <w:b w:val="1"/>
                <w:bCs w:val="1"/>
                <w:color w:val="auto"/>
              </w:rPr>
              <w:t>2026</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2027</w:t>
            </w:r>
          </w:p>
        </w:tc>
        <w:tc>
          <w:tcPr>
            <w:tcW w:w="980" w:type="dxa"/>
            <w:vAlign w:val="bottom"/>
          </w:tcPr>
          <w:p>
            <w:pPr>
              <w:spacing w:after="0"/>
              <w:rPr>
                <w:sz w:val="21"/>
                <w:szCs w:val="21"/>
                <w:color w:val="auto"/>
              </w:rPr>
            </w:pPr>
          </w:p>
        </w:tc>
      </w:tr>
      <w:tr>
        <w:trPr>
          <w:trHeight w:val="250"/>
        </w:trPr>
        <w:tc>
          <w:tcPr>
            <w:tcW w:w="3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tcPr>
          <w:p>
            <w:pPr>
              <w:jc w:val="center"/>
              <w:ind w:left="14"/>
              <w:spacing w:after="0"/>
              <w:rPr>
                <w:sz w:val="20"/>
                <w:szCs w:val="20"/>
                <w:color w:val="auto"/>
              </w:rPr>
            </w:pPr>
            <w:r>
              <w:rPr>
                <w:rFonts w:ascii="Arial" w:cs="Arial" w:eastAsia="Arial" w:hAnsi="Arial"/>
                <w:sz w:val="16"/>
                <w:szCs w:val="16"/>
                <w:b w:val="1"/>
                <w:bCs w:val="1"/>
                <w:color w:val="auto"/>
                <w:w w:val="91"/>
              </w:rPr>
              <w:t>Average</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center"/>
              <w:ind w:right="33"/>
              <w:spacing w:after="0"/>
              <w:rPr>
                <w:sz w:val="20"/>
                <w:szCs w:val="20"/>
                <w:color w:val="auto"/>
              </w:rPr>
            </w:pPr>
            <w:r>
              <w:rPr>
                <w:rFonts w:ascii="Arial" w:cs="Arial" w:eastAsia="Arial" w:hAnsi="Arial"/>
                <w:sz w:val="16"/>
                <w:szCs w:val="16"/>
                <w:b w:val="1"/>
                <w:bCs w:val="1"/>
                <w:color w:val="auto"/>
                <w:w w:val="91"/>
              </w:rPr>
              <w:t>Average</w:t>
            </w:r>
          </w:p>
        </w:tc>
      </w:tr>
      <w:tr>
        <w:trPr>
          <w:trHeight w:val="240"/>
        </w:trPr>
        <w:tc>
          <w:tcPr>
            <w:tcW w:w="3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20" w:type="dxa"/>
            <w:vAlign w:val="bottom"/>
          </w:tcPr>
          <w:p>
            <w:pPr>
              <w:jc w:val="center"/>
              <w:ind w:left="14"/>
              <w:spacing w:after="0"/>
              <w:rPr>
                <w:sz w:val="20"/>
                <w:szCs w:val="20"/>
                <w:color w:val="auto"/>
              </w:rPr>
            </w:pPr>
            <w:r>
              <w:rPr>
                <w:rFonts w:ascii="Arial" w:cs="Arial" w:eastAsia="Arial" w:hAnsi="Arial"/>
                <w:sz w:val="16"/>
                <w:szCs w:val="16"/>
                <w:b w:val="1"/>
                <w:bCs w:val="1"/>
                <w:color w:val="auto"/>
                <w:w w:val="90"/>
              </w:rPr>
              <w:t>contractual</w:t>
            </w: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contractual</w:t>
            </w:r>
          </w:p>
        </w:tc>
      </w:tr>
      <w:tr>
        <w:trPr>
          <w:trHeight w:val="240"/>
        </w:trPr>
        <w:tc>
          <w:tcPr>
            <w:tcW w:w="3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Arial" w:cs="Arial" w:eastAsia="Arial" w:hAnsi="Arial"/>
                <w:sz w:val="16"/>
                <w:szCs w:val="16"/>
                <w:b w:val="1"/>
                <w:bCs w:val="1"/>
                <w:color w:val="auto"/>
                <w:w w:val="94"/>
              </w:rPr>
              <w:t>Contract</w:t>
            </w:r>
          </w:p>
        </w:tc>
        <w:tc>
          <w:tcPr>
            <w:tcW w:w="1320" w:type="dxa"/>
            <w:vAlign w:val="bottom"/>
          </w:tcPr>
          <w:p>
            <w:pPr>
              <w:jc w:val="center"/>
              <w:ind w:left="14"/>
              <w:spacing w:after="0"/>
              <w:rPr>
                <w:sz w:val="20"/>
                <w:szCs w:val="20"/>
                <w:color w:val="auto"/>
              </w:rPr>
            </w:pPr>
            <w:r>
              <w:rPr>
                <w:rFonts w:ascii="Arial" w:cs="Arial" w:eastAsia="Arial" w:hAnsi="Arial"/>
                <w:sz w:val="16"/>
                <w:szCs w:val="16"/>
                <w:b w:val="1"/>
                <w:bCs w:val="1"/>
                <w:color w:val="auto"/>
                <w:w w:val="83"/>
              </w:rPr>
              <w:t>exchange</w:t>
            </w:r>
          </w:p>
        </w:tc>
        <w:tc>
          <w:tcPr>
            <w:tcW w:w="880" w:type="dxa"/>
            <w:vAlign w:val="bottom"/>
          </w:tcPr>
          <w:p>
            <w:pPr>
              <w:jc w:val="center"/>
              <w:ind w:left="170"/>
              <w:spacing w:after="0"/>
              <w:rPr>
                <w:sz w:val="20"/>
                <w:szCs w:val="20"/>
                <w:color w:val="auto"/>
              </w:rPr>
            </w:pPr>
            <w:r>
              <w:rPr>
                <w:rFonts w:ascii="Arial" w:cs="Arial" w:eastAsia="Arial" w:hAnsi="Arial"/>
                <w:sz w:val="16"/>
                <w:szCs w:val="16"/>
                <w:b w:val="1"/>
                <w:bCs w:val="1"/>
                <w:color w:val="auto"/>
                <w:w w:val="94"/>
              </w:rPr>
              <w:t>Contract</w:t>
            </w:r>
          </w:p>
        </w:tc>
        <w:tc>
          <w:tcPr>
            <w:tcW w:w="540" w:type="dxa"/>
            <w:vAlign w:val="bottom"/>
          </w:tcPr>
          <w:p>
            <w:pPr>
              <w:spacing w:after="0"/>
              <w:rPr>
                <w:sz w:val="20"/>
                <w:szCs w:val="20"/>
                <w:color w:val="auto"/>
              </w:rPr>
            </w:pPr>
          </w:p>
        </w:tc>
        <w:tc>
          <w:tcPr>
            <w:tcW w:w="980" w:type="dxa"/>
            <w:vAlign w:val="bottom"/>
          </w:tcPr>
          <w:p>
            <w:pPr>
              <w:jc w:val="center"/>
              <w:ind w:right="33"/>
              <w:spacing w:after="0"/>
              <w:rPr>
                <w:sz w:val="20"/>
                <w:szCs w:val="20"/>
                <w:color w:val="auto"/>
              </w:rPr>
            </w:pPr>
            <w:r>
              <w:rPr>
                <w:rFonts w:ascii="Arial" w:cs="Arial" w:eastAsia="Arial" w:hAnsi="Arial"/>
                <w:sz w:val="16"/>
                <w:szCs w:val="16"/>
                <w:b w:val="1"/>
                <w:bCs w:val="1"/>
                <w:color w:val="auto"/>
                <w:w w:val="83"/>
              </w:rPr>
              <w:t>exchange</w:t>
            </w:r>
          </w:p>
        </w:tc>
      </w:tr>
      <w:tr>
        <w:trPr>
          <w:trHeight w:val="240"/>
        </w:trPr>
        <w:tc>
          <w:tcPr>
            <w:tcW w:w="3420" w:type="dxa"/>
            <w:vAlign w:val="bottom"/>
          </w:tcPr>
          <w:p>
            <w:pPr>
              <w:spacing w:after="0"/>
              <w:rPr>
                <w:sz w:val="20"/>
                <w:szCs w:val="20"/>
                <w:color w:val="auto"/>
              </w:rPr>
            </w:pPr>
            <w:r>
              <w:rPr>
                <w:rFonts w:ascii="Arial" w:cs="Arial" w:eastAsia="Arial" w:hAnsi="Arial"/>
                <w:sz w:val="16"/>
                <w:szCs w:val="16"/>
                <w:b w:val="1"/>
                <w:bCs w:val="1"/>
                <w:color w:val="auto"/>
              </w:rPr>
              <w:t>December 31, 2025</w:t>
            </w:r>
          </w:p>
        </w:tc>
        <w:tc>
          <w:tcPr>
            <w:tcW w:w="132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amount</w:t>
            </w:r>
          </w:p>
        </w:tc>
        <w:tc>
          <w:tcPr>
            <w:tcW w:w="1320" w:type="dxa"/>
            <w:vAlign w:val="bottom"/>
          </w:tcPr>
          <w:p>
            <w:pPr>
              <w:jc w:val="center"/>
              <w:ind w:left="14"/>
              <w:spacing w:after="0"/>
              <w:rPr>
                <w:sz w:val="20"/>
                <w:szCs w:val="20"/>
                <w:color w:val="auto"/>
              </w:rPr>
            </w:pPr>
            <w:r>
              <w:rPr>
                <w:rFonts w:ascii="Arial" w:cs="Arial" w:eastAsia="Arial" w:hAnsi="Arial"/>
                <w:sz w:val="16"/>
                <w:szCs w:val="16"/>
                <w:b w:val="1"/>
                <w:bCs w:val="1"/>
                <w:color w:val="auto"/>
                <w:w w:val="88"/>
              </w:rPr>
              <w:t>rate</w:t>
            </w:r>
          </w:p>
        </w:tc>
        <w:tc>
          <w:tcPr>
            <w:tcW w:w="880" w:type="dxa"/>
            <w:vAlign w:val="bottom"/>
          </w:tcPr>
          <w:p>
            <w:pPr>
              <w:jc w:val="center"/>
              <w:ind w:left="170"/>
              <w:spacing w:after="0"/>
              <w:rPr>
                <w:sz w:val="20"/>
                <w:szCs w:val="20"/>
                <w:color w:val="auto"/>
              </w:rPr>
            </w:pPr>
            <w:r>
              <w:rPr>
                <w:rFonts w:ascii="Arial" w:cs="Arial" w:eastAsia="Arial" w:hAnsi="Arial"/>
                <w:sz w:val="16"/>
                <w:szCs w:val="16"/>
                <w:b w:val="1"/>
                <w:bCs w:val="1"/>
                <w:color w:val="auto"/>
                <w:w w:val="93"/>
              </w:rPr>
              <w:t>amount</w:t>
            </w:r>
          </w:p>
        </w:tc>
        <w:tc>
          <w:tcPr>
            <w:tcW w:w="540" w:type="dxa"/>
            <w:vAlign w:val="bottom"/>
          </w:tcPr>
          <w:p>
            <w:pPr>
              <w:spacing w:after="0"/>
              <w:rPr>
                <w:sz w:val="20"/>
                <w:szCs w:val="20"/>
                <w:color w:val="auto"/>
              </w:rPr>
            </w:pPr>
          </w:p>
        </w:tc>
        <w:tc>
          <w:tcPr>
            <w:tcW w:w="9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rate</w:t>
            </w:r>
          </w:p>
        </w:tc>
      </w:tr>
      <w:tr>
        <w:trPr>
          <w:trHeight w:val="250"/>
        </w:trPr>
        <w:tc>
          <w:tcPr>
            <w:tcW w:w="3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4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(millions)</w:t>
            </w:r>
          </w:p>
        </w:tc>
        <w:tc>
          <w:tcPr>
            <w:tcW w:w="1320" w:type="dxa"/>
            <w:vAlign w:val="bottom"/>
          </w:tcPr>
          <w:p>
            <w:pPr>
              <w:spacing w:after="0"/>
              <w:rPr>
                <w:sz w:val="21"/>
                <w:szCs w:val="21"/>
                <w:color w:val="auto"/>
              </w:rPr>
            </w:pPr>
          </w:p>
        </w:tc>
        <w:tc>
          <w:tcPr>
            <w:tcW w:w="1420" w:type="dxa"/>
            <w:vAlign w:val="bottom"/>
            <w:gridSpan w:val="2"/>
          </w:tcPr>
          <w:p>
            <w:pPr>
              <w:jc w:val="center"/>
              <w:ind w:right="184"/>
              <w:spacing w:after="0"/>
              <w:rPr>
                <w:sz w:val="20"/>
                <w:szCs w:val="20"/>
                <w:color w:val="auto"/>
              </w:rPr>
            </w:pPr>
            <w:r>
              <w:rPr>
                <w:rFonts w:ascii="Arial" w:cs="Arial" w:eastAsia="Arial" w:hAnsi="Arial"/>
                <w:sz w:val="16"/>
                <w:szCs w:val="16"/>
                <w:b w:val="1"/>
                <w:bCs w:val="1"/>
                <w:color w:val="auto"/>
                <w:w w:val="92"/>
              </w:rPr>
              <w:t>(millions)</w:t>
            </w:r>
          </w:p>
        </w:tc>
        <w:tc>
          <w:tcPr>
            <w:tcW w:w="980" w:type="dxa"/>
            <w:vAlign w:val="bottom"/>
          </w:tcPr>
          <w:p>
            <w:pPr>
              <w:spacing w:after="0"/>
              <w:rPr>
                <w:sz w:val="21"/>
                <w:szCs w:val="21"/>
                <w:color w:val="auto"/>
              </w:rPr>
            </w:pPr>
          </w:p>
        </w:tc>
      </w:tr>
      <w:tr>
        <w:trPr>
          <w:trHeight w:val="32"/>
        </w:trPr>
        <w:tc>
          <w:tcPr>
            <w:tcW w:w="3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80"/>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Foreign currency sold</w:t>
            </w:r>
          </w:p>
        </w:tc>
        <w:tc>
          <w:tcPr>
            <w:tcW w:w="13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59"/>
        </w:trPr>
        <w:tc>
          <w:tcPr>
            <w:tcW w:w="3420" w:type="dxa"/>
            <w:vAlign w:val="bottom"/>
          </w:tcPr>
          <w:p>
            <w:pPr>
              <w:spacing w:after="0"/>
              <w:rPr>
                <w:sz w:val="20"/>
                <w:szCs w:val="20"/>
                <w:color w:val="auto"/>
              </w:rPr>
            </w:pPr>
            <w:r>
              <w:rPr>
                <w:rFonts w:ascii="Arial" w:cs="Arial" w:eastAsia="Arial" w:hAnsi="Arial"/>
                <w:sz w:val="20"/>
                <w:szCs w:val="20"/>
                <w:color w:val="auto"/>
              </w:rPr>
              <w:t>U.S. dollars sold for Pounds</w:t>
            </w:r>
          </w:p>
        </w:tc>
        <w:tc>
          <w:tcPr>
            <w:tcW w:w="1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300"/>
        </w:trPr>
        <w:tc>
          <w:tcPr>
            <w:tcW w:w="3420" w:type="dxa"/>
            <w:vAlign w:val="bottom"/>
          </w:tcPr>
          <w:p>
            <w:pPr>
              <w:ind w:left="140"/>
              <w:spacing w:after="0"/>
              <w:rPr>
                <w:sz w:val="20"/>
                <w:szCs w:val="20"/>
                <w:color w:val="auto"/>
              </w:rPr>
            </w:pPr>
            <w:r>
              <w:rPr>
                <w:rFonts w:ascii="Arial" w:cs="Arial" w:eastAsia="Arial" w:hAnsi="Arial"/>
                <w:sz w:val="20"/>
                <w:szCs w:val="20"/>
                <w:color w:val="auto"/>
              </w:rPr>
              <w:t>sterling</w:t>
            </w: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91</w:t>
            </w:r>
          </w:p>
        </w:tc>
        <w:tc>
          <w:tcPr>
            <w:tcW w:w="1320" w:type="dxa"/>
            <w:vAlign w:val="bottom"/>
          </w:tcPr>
          <w:p>
            <w:pPr>
              <w:jc w:val="right"/>
              <w:spacing w:after="0"/>
              <w:rPr>
                <w:sz w:val="20"/>
                <w:szCs w:val="20"/>
                <w:color w:val="auto"/>
              </w:rPr>
            </w:pPr>
            <w:r>
              <w:rPr>
                <w:rFonts w:ascii="Arial" w:cs="Arial" w:eastAsia="Arial" w:hAnsi="Arial"/>
                <w:sz w:val="20"/>
                <w:szCs w:val="20"/>
                <w:color w:val="auto"/>
              </w:rPr>
              <w:t>$1.30 = £1</w:t>
            </w:r>
          </w:p>
        </w:tc>
        <w:tc>
          <w:tcPr>
            <w:tcW w:w="880" w:type="dxa"/>
            <w:vAlign w:val="bottom"/>
          </w:tcPr>
          <w:p>
            <w:pPr>
              <w:jc w:val="right"/>
              <w:ind w:right="630"/>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244"/>
              <w:spacing w:after="0"/>
              <w:rPr>
                <w:sz w:val="20"/>
                <w:szCs w:val="20"/>
                <w:color w:val="auto"/>
              </w:rPr>
            </w:pPr>
            <w:r>
              <w:rPr>
                <w:rFonts w:ascii="Arial" w:cs="Arial" w:eastAsia="Arial" w:hAnsi="Arial"/>
                <w:sz w:val="20"/>
                <w:szCs w:val="20"/>
                <w:color w:val="auto"/>
                <w:w w:val="80"/>
              </w:rPr>
              <w:t>39</w:t>
            </w:r>
          </w:p>
        </w:tc>
        <w:tc>
          <w:tcPr>
            <w:tcW w:w="980" w:type="dxa"/>
            <w:vAlign w:val="bottom"/>
          </w:tcPr>
          <w:p>
            <w:pPr>
              <w:jc w:val="right"/>
              <w:spacing w:after="0"/>
              <w:rPr>
                <w:sz w:val="20"/>
                <w:szCs w:val="20"/>
                <w:color w:val="auto"/>
              </w:rPr>
            </w:pPr>
            <w:r>
              <w:rPr>
                <w:rFonts w:ascii="Arial" w:cs="Arial" w:eastAsia="Arial" w:hAnsi="Arial"/>
                <w:sz w:val="20"/>
                <w:szCs w:val="20"/>
                <w:color w:val="auto"/>
              </w:rPr>
              <w:t>$1.34 = £1</w:t>
            </w:r>
          </w:p>
        </w:tc>
      </w:tr>
      <w:tr>
        <w:trPr>
          <w:trHeight w:val="41"/>
        </w:trPr>
        <w:tc>
          <w:tcPr>
            <w:tcW w:w="34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0"/>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Euros sold for U.S. dollars</w:t>
            </w:r>
          </w:p>
        </w:tc>
        <w:tc>
          <w:tcPr>
            <w:tcW w:w="13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 = $1.14</w:t>
            </w:r>
          </w:p>
        </w:tc>
        <w:tc>
          <w:tcPr>
            <w:tcW w:w="8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ind w:right="244"/>
              <w:spacing w:after="0"/>
              <w:rPr>
                <w:sz w:val="20"/>
                <w:szCs w:val="20"/>
                <w:color w:val="auto"/>
              </w:rPr>
            </w:pPr>
            <w:r>
              <w:rPr>
                <w:rFonts w:ascii="Arial" w:cs="Arial" w:eastAsia="Arial" w:hAnsi="Arial"/>
                <w:sz w:val="20"/>
                <w:szCs w:val="20"/>
                <w:color w:val="auto"/>
                <w:w w:val="80"/>
              </w:rPr>
              <w:t>11</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 = $1.19</w:t>
            </w:r>
          </w:p>
        </w:tc>
      </w:tr>
      <w:tr>
        <w:trPr>
          <w:trHeight w:val="259"/>
        </w:trPr>
        <w:tc>
          <w:tcPr>
            <w:tcW w:w="3420" w:type="dxa"/>
            <w:vAlign w:val="bottom"/>
          </w:tcPr>
          <w:p>
            <w:pPr>
              <w:spacing w:after="0"/>
              <w:rPr>
                <w:sz w:val="20"/>
                <w:szCs w:val="20"/>
                <w:color w:val="auto"/>
              </w:rPr>
            </w:pPr>
            <w:r>
              <w:rPr>
                <w:rFonts w:ascii="Arial" w:cs="Arial" w:eastAsia="Arial" w:hAnsi="Arial"/>
                <w:sz w:val="20"/>
                <w:szCs w:val="20"/>
                <w:color w:val="auto"/>
              </w:rPr>
              <w:t>Total</w:t>
            </w: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115</w:t>
            </w:r>
          </w:p>
        </w:tc>
        <w:tc>
          <w:tcPr>
            <w:tcW w:w="1320" w:type="dxa"/>
            <w:vAlign w:val="bottom"/>
          </w:tcPr>
          <w:p>
            <w:pPr>
              <w:spacing w:after="0"/>
              <w:rPr>
                <w:sz w:val="22"/>
                <w:szCs w:val="22"/>
                <w:color w:val="auto"/>
              </w:rPr>
            </w:pPr>
          </w:p>
        </w:tc>
        <w:tc>
          <w:tcPr>
            <w:tcW w:w="880" w:type="dxa"/>
            <w:vAlign w:val="bottom"/>
          </w:tcPr>
          <w:p>
            <w:pPr>
              <w:jc w:val="right"/>
              <w:ind w:right="630"/>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244"/>
              <w:spacing w:after="0"/>
              <w:rPr>
                <w:sz w:val="20"/>
                <w:szCs w:val="20"/>
                <w:color w:val="auto"/>
              </w:rPr>
            </w:pPr>
            <w:r>
              <w:rPr>
                <w:rFonts w:ascii="Arial" w:cs="Arial" w:eastAsia="Arial" w:hAnsi="Arial"/>
                <w:sz w:val="20"/>
                <w:szCs w:val="20"/>
                <w:color w:val="auto"/>
                <w:w w:val="80"/>
              </w:rPr>
              <w:t>50</w:t>
            </w:r>
          </w:p>
        </w:tc>
        <w:tc>
          <w:tcPr>
            <w:tcW w:w="980" w:type="dxa"/>
            <w:vAlign w:val="bottom"/>
          </w:tcPr>
          <w:p>
            <w:pPr>
              <w:spacing w:after="0"/>
              <w:rPr>
                <w:sz w:val="22"/>
                <w:szCs w:val="22"/>
                <w:color w:val="auto"/>
              </w:rPr>
            </w:pPr>
          </w:p>
        </w:tc>
      </w:tr>
      <w:tr>
        <w:trPr>
          <w:trHeight w:val="86"/>
        </w:trPr>
        <w:tc>
          <w:tcPr>
            <w:tcW w:w="34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345"/>
        </w:trPr>
        <w:tc>
          <w:tcPr>
            <w:tcW w:w="342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Fair value </w:t>
            </w:r>
            <w:r>
              <w:rPr>
                <w:rFonts w:ascii="Arial" w:cs="Arial" w:eastAsia="Arial" w:hAnsi="Arial"/>
                <w:sz w:val="26"/>
                <w:szCs w:val="26"/>
                <w:color w:val="auto"/>
                <w:vertAlign w:val="superscript"/>
              </w:rPr>
              <w:t>(i)</w:t>
            </w: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w:t>
            </w:r>
          </w:p>
        </w:tc>
        <w:tc>
          <w:tcPr>
            <w:tcW w:w="132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630"/>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244"/>
              <w:spacing w:after="0"/>
              <w:rPr>
                <w:sz w:val="20"/>
                <w:szCs w:val="20"/>
                <w:color w:val="auto"/>
              </w:rPr>
            </w:pPr>
            <w:r>
              <w:rPr>
                <w:rFonts w:ascii="Arial" w:cs="Arial" w:eastAsia="Arial" w:hAnsi="Arial"/>
                <w:sz w:val="20"/>
                <w:szCs w:val="20"/>
                <w:color w:val="auto"/>
                <w:w w:val="89"/>
              </w:rPr>
              <w:t>—</w:t>
            </w:r>
          </w:p>
        </w:tc>
        <w:tc>
          <w:tcPr>
            <w:tcW w:w="980" w:type="dxa"/>
            <w:vAlign w:val="bottom"/>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-2139315</wp:posOffset>
            </wp:positionV>
            <wp:extent cx="303911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7">
                      <a:extLst>
                        <a:ext uri="{28A0092B-C50C-407E-A947-70E740481C1C}"/>
                      </a:extLst>
                    </a:blip>
                    <a:srcRect/>
                    <a:stretch>
                      <a:fillRect/>
                    </a:stretch>
                  </pic:blipFill>
                  <pic:spPr bwMode="auto">
                    <a:xfrm>
                      <a:off x="0" y="0"/>
                      <a:ext cx="3039110" cy="63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-1980565</wp:posOffset>
            </wp:positionV>
            <wp:extent cx="303911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8">
                      <a:extLst>
                        <a:ext uri="{28A0092B-C50C-407E-A947-70E740481C1C}"/>
                      </a:extLst>
                    </a:blip>
                    <a:srcRect/>
                    <a:stretch>
                      <a:fillRect/>
                    </a:stretch>
                  </pic:blipFill>
                  <pic:spPr bwMode="auto">
                    <a:xfrm>
                      <a:off x="0" y="0"/>
                      <a:ext cx="303911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-1364615</wp:posOffset>
            </wp:positionV>
            <wp:extent cx="596773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-443865</wp:posOffset>
            </wp:positionV>
            <wp:extent cx="78740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0">
                      <a:extLst>
                        <a:ext uri="{28A0092B-C50C-407E-A947-70E740481C1C}"/>
                      </a:extLst>
                    </a:blip>
                    <a:srcRect/>
                    <a:stretch>
                      <a:fillRect/>
                    </a:stretch>
                  </pic:blipFill>
                  <pic:spPr bwMode="auto">
                    <a:xfrm>
                      <a:off x="0" y="0"/>
                      <a:ext cx="787400" cy="6350"/>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-443865</wp:posOffset>
            </wp:positionV>
            <wp:extent cx="79311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1">
                      <a:extLst>
                        <a:ext uri="{28A0092B-C50C-407E-A947-70E740481C1C}"/>
                      </a:extLst>
                    </a:blip>
                    <a:srcRect/>
                    <a:stretch>
                      <a:fillRect/>
                    </a:stretch>
                  </pic:blipFill>
                  <pic:spPr bwMode="auto">
                    <a:xfrm>
                      <a:off x="0" y="0"/>
                      <a:ext cx="793115" cy="63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-247015</wp:posOffset>
            </wp:positionV>
            <wp:extent cx="708025" cy="285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2">
                      <a:extLst>
                        <a:ext uri="{28A0092B-C50C-407E-A947-70E740481C1C}"/>
                      </a:extLst>
                    </a:blip>
                    <a:srcRect/>
                    <a:stretch>
                      <a:fillRect/>
                    </a:stretch>
                  </pic:blipFill>
                  <pic:spPr bwMode="auto">
                    <a:xfrm>
                      <a:off x="0" y="0"/>
                      <a:ext cx="708025" cy="28575"/>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-247015</wp:posOffset>
            </wp:positionV>
            <wp:extent cx="713740" cy="285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3">
                      <a:extLst>
                        <a:ext uri="{28A0092B-C50C-407E-A947-70E740481C1C}"/>
                      </a:extLst>
                    </a:blip>
                    <a:srcRect/>
                    <a:stretch>
                      <a:fillRect/>
                    </a:stretch>
                  </pic:blipFill>
                  <pic:spPr bwMode="auto">
                    <a:xfrm>
                      <a:off x="0" y="0"/>
                      <a:ext cx="713740" cy="2857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-27940</wp:posOffset>
            </wp:positionV>
            <wp:extent cx="787400" cy="285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4">
                      <a:extLst>
                        <a:ext uri="{28A0092B-C50C-407E-A947-70E740481C1C}"/>
                      </a:extLst>
                    </a:blip>
                    <a:srcRect/>
                    <a:stretch>
                      <a:fillRect/>
                    </a:stretch>
                  </pic:blipFill>
                  <pic:spPr bwMode="auto">
                    <a:xfrm>
                      <a:off x="0" y="0"/>
                      <a:ext cx="787400" cy="28575"/>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-27940</wp:posOffset>
            </wp:positionV>
            <wp:extent cx="793115" cy="285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5">
                      <a:extLst>
                        <a:ext uri="{28A0092B-C50C-407E-A947-70E740481C1C}"/>
                      </a:extLst>
                    </a:blip>
                    <a:srcRect/>
                    <a:stretch>
                      <a:fillRect/>
                    </a:stretch>
                  </pic:blipFill>
                  <pic:spPr bwMode="auto">
                    <a:xfrm>
                      <a:off x="0" y="0"/>
                      <a:ext cx="793115"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228600</wp:posOffset>
            </wp:positionV>
            <wp:extent cx="79565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6">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26" w:right="280" w:hanging="226"/>
        <w:spacing w:after="0" w:line="559" w:lineRule="auto"/>
        <w:tabs>
          <w:tab w:leader="none" w:pos="226"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difference between the contract amount and the cash flow in U.S. dollars which would have been receivable had the foreign currency forward exchange contracts been entered into on December 31, 2025 at the forward exchange rates prevailing at that date.</w:t>
      </w:r>
    </w:p>
    <w:p>
      <w:pPr>
        <w:spacing w:after="0" w:line="69" w:lineRule="exact"/>
        <w:rPr>
          <w:sz w:val="20"/>
          <w:szCs w:val="20"/>
          <w:color w:val="auto"/>
        </w:rPr>
      </w:pPr>
    </w:p>
    <w:p>
      <w:pPr>
        <w:ind w:left="6" w:right="420"/>
        <w:spacing w:after="0" w:line="307" w:lineRule="auto"/>
        <w:rPr>
          <w:sz w:val="20"/>
          <w:szCs w:val="20"/>
          <w:color w:val="auto"/>
        </w:rPr>
      </w:pPr>
      <w:r>
        <w:rPr>
          <w:rFonts w:ascii="Arial" w:cs="Arial" w:eastAsia="Arial" w:hAnsi="Arial"/>
          <w:sz w:val="20"/>
          <w:szCs w:val="20"/>
          <w:color w:val="auto"/>
        </w:rPr>
        <w:t>Income earned within foreign subsidiaries outside of the U.K. is generally offset by expenses in the same local currency, however the Company does have exposure to foreign exchange movements on the net income of these entities.</w:t>
      </w:r>
    </w:p>
    <w:p>
      <w:pPr>
        <w:spacing w:after="0" w:line="18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Interest Rate Risk</w:t>
      </w:r>
    </w:p>
    <w:p>
      <w:pPr>
        <w:spacing w:after="0" w:line="260" w:lineRule="exact"/>
        <w:rPr>
          <w:sz w:val="20"/>
          <w:szCs w:val="20"/>
          <w:color w:val="auto"/>
        </w:rPr>
      </w:pPr>
    </w:p>
    <w:p>
      <w:pPr>
        <w:ind w:left="6"/>
        <w:spacing w:after="0" w:line="310" w:lineRule="auto"/>
        <w:rPr>
          <w:sz w:val="20"/>
          <w:szCs w:val="20"/>
          <w:color w:val="auto"/>
        </w:rPr>
      </w:pPr>
      <w:r>
        <w:rPr>
          <w:rFonts w:ascii="Arial" w:cs="Arial" w:eastAsia="Arial" w:hAnsi="Arial"/>
          <w:sz w:val="20"/>
          <w:szCs w:val="20"/>
          <w:color w:val="auto"/>
        </w:rPr>
        <w:t>The Company has access to $1.5 billion under a revolving credit facility (see Note 11 — Debt within Item 8 of this Annual Report on Form 10-K for further information). As of December 31, 2025, no amount was drawn on this facility. We are also subject to market risk from exposure to changes in interest rates based on our investing activities where our primary interest rate risk arises from changes in short-term interest rates in U.S. dollars, Pounds sterling and Euros.</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w:t>
      </w:r>
    </w:p>
    <w:p>
      <w:pPr>
        <w:spacing w:after="0" w:line="83"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Company had no outstanding floating rate-based debt at December 31, 2025.</w:t>
      </w:r>
    </w:p>
    <w:p>
      <w:pPr>
        <w:spacing w:after="0" w:line="395" w:lineRule="exact"/>
        <w:rPr>
          <w:sz w:val="20"/>
          <w:szCs w:val="20"/>
          <w:color w:val="auto"/>
        </w:rPr>
      </w:pPr>
    </w:p>
    <w:p>
      <w:pPr>
        <w:jc w:val="center"/>
        <w:ind w:right="-65"/>
        <w:spacing w:after="0"/>
        <w:rPr>
          <w:sz w:val="20"/>
          <w:szCs w:val="20"/>
          <w:color w:val="auto"/>
        </w:rPr>
      </w:pPr>
      <w:r>
        <w:rPr>
          <w:rFonts w:ascii="Arial" w:cs="Arial" w:eastAsia="Arial" w:hAnsi="Arial"/>
          <w:sz w:val="16"/>
          <w:szCs w:val="16"/>
          <w:b w:val="1"/>
          <w:bCs w:val="1"/>
          <w:color w:val="auto"/>
        </w:rPr>
        <w:t>Expected to mature before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1761490</wp:posOffset>
            </wp:positionH>
            <wp:positionV relativeFrom="paragraph">
              <wp:posOffset>20320</wp:posOffset>
            </wp:positionV>
            <wp:extent cx="255016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7">
                      <a:extLst>
                        <a:ext uri="{28A0092B-C50C-407E-A947-70E740481C1C}"/>
                      </a:extLst>
                    </a:blip>
                    <a:srcRect/>
                    <a:stretch>
                      <a:fillRect/>
                    </a:stretch>
                  </pic:blipFill>
                  <pic:spPr bwMode="auto">
                    <a:xfrm>
                      <a:off x="0" y="0"/>
                      <a:ext cx="2550160" cy="6350"/>
                    </a:xfrm>
                    <a:prstGeom prst="rect">
                      <a:avLst/>
                    </a:prstGeom>
                    <a:noFill/>
                  </pic:spPr>
                </pic:pic>
              </a:graphicData>
            </a:graphic>
          </wp:anchor>
        </w:drawing>
      </w:r>
    </w:p>
    <w:p>
      <w:pPr>
        <w:spacing w:after="0" w:line="46" w:lineRule="exact"/>
        <w:rPr>
          <w:sz w:val="20"/>
          <w:szCs w:val="20"/>
          <w:color w:val="auto"/>
        </w:rPr>
      </w:pPr>
    </w:p>
    <w:p>
      <w:pPr>
        <w:ind w:left="8846"/>
        <w:spacing w:after="0"/>
        <w:rPr>
          <w:sz w:val="20"/>
          <w:szCs w:val="20"/>
          <w:color w:val="auto"/>
        </w:rPr>
      </w:pPr>
      <w:r>
        <w:rPr>
          <w:rFonts w:ascii="Arial" w:cs="Arial" w:eastAsia="Arial" w:hAnsi="Arial"/>
          <w:sz w:val="16"/>
          <w:szCs w:val="16"/>
          <w:b w:val="1"/>
          <w:bCs w:val="1"/>
          <w:color w:val="auto"/>
        </w:rPr>
        <w:t>Fair</w:t>
      </w:r>
    </w:p>
    <w:p>
      <w:pPr>
        <w:spacing w:after="0" w:line="28" w:lineRule="exact"/>
        <w:rPr>
          <w:sz w:val="20"/>
          <w:szCs w:val="20"/>
          <w:color w:val="auto"/>
        </w:rPr>
      </w:pPr>
    </w:p>
    <w:p>
      <w:pPr>
        <w:ind w:left="2906"/>
        <w:spacing w:after="0"/>
        <w:tabs>
          <w:tab w:leader="none" w:pos="3726" w:val="left"/>
          <w:tab w:leader="none" w:pos="4586" w:val="left"/>
          <w:tab w:leader="none" w:pos="5426" w:val="left"/>
          <w:tab w:leader="none" w:pos="6246" w:val="left"/>
          <w:tab w:leader="none" w:pos="6866" w:val="left"/>
          <w:tab w:leader="none" w:pos="7966" w:val="left"/>
          <w:tab w:leader="none" w:pos="8726" w:val="left"/>
        </w:tabs>
        <w:rPr>
          <w:sz w:val="20"/>
          <w:szCs w:val="20"/>
          <w:color w:val="auto"/>
        </w:rPr>
      </w:pPr>
      <w:r>
        <w:rPr>
          <w:rFonts w:ascii="Arial" w:cs="Arial" w:eastAsia="Arial" w:hAnsi="Arial"/>
          <w:sz w:val="16"/>
          <w:szCs w:val="16"/>
          <w:b w:val="1"/>
          <w:bCs w:val="1"/>
          <w:color w:val="auto"/>
        </w:rPr>
        <w:t>2026</w:t>
      </w:r>
      <w:r>
        <w:rPr>
          <w:sz w:val="20"/>
          <w:szCs w:val="20"/>
          <w:color w:val="auto"/>
        </w:rPr>
        <w:tab/>
      </w:r>
      <w:r>
        <w:rPr>
          <w:rFonts w:ascii="Arial" w:cs="Arial" w:eastAsia="Arial" w:hAnsi="Arial"/>
          <w:sz w:val="16"/>
          <w:szCs w:val="16"/>
          <w:b w:val="1"/>
          <w:bCs w:val="1"/>
          <w:color w:val="auto"/>
        </w:rPr>
        <w:t>2027</w:t>
      </w:r>
      <w:r>
        <w:rPr>
          <w:sz w:val="20"/>
          <w:szCs w:val="20"/>
          <w:color w:val="auto"/>
        </w:rPr>
        <w:tab/>
      </w:r>
      <w:r>
        <w:rPr>
          <w:rFonts w:ascii="Arial" w:cs="Arial" w:eastAsia="Arial" w:hAnsi="Arial"/>
          <w:sz w:val="16"/>
          <w:szCs w:val="16"/>
          <w:b w:val="1"/>
          <w:bCs w:val="1"/>
          <w:color w:val="auto"/>
        </w:rPr>
        <w:t>2028</w:t>
      </w:r>
      <w:r>
        <w:rPr>
          <w:sz w:val="20"/>
          <w:szCs w:val="20"/>
          <w:color w:val="auto"/>
        </w:rPr>
        <w:tab/>
      </w:r>
      <w:r>
        <w:rPr>
          <w:rFonts w:ascii="Arial" w:cs="Arial" w:eastAsia="Arial" w:hAnsi="Arial"/>
          <w:sz w:val="16"/>
          <w:szCs w:val="16"/>
          <w:b w:val="1"/>
          <w:bCs w:val="1"/>
          <w:color w:val="auto"/>
        </w:rPr>
        <w:t>2029</w:t>
      </w:r>
      <w:r>
        <w:rPr>
          <w:sz w:val="20"/>
          <w:szCs w:val="20"/>
          <w:color w:val="auto"/>
        </w:rPr>
        <w:tab/>
      </w:r>
      <w:r>
        <w:rPr>
          <w:rFonts w:ascii="Arial" w:cs="Arial" w:eastAsia="Arial" w:hAnsi="Arial"/>
          <w:sz w:val="16"/>
          <w:szCs w:val="16"/>
          <w:b w:val="1"/>
          <w:bCs w:val="1"/>
          <w:color w:val="auto"/>
        </w:rPr>
        <w:t>2030</w:t>
      </w:r>
      <w:r>
        <w:rPr>
          <w:sz w:val="20"/>
          <w:szCs w:val="20"/>
          <w:color w:val="auto"/>
        </w:rPr>
        <w:tab/>
      </w:r>
      <w:r>
        <w:rPr>
          <w:rFonts w:ascii="Arial" w:cs="Arial" w:eastAsia="Arial" w:hAnsi="Arial"/>
          <w:sz w:val="16"/>
          <w:szCs w:val="16"/>
          <w:b w:val="1"/>
          <w:bCs w:val="1"/>
          <w:color w:val="auto"/>
        </w:rPr>
        <w:t>Thereafter</w:t>
      </w:r>
      <w:r>
        <w:rPr>
          <w:sz w:val="20"/>
          <w:szCs w:val="20"/>
          <w:color w:val="auto"/>
        </w:rPr>
        <w:tab/>
      </w:r>
      <w:r>
        <w:rPr>
          <w:rFonts w:ascii="Arial" w:cs="Arial" w:eastAsia="Arial" w:hAnsi="Arial"/>
          <w:sz w:val="16"/>
          <w:szCs w:val="16"/>
          <w:b w:val="1"/>
          <w:bCs w:val="1"/>
          <w:color w:val="auto"/>
        </w:rPr>
        <w:t>Total</w:t>
      </w:r>
      <w:r>
        <w:rPr>
          <w:sz w:val="20"/>
          <w:szCs w:val="20"/>
          <w:color w:val="auto"/>
        </w:rPr>
        <w:tab/>
      </w:r>
      <w:r>
        <w:rPr>
          <w:rFonts w:ascii="Arial" w:cs="Arial" w:eastAsia="Arial" w:hAnsi="Arial"/>
          <w:sz w:val="14"/>
          <w:szCs w:val="14"/>
          <w:b w:val="1"/>
          <w:bCs w:val="1"/>
          <w:color w:val="auto"/>
        </w:rPr>
        <w:t xml:space="preserve">Value </w:t>
      </w:r>
      <w:r>
        <w:rPr>
          <w:rFonts w:ascii="Arial" w:cs="Arial" w:eastAsia="Arial" w:hAnsi="Arial"/>
          <w:sz w:val="18"/>
          <w:szCs w:val="18"/>
          <w:b w:val="1"/>
          <w:bCs w:val="1"/>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1761490</wp:posOffset>
            </wp:positionH>
            <wp:positionV relativeFrom="paragraph">
              <wp:posOffset>19050</wp:posOffset>
            </wp:positionV>
            <wp:extent cx="420560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8">
                      <a:extLst>
                        <a:ext uri="{28A0092B-C50C-407E-A947-70E740481C1C}"/>
                      </a:extLst>
                    </a:blip>
                    <a:srcRect/>
                    <a:stretch>
                      <a:fillRect/>
                    </a:stretch>
                  </pic:blipFill>
                  <pic:spPr bwMode="auto">
                    <a:xfrm>
                      <a:off x="0" y="0"/>
                      <a:ext cx="4205605" cy="63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 / 15</w:t>
      </w:r>
    </w:p>
    <w:p>
      <w:pPr>
        <w:sectPr>
          <w:pgSz w:w="11900" w:h="16838" w:orient="portrait"/>
          <w:cols w:equalWidth="0" w:num="1">
            <w:col w:w="9406"/>
          </w:cols>
          <w:pgMar w:left="1254" w:top="1440" w:right="1246" w:bottom="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0" w:type="dxa"/>
            <w:vAlign w:val="bottom"/>
            <w:gridSpan w:val="3"/>
          </w:tcPr>
          <w:p>
            <w:pPr>
              <w:ind w:left="300"/>
              <w:spacing w:after="0"/>
              <w:rPr>
                <w:sz w:val="20"/>
                <w:szCs w:val="20"/>
                <w:color w:val="auto"/>
              </w:rPr>
            </w:pPr>
            <w:r>
              <w:rPr>
                <w:rFonts w:ascii="Arial" w:cs="Arial" w:eastAsia="Arial" w:hAnsi="Arial"/>
                <w:sz w:val="16"/>
                <w:szCs w:val="16"/>
                <w:b w:val="1"/>
                <w:bCs w:val="1"/>
                <w:color w:val="auto"/>
              </w:rPr>
              <w:t>($ in millions)</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2"/>
        </w:trPr>
        <w:tc>
          <w:tcPr>
            <w:tcW w:w="2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80"/>
        </w:trPr>
        <w:tc>
          <w:tcPr>
            <w:tcW w:w="2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Fixed rate debt</w:t>
            </w:r>
          </w:p>
        </w:tc>
        <w:tc>
          <w:tcPr>
            <w:tcW w:w="14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r>
      <w:tr>
        <w:trPr>
          <w:trHeight w:val="259"/>
        </w:trPr>
        <w:tc>
          <w:tcPr>
            <w:tcW w:w="2140" w:type="dxa"/>
            <w:vAlign w:val="bottom"/>
          </w:tcPr>
          <w:p>
            <w:pPr>
              <w:ind w:left="20"/>
              <w:spacing w:after="0"/>
              <w:rPr>
                <w:sz w:val="20"/>
                <w:szCs w:val="20"/>
                <w:color w:val="auto"/>
              </w:rPr>
            </w:pPr>
            <w:r>
              <w:rPr>
                <w:rFonts w:ascii="Arial" w:cs="Arial" w:eastAsia="Arial" w:hAnsi="Arial"/>
                <w:sz w:val="20"/>
                <w:szCs w:val="20"/>
                <w:color w:val="auto"/>
              </w:rPr>
              <w:t>Principal</w:t>
            </w:r>
          </w:p>
        </w:tc>
        <w:tc>
          <w:tcPr>
            <w:tcW w:w="1420" w:type="dxa"/>
            <w:vAlign w:val="bottom"/>
          </w:tcPr>
          <w:p>
            <w:pPr>
              <w:jc w:val="right"/>
              <w:ind w:right="100"/>
              <w:spacing w:after="0"/>
              <w:rPr>
                <w:sz w:val="20"/>
                <w:szCs w:val="20"/>
                <w:color w:val="auto"/>
              </w:rPr>
            </w:pPr>
            <w:r>
              <w:rPr>
                <w:rFonts w:ascii="Arial" w:cs="Arial" w:eastAsia="Arial" w:hAnsi="Arial"/>
                <w:sz w:val="20"/>
                <w:szCs w:val="20"/>
                <w:color w:val="auto"/>
              </w:rPr>
              <w:t>$  550</w:t>
            </w:r>
          </w:p>
        </w:tc>
        <w:tc>
          <w:tcPr>
            <w:tcW w:w="860" w:type="dxa"/>
            <w:vAlign w:val="bottom"/>
          </w:tcPr>
          <w:p>
            <w:pPr>
              <w:jc w:val="right"/>
              <w:ind w:right="120"/>
              <w:spacing w:after="0"/>
              <w:rPr>
                <w:sz w:val="20"/>
                <w:szCs w:val="20"/>
                <w:color w:val="auto"/>
              </w:rPr>
            </w:pPr>
            <w:r>
              <w:rPr>
                <w:rFonts w:ascii="Arial" w:cs="Arial" w:eastAsia="Arial" w:hAnsi="Arial"/>
                <w:sz w:val="20"/>
                <w:szCs w:val="20"/>
                <w:color w:val="auto"/>
              </w:rPr>
              <w:t>$  750</w:t>
            </w:r>
          </w:p>
        </w:tc>
        <w:tc>
          <w:tcPr>
            <w:tcW w:w="840" w:type="dxa"/>
            <w:vAlign w:val="bottom"/>
          </w:tcPr>
          <w:p>
            <w:pPr>
              <w:jc w:val="right"/>
              <w:ind w:right="120"/>
              <w:spacing w:after="0"/>
              <w:rPr>
                <w:sz w:val="20"/>
                <w:szCs w:val="20"/>
                <w:color w:val="auto"/>
              </w:rPr>
            </w:pPr>
            <w:r>
              <w:rPr>
                <w:rFonts w:ascii="Arial" w:cs="Arial" w:eastAsia="Arial" w:hAnsi="Arial"/>
                <w:sz w:val="20"/>
                <w:szCs w:val="20"/>
                <w:color w:val="auto"/>
              </w:rPr>
              <w:t>$  600</w:t>
            </w:r>
          </w:p>
        </w:tc>
        <w:tc>
          <w:tcPr>
            <w:tcW w:w="840" w:type="dxa"/>
            <w:vAlign w:val="bottom"/>
          </w:tcPr>
          <w:p>
            <w:pPr>
              <w:jc w:val="right"/>
              <w:ind w:right="107"/>
              <w:spacing w:after="0"/>
              <w:rPr>
                <w:sz w:val="20"/>
                <w:szCs w:val="20"/>
                <w:color w:val="auto"/>
              </w:rPr>
            </w:pPr>
            <w:r>
              <w:rPr>
                <w:rFonts w:ascii="Arial" w:cs="Arial" w:eastAsia="Arial" w:hAnsi="Arial"/>
                <w:sz w:val="20"/>
                <w:szCs w:val="20"/>
                <w:color w:val="auto"/>
              </w:rPr>
              <w:t>$  725</w:t>
            </w:r>
          </w:p>
        </w:tc>
        <w:tc>
          <w:tcPr>
            <w:tcW w:w="2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680" w:type="dxa"/>
            <w:vAlign w:val="bottom"/>
          </w:tcPr>
          <w:p>
            <w:pPr>
              <w:ind w:left="120"/>
              <w:spacing w:after="0"/>
              <w:rPr>
                <w:sz w:val="20"/>
                <w:szCs w:val="20"/>
                <w:color w:val="auto"/>
              </w:rPr>
            </w:pPr>
            <w:r>
              <w:rPr>
                <w:rFonts w:ascii="Arial" w:cs="Arial" w:eastAsia="Arial" w:hAnsi="Arial"/>
                <w:sz w:val="20"/>
                <w:szCs w:val="20"/>
                <w:color w:val="auto"/>
              </w:rPr>
              <w:t>—  $</w:t>
            </w:r>
          </w:p>
        </w:tc>
        <w:tc>
          <w:tcPr>
            <w:tcW w:w="760" w:type="dxa"/>
            <w:vAlign w:val="bottom"/>
          </w:tcPr>
          <w:p>
            <w:pPr>
              <w:ind w:left="100"/>
              <w:spacing w:after="0"/>
              <w:rPr>
                <w:sz w:val="20"/>
                <w:szCs w:val="20"/>
                <w:color w:val="auto"/>
              </w:rPr>
            </w:pPr>
            <w:r>
              <w:rPr>
                <w:rFonts w:ascii="Arial" w:cs="Arial" w:eastAsia="Arial" w:hAnsi="Arial"/>
                <w:sz w:val="20"/>
                <w:szCs w:val="20"/>
                <w:color w:val="auto"/>
              </w:rPr>
              <w:t>3,725</w:t>
            </w:r>
          </w:p>
        </w:tc>
        <w:tc>
          <w:tcPr>
            <w:tcW w:w="840" w:type="dxa"/>
            <w:vAlign w:val="bottom"/>
          </w:tcPr>
          <w:p>
            <w:pPr>
              <w:jc w:val="right"/>
              <w:ind w:right="100"/>
              <w:spacing w:after="0"/>
              <w:rPr>
                <w:sz w:val="20"/>
                <w:szCs w:val="20"/>
                <w:color w:val="auto"/>
              </w:rPr>
            </w:pPr>
            <w:r>
              <w:rPr>
                <w:rFonts w:ascii="Arial" w:cs="Arial" w:eastAsia="Arial" w:hAnsi="Arial"/>
                <w:sz w:val="20"/>
                <w:szCs w:val="20"/>
                <w:color w:val="auto"/>
                <w:w w:val="92"/>
              </w:rPr>
              <w:t>$ 6,350</w:t>
            </w:r>
          </w:p>
        </w:tc>
        <w:tc>
          <w:tcPr>
            <w:tcW w:w="740" w:type="dxa"/>
            <w:vAlign w:val="bottom"/>
          </w:tcPr>
          <w:p>
            <w:pPr>
              <w:jc w:val="right"/>
              <w:spacing w:after="0"/>
              <w:rPr>
                <w:sz w:val="20"/>
                <w:szCs w:val="20"/>
                <w:color w:val="auto"/>
              </w:rPr>
            </w:pPr>
            <w:r>
              <w:rPr>
                <w:rFonts w:ascii="Arial" w:cs="Arial" w:eastAsia="Arial" w:hAnsi="Arial"/>
                <w:sz w:val="20"/>
                <w:szCs w:val="20"/>
                <w:color w:val="auto"/>
                <w:w w:val="92"/>
              </w:rPr>
              <w:t>$ 6,168</w:t>
            </w:r>
          </w:p>
        </w:tc>
      </w:tr>
      <w:tr>
        <w:trPr>
          <w:trHeight w:val="41"/>
        </w:trPr>
        <w:tc>
          <w:tcPr>
            <w:tcW w:w="2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9"/>
        </w:trPr>
        <w:tc>
          <w:tcPr>
            <w:tcW w:w="2140" w:type="dxa"/>
            <w:vAlign w:val="bottom"/>
            <w:shd w:val="clear" w:color="auto" w:fill="CFF0FC"/>
          </w:tcPr>
          <w:p>
            <w:pPr>
              <w:ind w:left="20"/>
              <w:spacing w:after="0"/>
              <w:rPr>
                <w:sz w:val="20"/>
                <w:szCs w:val="20"/>
                <w:color w:val="auto"/>
              </w:rPr>
            </w:pPr>
            <w:r>
              <w:rPr>
                <w:rFonts w:ascii="Arial" w:cs="Arial" w:eastAsia="Arial" w:hAnsi="Arial"/>
                <w:sz w:val="20"/>
                <w:szCs w:val="20"/>
                <w:color w:val="auto"/>
              </w:rPr>
              <w:t>Fixed rate payable</w:t>
            </w: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4.400%</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4.650%</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4.500%</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2.950%</w:t>
            </w:r>
          </w:p>
        </w:tc>
        <w:tc>
          <w:tcPr>
            <w:tcW w:w="280" w:type="dxa"/>
            <w:vAlign w:val="bottom"/>
            <w:shd w:val="clear" w:color="auto" w:fill="CFF0FC"/>
          </w:tcPr>
          <w:p>
            <w:pPr>
              <w:spacing w:after="0"/>
              <w:rPr>
                <w:sz w:val="22"/>
                <w:szCs w:val="22"/>
                <w:color w:val="auto"/>
              </w:rPr>
            </w:pPr>
          </w:p>
        </w:tc>
        <w:tc>
          <w:tcPr>
            <w:tcW w:w="6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760" w:type="dxa"/>
            <w:vAlign w:val="bottom"/>
            <w:shd w:val="clear" w:color="auto" w:fill="CFF0FC"/>
          </w:tcPr>
          <w:p>
            <w:pPr>
              <w:ind w:left="100"/>
              <w:spacing w:after="0"/>
              <w:rPr>
                <w:sz w:val="20"/>
                <w:szCs w:val="20"/>
                <w:color w:val="auto"/>
              </w:rPr>
            </w:pPr>
            <w:r>
              <w:rPr>
                <w:rFonts w:ascii="Arial" w:cs="Arial" w:eastAsia="Arial" w:hAnsi="Arial"/>
                <w:sz w:val="20"/>
                <w:szCs w:val="20"/>
                <w:color w:val="auto"/>
                <w:w w:val="94"/>
              </w:rPr>
              <w:t>5.102%</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4.685%</w:t>
            </w:r>
          </w:p>
        </w:tc>
        <w:tc>
          <w:tcPr>
            <w:tcW w:w="740" w:type="dxa"/>
            <w:vAlign w:val="bottom"/>
            <w:shd w:val="clear" w:color="auto" w:fill="CFF0FC"/>
          </w:tcPr>
          <w:p>
            <w:pPr>
              <w:spacing w:after="0"/>
              <w:rPr>
                <w:sz w:val="22"/>
                <w:szCs w:val="22"/>
                <w:color w:val="auto"/>
              </w:rPr>
            </w:pPr>
          </w:p>
        </w:tc>
      </w:tr>
      <w:tr>
        <w:trPr>
          <w:trHeight w:val="41"/>
        </w:trPr>
        <w:tc>
          <w:tcPr>
            <w:tcW w:w="2140" w:type="dxa"/>
            <w:vAlign w:val="bottom"/>
            <w:shd w:val="clear" w:color="auto" w:fill="CFF0FC"/>
          </w:tcPr>
          <w:p>
            <w:pPr>
              <w:spacing w:after="0"/>
              <w:rPr>
                <w:sz w:val="3"/>
                <w:szCs w:val="3"/>
                <w:color w:val="auto"/>
              </w:rPr>
            </w:pPr>
          </w:p>
        </w:tc>
        <w:tc>
          <w:tcPr>
            <w:tcW w:w="142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203200</wp:posOffset>
            </wp:positionV>
            <wp:extent cx="79565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9">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(i) Represents the net present value of the expected cash flows discounted at current market rates of interest or quoted market rates as appropriate.</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Income on Fiduciary Funds</w:t>
      </w:r>
    </w:p>
    <w:p>
      <w:pPr>
        <w:spacing w:after="0" w:line="260" w:lineRule="exact"/>
        <w:rPr>
          <w:sz w:val="20"/>
          <w:szCs w:val="20"/>
          <w:color w:val="auto"/>
        </w:rPr>
      </w:pPr>
    </w:p>
    <w:p>
      <w:pPr>
        <w:ind w:right="20"/>
        <w:spacing w:after="0" w:line="329" w:lineRule="auto"/>
        <w:rPr>
          <w:sz w:val="20"/>
          <w:szCs w:val="20"/>
          <w:color w:val="auto"/>
        </w:rPr>
      </w:pPr>
      <w:r>
        <w:rPr>
          <w:rFonts w:ascii="Arial" w:cs="Arial" w:eastAsia="Arial" w:hAnsi="Arial"/>
          <w:sz w:val="19"/>
          <w:szCs w:val="19"/>
          <w:color w:val="auto"/>
        </w:rPr>
        <w:t>We are exposed to interest rate risk. Specifically, as a result of our operating activities, we receive cash for premiums and claims which we deposit in high-quality bank term deposit and money market funds, on which we earn interest, where permitted. We also hold funds for clients of our benefits accounts businesses. For the benefit funds not invested, cash and cash equivalents are held, on which we earn interest, until the funds are directed by plan participants to either be invested in mutual funds or paid out on their behalf. This interest earned is included in our consolidated financial statements as interest income. These funds are regulated in terms of access and the instruments in which they may be invested, most of which are short-term in maturity. Short-term rates in major currencies began to decrease over the second half of 2024 from end-of-2023 levels. This followed some steep central bank rate increases in 2023. Our increased interest income in 2024 reflected a combination of relatively high-average interest rates over the course of 2024 and some increases in our invested cash balances. Through the end of 2025, although at levels below the same period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5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15</w:t>
      </w:r>
    </w:p>
    <w:p>
      <w:pPr>
        <w:sectPr>
          <w:pgSz w:w="11900" w:h="16838" w:orient="portrait"/>
          <w:cols w:equalWidth="0" w:num="1">
            <w:col w:w="9400"/>
          </w:cols>
          <w:pgMar w:left="1260" w:top="1157" w:right="1246" w:bottom="0" w:gutter="0" w:footer="0" w:header="0"/>
          <w:type w:val="continuous"/>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in 2024, short-term rates have remained in line with expectations. Significant economic uncertainty prevails at this time, and the timing and magnitude of future central bank rate changes are uncertain. As to be expected, interest income in the future will be a function of the short-term rates we are able to obtain by currency and the cash balances available to invest. Interest income was $156 million, $166 million and $145 million for the years ended December 31, 2025, 2024 and 2023, respectively. At December 31, 2025, we held $2.7 billion of fiduciary funds invested in interest-bearing accounts. If short-term interest rates increased or decreased by 25 basis points, interest earned on these invested fiduciary funds, and therefore our interest income recognized, would increase or decrease by approximately $7 million on an annualized basis.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Risk and Concentrations of Credit Risk</w:t>
      </w:r>
    </w:p>
    <w:p>
      <w:pPr>
        <w:spacing w:after="0" w:line="260" w:lineRule="exact"/>
        <w:rPr>
          <w:sz w:val="20"/>
          <w:szCs w:val="20"/>
          <w:color w:val="auto"/>
        </w:rPr>
      </w:pPr>
    </w:p>
    <w:p>
      <w:pPr>
        <w:ind w:right="320"/>
        <w:spacing w:after="0" w:line="355" w:lineRule="auto"/>
        <w:rPr>
          <w:sz w:val="20"/>
          <w:szCs w:val="20"/>
          <w:color w:val="auto"/>
        </w:rPr>
      </w:pPr>
      <w:r>
        <w:rPr>
          <w:rFonts w:ascii="Arial" w:cs="Arial" w:eastAsia="Arial" w:hAnsi="Arial"/>
          <w:sz w:val="18"/>
          <w:szCs w:val="18"/>
          <w:color w:val="auto"/>
        </w:rPr>
        <w:t>Credit risk represents the loss that would be recognized at the reporting date if counterparties failed to perform as contracted. The Company currently does not anticipate non-performance by its counterparties. The Company generally does not require collateral or other security to support financial instruments with credit risk.</w:t>
      </w:r>
    </w:p>
    <w:p>
      <w:pPr>
        <w:spacing w:after="0" w:line="162" w:lineRule="exact"/>
        <w:rPr>
          <w:sz w:val="20"/>
          <w:szCs w:val="20"/>
          <w:color w:val="auto"/>
        </w:rPr>
      </w:pPr>
    </w:p>
    <w:p>
      <w:pPr>
        <w:ind w:right="160"/>
        <w:spacing w:after="0" w:line="351" w:lineRule="auto"/>
        <w:rPr>
          <w:sz w:val="20"/>
          <w:szCs w:val="20"/>
          <w:color w:val="auto"/>
        </w:rPr>
      </w:pPr>
      <w:r>
        <w:rPr>
          <w:rFonts w:ascii="Arial" w:cs="Arial" w:eastAsia="Arial" w:hAnsi="Arial"/>
          <w:sz w:val="18"/>
          <w:szCs w:val="18"/>
          <w:color w:val="auto"/>
        </w:rPr>
        <w:t>Concentrations of credit risk that arise from financial instruments exist for groups of customers or counterparties when they have similar economic characteristics that would cause their ability to meet contractual obligations to be similarly affected by changes in economic or other conditions. Financial instruments on the balance sheet that potentially subject the Company to concentrations of credit risk consist primarily of cash and cash equivalents, fiduciary funds, accounts receivable and derivatives which are recorded at fair value.</w:t>
      </w:r>
    </w:p>
    <w:p>
      <w:pPr>
        <w:spacing w:after="0" w:line="166" w:lineRule="exact"/>
        <w:rPr>
          <w:sz w:val="20"/>
          <w:szCs w:val="20"/>
          <w:color w:val="auto"/>
        </w:rPr>
      </w:pPr>
    </w:p>
    <w:p>
      <w:pPr>
        <w:ind w:right="180"/>
        <w:spacing w:after="0" w:line="309" w:lineRule="auto"/>
        <w:rPr>
          <w:sz w:val="20"/>
          <w:szCs w:val="20"/>
          <w:color w:val="auto"/>
        </w:rPr>
      </w:pPr>
      <w:r>
        <w:rPr>
          <w:rFonts w:ascii="Arial" w:cs="Arial" w:eastAsia="Arial" w:hAnsi="Arial"/>
          <w:sz w:val="20"/>
          <w:szCs w:val="20"/>
          <w:color w:val="auto"/>
        </w:rPr>
        <w:t>The Company maintains a policy of providing for the diversification of cash and cash equivalent investments and places such investments in an extensive number of financial institutions to limit the amount of credit risk exposure. These financial institutions are monitored on an ongoing basis for credit quality predominantly using information provided by credit agencies.</w:t>
      </w:r>
    </w:p>
    <w:p>
      <w:pPr>
        <w:spacing w:after="0" w:line="196" w:lineRule="exact"/>
        <w:rPr>
          <w:sz w:val="20"/>
          <w:szCs w:val="20"/>
          <w:color w:val="auto"/>
        </w:rPr>
      </w:pPr>
    </w:p>
    <w:p>
      <w:pPr>
        <w:ind w:right="40"/>
        <w:spacing w:after="0" w:line="309" w:lineRule="auto"/>
        <w:rPr>
          <w:sz w:val="20"/>
          <w:szCs w:val="20"/>
          <w:color w:val="auto"/>
        </w:rPr>
      </w:pPr>
      <w:r>
        <w:rPr>
          <w:rFonts w:ascii="Arial" w:cs="Arial" w:eastAsia="Arial" w:hAnsi="Arial"/>
          <w:sz w:val="20"/>
          <w:szCs w:val="20"/>
          <w:color w:val="auto"/>
        </w:rPr>
        <w:t>Concentrations of credit risk with respect to receivables are limited due to the large number of clients and markets in which the Company does business, as well as the dispersion across many geographic areas. Management does not believe that significant risk exists in connection with the Company’s concentrations of credit as of December 31, 2025.</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 / 15</w:t>
      </w:r>
    </w:p>
    <w:p>
      <w:pPr>
        <w:sectPr>
          <w:pgSz w:w="11900" w:h="16838" w:orient="portrait"/>
          <w:cols w:equalWidth="0" w:num="1">
            <w:col w:w="9380"/>
          </w:cols>
          <w:pgMar w:left="1260" w:top="1440" w:right="1266" w:bottom="0" w:gutter="0" w:footer="0" w:header="0"/>
          <w:type w:val="continuous"/>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WILLIS TOWERS WATSON PUBLIC LIMITED COMPANY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FORM 10-K</w:t>
      </w:r>
    </w:p>
    <w:p>
      <w:pPr>
        <w:spacing w:after="0" w:line="31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800" w:type="dxa"/>
            <w:vAlign w:val="bottom"/>
            <w:tcBorders>
              <w:bottom w:val="single" w:sz="8" w:color="0000FF"/>
            </w:tcBorders>
            <w:gridSpan w:val="4"/>
          </w:tcPr>
          <w:p>
            <w:pPr>
              <w:spacing w:after="0"/>
              <w:rPr>
                <w:sz w:val="20"/>
                <w:szCs w:val="20"/>
                <w:color w:val="auto"/>
              </w:rPr>
            </w:pPr>
            <w:r>
              <w:rPr>
                <w:rFonts w:ascii="Arial" w:cs="Arial" w:eastAsia="Arial" w:hAnsi="Arial"/>
                <w:sz w:val="19"/>
                <w:szCs w:val="19"/>
                <w:color w:val="0000FF"/>
                <w:w w:val="92"/>
              </w:rPr>
              <w:t>Report of Independent Registered Public Accounting Firm (PCAOB ID: 34)</w:t>
            </w:r>
          </w:p>
        </w:tc>
        <w:tc>
          <w:tcPr>
            <w:tcW w:w="284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640" w:type="dxa"/>
            <w:vAlign w:val="bottom"/>
            <w:tcBorders>
              <w:bottom w:val="single" w:sz="8" w:color="0000FF"/>
            </w:tcBorders>
            <w:gridSpan w:val="7"/>
          </w:tcPr>
          <w:p>
            <w:pPr>
              <w:spacing w:after="0"/>
              <w:rPr>
                <w:sz w:val="20"/>
                <w:szCs w:val="20"/>
                <w:color w:val="auto"/>
              </w:rPr>
            </w:pPr>
            <w:r>
              <w:rPr>
                <w:rFonts w:ascii="Arial" w:cs="Arial" w:eastAsia="Arial" w:hAnsi="Arial"/>
                <w:sz w:val="19"/>
                <w:szCs w:val="19"/>
                <w:color w:val="0000FF"/>
                <w:w w:val="89"/>
              </w:rPr>
              <w:t>Consolidated Statements of Comprehensive Income for each of the three years in the period ended December 31,</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00" w:type="dxa"/>
            <w:vAlign w:val="bottom"/>
            <w:gridSpan w:val="2"/>
          </w:tcPr>
          <w:p>
            <w:pPr>
              <w:ind w:left="20"/>
              <w:spacing w:after="0"/>
              <w:rPr>
                <w:sz w:val="20"/>
                <w:szCs w:val="20"/>
                <w:color w:val="auto"/>
              </w:rPr>
            </w:pPr>
            <w:r>
              <w:rPr>
                <w:rFonts w:ascii="Arial" w:cs="Arial" w:eastAsia="Arial" w:hAnsi="Arial"/>
                <w:sz w:val="19"/>
                <w:szCs w:val="19"/>
                <w:color w:val="0000FF"/>
                <w:w w:val="85"/>
              </w:rPr>
              <w:t>2025</w:t>
            </w:r>
          </w:p>
        </w:tc>
        <w:tc>
          <w:tcPr>
            <w:tcW w:w="3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75</w:t>
            </w: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8640" w:type="dxa"/>
            <w:vAlign w:val="bottom"/>
            <w:gridSpan w:val="7"/>
          </w:tcPr>
          <w:p>
            <w:pPr>
              <w:spacing w:after="0"/>
              <w:rPr>
                <w:sz w:val="20"/>
                <w:szCs w:val="20"/>
                <w:color w:val="auto"/>
              </w:rPr>
            </w:pPr>
            <w:r>
              <w:rPr>
                <w:rFonts w:ascii="Arial" w:cs="Arial" w:eastAsia="Arial" w:hAnsi="Arial"/>
                <w:sz w:val="19"/>
                <w:szCs w:val="19"/>
                <w:color w:val="0000FF"/>
              </w:rPr>
              <w:t>Consolidated Balance Sheets as of December 31, 2025 and 2024</w:t>
            </w: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76</w:t>
            </w: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8640" w:type="dxa"/>
            <w:vAlign w:val="bottom"/>
            <w:gridSpan w:val="7"/>
          </w:tcPr>
          <w:p>
            <w:pPr>
              <w:spacing w:after="0"/>
              <w:rPr>
                <w:sz w:val="20"/>
                <w:szCs w:val="20"/>
                <w:color w:val="auto"/>
              </w:rPr>
            </w:pPr>
            <w:r>
              <w:rPr>
                <w:rFonts w:ascii="Arial" w:cs="Arial" w:eastAsia="Arial" w:hAnsi="Arial"/>
                <w:sz w:val="19"/>
                <w:szCs w:val="19"/>
                <w:color w:val="0000FF"/>
                <w:w w:val="95"/>
              </w:rPr>
              <w:t>Consolidated Statements of Cash Flows for each of the three years in the period ended December 31, 2025</w:t>
            </w: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77</w:t>
            </w: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8620" w:type="dxa"/>
            <w:vAlign w:val="bottom"/>
            <w:tcBorders>
              <w:bottom w:val="single" w:sz="8" w:color="0000FF"/>
            </w:tcBorders>
            <w:gridSpan w:val="6"/>
          </w:tcPr>
          <w:p>
            <w:pPr>
              <w:spacing w:after="0"/>
              <w:rPr>
                <w:sz w:val="20"/>
                <w:szCs w:val="20"/>
                <w:color w:val="auto"/>
              </w:rPr>
            </w:pPr>
            <w:r>
              <w:rPr>
                <w:rFonts w:ascii="Arial" w:cs="Arial" w:eastAsia="Arial" w:hAnsi="Arial"/>
                <w:sz w:val="19"/>
                <w:szCs w:val="19"/>
                <w:color w:val="0000FF"/>
                <w:w w:val="89"/>
              </w:rPr>
              <w:t>Consolidated Statements of Changes in Equity for each of the three years in the period ended December 31, 2025</w:t>
            </w:r>
          </w:p>
        </w:tc>
        <w:tc>
          <w:tcPr>
            <w:tcW w:w="2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640" w:type="dxa"/>
            <w:vAlign w:val="bottom"/>
            <w:gridSpan w:val="7"/>
          </w:tcPr>
          <w:p>
            <w:pPr>
              <w:spacing w:after="0"/>
              <w:rPr>
                <w:sz w:val="20"/>
                <w:szCs w:val="20"/>
                <w:color w:val="auto"/>
              </w:rPr>
            </w:pPr>
            <w:r>
              <w:rPr>
                <w:rFonts w:ascii="Arial" w:cs="Arial" w:eastAsia="Arial" w:hAnsi="Arial"/>
                <w:sz w:val="19"/>
                <w:szCs w:val="19"/>
                <w:color w:val="0000FF"/>
              </w:rPr>
              <w:t>Notes to the Consolidated Financial Statements</w:t>
            </w:r>
          </w:p>
        </w:tc>
        <w:tc>
          <w:tcPr>
            <w:tcW w:w="740" w:type="dxa"/>
            <w:vAlign w:val="bottom"/>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837"/>
        </w:trPr>
        <w:tc>
          <w:tcPr>
            <w:tcW w:w="20" w:type="dxa"/>
            <w:vAlign w:val="bottom"/>
          </w:tcPr>
          <w:p>
            <w:pPr>
              <w:spacing w:after="0"/>
              <w:rPr>
                <w:sz w:val="24"/>
                <w:szCs w:val="24"/>
                <w:color w:val="auto"/>
              </w:rPr>
            </w:pPr>
          </w:p>
        </w:tc>
        <w:tc>
          <w:tcPr>
            <w:tcW w:w="3600" w:type="dxa"/>
            <w:vAlign w:val="bottom"/>
            <w:tcBorders>
              <w:top w:val="single" w:sz="8" w:color="0000FF"/>
            </w:tcBorders>
            <w:gridSpan w:val="2"/>
          </w:tcPr>
          <w:p>
            <w:pPr>
              <w:spacing w:after="0"/>
              <w:rPr>
                <w:sz w:val="24"/>
                <w:szCs w:val="24"/>
                <w:color w:val="auto"/>
              </w:rPr>
            </w:pPr>
          </w:p>
        </w:tc>
        <w:tc>
          <w:tcPr>
            <w:tcW w:w="1300" w:type="dxa"/>
            <w:vAlign w:val="bottom"/>
          </w:tcPr>
          <w:p>
            <w:pPr>
              <w:jc w:val="right"/>
              <w:ind w:right="20"/>
              <w:spacing w:after="0"/>
              <w:rPr>
                <w:sz w:val="20"/>
                <w:szCs w:val="20"/>
                <w:color w:val="auto"/>
              </w:rPr>
            </w:pPr>
            <w:r>
              <w:rPr>
                <w:rFonts w:ascii="Arial" w:cs="Arial" w:eastAsia="Arial" w:hAnsi="Arial"/>
                <w:sz w:val="20"/>
                <w:szCs w:val="20"/>
                <w:color w:val="auto"/>
              </w:rPr>
              <w:t>71</w:t>
            </w:r>
          </w:p>
        </w:tc>
        <w:tc>
          <w:tcPr>
            <w:tcW w:w="9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2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3220" w:type="dxa"/>
            <w:vAlign w:val="bottom"/>
            <w:tcBorders>
              <w:bottom w:val="single" w:sz="8" w:color="010101"/>
            </w:tcBorders>
          </w:tcPr>
          <w:p>
            <w:pPr>
              <w:spacing w:after="0"/>
              <w:rPr>
                <w:sz w:val="24"/>
                <w:szCs w:val="24"/>
                <w:color w:val="auto"/>
              </w:rPr>
            </w:pPr>
          </w:p>
        </w:tc>
        <w:tc>
          <w:tcPr>
            <w:tcW w:w="130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2">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3">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5615305</wp:posOffset>
            </wp:positionH>
            <wp:positionV relativeFrom="paragraph">
              <wp:posOffset>-2463165</wp:posOffset>
            </wp:positionV>
            <wp:extent cx="348615" cy="95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4">
                      <a:extLst>
                        <a:ext uri="{28A0092B-C50C-407E-A947-70E740481C1C}"/>
                      </a:extLst>
                    </a:blip>
                    <a:srcRect/>
                    <a:stretch>
                      <a:fillRect/>
                    </a:stretch>
                  </pic:blipFill>
                  <pic:spPr bwMode="auto">
                    <a:xfrm>
                      <a:off x="0" y="0"/>
                      <a:ext cx="348615"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15</w:t>
      </w:r>
    </w:p>
    <w:p>
      <w:pPr>
        <w:sectPr>
          <w:pgSz w:w="11900" w:h="16838" w:orient="portrait"/>
          <w:cols w:equalWidth="0" w:num="1">
            <w:col w:w="9400"/>
          </w:cols>
          <w:pgMar w:left="1260" w:top="1440" w:right="1246" w:bottom="0" w:gutter="0" w:footer="0" w:header="0"/>
          <w:type w:val="continuous"/>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ind w:right="960"/>
        <w:spacing w:after="0" w:line="428" w:lineRule="auto"/>
        <w:rPr>
          <w:sz w:val="20"/>
          <w:szCs w:val="20"/>
          <w:color w:val="auto"/>
        </w:rPr>
      </w:pPr>
      <w:r>
        <w:rPr>
          <w:rFonts w:ascii="Arial" w:cs="Arial" w:eastAsia="Arial" w:hAnsi="Arial"/>
          <w:sz w:val="20"/>
          <w:szCs w:val="20"/>
          <w:b w:val="1"/>
          <w:bCs w:val="1"/>
          <w:color w:val="auto"/>
        </w:rPr>
        <w:t>To the Shareholders and the Board of Directors of Willis Towers Watson Public Limited Company Opinion on the Financial Statements</w:t>
      </w:r>
    </w:p>
    <w:p>
      <w:pPr>
        <w:spacing w:after="0" w:line="20" w:lineRule="exact"/>
        <w:rPr>
          <w:sz w:val="20"/>
          <w:szCs w:val="20"/>
          <w:color w:val="auto"/>
        </w:rPr>
      </w:pPr>
    </w:p>
    <w:p>
      <w:pPr>
        <w:spacing w:after="0" w:line="352" w:lineRule="auto"/>
        <w:rPr>
          <w:sz w:val="20"/>
          <w:szCs w:val="20"/>
          <w:color w:val="auto"/>
        </w:rPr>
      </w:pPr>
      <w:r>
        <w:rPr>
          <w:rFonts w:ascii="Arial" w:cs="Arial" w:eastAsia="Arial" w:hAnsi="Arial"/>
          <w:sz w:val="18"/>
          <w:szCs w:val="18"/>
          <w:color w:val="auto"/>
        </w:rPr>
        <w:t>We have audited the accompanying consolidated balance sheets of Willis Towers Watson Public Limited Company and subsidiaries (the ‘Company’) as of December 31, 2025 and 2024, the related consolidated statements of comprehensive income,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(‘US GAAP’).</w:t>
      </w:r>
    </w:p>
    <w:p>
      <w:pPr>
        <w:spacing w:after="0" w:line="107" w:lineRule="exact"/>
        <w:rPr>
          <w:sz w:val="20"/>
          <w:szCs w:val="20"/>
          <w:color w:val="auto"/>
        </w:rPr>
      </w:pPr>
    </w:p>
    <w:p>
      <w:pPr>
        <w:ind w:right="40"/>
        <w:spacing w:after="0" w:line="310" w:lineRule="auto"/>
        <w:rPr>
          <w:sz w:val="20"/>
          <w:szCs w:val="20"/>
          <w:color w:val="auto"/>
        </w:rPr>
      </w:pPr>
      <w:r>
        <w:rPr>
          <w:rFonts w:ascii="Arial" w:cs="Arial" w:eastAsia="Arial" w:hAnsi="Arial"/>
          <w:sz w:val="20"/>
          <w:szCs w:val="20"/>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Arial" w:cs="Arial" w:eastAsia="Arial" w:hAnsi="Arial"/>
          <w:sz w:val="20"/>
          <w:szCs w:val="20"/>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 and our report dated February 25, 2026, expressed an unqualified opinion on the Company’s internal control over financial reporting.</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00" w:lineRule="exact"/>
        <w:rPr>
          <w:sz w:val="20"/>
          <w:szCs w:val="20"/>
          <w:color w:val="auto"/>
        </w:rPr>
      </w:pPr>
    </w:p>
    <w:p>
      <w:pPr>
        <w:spacing w:after="0" w:line="3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40"/>
        <w:spacing w:after="0" w:line="32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200" w:lineRule="exact"/>
        <w:rPr>
          <w:sz w:val="20"/>
          <w:szCs w:val="20"/>
          <w:color w:val="auto"/>
        </w:rPr>
      </w:pPr>
    </w:p>
    <w:p>
      <w:pPr>
        <w:ind w:right="40"/>
        <w:spacing w:after="0" w:line="350"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109" w:lineRule="exact"/>
        <w:rPr>
          <w:sz w:val="20"/>
          <w:szCs w:val="20"/>
          <w:color w:val="auto"/>
        </w:rPr>
      </w:pPr>
    </w:p>
    <w:p>
      <w:pPr>
        <w:ind w:right="80"/>
        <w:spacing w:after="0" w:line="428" w:lineRule="auto"/>
        <w:rPr>
          <w:sz w:val="20"/>
          <w:szCs w:val="20"/>
          <w:color w:val="auto"/>
        </w:rPr>
      </w:pPr>
      <w:r>
        <w:rPr>
          <w:rFonts w:ascii="Arial" w:cs="Arial" w:eastAsia="Arial" w:hAnsi="Arial"/>
          <w:sz w:val="20"/>
          <w:szCs w:val="20"/>
          <w:b w:val="1"/>
          <w:bCs w:val="1"/>
          <w:i w:val="1"/>
          <w:iCs w:val="1"/>
          <w:color w:val="auto"/>
        </w:rPr>
        <w:t xml:space="preserve">Provisions for Liabilities - Errors &amp; Omissions Reserve — Refer to Notes 2, 15 and 16 to the financial statements </w:t>
      </w:r>
      <w:r>
        <w:rPr>
          <w:rFonts w:ascii="Arial" w:cs="Arial" w:eastAsia="Arial" w:hAnsi="Arial"/>
          <w:sz w:val="20"/>
          <w:szCs w:val="20"/>
          <w:i w:val="1"/>
          <w:iCs w:val="1"/>
          <w:color w:val="auto"/>
        </w:rPr>
        <w:t>Critical Audit Matter Description</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15</w:t>
      </w:r>
    </w:p>
    <w:p>
      <w:pPr>
        <w:sectPr>
          <w:pgSz w:w="11900" w:h="16838" w:orient="portrait"/>
          <w:cols w:equalWidth="0" w:num="1">
            <w:col w:w="9380"/>
          </w:cols>
          <w:pgMar w:left="1260" w:top="1440" w:right="1266" w:bottom="0" w:gutter="0" w:footer="0" w:header="0"/>
          <w:type w:val="continuous"/>
        </w:sectPr>
      </w:pPr>
    </w:p>
    <w:bookmarkStart w:id="140" w:name="page141"/>
    <w:bookmarkEnd w:id="140"/>
    <w:p>
      <w:pPr>
        <w:ind w:right="120"/>
        <w:spacing w:after="0" w:line="350" w:lineRule="auto"/>
        <w:rPr>
          <w:sz w:val="20"/>
          <w:szCs w:val="20"/>
          <w:color w:val="auto"/>
        </w:rPr>
      </w:pPr>
      <w:r>
        <w:rPr>
          <w:rFonts w:ascii="Arial" w:cs="Arial" w:eastAsia="Arial" w:hAnsi="Arial"/>
          <w:sz w:val="18"/>
          <w:szCs w:val="18"/>
          <w:color w:val="auto"/>
        </w:rPr>
        <w:t>The Company has established provisions against various actual and potential claims, lawsuits and other proceedings relating principally to alleged errors and omissions (‘E&amp;O’) which arise in connection with the placement of insurance and reinsurance and provision of broking, consulting and outsourcing services in the ordinary course of business. Such provisions cover claims that have been reported but not paid and also claims that have been incurred but not reported (‘IBNR’). These provisions are established based on actuarial estimates together with individual case reviews. Significant management judgment is required to estimate the amounts of such claims.</w:t>
      </w:r>
    </w:p>
    <w:p>
      <w:pPr>
        <w:spacing w:after="0" w:line="109" w:lineRule="exact"/>
        <w:rPr>
          <w:sz w:val="20"/>
          <w:szCs w:val="20"/>
          <w:color w:val="auto"/>
        </w:rPr>
      </w:pPr>
    </w:p>
    <w:p>
      <w:pPr>
        <w:ind w:right="60"/>
        <w:spacing w:after="0" w:line="309" w:lineRule="auto"/>
        <w:rPr>
          <w:sz w:val="20"/>
          <w:szCs w:val="20"/>
          <w:color w:val="auto"/>
        </w:rPr>
      </w:pPr>
      <w:r>
        <w:rPr>
          <w:rFonts w:ascii="Arial" w:cs="Arial" w:eastAsia="Arial" w:hAnsi="Arial"/>
          <w:sz w:val="20"/>
          <w:szCs w:val="20"/>
          <w:color w:val="auto"/>
        </w:rPr>
        <w:t>Auditing management’s judgments related to its E&amp;O provision, and in particular the broking, consulting and outsourcing business provisions related to the IBNR, and the provisions related to significant claims reported but not paid, involved especially complex and subjective judgment and an increased extent of effort, including the need to involve our actuarial specialists.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the Critical Audit Matter Was Addressed in the Audit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Our audit procedures related to the determination of E&amp;O provisions included the following, among others:</w:t>
      </w:r>
    </w:p>
    <w:p>
      <w:pPr>
        <w:spacing w:after="0" w:line="245" w:lineRule="exact"/>
        <w:rPr>
          <w:sz w:val="20"/>
          <w:szCs w:val="20"/>
          <w:color w:val="auto"/>
        </w:rPr>
      </w:pPr>
    </w:p>
    <w:p>
      <w:pPr>
        <w:ind w:left="620" w:hanging="313"/>
        <w:spacing w:after="0" w:line="422" w:lineRule="auto"/>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tested the effectiveness of controls over the Company’s estimation of the E&amp;O provisions, including controls over the underlying historical claims data, the actuarial methodology used, the assumptions selected by management that are used to calculate the broking, consulting and outsourcing business IBNR provisions, and the establishment and quarterly evaluation of provisions for reported claims, including significant claims.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15</w:t>
      </w:r>
    </w:p>
    <w:p>
      <w:pPr>
        <w:sectPr>
          <w:pgSz w:w="11900" w:h="16838" w:orient="portrait"/>
          <w:cols w:equalWidth="0" w:num="1">
            <w:col w:w="9400"/>
          </w:cols>
          <w:pgMar w:left="1260" w:top="1173" w:right="1246" w:bottom="0" w:gutter="0" w:footer="0" w:header="0"/>
          <w:type w:val="continuous"/>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20" w:right="200" w:hanging="313"/>
        <w:spacing w:after="0" w:line="373" w:lineRule="auto"/>
        <w:tabs>
          <w:tab w:leader="none" w:pos="6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For the IBNR provisions, we evaluated the appropriateness of the IBNR models, and evaluated the consistency of the model with prior years in order to challenge the methodology used to estimate the provisions. With the assistance of our actuarial specialists, we assessed the methodology and models used, including key inputs and assumptions used in, and arithmetical accuracy of, the models used. We also performed retrospective reviews of management’s estimated claims emergence in comparison to actual results and evaluated the provisions set by management in comparison to a range of independent estimates that we developed.</w:t>
      </w:r>
    </w:p>
    <w:p>
      <w:pPr>
        <w:spacing w:after="0" w:line="138" w:lineRule="exact"/>
        <w:rPr>
          <w:rFonts w:ascii="Arial" w:cs="Arial" w:eastAsia="Arial" w:hAnsi="Arial"/>
          <w:sz w:val="20"/>
          <w:szCs w:val="20"/>
          <w:color w:val="auto"/>
        </w:rPr>
      </w:pPr>
    </w:p>
    <w:p>
      <w:pPr>
        <w:ind w:left="620" w:hanging="313"/>
        <w:spacing w:after="0" w:line="432" w:lineRule="auto"/>
        <w:tabs>
          <w:tab w:leader="none" w:pos="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evaluated the E&amp;O matters and the appropriateness of their projected settlement values through inquiries of, and confirmations from, in-house counsel and external lawyers handling those matters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Deloitte &amp; Touche LLP</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Philadelphia, PA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2026</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2017.</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 / 15</w:t>
      </w:r>
    </w:p>
    <w:p>
      <w:pPr>
        <w:sectPr>
          <w:pgSz w:w="11900" w:h="16838" w:orient="portrait"/>
          <w:cols w:equalWidth="0" w:num="1">
            <w:col w:w="9340"/>
          </w:cols>
          <w:pgMar w:left="1260" w:top="1440" w:right="1306" w:bottom="0" w:gutter="0" w:footer="0" w:header="0"/>
          <w:type w:val="continuous"/>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line="307" w:lineRule="auto"/>
        <w:rPr>
          <w:sz w:val="20"/>
          <w:szCs w:val="20"/>
          <w:color w:val="auto"/>
        </w:rPr>
      </w:pPr>
      <w:r>
        <w:rPr>
          <w:rFonts w:ascii="Arial" w:cs="Arial" w:eastAsia="Arial" w:hAnsi="Arial"/>
          <w:sz w:val="20"/>
          <w:szCs w:val="20"/>
          <w:b w:val="1"/>
          <w:bCs w:val="1"/>
          <w:color w:val="auto"/>
        </w:rPr>
        <w:t xml:space="preserve">WILLIS TOWERS WATSON PUBLIC LIMITED COMPANY Consolidated Statements of Comprehensive Income </w:t>
      </w:r>
      <w:r>
        <w:rPr>
          <w:rFonts w:ascii="Arial" w:cs="Arial" w:eastAsia="Arial" w:hAnsi="Arial"/>
          <w:sz w:val="20"/>
          <w:szCs w:val="20"/>
          <w:color w:val="auto"/>
        </w:rPr>
        <w:t>(In millions of U.S. dollars, except per 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6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820" w:type="dxa"/>
            <w:vAlign w:val="bottom"/>
          </w:tcPr>
          <w:p>
            <w:pPr>
              <w:spacing w:after="0"/>
              <w:rPr>
                <w:sz w:val="16"/>
                <w:szCs w:val="16"/>
                <w:color w:val="auto"/>
              </w:rPr>
            </w:pPr>
          </w:p>
        </w:tc>
      </w:tr>
      <w:tr>
        <w:trPr>
          <w:trHeight w:val="264"/>
        </w:trPr>
        <w:tc>
          <w:tcPr>
            <w:tcW w:w="5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ind w:right="381"/>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22"/>
                <w:szCs w:val="22"/>
                <w:color w:val="auto"/>
              </w:rPr>
            </w:pPr>
          </w:p>
        </w:tc>
        <w:tc>
          <w:tcPr>
            <w:tcW w:w="900" w:type="dxa"/>
            <w:vAlign w:val="bottom"/>
          </w:tcPr>
          <w:p>
            <w:pPr>
              <w:jc w:val="right"/>
              <w:ind w:right="381"/>
              <w:spacing w:after="0"/>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22"/>
                <w:szCs w:val="22"/>
                <w:color w:val="auto"/>
              </w:rPr>
            </w:pPr>
          </w:p>
        </w:tc>
        <w:tc>
          <w:tcPr>
            <w:tcW w:w="820" w:type="dxa"/>
            <w:vAlign w:val="bottom"/>
          </w:tcPr>
          <w:p>
            <w:pPr>
              <w:jc w:val="right"/>
              <w:ind w:right="341"/>
              <w:spacing w:after="0"/>
              <w:rPr>
                <w:sz w:val="20"/>
                <w:szCs w:val="20"/>
                <w:color w:val="auto"/>
              </w:rPr>
            </w:pPr>
            <w:r>
              <w:rPr>
                <w:rFonts w:ascii="Arial" w:cs="Arial" w:eastAsia="Arial" w:hAnsi="Arial"/>
                <w:sz w:val="16"/>
                <w:szCs w:val="16"/>
                <w:b w:val="1"/>
                <w:bCs w:val="1"/>
                <w:color w:val="auto"/>
              </w:rPr>
              <w:t>2023</w:t>
            </w:r>
          </w:p>
        </w:tc>
      </w:tr>
      <w:tr>
        <w:trPr>
          <w:trHeight w:val="42"/>
        </w:trPr>
        <w:tc>
          <w:tcPr>
            <w:tcW w:w="5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9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Revenue</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9,708</w:t>
            </w:r>
          </w:p>
        </w:tc>
        <w:tc>
          <w:tcPr>
            <w:tcW w:w="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9,930</w:t>
            </w:r>
          </w:p>
        </w:tc>
        <w:tc>
          <w:tcPr>
            <w:tcW w:w="3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9,483</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rPr>
              <w:t>Costs of providing services</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41"/>
        </w:trPr>
        <w:tc>
          <w:tcPr>
            <w:tcW w:w="5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94"/>
        </w:trPr>
        <w:tc>
          <w:tcPr>
            <w:tcW w:w="57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Salaries and benefits</w:t>
            </w:r>
          </w:p>
        </w:tc>
        <w:tc>
          <w:tcPr>
            <w:tcW w:w="3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5,625</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5,502</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5,344</w:t>
            </w:r>
          </w:p>
        </w:tc>
      </w:tr>
      <w:tr>
        <w:trPr>
          <w:trHeight w:val="274"/>
        </w:trPr>
        <w:tc>
          <w:tcPr>
            <w:tcW w:w="5760" w:type="dxa"/>
            <w:vAlign w:val="bottom"/>
          </w:tcPr>
          <w:p>
            <w:pPr>
              <w:ind w:left="100"/>
              <w:spacing w:after="0"/>
              <w:rPr>
                <w:sz w:val="20"/>
                <w:szCs w:val="20"/>
                <w:color w:val="auto"/>
              </w:rPr>
            </w:pPr>
            <w:r>
              <w:rPr>
                <w:rFonts w:ascii="Arial" w:cs="Arial" w:eastAsia="Arial" w:hAnsi="Arial"/>
                <w:sz w:val="20"/>
                <w:szCs w:val="20"/>
                <w:color w:val="auto"/>
              </w:rPr>
              <w:t>Other operating expenses</w:t>
            </w:r>
          </w:p>
        </w:tc>
        <w:tc>
          <w:tcPr>
            <w:tcW w:w="36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20"/>
                <w:szCs w:val="20"/>
                <w:color w:val="auto"/>
              </w:rPr>
              <w:t>1,408</w:t>
            </w:r>
          </w:p>
        </w:tc>
        <w:tc>
          <w:tcPr>
            <w:tcW w:w="30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1,833</w:t>
            </w:r>
          </w:p>
        </w:tc>
        <w:tc>
          <w:tcPr>
            <w:tcW w:w="34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1,815</w:t>
            </w:r>
          </w:p>
        </w:tc>
      </w:tr>
      <w:tr>
        <w:trPr>
          <w:trHeight w:val="41"/>
        </w:trPr>
        <w:tc>
          <w:tcPr>
            <w:tcW w:w="5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94"/>
        </w:trPr>
        <w:tc>
          <w:tcPr>
            <w:tcW w:w="57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Impairment</w:t>
            </w:r>
          </w:p>
        </w:tc>
        <w:tc>
          <w:tcPr>
            <w:tcW w:w="3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1,042</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w:t>
            </w:r>
          </w:p>
        </w:tc>
      </w:tr>
      <w:tr>
        <w:trPr>
          <w:trHeight w:val="274"/>
        </w:trPr>
        <w:tc>
          <w:tcPr>
            <w:tcW w:w="5760" w:type="dxa"/>
            <w:vAlign w:val="bottom"/>
          </w:tcPr>
          <w:p>
            <w:pPr>
              <w:ind w:left="100"/>
              <w:spacing w:after="0"/>
              <w:rPr>
                <w:sz w:val="20"/>
                <w:szCs w:val="20"/>
                <w:color w:val="auto"/>
              </w:rPr>
            </w:pPr>
            <w:r>
              <w:rPr>
                <w:rFonts w:ascii="Arial" w:cs="Arial" w:eastAsia="Arial" w:hAnsi="Arial"/>
                <w:sz w:val="20"/>
                <w:szCs w:val="20"/>
                <w:color w:val="auto"/>
              </w:rPr>
              <w:t>Depreciation</w:t>
            </w:r>
          </w:p>
        </w:tc>
        <w:tc>
          <w:tcPr>
            <w:tcW w:w="36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20"/>
                <w:szCs w:val="20"/>
                <w:color w:val="auto"/>
              </w:rPr>
              <w:t>226</w:t>
            </w:r>
          </w:p>
        </w:tc>
        <w:tc>
          <w:tcPr>
            <w:tcW w:w="30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230</w:t>
            </w:r>
          </w:p>
        </w:tc>
        <w:tc>
          <w:tcPr>
            <w:tcW w:w="34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242</w:t>
            </w:r>
          </w:p>
        </w:tc>
      </w:tr>
      <w:tr>
        <w:trPr>
          <w:trHeight w:val="41"/>
        </w:trPr>
        <w:tc>
          <w:tcPr>
            <w:tcW w:w="5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94"/>
        </w:trPr>
        <w:tc>
          <w:tcPr>
            <w:tcW w:w="57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Amortization</w:t>
            </w:r>
          </w:p>
        </w:tc>
        <w:tc>
          <w:tcPr>
            <w:tcW w:w="3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192</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226</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263</w:t>
            </w:r>
          </w:p>
        </w:tc>
      </w:tr>
      <w:tr>
        <w:trPr>
          <w:trHeight w:val="274"/>
        </w:trPr>
        <w:tc>
          <w:tcPr>
            <w:tcW w:w="5760" w:type="dxa"/>
            <w:vAlign w:val="bottom"/>
          </w:tcPr>
          <w:p>
            <w:pPr>
              <w:ind w:left="100"/>
              <w:spacing w:after="0"/>
              <w:rPr>
                <w:sz w:val="20"/>
                <w:szCs w:val="20"/>
                <w:color w:val="auto"/>
              </w:rPr>
            </w:pPr>
            <w:r>
              <w:rPr>
                <w:rFonts w:ascii="Arial" w:cs="Arial" w:eastAsia="Arial" w:hAnsi="Arial"/>
                <w:sz w:val="20"/>
                <w:szCs w:val="20"/>
                <w:color w:val="auto"/>
              </w:rPr>
              <w:t>Restructuring costs</w:t>
            </w:r>
          </w:p>
        </w:tc>
        <w:tc>
          <w:tcPr>
            <w:tcW w:w="36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61</w:t>
            </w:r>
          </w:p>
        </w:tc>
        <w:tc>
          <w:tcPr>
            <w:tcW w:w="34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68</w:t>
            </w:r>
          </w:p>
        </w:tc>
      </w:tr>
      <w:tr>
        <w:trPr>
          <w:trHeight w:val="41"/>
        </w:trPr>
        <w:tc>
          <w:tcPr>
            <w:tcW w:w="5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304"/>
        </w:trPr>
        <w:tc>
          <w:tcPr>
            <w:tcW w:w="57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Transaction and transformation</w:t>
            </w:r>
          </w:p>
        </w:tc>
        <w:tc>
          <w:tcPr>
            <w:tcW w:w="3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23</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409</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386</w:t>
            </w:r>
          </w:p>
        </w:tc>
      </w:tr>
      <w:tr>
        <w:trPr>
          <w:trHeight w:val="274"/>
        </w:trPr>
        <w:tc>
          <w:tcPr>
            <w:tcW w:w="5760" w:type="dxa"/>
            <w:vAlign w:val="bottom"/>
          </w:tcPr>
          <w:p>
            <w:pPr>
              <w:ind w:left="200"/>
              <w:spacing w:after="0"/>
              <w:rPr>
                <w:sz w:val="20"/>
                <w:szCs w:val="20"/>
                <w:color w:val="auto"/>
              </w:rPr>
            </w:pPr>
            <w:r>
              <w:rPr>
                <w:rFonts w:ascii="Arial" w:cs="Arial" w:eastAsia="Arial" w:hAnsi="Arial"/>
                <w:sz w:val="20"/>
                <w:szCs w:val="20"/>
                <w:color w:val="auto"/>
              </w:rPr>
              <w:t>Total costs of providing services</w:t>
            </w:r>
          </w:p>
        </w:tc>
        <w:tc>
          <w:tcPr>
            <w:tcW w:w="36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20"/>
                <w:szCs w:val="20"/>
                <w:color w:val="auto"/>
              </w:rPr>
              <w:t>7,474</w:t>
            </w:r>
          </w:p>
        </w:tc>
        <w:tc>
          <w:tcPr>
            <w:tcW w:w="30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9,303</w:t>
            </w:r>
          </w:p>
        </w:tc>
        <w:tc>
          <w:tcPr>
            <w:tcW w:w="34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8,118</w:t>
            </w:r>
          </w:p>
        </w:tc>
      </w:tr>
      <w:tr>
        <w:trPr>
          <w:trHeight w:val="51"/>
        </w:trPr>
        <w:tc>
          <w:tcPr>
            <w:tcW w:w="5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9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Income from operations</w:t>
            </w:r>
          </w:p>
        </w:tc>
        <w:tc>
          <w:tcPr>
            <w:tcW w:w="3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2,234</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627</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1,365</w:t>
            </w:r>
          </w:p>
        </w:tc>
      </w:tr>
      <w:tr>
        <w:trPr>
          <w:trHeight w:val="274"/>
        </w:trPr>
        <w:tc>
          <w:tcPr>
            <w:tcW w:w="5760" w:type="dxa"/>
            <w:vAlign w:val="bottom"/>
          </w:tcPr>
          <w:p>
            <w:pPr>
              <w:ind w:left="100"/>
              <w:spacing w:after="0"/>
              <w:rPr>
                <w:sz w:val="20"/>
                <w:szCs w:val="20"/>
                <w:color w:val="auto"/>
              </w:rPr>
            </w:pPr>
            <w:r>
              <w:rPr>
                <w:rFonts w:ascii="Arial" w:cs="Arial" w:eastAsia="Arial" w:hAnsi="Arial"/>
                <w:sz w:val="20"/>
                <w:szCs w:val="20"/>
                <w:color w:val="auto"/>
              </w:rPr>
              <w:t>Interest expense</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(260)</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(263)</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(235)</w:t>
            </w:r>
          </w:p>
        </w:tc>
      </w:tr>
      <w:tr>
        <w:trPr>
          <w:trHeight w:val="41"/>
        </w:trPr>
        <w:tc>
          <w:tcPr>
            <w:tcW w:w="5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304"/>
        </w:trPr>
        <w:tc>
          <w:tcPr>
            <w:tcW w:w="57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Other (loss)/income, net</w:t>
            </w:r>
          </w:p>
        </w:tc>
        <w:tc>
          <w:tcPr>
            <w:tcW w:w="3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(262)</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146</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rPr>
              <w:t>INCOME FROM OPERATIONS BEFORE INCOME</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300"/>
        </w:trPr>
        <w:tc>
          <w:tcPr>
            <w:tcW w:w="5760" w:type="dxa"/>
            <w:vAlign w:val="bottom"/>
          </w:tcPr>
          <w:p>
            <w:pPr>
              <w:ind w:left="140"/>
              <w:spacing w:after="0"/>
              <w:rPr>
                <w:sz w:val="20"/>
                <w:szCs w:val="20"/>
                <w:color w:val="auto"/>
              </w:rPr>
            </w:pPr>
            <w:r>
              <w:rPr>
                <w:rFonts w:ascii="Arial" w:cs="Arial" w:eastAsia="Arial" w:hAnsi="Arial"/>
                <w:sz w:val="20"/>
                <w:szCs w:val="20"/>
                <w:color w:val="auto"/>
              </w:rPr>
              <w:t>TAXES AND INTEREST IN EARNINGS OF ASSOCIATES</w:t>
            </w:r>
          </w:p>
        </w:tc>
        <w:tc>
          <w:tcPr>
            <w:tcW w:w="360" w:type="dxa"/>
            <w:vAlign w:val="bottom"/>
          </w:tcPr>
          <w:p>
            <w:pPr>
              <w:spacing w:after="0"/>
              <w:rPr>
                <w:sz w:val="24"/>
                <w:szCs w:val="24"/>
                <w:color w:val="auto"/>
              </w:rPr>
            </w:pPr>
          </w:p>
        </w:tc>
        <w:tc>
          <w:tcPr>
            <w:tcW w:w="920" w:type="dxa"/>
            <w:vAlign w:val="bottom"/>
          </w:tcPr>
          <w:p>
            <w:pPr>
              <w:jc w:val="right"/>
              <w:ind w:right="61"/>
              <w:spacing w:after="0"/>
              <w:rPr>
                <w:sz w:val="20"/>
                <w:szCs w:val="20"/>
                <w:color w:val="auto"/>
              </w:rPr>
            </w:pPr>
            <w:r>
              <w:rPr>
                <w:rFonts w:ascii="Arial" w:cs="Arial" w:eastAsia="Arial" w:hAnsi="Arial"/>
                <w:sz w:val="20"/>
                <w:szCs w:val="20"/>
                <w:color w:val="auto"/>
              </w:rPr>
              <w:t>1,953</w:t>
            </w:r>
          </w:p>
        </w:tc>
        <w:tc>
          <w:tcPr>
            <w:tcW w:w="30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Arial" w:cs="Arial" w:eastAsia="Arial" w:hAnsi="Arial"/>
                <w:sz w:val="20"/>
                <w:szCs w:val="20"/>
                <w:color w:val="auto"/>
              </w:rPr>
              <w:t>102</w:t>
            </w:r>
          </w:p>
        </w:tc>
        <w:tc>
          <w:tcPr>
            <w:tcW w:w="34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1,276</w:t>
            </w:r>
          </w:p>
        </w:tc>
      </w:tr>
      <w:tr>
        <w:trPr>
          <w:trHeight w:val="41"/>
        </w:trPr>
        <w:tc>
          <w:tcPr>
            <w:tcW w:w="5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30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Provision for income taxes</w:t>
            </w:r>
          </w:p>
        </w:tc>
        <w:tc>
          <w:tcPr>
            <w:tcW w:w="3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(318)</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(192)</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(215)</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rPr>
              <w:t>INCOME/(LOSS) FROM OPERATIONS BEFORE INTEREST</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300"/>
        </w:trPr>
        <w:tc>
          <w:tcPr>
            <w:tcW w:w="5760" w:type="dxa"/>
            <w:vAlign w:val="bottom"/>
          </w:tcPr>
          <w:p>
            <w:pPr>
              <w:ind w:left="140"/>
              <w:spacing w:after="0"/>
              <w:rPr>
                <w:sz w:val="20"/>
                <w:szCs w:val="20"/>
                <w:color w:val="auto"/>
              </w:rPr>
            </w:pPr>
            <w:r>
              <w:rPr>
                <w:rFonts w:ascii="Arial" w:cs="Arial" w:eastAsia="Arial" w:hAnsi="Arial"/>
                <w:sz w:val="20"/>
                <w:szCs w:val="20"/>
                <w:color w:val="auto"/>
              </w:rPr>
              <w:t>IN EARNINGS OF ASSOCIATES</w:t>
            </w:r>
          </w:p>
        </w:tc>
        <w:tc>
          <w:tcPr>
            <w:tcW w:w="360" w:type="dxa"/>
            <w:vAlign w:val="bottom"/>
          </w:tcPr>
          <w:p>
            <w:pPr>
              <w:spacing w:after="0"/>
              <w:rPr>
                <w:sz w:val="24"/>
                <w:szCs w:val="24"/>
                <w:color w:val="auto"/>
              </w:rPr>
            </w:pPr>
          </w:p>
        </w:tc>
        <w:tc>
          <w:tcPr>
            <w:tcW w:w="920" w:type="dxa"/>
            <w:vAlign w:val="bottom"/>
          </w:tcPr>
          <w:p>
            <w:pPr>
              <w:jc w:val="right"/>
              <w:ind w:right="61"/>
              <w:spacing w:after="0"/>
              <w:rPr>
                <w:sz w:val="20"/>
                <w:szCs w:val="20"/>
                <w:color w:val="auto"/>
              </w:rPr>
            </w:pPr>
            <w:r>
              <w:rPr>
                <w:rFonts w:ascii="Arial" w:cs="Arial" w:eastAsia="Arial" w:hAnsi="Arial"/>
                <w:sz w:val="20"/>
                <w:szCs w:val="20"/>
                <w:color w:val="auto"/>
              </w:rPr>
              <w:t>1,635</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(90)</w:t>
            </w:r>
          </w:p>
        </w:tc>
        <w:tc>
          <w:tcPr>
            <w:tcW w:w="340" w:type="dxa"/>
            <w:vAlign w:val="bottom"/>
          </w:tcPr>
          <w:p>
            <w:pPr>
              <w:spacing w:after="0"/>
              <w:rPr>
                <w:sz w:val="24"/>
                <w:szCs w:val="24"/>
                <w:color w:val="auto"/>
              </w:rPr>
            </w:pP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1,061</w:t>
            </w:r>
          </w:p>
        </w:tc>
      </w:tr>
      <w:tr>
        <w:trPr>
          <w:trHeight w:val="41"/>
        </w:trPr>
        <w:tc>
          <w:tcPr>
            <w:tcW w:w="5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30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Interest in earnings of associates, net of tax</w:t>
            </w:r>
          </w:p>
        </w:tc>
        <w:tc>
          <w:tcPr>
            <w:tcW w:w="3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2</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3</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rPr>
              <w:t>NET INCOME/(LOSS)</w:t>
            </w:r>
          </w:p>
        </w:tc>
        <w:tc>
          <w:tcPr>
            <w:tcW w:w="36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20"/>
                <w:szCs w:val="20"/>
                <w:color w:val="auto"/>
              </w:rPr>
              <w:t>1,613</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(88)</w:t>
            </w:r>
          </w:p>
        </w:tc>
        <w:tc>
          <w:tcPr>
            <w:tcW w:w="340" w:type="dxa"/>
            <w:vAlign w:val="bottom"/>
          </w:tcPr>
          <w:p>
            <w:pPr>
              <w:spacing w:after="0"/>
              <w:rPr>
                <w:sz w:val="23"/>
                <w:szCs w:val="23"/>
                <w:color w:val="auto"/>
              </w:rPr>
            </w:pP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1,064</w:t>
            </w:r>
          </w:p>
        </w:tc>
      </w:tr>
      <w:tr>
        <w:trPr>
          <w:trHeight w:val="41"/>
        </w:trPr>
        <w:tc>
          <w:tcPr>
            <w:tcW w:w="5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30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Income attributable to non-controlling interests</w:t>
            </w:r>
          </w:p>
        </w:tc>
        <w:tc>
          <w:tcPr>
            <w:tcW w:w="3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rPr>
              <w:t>NET INCOME/(LOSS) ATTRIBUTABLE TO WTW</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rPr>
              <w:t>1,605</w:t>
            </w:r>
          </w:p>
        </w:tc>
        <w:tc>
          <w:tcPr>
            <w:tcW w:w="3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(98)</w:t>
            </w:r>
          </w:p>
        </w:tc>
        <w:tc>
          <w:tcPr>
            <w:tcW w:w="3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1,055</w:t>
            </w:r>
          </w:p>
        </w:tc>
      </w:tr>
      <w:tr>
        <w:trPr>
          <w:trHeight w:val="86"/>
        </w:trPr>
        <w:tc>
          <w:tcPr>
            <w:tcW w:w="5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r>
      <w:tr>
        <w:trPr>
          <w:trHeight w:val="29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EARNINGS/(LOSS) PER SHARE</w:t>
            </w:r>
          </w:p>
        </w:tc>
        <w:tc>
          <w:tcPr>
            <w:tcW w:w="3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r>
      <w:tr>
        <w:trPr>
          <w:trHeight w:val="319"/>
        </w:trPr>
        <w:tc>
          <w:tcPr>
            <w:tcW w:w="5760" w:type="dxa"/>
            <w:vAlign w:val="bottom"/>
          </w:tcPr>
          <w:p>
            <w:pPr>
              <w:ind w:left="100"/>
              <w:spacing w:after="0"/>
              <w:rPr>
                <w:sz w:val="20"/>
                <w:szCs w:val="20"/>
                <w:color w:val="auto"/>
              </w:rPr>
            </w:pPr>
            <w:r>
              <w:rPr>
                <w:rFonts w:ascii="Arial" w:cs="Arial" w:eastAsia="Arial" w:hAnsi="Arial"/>
                <w:sz w:val="20"/>
                <w:szCs w:val="20"/>
                <w:color w:val="auto"/>
              </w:rPr>
              <w:t>Basic earnings/(loss) per share</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61"/>
              <w:spacing w:after="0"/>
              <w:rPr>
                <w:sz w:val="20"/>
                <w:szCs w:val="20"/>
                <w:color w:val="auto"/>
              </w:rPr>
            </w:pPr>
            <w:r>
              <w:rPr>
                <w:rFonts w:ascii="Arial" w:cs="Arial" w:eastAsia="Arial" w:hAnsi="Arial"/>
                <w:sz w:val="20"/>
                <w:szCs w:val="20"/>
                <w:color w:val="auto"/>
              </w:rPr>
              <w:t>16.34</w:t>
            </w:r>
          </w:p>
        </w:tc>
        <w:tc>
          <w:tcPr>
            <w:tcW w:w="3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(0.96)</w:t>
            </w:r>
          </w:p>
        </w:tc>
        <w:tc>
          <w:tcPr>
            <w:tcW w:w="3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10.01</w:t>
            </w:r>
          </w:p>
        </w:tc>
      </w:tr>
      <w:tr>
        <w:trPr>
          <w:trHeight w:val="41"/>
        </w:trPr>
        <w:tc>
          <w:tcPr>
            <w:tcW w:w="5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339"/>
        </w:trPr>
        <w:tc>
          <w:tcPr>
            <w:tcW w:w="57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Diluted earnings/(loss) per share</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16.26</w:t>
            </w:r>
          </w:p>
        </w:tc>
        <w:tc>
          <w:tcPr>
            <w:tcW w:w="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(0.96)</w:t>
            </w:r>
          </w:p>
        </w:tc>
        <w:tc>
          <w:tcPr>
            <w:tcW w:w="3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9.95</w:t>
            </w:r>
          </w:p>
        </w:tc>
      </w:tr>
      <w:tr>
        <w:trPr>
          <w:trHeight w:val="314"/>
        </w:trPr>
        <w:tc>
          <w:tcPr>
            <w:tcW w:w="5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INCOME/(LOSS)</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1,613</w:t>
            </w:r>
          </w:p>
        </w:tc>
        <w:tc>
          <w:tcPr>
            <w:tcW w:w="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(88)</w:t>
            </w:r>
          </w:p>
        </w:tc>
        <w:tc>
          <w:tcPr>
            <w:tcW w:w="3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1,064</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rPr>
              <w:t>Other comprehensive income/(loss), net of tax:</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41"/>
        </w:trPr>
        <w:tc>
          <w:tcPr>
            <w:tcW w:w="5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94"/>
        </w:trPr>
        <w:tc>
          <w:tcPr>
            <w:tcW w:w="57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Foreign currency translation</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412</w:t>
            </w:r>
          </w:p>
        </w:tc>
        <w:tc>
          <w:tcPr>
            <w:tcW w:w="3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(204)</w:t>
            </w:r>
          </w:p>
        </w:tc>
        <w:tc>
          <w:tcPr>
            <w:tcW w:w="3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173</w:t>
            </w:r>
          </w:p>
        </w:tc>
      </w:tr>
      <w:tr>
        <w:trPr>
          <w:trHeight w:val="274"/>
        </w:trPr>
        <w:tc>
          <w:tcPr>
            <w:tcW w:w="5760" w:type="dxa"/>
            <w:vAlign w:val="bottom"/>
          </w:tcPr>
          <w:p>
            <w:pPr>
              <w:ind w:left="100"/>
              <w:spacing w:after="0"/>
              <w:rPr>
                <w:sz w:val="20"/>
                <w:szCs w:val="20"/>
                <w:color w:val="auto"/>
              </w:rPr>
            </w:pPr>
            <w:r>
              <w:rPr>
                <w:rFonts w:ascii="Arial" w:cs="Arial" w:eastAsia="Arial" w:hAnsi="Arial"/>
                <w:sz w:val="20"/>
                <w:szCs w:val="20"/>
                <w:color w:val="auto"/>
              </w:rPr>
              <w:t>Defined pension and post-retirement benefits</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(91)</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(94)</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(408)</w:t>
            </w:r>
          </w:p>
        </w:tc>
      </w:tr>
      <w:tr>
        <w:trPr>
          <w:trHeight w:val="41"/>
        </w:trPr>
        <w:tc>
          <w:tcPr>
            <w:tcW w:w="5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304"/>
        </w:trPr>
        <w:tc>
          <w:tcPr>
            <w:tcW w:w="57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Derivative instruments</w:t>
            </w:r>
          </w:p>
        </w:tc>
        <w:tc>
          <w:tcPr>
            <w:tcW w:w="3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3</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2</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w w:val="93"/>
              </w:rPr>
              <w:t>Other comprehensive income/(loss), net of tax, before non-controlling</w:t>
            </w: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300"/>
        </w:trPr>
        <w:tc>
          <w:tcPr>
            <w:tcW w:w="5760" w:type="dxa"/>
            <w:vAlign w:val="bottom"/>
          </w:tcPr>
          <w:p>
            <w:pPr>
              <w:spacing w:after="0"/>
              <w:rPr>
                <w:sz w:val="20"/>
                <w:szCs w:val="20"/>
                <w:color w:val="auto"/>
              </w:rPr>
            </w:pPr>
            <w:r>
              <w:rPr>
                <w:rFonts w:ascii="Arial" w:cs="Arial" w:eastAsia="Arial" w:hAnsi="Arial"/>
                <w:sz w:val="20"/>
                <w:szCs w:val="20"/>
                <w:color w:val="auto"/>
              </w:rPr>
              <w:t>interests</w:t>
            </w:r>
          </w:p>
        </w:tc>
        <w:tc>
          <w:tcPr>
            <w:tcW w:w="360" w:type="dxa"/>
            <w:vAlign w:val="bottom"/>
          </w:tcPr>
          <w:p>
            <w:pPr>
              <w:spacing w:after="0"/>
              <w:rPr>
                <w:sz w:val="24"/>
                <w:szCs w:val="24"/>
                <w:color w:val="auto"/>
              </w:rPr>
            </w:pPr>
          </w:p>
        </w:tc>
        <w:tc>
          <w:tcPr>
            <w:tcW w:w="920" w:type="dxa"/>
            <w:vAlign w:val="bottom"/>
          </w:tcPr>
          <w:p>
            <w:pPr>
              <w:jc w:val="right"/>
              <w:ind w:right="61"/>
              <w:spacing w:after="0"/>
              <w:rPr>
                <w:sz w:val="20"/>
                <w:szCs w:val="20"/>
                <w:color w:val="auto"/>
              </w:rPr>
            </w:pPr>
            <w:r>
              <w:rPr>
                <w:rFonts w:ascii="Arial" w:cs="Arial" w:eastAsia="Arial" w:hAnsi="Arial"/>
                <w:sz w:val="20"/>
                <w:szCs w:val="20"/>
                <w:color w:val="auto"/>
              </w:rPr>
              <w:t>324</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(302)</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(233)</w:t>
            </w:r>
          </w:p>
        </w:tc>
      </w:tr>
      <w:tr>
        <w:trPr>
          <w:trHeight w:val="41"/>
        </w:trPr>
        <w:tc>
          <w:tcPr>
            <w:tcW w:w="5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9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Comprehensive income/(loss) before non-controlling interests</w:t>
            </w:r>
          </w:p>
        </w:tc>
        <w:tc>
          <w:tcPr>
            <w:tcW w:w="3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1,937</w:t>
            </w: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(390)</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831</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rPr>
              <w:t>Comprehensive income attributable to non-controlling interests</w:t>
            </w:r>
          </w:p>
        </w:tc>
        <w:tc>
          <w:tcPr>
            <w:tcW w:w="3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(10)</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51"/>
        </w:trPr>
        <w:tc>
          <w:tcPr>
            <w:tcW w:w="5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4"/>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Comprehensive income/(loss) attributable to WTW</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1,929</w:t>
            </w:r>
          </w:p>
        </w:tc>
        <w:tc>
          <w:tcPr>
            <w:tcW w:w="3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(400)</w:t>
            </w:r>
          </w:p>
        </w:tc>
        <w:tc>
          <w:tcPr>
            <w:tcW w:w="34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820</w:t>
            </w:r>
          </w:p>
        </w:tc>
      </w:tr>
      <w:tr>
        <w:trPr>
          <w:trHeight w:val="86"/>
        </w:trPr>
        <w:tc>
          <w:tcPr>
            <w:tcW w:w="57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3758565</wp:posOffset>
            </wp:positionH>
            <wp:positionV relativeFrom="paragraph">
              <wp:posOffset>-7498715</wp:posOffset>
            </wp:positionV>
            <wp:extent cx="220472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7">
                      <a:extLst>
                        <a:ext uri="{28A0092B-C50C-407E-A947-70E740481C1C}"/>
                      </a:extLst>
                    </a:blip>
                    <a:srcRect/>
                    <a:stretch>
                      <a:fillRect/>
                    </a:stretch>
                  </pic:blipFill>
                  <pic:spPr bwMode="auto">
                    <a:xfrm>
                      <a:off x="0" y="0"/>
                      <a:ext cx="2204720" cy="635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-7330440</wp:posOffset>
            </wp:positionV>
            <wp:extent cx="220472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8">
                      <a:extLst>
                        <a:ext uri="{28A0092B-C50C-407E-A947-70E740481C1C}"/>
                      </a:extLst>
                    </a:blip>
                    <a:srcRect/>
                    <a:stretch>
                      <a:fillRect/>
                    </a:stretch>
                  </pic:blipFill>
                  <pic:spPr bwMode="auto">
                    <a:xfrm>
                      <a:off x="0" y="0"/>
                      <a:ext cx="2204720" cy="635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-5527675</wp:posOffset>
            </wp:positionV>
            <wp:extent cx="220472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9">
                      <a:extLst>
                        <a:ext uri="{28A0092B-C50C-407E-A947-70E740481C1C}"/>
                      </a:extLst>
                    </a:blip>
                    <a:srcRect/>
                    <a:stretch>
                      <a:fillRect/>
                    </a:stretch>
                  </pic:blipFill>
                  <pic:spPr bwMode="auto">
                    <a:xfrm>
                      <a:off x="0" y="0"/>
                      <a:ext cx="2204720" cy="635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-5321300</wp:posOffset>
            </wp:positionV>
            <wp:extent cx="220472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0">
                      <a:extLst>
                        <a:ext uri="{28A0092B-C50C-407E-A947-70E740481C1C}"/>
                      </a:extLst>
                    </a:blip>
                    <a:srcRect/>
                    <a:stretch>
                      <a:fillRect/>
                    </a:stretch>
                  </pic:blipFill>
                  <pic:spPr bwMode="auto">
                    <a:xfrm>
                      <a:off x="0" y="0"/>
                      <a:ext cx="2204720" cy="635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-4716145</wp:posOffset>
            </wp:positionV>
            <wp:extent cx="220472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1">
                      <a:extLst>
                        <a:ext uri="{28A0092B-C50C-407E-A947-70E740481C1C}"/>
                      </a:extLst>
                    </a:blip>
                    <a:srcRect/>
                    <a:stretch>
                      <a:fillRect/>
                    </a:stretch>
                  </pic:blipFill>
                  <pic:spPr bwMode="auto">
                    <a:xfrm>
                      <a:off x="0" y="0"/>
                      <a:ext cx="2204720" cy="635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-4119880</wp:posOffset>
            </wp:positionV>
            <wp:extent cx="220472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2">
                      <a:extLst>
                        <a:ext uri="{28A0092B-C50C-407E-A947-70E740481C1C}"/>
                      </a:extLst>
                    </a:blip>
                    <a:srcRect/>
                    <a:stretch>
                      <a:fillRect/>
                    </a:stretch>
                  </pic:blipFill>
                  <pic:spPr bwMode="auto">
                    <a:xfrm>
                      <a:off x="0" y="0"/>
                      <a:ext cx="2204720" cy="635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-3523615</wp:posOffset>
            </wp:positionV>
            <wp:extent cx="220472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3">
                      <a:extLst>
                        <a:ext uri="{28A0092B-C50C-407E-A947-70E740481C1C}"/>
                      </a:extLst>
                    </a:blip>
                    <a:srcRect/>
                    <a:stretch>
                      <a:fillRect/>
                    </a:stretch>
                  </pic:blipFill>
                  <pic:spPr bwMode="auto">
                    <a:xfrm>
                      <a:off x="0" y="0"/>
                      <a:ext cx="2204720" cy="635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-3118485</wp:posOffset>
            </wp:positionV>
            <wp:extent cx="220472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4">
                      <a:extLst>
                        <a:ext uri="{28A0092B-C50C-407E-A947-70E740481C1C}"/>
                      </a:extLst>
                    </a:blip>
                    <a:srcRect/>
                    <a:stretch>
                      <a:fillRect/>
                    </a:stretch>
                  </pic:blipFill>
                  <pic:spPr bwMode="auto">
                    <a:xfrm>
                      <a:off x="0" y="0"/>
                      <a:ext cx="2204720" cy="635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-2912110</wp:posOffset>
            </wp:positionV>
            <wp:extent cx="2204720" cy="285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5">
                      <a:extLst>
                        <a:ext uri="{28A0092B-C50C-407E-A947-70E740481C1C}"/>
                      </a:extLst>
                    </a:blip>
                    <a:srcRect/>
                    <a:stretch>
                      <a:fillRect/>
                    </a:stretch>
                  </pic:blipFill>
                  <pic:spPr bwMode="auto">
                    <a:xfrm>
                      <a:off x="0" y="0"/>
                      <a:ext cx="2204720" cy="28575"/>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-2484120</wp:posOffset>
            </wp:positionV>
            <wp:extent cx="2204720" cy="285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6">
                      <a:extLst>
                        <a:ext uri="{28A0092B-C50C-407E-A947-70E740481C1C}"/>
                      </a:extLst>
                    </a:blip>
                    <a:srcRect/>
                    <a:stretch>
                      <a:fillRect/>
                    </a:stretch>
                  </pic:blipFill>
                  <pic:spPr bwMode="auto">
                    <a:xfrm>
                      <a:off x="0" y="0"/>
                      <a:ext cx="2204720" cy="28575"/>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-2256155</wp:posOffset>
            </wp:positionV>
            <wp:extent cx="2204720" cy="285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7">
                      <a:extLst>
                        <a:ext uri="{28A0092B-C50C-407E-A947-70E740481C1C}"/>
                      </a:extLst>
                    </a:blip>
                    <a:srcRect/>
                    <a:stretch>
                      <a:fillRect/>
                    </a:stretch>
                  </pic:blipFill>
                  <pic:spPr bwMode="auto">
                    <a:xfrm>
                      <a:off x="0" y="0"/>
                      <a:ext cx="2204720" cy="28575"/>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-1029970</wp:posOffset>
            </wp:positionV>
            <wp:extent cx="220472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8">
                      <a:extLst>
                        <a:ext uri="{28A0092B-C50C-407E-A947-70E740481C1C}"/>
                      </a:extLst>
                    </a:blip>
                    <a:srcRect/>
                    <a:stretch>
                      <a:fillRect/>
                    </a:stretch>
                  </pic:blipFill>
                  <pic:spPr bwMode="auto">
                    <a:xfrm>
                      <a:off x="0" y="0"/>
                      <a:ext cx="2204720" cy="635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-639445</wp:posOffset>
            </wp:positionV>
            <wp:extent cx="220472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9">
                      <a:extLst>
                        <a:ext uri="{28A0092B-C50C-407E-A947-70E740481C1C}"/>
                      </a:extLst>
                    </a:blip>
                    <a:srcRect/>
                    <a:stretch>
                      <a:fillRect/>
                    </a:stretch>
                  </pic:blipFill>
                  <pic:spPr bwMode="auto">
                    <a:xfrm>
                      <a:off x="0" y="0"/>
                      <a:ext cx="2204720" cy="635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-233680</wp:posOffset>
            </wp:positionV>
            <wp:extent cx="220472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0">
                      <a:extLst>
                        <a:ext uri="{28A0092B-C50C-407E-A947-70E740481C1C}"/>
                      </a:extLst>
                    </a:blip>
                    <a:srcRect/>
                    <a:stretch>
                      <a:fillRect/>
                    </a:stretch>
                  </pic:blipFill>
                  <pic:spPr bwMode="auto">
                    <a:xfrm>
                      <a:off x="0" y="0"/>
                      <a:ext cx="2204720" cy="6350"/>
                    </a:xfrm>
                    <a:prstGeom prst="rect">
                      <a:avLst/>
                    </a:prstGeom>
                    <a:noFill/>
                  </pic:spPr>
                </pic:pic>
              </a:graphicData>
            </a:graphic>
          </wp:anchor>
        </w:drawing>
        <w:drawing>
          <wp:anchor simplePos="0" relativeHeight="251657728" behindDoc="1" locked="0" layoutInCell="0" allowOverlap="1">
            <wp:simplePos x="0" y="0"/>
            <wp:positionH relativeFrom="column">
              <wp:posOffset>3758565</wp:posOffset>
            </wp:positionH>
            <wp:positionV relativeFrom="paragraph">
              <wp:posOffset>-27940</wp:posOffset>
            </wp:positionV>
            <wp:extent cx="2204720" cy="285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1">
                      <a:extLst>
                        <a:ext uri="{28A0092B-C50C-407E-A947-70E740481C1C}"/>
                      </a:extLst>
                    </a:blip>
                    <a:srcRect/>
                    <a:stretch>
                      <a:fillRect/>
                    </a:stretch>
                  </pic:blipFill>
                  <pic:spPr bwMode="auto">
                    <a:xfrm>
                      <a:off x="0" y="0"/>
                      <a:ext cx="220472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15</w:t>
      </w:r>
    </w:p>
    <w:p>
      <w:pPr>
        <w:sectPr>
          <w:pgSz w:w="11900" w:h="16838" w:orient="portrait"/>
          <w:cols w:equalWidth="0" w:num="1">
            <w:col w:w="9400"/>
          </w:cols>
          <w:pgMar w:left="1260" w:top="1440" w:right="1246" w:bottom="0" w:gutter="0" w:footer="0" w:header="0"/>
          <w:type w:val="continuous"/>
        </w:sectPr>
      </w:pPr>
    </w:p>
    <w:bookmarkStart w:id="143" w:name="page144"/>
    <w:bookmarkEnd w:id="143"/>
    <w:p>
      <w:pPr>
        <w:jc w:val="center"/>
        <w:ind w:right="6"/>
        <w:spacing w:after="0"/>
        <w:rPr>
          <w:sz w:val="20"/>
          <w:szCs w:val="20"/>
          <w:color w:val="auto"/>
        </w:rPr>
      </w:pPr>
      <w:r>
        <w:rPr>
          <w:rFonts w:ascii="Arial" w:cs="Arial" w:eastAsia="Arial" w:hAnsi="Arial"/>
          <w:sz w:val="17"/>
          <w:szCs w:val="17"/>
          <w:color w:val="auto"/>
        </w:rPr>
        <w:t>See accompanying notes to the consolidated financial statements</w:t>
      </w:r>
    </w:p>
    <w:p>
      <w:pPr>
        <w:sectPr>
          <w:pgSz w:w="11900" w:h="16838" w:orient="portrait"/>
          <w:cols w:equalWidth="0" w:num="1">
            <w:col w:w="9026"/>
          </w:cols>
          <w:pgMar w:left="1440" w:top="1173" w:right="1440" w:bottom="0" w:gutter="0" w:footer="0" w:header="0"/>
        </w:sectPr>
      </w:pPr>
    </w:p>
    <w:p>
      <w:pPr>
        <w:spacing w:after="0" w:line="345"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7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10 / 15</w:t>
      </w:r>
    </w:p>
    <w:p>
      <w:pPr>
        <w:sectPr>
          <w:pgSz w:w="11900" w:h="16838" w:orient="portrait"/>
          <w:cols w:equalWidth="0" w:num="1">
            <w:col w:w="9026"/>
          </w:cols>
          <w:pgMar w:left="1440" w:top="1173" w:right="1440" w:bottom="0" w:gutter="0" w:footer="0" w:header="0"/>
          <w:type w:val="continuous"/>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WILLIS TOWERS WATSON PUBLIC LIMITED COMPANY</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Balance Sheets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 millions of U.S. dollars, except share data)</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jc w:val="right"/>
              <w:ind w:right="281"/>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Pr>
          <w:p>
            <w:pPr>
              <w:spacing w:after="0"/>
              <w:rPr>
                <w:sz w:val="16"/>
                <w:szCs w:val="16"/>
                <w:color w:val="auto"/>
              </w:rPr>
            </w:pPr>
          </w:p>
        </w:tc>
        <w:tc>
          <w:tcPr>
            <w:tcW w:w="1280" w:type="dxa"/>
            <w:vAlign w:val="bottom"/>
          </w:tcPr>
          <w:p>
            <w:pPr>
              <w:jc w:val="right"/>
              <w:ind w:right="201"/>
              <w:spacing w:after="0"/>
              <w:rPr>
                <w:sz w:val="20"/>
                <w:szCs w:val="20"/>
                <w:color w:val="auto"/>
              </w:rPr>
            </w:pPr>
            <w:r>
              <w:rPr>
                <w:rFonts w:ascii="Arial" w:cs="Arial" w:eastAsia="Arial" w:hAnsi="Arial"/>
                <w:sz w:val="16"/>
                <w:szCs w:val="16"/>
                <w:b w:val="1"/>
                <w:bCs w:val="1"/>
                <w:color w:val="auto"/>
                <w:w w:val="92"/>
              </w:rPr>
              <w:t>December 31,</w:t>
            </w:r>
          </w:p>
        </w:tc>
      </w:tr>
      <w:tr>
        <w:trPr>
          <w:trHeight w:val="240"/>
        </w:trPr>
        <w:tc>
          <w:tcPr>
            <w:tcW w:w="5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40" w:type="dxa"/>
            <w:vAlign w:val="bottom"/>
          </w:tcPr>
          <w:p>
            <w:pPr>
              <w:jc w:val="right"/>
              <w:ind w:right="581"/>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20"/>
                <w:szCs w:val="20"/>
                <w:color w:val="auto"/>
              </w:rPr>
            </w:pPr>
          </w:p>
        </w:tc>
        <w:tc>
          <w:tcPr>
            <w:tcW w:w="1280" w:type="dxa"/>
            <w:vAlign w:val="bottom"/>
          </w:tcPr>
          <w:p>
            <w:pPr>
              <w:jc w:val="right"/>
              <w:ind w:right="521"/>
              <w:spacing w:after="0"/>
              <w:rPr>
                <w:sz w:val="20"/>
                <w:szCs w:val="20"/>
                <w:color w:val="auto"/>
              </w:rPr>
            </w:pPr>
            <w:r>
              <w:rPr>
                <w:rFonts w:ascii="Arial" w:cs="Arial" w:eastAsia="Arial" w:hAnsi="Arial"/>
                <w:sz w:val="16"/>
                <w:szCs w:val="16"/>
                <w:b w:val="1"/>
                <w:bCs w:val="1"/>
                <w:color w:val="auto"/>
              </w:rPr>
              <w:t>2024</w:t>
            </w:r>
          </w:p>
        </w:tc>
      </w:tr>
      <w:tr>
        <w:trPr>
          <w:trHeight w:val="42"/>
        </w:trPr>
        <w:tc>
          <w:tcPr>
            <w:tcW w:w="5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ASSETS</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spacing w:after="0"/>
              <w:rPr>
                <w:sz w:val="24"/>
                <w:szCs w:val="24"/>
                <w:color w:val="auto"/>
              </w:rPr>
            </w:pPr>
          </w:p>
        </w:tc>
      </w:tr>
      <w:tr>
        <w:trPr>
          <w:trHeight w:val="274"/>
        </w:trPr>
        <w:tc>
          <w:tcPr>
            <w:tcW w:w="5240" w:type="dxa"/>
            <w:vAlign w:val="bottom"/>
          </w:tcPr>
          <w:p>
            <w:pPr>
              <w:ind w:left="100"/>
              <w:spacing w:after="0"/>
              <w:rPr>
                <w:sz w:val="20"/>
                <w:szCs w:val="20"/>
                <w:color w:val="auto"/>
              </w:rPr>
            </w:pPr>
            <w:r>
              <w:rPr>
                <w:rFonts w:ascii="Arial" w:cs="Arial" w:eastAsia="Arial" w:hAnsi="Arial"/>
                <w:sz w:val="20"/>
                <w:szCs w:val="20"/>
                <w:color w:val="auto"/>
              </w:rPr>
              <w:t>Cash and cash equivalents</w:t>
            </w: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3,132</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1,890</w:t>
            </w:r>
          </w:p>
        </w:tc>
      </w:tr>
      <w:tr>
        <w:trPr>
          <w:trHeight w:val="41"/>
        </w:trPr>
        <w:tc>
          <w:tcPr>
            <w:tcW w:w="5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5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Fiduciary assets</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10,445</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9,504</w:t>
            </w:r>
          </w:p>
        </w:tc>
      </w:tr>
      <w:tr>
        <w:trPr>
          <w:trHeight w:val="274"/>
        </w:trPr>
        <w:tc>
          <w:tcPr>
            <w:tcW w:w="5240" w:type="dxa"/>
            <w:vAlign w:val="bottom"/>
          </w:tcPr>
          <w:p>
            <w:pPr>
              <w:ind w:left="100"/>
              <w:spacing w:after="0"/>
              <w:rPr>
                <w:sz w:val="20"/>
                <w:szCs w:val="20"/>
                <w:color w:val="auto"/>
              </w:rPr>
            </w:pPr>
            <w:r>
              <w:rPr>
                <w:rFonts w:ascii="Arial" w:cs="Arial" w:eastAsia="Arial" w:hAnsi="Arial"/>
                <w:sz w:val="20"/>
                <w:szCs w:val="20"/>
                <w:color w:val="auto"/>
              </w:rPr>
              <w:t>Accounts receivable, net</w:t>
            </w:r>
          </w:p>
        </w:tc>
        <w:tc>
          <w:tcPr>
            <w:tcW w:w="130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2,702</w:t>
            </w:r>
          </w:p>
        </w:tc>
        <w:tc>
          <w:tcPr>
            <w:tcW w:w="24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2,494</w:t>
            </w:r>
          </w:p>
        </w:tc>
      </w:tr>
      <w:tr>
        <w:trPr>
          <w:trHeight w:val="41"/>
        </w:trPr>
        <w:tc>
          <w:tcPr>
            <w:tcW w:w="5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304"/>
        </w:trPr>
        <w:tc>
          <w:tcPr>
            <w:tcW w:w="5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Prepaid and other current assets</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595</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1,217</w:t>
            </w:r>
          </w:p>
        </w:tc>
      </w:tr>
      <w:tr>
        <w:trPr>
          <w:trHeight w:val="274"/>
        </w:trPr>
        <w:tc>
          <w:tcPr>
            <w:tcW w:w="5240" w:type="dxa"/>
            <w:vAlign w:val="bottom"/>
          </w:tcPr>
          <w:p>
            <w:pPr>
              <w:ind w:left="160"/>
              <w:spacing w:after="0"/>
              <w:rPr>
                <w:sz w:val="20"/>
                <w:szCs w:val="20"/>
                <w:color w:val="auto"/>
              </w:rPr>
            </w:pPr>
            <w:r>
              <w:rPr>
                <w:rFonts w:ascii="Arial" w:cs="Arial" w:eastAsia="Arial" w:hAnsi="Arial"/>
                <w:sz w:val="20"/>
                <w:szCs w:val="20"/>
                <w:color w:val="auto"/>
              </w:rPr>
              <w:t>Total current assets</w:t>
            </w:r>
          </w:p>
        </w:tc>
        <w:tc>
          <w:tcPr>
            <w:tcW w:w="130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16,874</w:t>
            </w:r>
          </w:p>
        </w:tc>
        <w:tc>
          <w:tcPr>
            <w:tcW w:w="24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15,105</w:t>
            </w:r>
          </w:p>
        </w:tc>
      </w:tr>
      <w:tr>
        <w:trPr>
          <w:trHeight w:val="41"/>
        </w:trPr>
        <w:tc>
          <w:tcPr>
            <w:tcW w:w="5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5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Fixed assets, net</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695</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661</w:t>
            </w:r>
          </w:p>
        </w:tc>
      </w:tr>
      <w:tr>
        <w:trPr>
          <w:trHeight w:val="274"/>
        </w:trPr>
        <w:tc>
          <w:tcPr>
            <w:tcW w:w="5240" w:type="dxa"/>
            <w:vAlign w:val="bottom"/>
          </w:tcPr>
          <w:p>
            <w:pPr>
              <w:ind w:left="100"/>
              <w:spacing w:after="0"/>
              <w:rPr>
                <w:sz w:val="20"/>
                <w:szCs w:val="20"/>
                <w:color w:val="auto"/>
              </w:rPr>
            </w:pPr>
            <w:r>
              <w:rPr>
                <w:rFonts w:ascii="Arial" w:cs="Arial" w:eastAsia="Arial" w:hAnsi="Arial"/>
                <w:sz w:val="20"/>
                <w:szCs w:val="20"/>
                <w:color w:val="auto"/>
              </w:rPr>
              <w:t>Goodwill</w:t>
            </w:r>
          </w:p>
        </w:tc>
        <w:tc>
          <w:tcPr>
            <w:tcW w:w="130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8,938</w:t>
            </w:r>
          </w:p>
        </w:tc>
        <w:tc>
          <w:tcPr>
            <w:tcW w:w="24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8,799</w:t>
            </w:r>
          </w:p>
        </w:tc>
      </w:tr>
      <w:tr>
        <w:trPr>
          <w:trHeight w:val="41"/>
        </w:trPr>
        <w:tc>
          <w:tcPr>
            <w:tcW w:w="5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5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Other intangible assets, net</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1,141</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1,295</w:t>
            </w:r>
          </w:p>
        </w:tc>
      </w:tr>
      <w:tr>
        <w:trPr>
          <w:trHeight w:val="274"/>
        </w:trPr>
        <w:tc>
          <w:tcPr>
            <w:tcW w:w="5240" w:type="dxa"/>
            <w:vAlign w:val="bottom"/>
          </w:tcPr>
          <w:p>
            <w:pPr>
              <w:ind w:left="100"/>
              <w:spacing w:after="0"/>
              <w:rPr>
                <w:sz w:val="20"/>
                <w:szCs w:val="20"/>
                <w:color w:val="auto"/>
              </w:rPr>
            </w:pPr>
            <w:r>
              <w:rPr>
                <w:rFonts w:ascii="Arial" w:cs="Arial" w:eastAsia="Arial" w:hAnsi="Arial"/>
                <w:sz w:val="20"/>
                <w:szCs w:val="20"/>
                <w:color w:val="auto"/>
              </w:rPr>
              <w:t>Right-of-use assets</w:t>
            </w:r>
          </w:p>
        </w:tc>
        <w:tc>
          <w:tcPr>
            <w:tcW w:w="130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487</w:t>
            </w:r>
          </w:p>
        </w:tc>
        <w:tc>
          <w:tcPr>
            <w:tcW w:w="24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485</w:t>
            </w:r>
          </w:p>
        </w:tc>
      </w:tr>
      <w:tr>
        <w:trPr>
          <w:trHeight w:val="41"/>
        </w:trPr>
        <w:tc>
          <w:tcPr>
            <w:tcW w:w="5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5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Pension benefits assets</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529</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530</w:t>
            </w:r>
          </w:p>
        </w:tc>
      </w:tr>
      <w:tr>
        <w:trPr>
          <w:trHeight w:val="274"/>
        </w:trPr>
        <w:tc>
          <w:tcPr>
            <w:tcW w:w="5240" w:type="dxa"/>
            <w:vAlign w:val="bottom"/>
          </w:tcPr>
          <w:p>
            <w:pPr>
              <w:ind w:left="100"/>
              <w:spacing w:after="0"/>
              <w:rPr>
                <w:sz w:val="20"/>
                <w:szCs w:val="20"/>
                <w:color w:val="auto"/>
              </w:rPr>
            </w:pPr>
            <w:r>
              <w:rPr>
                <w:rFonts w:ascii="Arial" w:cs="Arial" w:eastAsia="Arial" w:hAnsi="Arial"/>
                <w:sz w:val="20"/>
                <w:szCs w:val="20"/>
                <w:color w:val="auto"/>
              </w:rPr>
              <w:t>Other non-current assets</w:t>
            </w:r>
          </w:p>
        </w:tc>
        <w:tc>
          <w:tcPr>
            <w:tcW w:w="130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866</w:t>
            </w:r>
          </w:p>
        </w:tc>
        <w:tc>
          <w:tcPr>
            <w:tcW w:w="24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806</w:t>
            </w:r>
          </w:p>
        </w:tc>
      </w:tr>
      <w:tr>
        <w:trPr>
          <w:trHeight w:val="51"/>
        </w:trPr>
        <w:tc>
          <w:tcPr>
            <w:tcW w:w="5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304"/>
        </w:trPr>
        <w:tc>
          <w:tcPr>
            <w:tcW w:w="5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Total non-current assets</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12,656</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12,576</w:t>
            </w:r>
          </w:p>
        </w:tc>
      </w:tr>
      <w:tr>
        <w:trPr>
          <w:trHeight w:val="274"/>
        </w:trPr>
        <w:tc>
          <w:tcPr>
            <w:tcW w:w="5240" w:type="dxa"/>
            <w:vAlign w:val="bottom"/>
          </w:tcPr>
          <w:p>
            <w:pPr>
              <w:spacing w:after="0"/>
              <w:rPr>
                <w:sz w:val="20"/>
                <w:szCs w:val="20"/>
                <w:color w:val="auto"/>
              </w:rPr>
            </w:pPr>
            <w:r>
              <w:rPr>
                <w:rFonts w:ascii="Arial" w:cs="Arial" w:eastAsia="Arial" w:hAnsi="Arial"/>
                <w:sz w:val="20"/>
                <w:szCs w:val="20"/>
                <w:color w:val="auto"/>
              </w:rPr>
              <w:t>TOTAL ASSETS</w:t>
            </w: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29,530</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27,681</w:t>
            </w:r>
          </w:p>
        </w:tc>
      </w:tr>
      <w:tr>
        <w:trPr>
          <w:trHeight w:val="86"/>
        </w:trPr>
        <w:tc>
          <w:tcPr>
            <w:tcW w:w="52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94"/>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LIABILITIES AND EQUITY</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spacing w:after="0"/>
              <w:rPr>
                <w:sz w:val="24"/>
                <w:szCs w:val="24"/>
                <w:color w:val="auto"/>
              </w:rPr>
            </w:pPr>
          </w:p>
        </w:tc>
      </w:tr>
      <w:tr>
        <w:trPr>
          <w:trHeight w:val="274"/>
        </w:trPr>
        <w:tc>
          <w:tcPr>
            <w:tcW w:w="5240" w:type="dxa"/>
            <w:vAlign w:val="bottom"/>
          </w:tcPr>
          <w:p>
            <w:pPr>
              <w:ind w:left="100"/>
              <w:spacing w:after="0"/>
              <w:rPr>
                <w:sz w:val="20"/>
                <w:szCs w:val="20"/>
                <w:color w:val="auto"/>
              </w:rPr>
            </w:pPr>
            <w:r>
              <w:rPr>
                <w:rFonts w:ascii="Arial" w:cs="Arial" w:eastAsia="Arial" w:hAnsi="Arial"/>
                <w:sz w:val="20"/>
                <w:szCs w:val="20"/>
                <w:color w:val="auto"/>
              </w:rPr>
              <w:t>Fiduciary liabilities</w:t>
            </w: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10,445</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9,504</w:t>
            </w:r>
          </w:p>
        </w:tc>
      </w:tr>
      <w:tr>
        <w:trPr>
          <w:trHeight w:val="41"/>
        </w:trPr>
        <w:tc>
          <w:tcPr>
            <w:tcW w:w="5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5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Deferred revenue and accrued expenses</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2,087</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2,211</w:t>
            </w:r>
          </w:p>
        </w:tc>
      </w:tr>
      <w:tr>
        <w:trPr>
          <w:trHeight w:val="274"/>
        </w:trPr>
        <w:tc>
          <w:tcPr>
            <w:tcW w:w="5240" w:type="dxa"/>
            <w:vAlign w:val="bottom"/>
          </w:tcPr>
          <w:p>
            <w:pPr>
              <w:ind w:left="100"/>
              <w:spacing w:after="0"/>
              <w:rPr>
                <w:sz w:val="20"/>
                <w:szCs w:val="20"/>
                <w:color w:val="auto"/>
              </w:rPr>
            </w:pPr>
            <w:r>
              <w:rPr>
                <w:rFonts w:ascii="Arial" w:cs="Arial" w:eastAsia="Arial" w:hAnsi="Arial"/>
                <w:sz w:val="20"/>
                <w:szCs w:val="20"/>
                <w:color w:val="auto"/>
              </w:rPr>
              <w:t>Current debt</w:t>
            </w:r>
          </w:p>
        </w:tc>
        <w:tc>
          <w:tcPr>
            <w:tcW w:w="130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550</w:t>
            </w:r>
          </w:p>
        </w:tc>
        <w:tc>
          <w:tcPr>
            <w:tcW w:w="24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w:t>
            </w:r>
          </w:p>
        </w:tc>
      </w:tr>
      <w:tr>
        <w:trPr>
          <w:trHeight w:val="41"/>
        </w:trPr>
        <w:tc>
          <w:tcPr>
            <w:tcW w:w="5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5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Current lease liabilities</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125</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118</w:t>
            </w:r>
          </w:p>
        </w:tc>
      </w:tr>
      <w:tr>
        <w:trPr>
          <w:trHeight w:val="274"/>
        </w:trPr>
        <w:tc>
          <w:tcPr>
            <w:tcW w:w="5240" w:type="dxa"/>
            <w:vAlign w:val="bottom"/>
          </w:tcPr>
          <w:p>
            <w:pPr>
              <w:ind w:left="100"/>
              <w:spacing w:after="0"/>
              <w:rPr>
                <w:sz w:val="20"/>
                <w:szCs w:val="20"/>
                <w:color w:val="auto"/>
              </w:rPr>
            </w:pPr>
            <w:r>
              <w:rPr>
                <w:rFonts w:ascii="Arial" w:cs="Arial" w:eastAsia="Arial" w:hAnsi="Arial"/>
                <w:sz w:val="20"/>
                <w:szCs w:val="20"/>
                <w:color w:val="auto"/>
              </w:rPr>
              <w:t>Other current liabilities</w:t>
            </w:r>
          </w:p>
        </w:tc>
        <w:tc>
          <w:tcPr>
            <w:tcW w:w="130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797</w:t>
            </w:r>
          </w:p>
        </w:tc>
        <w:tc>
          <w:tcPr>
            <w:tcW w:w="24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765</w:t>
            </w:r>
          </w:p>
        </w:tc>
      </w:tr>
      <w:tr>
        <w:trPr>
          <w:trHeight w:val="51"/>
        </w:trPr>
        <w:tc>
          <w:tcPr>
            <w:tcW w:w="5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94"/>
        </w:trPr>
        <w:tc>
          <w:tcPr>
            <w:tcW w:w="5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Total current liabilities</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14,004</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12,598</w:t>
            </w:r>
          </w:p>
        </w:tc>
      </w:tr>
      <w:tr>
        <w:trPr>
          <w:trHeight w:val="274"/>
        </w:trPr>
        <w:tc>
          <w:tcPr>
            <w:tcW w:w="5240" w:type="dxa"/>
            <w:vAlign w:val="bottom"/>
          </w:tcPr>
          <w:p>
            <w:pPr>
              <w:ind w:left="100"/>
              <w:spacing w:after="0"/>
              <w:rPr>
                <w:sz w:val="20"/>
                <w:szCs w:val="20"/>
                <w:color w:val="auto"/>
              </w:rPr>
            </w:pPr>
            <w:r>
              <w:rPr>
                <w:rFonts w:ascii="Arial" w:cs="Arial" w:eastAsia="Arial" w:hAnsi="Arial"/>
                <w:sz w:val="20"/>
                <w:szCs w:val="20"/>
                <w:color w:val="auto"/>
              </w:rPr>
              <w:t>Long-term debt</w:t>
            </w:r>
          </w:p>
        </w:tc>
        <w:tc>
          <w:tcPr>
            <w:tcW w:w="130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5,756</w:t>
            </w:r>
          </w:p>
        </w:tc>
        <w:tc>
          <w:tcPr>
            <w:tcW w:w="24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5,309</w:t>
            </w:r>
          </w:p>
        </w:tc>
      </w:tr>
      <w:tr>
        <w:trPr>
          <w:trHeight w:val="41"/>
        </w:trPr>
        <w:tc>
          <w:tcPr>
            <w:tcW w:w="5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5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Liability for pension benefits</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660</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615</w:t>
            </w:r>
          </w:p>
        </w:tc>
      </w:tr>
      <w:tr>
        <w:trPr>
          <w:trHeight w:val="274"/>
        </w:trPr>
        <w:tc>
          <w:tcPr>
            <w:tcW w:w="5240" w:type="dxa"/>
            <w:vAlign w:val="bottom"/>
          </w:tcPr>
          <w:p>
            <w:pPr>
              <w:ind w:left="100"/>
              <w:spacing w:after="0"/>
              <w:rPr>
                <w:sz w:val="20"/>
                <w:szCs w:val="20"/>
                <w:color w:val="auto"/>
              </w:rPr>
            </w:pPr>
            <w:r>
              <w:rPr>
                <w:rFonts w:ascii="Arial" w:cs="Arial" w:eastAsia="Arial" w:hAnsi="Arial"/>
                <w:sz w:val="20"/>
                <w:szCs w:val="20"/>
                <w:color w:val="auto"/>
              </w:rPr>
              <w:t>Provision for liabilities</w:t>
            </w:r>
          </w:p>
        </w:tc>
        <w:tc>
          <w:tcPr>
            <w:tcW w:w="130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340</w:t>
            </w:r>
          </w:p>
        </w:tc>
        <w:tc>
          <w:tcPr>
            <w:tcW w:w="24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341</w:t>
            </w:r>
          </w:p>
        </w:tc>
      </w:tr>
      <w:tr>
        <w:trPr>
          <w:trHeight w:val="41"/>
        </w:trPr>
        <w:tc>
          <w:tcPr>
            <w:tcW w:w="5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5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Long-term lease liabilities</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472</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502</w:t>
            </w:r>
          </w:p>
        </w:tc>
      </w:tr>
      <w:tr>
        <w:trPr>
          <w:trHeight w:val="274"/>
        </w:trPr>
        <w:tc>
          <w:tcPr>
            <w:tcW w:w="5240" w:type="dxa"/>
            <w:vAlign w:val="bottom"/>
          </w:tcPr>
          <w:p>
            <w:pPr>
              <w:ind w:left="100"/>
              <w:spacing w:after="0"/>
              <w:rPr>
                <w:sz w:val="20"/>
                <w:szCs w:val="20"/>
                <w:color w:val="auto"/>
              </w:rPr>
            </w:pPr>
            <w:r>
              <w:rPr>
                <w:rFonts w:ascii="Arial" w:cs="Arial" w:eastAsia="Arial" w:hAnsi="Arial"/>
                <w:sz w:val="20"/>
                <w:szCs w:val="20"/>
                <w:color w:val="auto"/>
              </w:rPr>
              <w:t>Other non-current liabilities</w:t>
            </w:r>
          </w:p>
        </w:tc>
        <w:tc>
          <w:tcPr>
            <w:tcW w:w="130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246</w:t>
            </w:r>
          </w:p>
        </w:tc>
        <w:tc>
          <w:tcPr>
            <w:tcW w:w="24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299</w:t>
            </w:r>
          </w:p>
        </w:tc>
      </w:tr>
      <w:tr>
        <w:trPr>
          <w:trHeight w:val="51"/>
        </w:trPr>
        <w:tc>
          <w:tcPr>
            <w:tcW w:w="5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304"/>
        </w:trPr>
        <w:tc>
          <w:tcPr>
            <w:tcW w:w="5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20"/>
                <w:szCs w:val="20"/>
                <w:color w:val="auto"/>
              </w:rPr>
              <w:t>Total non-current liabilities</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7,474</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7,066</w:t>
            </w:r>
          </w:p>
        </w:tc>
      </w:tr>
      <w:tr>
        <w:trPr>
          <w:trHeight w:val="274"/>
        </w:trPr>
        <w:tc>
          <w:tcPr>
            <w:tcW w:w="5240" w:type="dxa"/>
            <w:vAlign w:val="bottom"/>
          </w:tcPr>
          <w:p>
            <w:pPr>
              <w:spacing w:after="0"/>
              <w:rPr>
                <w:sz w:val="20"/>
                <w:szCs w:val="20"/>
                <w:color w:val="auto"/>
              </w:rPr>
            </w:pPr>
            <w:r>
              <w:rPr>
                <w:rFonts w:ascii="Arial" w:cs="Arial" w:eastAsia="Arial" w:hAnsi="Arial"/>
                <w:sz w:val="20"/>
                <w:szCs w:val="20"/>
                <w:color w:val="auto"/>
              </w:rPr>
              <w:t>TOTAL LIABILITIES</w:t>
            </w:r>
          </w:p>
        </w:tc>
        <w:tc>
          <w:tcPr>
            <w:tcW w:w="130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21,478</w:t>
            </w:r>
          </w:p>
        </w:tc>
        <w:tc>
          <w:tcPr>
            <w:tcW w:w="24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19,664</w:t>
            </w:r>
          </w:p>
        </w:tc>
      </w:tr>
      <w:tr>
        <w:trPr>
          <w:trHeight w:val="41"/>
        </w:trPr>
        <w:tc>
          <w:tcPr>
            <w:tcW w:w="5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COMMITMENTS AND CONTINGENCIES</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spacing w:after="0"/>
              <w:rPr>
                <w:sz w:val="24"/>
                <w:szCs w:val="24"/>
                <w:color w:val="auto"/>
              </w:rPr>
            </w:pPr>
          </w:p>
        </w:tc>
      </w:tr>
      <w:tr>
        <w:trPr>
          <w:trHeight w:val="314"/>
        </w:trPr>
        <w:tc>
          <w:tcPr>
            <w:tcW w:w="5240" w:type="dxa"/>
            <w:vAlign w:val="bottom"/>
          </w:tcPr>
          <w:p>
            <w:pPr>
              <w:spacing w:after="0"/>
              <w:rPr>
                <w:sz w:val="20"/>
                <w:szCs w:val="20"/>
                <w:color w:val="auto"/>
              </w:rPr>
            </w:pPr>
            <w:r>
              <w:rPr>
                <w:rFonts w:ascii="Arial" w:cs="Arial" w:eastAsia="Arial" w:hAnsi="Arial"/>
                <w:sz w:val="20"/>
                <w:szCs w:val="20"/>
                <w:color w:val="auto"/>
              </w:rPr>
              <w:t xml:space="preserve">EQUITY </w:t>
            </w:r>
            <w:r>
              <w:rPr>
                <w:rFonts w:ascii="Arial" w:cs="Arial" w:eastAsia="Arial" w:hAnsi="Arial"/>
                <w:sz w:val="26"/>
                <w:szCs w:val="26"/>
                <w:color w:val="auto"/>
                <w:vertAlign w:val="superscript"/>
              </w:rPr>
              <w:t>(i)</w:t>
            </w: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4"/>
        </w:trPr>
        <w:tc>
          <w:tcPr>
            <w:tcW w:w="5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Additional paid-in capital</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11,106</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10,989</w:t>
            </w:r>
          </w:p>
        </w:tc>
      </w:tr>
      <w:tr>
        <w:trPr>
          <w:trHeight w:val="274"/>
        </w:trPr>
        <w:tc>
          <w:tcPr>
            <w:tcW w:w="5240" w:type="dxa"/>
            <w:vAlign w:val="bottom"/>
          </w:tcPr>
          <w:p>
            <w:pPr>
              <w:ind w:left="100"/>
              <w:spacing w:after="0"/>
              <w:rPr>
                <w:sz w:val="20"/>
                <w:szCs w:val="20"/>
                <w:color w:val="auto"/>
              </w:rPr>
            </w:pPr>
            <w:r>
              <w:rPr>
                <w:rFonts w:ascii="Arial" w:cs="Arial" w:eastAsia="Arial" w:hAnsi="Arial"/>
                <w:sz w:val="20"/>
                <w:szCs w:val="20"/>
                <w:color w:val="auto"/>
              </w:rPr>
              <w:t>(Accumulated deficit)/retained earnings</w:t>
            </w:r>
          </w:p>
        </w:tc>
        <w:tc>
          <w:tcPr>
            <w:tcW w:w="1300" w:type="dxa"/>
            <w:vAlign w:val="bottom"/>
          </w:tcPr>
          <w:p>
            <w:pPr>
              <w:spacing w:after="0"/>
              <w:rPr>
                <w:sz w:val="23"/>
                <w:szCs w:val="23"/>
                <w:color w:val="auto"/>
              </w:rPr>
            </w:pP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(296)</w:t>
            </w:r>
          </w:p>
        </w:tc>
        <w:tc>
          <w:tcPr>
            <w:tcW w:w="24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109</w:t>
            </w:r>
          </w:p>
        </w:tc>
      </w:tr>
      <w:tr>
        <w:trPr>
          <w:trHeight w:val="41"/>
        </w:trPr>
        <w:tc>
          <w:tcPr>
            <w:tcW w:w="5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304"/>
        </w:trPr>
        <w:tc>
          <w:tcPr>
            <w:tcW w:w="5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Accumulated other comprehensive loss, net of tax</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(2,834)</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(3,158)</w:t>
            </w:r>
          </w:p>
        </w:tc>
      </w:tr>
      <w:tr>
        <w:trPr>
          <w:trHeight w:val="274"/>
        </w:trPr>
        <w:tc>
          <w:tcPr>
            <w:tcW w:w="5240" w:type="dxa"/>
            <w:vAlign w:val="bottom"/>
          </w:tcPr>
          <w:p>
            <w:pPr>
              <w:ind w:left="100"/>
              <w:spacing w:after="0"/>
              <w:rPr>
                <w:sz w:val="20"/>
                <w:szCs w:val="20"/>
                <w:color w:val="auto"/>
              </w:rPr>
            </w:pPr>
            <w:r>
              <w:rPr>
                <w:rFonts w:ascii="Arial" w:cs="Arial" w:eastAsia="Arial" w:hAnsi="Arial"/>
                <w:sz w:val="20"/>
                <w:szCs w:val="20"/>
                <w:color w:val="auto"/>
              </w:rPr>
              <w:t>Total WTW shareholders’ equity</w:t>
            </w:r>
          </w:p>
        </w:tc>
        <w:tc>
          <w:tcPr>
            <w:tcW w:w="130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7,976</w:t>
            </w:r>
          </w:p>
        </w:tc>
        <w:tc>
          <w:tcPr>
            <w:tcW w:w="24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7,940</w:t>
            </w:r>
          </w:p>
        </w:tc>
      </w:tr>
      <w:tr>
        <w:trPr>
          <w:trHeight w:val="41"/>
        </w:trPr>
        <w:tc>
          <w:tcPr>
            <w:tcW w:w="5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304"/>
        </w:trPr>
        <w:tc>
          <w:tcPr>
            <w:tcW w:w="5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Non-controlling interests</w:t>
            </w:r>
          </w:p>
        </w:tc>
        <w:tc>
          <w:tcPr>
            <w:tcW w:w="130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76</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77</w:t>
            </w:r>
          </w:p>
        </w:tc>
      </w:tr>
      <w:tr>
        <w:trPr>
          <w:trHeight w:val="274"/>
        </w:trPr>
        <w:tc>
          <w:tcPr>
            <w:tcW w:w="5240" w:type="dxa"/>
            <w:vAlign w:val="bottom"/>
          </w:tcPr>
          <w:p>
            <w:pPr>
              <w:ind w:left="100"/>
              <w:spacing w:after="0"/>
              <w:rPr>
                <w:sz w:val="20"/>
                <w:szCs w:val="20"/>
                <w:color w:val="auto"/>
              </w:rPr>
            </w:pPr>
            <w:r>
              <w:rPr>
                <w:rFonts w:ascii="Arial" w:cs="Arial" w:eastAsia="Arial" w:hAnsi="Arial"/>
                <w:sz w:val="20"/>
                <w:szCs w:val="20"/>
                <w:color w:val="auto"/>
              </w:rPr>
              <w:t>Total equity</w:t>
            </w:r>
          </w:p>
        </w:tc>
        <w:tc>
          <w:tcPr>
            <w:tcW w:w="1300" w:type="dxa"/>
            <w:vAlign w:val="bottom"/>
          </w:tcPr>
          <w:p>
            <w:pPr>
              <w:spacing w:after="0"/>
              <w:rPr>
                <w:sz w:val="23"/>
                <w:szCs w:val="23"/>
                <w:color w:val="auto"/>
              </w:rPr>
            </w:pPr>
          </w:p>
        </w:tc>
        <w:tc>
          <w:tcPr>
            <w:tcW w:w="1340" w:type="dxa"/>
            <w:vAlign w:val="bottom"/>
          </w:tcPr>
          <w:p>
            <w:pPr>
              <w:jc w:val="right"/>
              <w:ind w:right="81"/>
              <w:spacing w:after="0"/>
              <w:rPr>
                <w:sz w:val="20"/>
                <w:szCs w:val="20"/>
                <w:color w:val="auto"/>
              </w:rPr>
            </w:pPr>
            <w:r>
              <w:rPr>
                <w:rFonts w:ascii="Arial" w:cs="Arial" w:eastAsia="Arial" w:hAnsi="Arial"/>
                <w:sz w:val="20"/>
                <w:szCs w:val="20"/>
                <w:color w:val="auto"/>
              </w:rPr>
              <w:t>8,052</w:t>
            </w:r>
          </w:p>
        </w:tc>
        <w:tc>
          <w:tcPr>
            <w:tcW w:w="240" w:type="dxa"/>
            <w:vAlign w:val="bottom"/>
          </w:tcPr>
          <w:p>
            <w:pPr>
              <w:spacing w:after="0"/>
              <w:rPr>
                <w:sz w:val="23"/>
                <w:szCs w:val="23"/>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8,017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-7246620</wp:posOffset>
            </wp:positionV>
            <wp:extent cx="190881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3">
                      <a:extLst>
                        <a:ext uri="{28A0092B-C50C-407E-A947-70E740481C1C}"/>
                      </a:extLst>
                    </a:blip>
                    <a:srcRect/>
                    <a:stretch>
                      <a:fillRect/>
                    </a:stretch>
                  </pic:blipFill>
                  <pic:spPr bwMode="auto">
                    <a:xfrm>
                      <a:off x="0" y="0"/>
                      <a:ext cx="1908810" cy="63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-6242050</wp:posOffset>
            </wp:positionV>
            <wp:extent cx="190881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4">
                      <a:extLst>
                        <a:ext uri="{28A0092B-C50C-407E-A947-70E740481C1C}"/>
                      </a:extLst>
                    </a:blip>
                    <a:srcRect/>
                    <a:stretch>
                      <a:fillRect/>
                    </a:stretch>
                  </pic:blipFill>
                  <pic:spPr bwMode="auto">
                    <a:xfrm>
                      <a:off x="0" y="0"/>
                      <a:ext cx="1908810" cy="63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-4838065</wp:posOffset>
            </wp:positionV>
            <wp:extent cx="190881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5">
                      <a:extLst>
                        <a:ext uri="{28A0092B-C50C-407E-A947-70E740481C1C}"/>
                      </a:extLst>
                    </a:blip>
                    <a:srcRect/>
                    <a:stretch>
                      <a:fillRect/>
                    </a:stretch>
                  </pic:blipFill>
                  <pic:spPr bwMode="auto">
                    <a:xfrm>
                      <a:off x="0" y="0"/>
                      <a:ext cx="1908810" cy="63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-4632325</wp:posOffset>
            </wp:positionV>
            <wp:extent cx="190881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6">
                      <a:extLst>
                        <a:ext uri="{28A0092B-C50C-407E-A947-70E740481C1C}"/>
                      </a:extLst>
                    </a:blip>
                    <a:srcRect/>
                    <a:stretch>
                      <a:fillRect/>
                    </a:stretch>
                  </pic:blipFill>
                  <pic:spPr bwMode="auto">
                    <a:xfrm>
                      <a:off x="0" y="0"/>
                      <a:ext cx="1908810" cy="63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-4425950</wp:posOffset>
            </wp:positionV>
            <wp:extent cx="1908810" cy="285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7">
                      <a:extLst>
                        <a:ext uri="{28A0092B-C50C-407E-A947-70E740481C1C}"/>
                      </a:extLst>
                    </a:blip>
                    <a:srcRect/>
                    <a:stretch>
                      <a:fillRect/>
                    </a:stretch>
                  </pic:blipFill>
                  <pic:spPr bwMode="auto">
                    <a:xfrm>
                      <a:off x="0" y="0"/>
                      <a:ext cx="1908810" cy="2857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-3199765</wp:posOffset>
            </wp:positionV>
            <wp:extent cx="190881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8">
                      <a:extLst>
                        <a:ext uri="{28A0092B-C50C-407E-A947-70E740481C1C}"/>
                      </a:extLst>
                    </a:blip>
                    <a:srcRect/>
                    <a:stretch>
                      <a:fillRect/>
                    </a:stretch>
                  </pic:blipFill>
                  <pic:spPr bwMode="auto">
                    <a:xfrm>
                      <a:off x="0" y="0"/>
                      <a:ext cx="1908810" cy="63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-1995170</wp:posOffset>
            </wp:positionV>
            <wp:extent cx="190881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9">
                      <a:extLst>
                        <a:ext uri="{28A0092B-C50C-407E-A947-70E740481C1C}"/>
                      </a:extLst>
                    </a:blip>
                    <a:srcRect/>
                    <a:stretch>
                      <a:fillRect/>
                    </a:stretch>
                  </pic:blipFill>
                  <pic:spPr bwMode="auto">
                    <a:xfrm>
                      <a:off x="0" y="0"/>
                      <a:ext cx="1908810" cy="63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-1789430</wp:posOffset>
            </wp:positionV>
            <wp:extent cx="190881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0">
                      <a:extLst>
                        <a:ext uri="{28A0092B-C50C-407E-A947-70E740481C1C}"/>
                      </a:extLst>
                    </a:blip>
                    <a:srcRect/>
                    <a:stretch>
                      <a:fillRect/>
                    </a:stretch>
                  </pic:blipFill>
                  <pic:spPr bwMode="auto">
                    <a:xfrm>
                      <a:off x="0" y="0"/>
                      <a:ext cx="1908810" cy="63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-585470</wp:posOffset>
            </wp:positionV>
            <wp:extent cx="190881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1">
                      <a:extLst>
                        <a:ext uri="{28A0092B-C50C-407E-A947-70E740481C1C}"/>
                      </a:extLst>
                    </a:blip>
                    <a:srcRect/>
                    <a:stretch>
                      <a:fillRect/>
                    </a:stretch>
                  </pic:blipFill>
                  <pic:spPr bwMode="auto">
                    <a:xfrm>
                      <a:off x="0" y="0"/>
                      <a:ext cx="1908810" cy="63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-179705</wp:posOffset>
            </wp:positionV>
            <wp:extent cx="190881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2">
                      <a:extLst>
                        <a:ext uri="{28A0092B-C50C-407E-A947-70E740481C1C}"/>
                      </a:extLst>
                    </a:blip>
                    <a:srcRect/>
                    <a:stretch>
                      <a:fillRect/>
                    </a:stretch>
                  </pic:blipFill>
                  <pic:spPr bwMode="auto">
                    <a:xfrm>
                      <a:off x="0" y="0"/>
                      <a:ext cx="1908810" cy="6350"/>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26035</wp:posOffset>
            </wp:positionV>
            <wp:extent cx="190881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3">
                      <a:extLst>
                        <a:ext uri="{28A0092B-C50C-407E-A947-70E740481C1C}"/>
                      </a:extLst>
                    </a:blip>
                    <a:srcRect/>
                    <a:stretch>
                      <a:fillRect/>
                    </a:stretch>
                  </pic:blipFill>
                  <pic:spPr bwMode="auto">
                    <a:xfrm>
                      <a:off x="0" y="0"/>
                      <a:ext cx="190881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15</w:t>
      </w:r>
    </w:p>
    <w:p>
      <w:pPr>
        <w:sectPr>
          <w:pgSz w:w="11900" w:h="16838" w:orient="portrait"/>
          <w:cols w:equalWidth="0" w:num="1">
            <w:col w:w="9400"/>
          </w:cols>
          <w:pgMar w:left="1260" w:top="1440" w:right="1246" w:bottom="0" w:gutter="0" w:footer="0" w:header="0"/>
          <w:type w:val="continuous"/>
        </w:sectPr>
      </w:pPr>
    </w:p>
    <w:bookmarkStart w:id="145" w:name="page146"/>
    <w:bookmarkEnd w:id="145"/>
    <w:p>
      <w:pPr>
        <w:ind w:left="6"/>
        <w:spacing w:after="0"/>
        <w:tabs>
          <w:tab w:leader="none" w:pos="6366" w:val="left"/>
          <w:tab w:leader="none" w:pos="7146" w:val="left"/>
          <w:tab w:leader="none" w:pos="7946" w:val="left"/>
          <w:tab w:leader="none" w:pos="8726"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279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4">
                      <a:extLst>
                        <a:ext uri="{28A0092B-C50C-407E-A947-70E740481C1C}"/>
                      </a:extLst>
                    </a:blip>
                    <a:srcRect/>
                    <a:stretch>
                      <a:fillRect/>
                    </a:stretch>
                  </pic:blipFill>
                  <pic:spPr bwMode="auto">
                    <a:xfrm>
                      <a:off x="0" y="0"/>
                      <a:ext cx="5967730" cy="227965"/>
                    </a:xfrm>
                    <a:prstGeom prst="rect">
                      <a:avLst/>
                    </a:prstGeom>
                    <a:noFill/>
                  </pic:spPr>
                </pic:pic>
              </a:graphicData>
            </a:graphic>
          </wp:anchor>
        </w:drawing>
        <w:t>TOTAL LIABILITIES AND EQUITY</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29,530</w:t>
        <w:tab/>
        <w:t>$</w:t>
      </w:r>
      <w:r>
        <w:rPr>
          <w:sz w:val="20"/>
          <w:szCs w:val="20"/>
          <w:color w:val="auto"/>
        </w:rPr>
        <w:tab/>
      </w:r>
      <w:r>
        <w:rPr>
          <w:rFonts w:ascii="Arial" w:cs="Arial" w:eastAsia="Arial" w:hAnsi="Arial"/>
          <w:sz w:val="17"/>
          <w:szCs w:val="17"/>
          <w:color w:val="auto"/>
        </w:rPr>
        <w:t>27,681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795655" cy="95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5">
                      <a:extLst>
                        <a:ext uri="{28A0092B-C50C-407E-A947-70E740481C1C}"/>
                      </a:extLst>
                    </a:blip>
                    <a:srcRect/>
                    <a:stretch>
                      <a:fillRect/>
                    </a:stretch>
                  </pic:blipFill>
                  <pic:spPr bwMode="auto">
                    <a:xfrm>
                      <a:off x="0" y="0"/>
                      <a:ext cx="795655" cy="952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226" w:right="140" w:hanging="226"/>
        <w:spacing w:after="0" w:line="464" w:lineRule="auto"/>
        <w:tabs>
          <w:tab w:leader="none" w:pos="226" w:val="left"/>
        </w:tabs>
        <w:numPr>
          <w:ilvl w:val="0"/>
          <w:numId w:val="49"/>
        </w:numPr>
        <w:rPr>
          <w:rFonts w:ascii="Arial" w:cs="Arial" w:eastAsia="Arial" w:hAnsi="Arial"/>
          <w:sz w:val="16"/>
          <w:szCs w:val="16"/>
          <w:color w:val="auto"/>
        </w:rPr>
      </w:pPr>
      <w:r>
        <w:rPr>
          <w:rFonts w:ascii="Arial" w:cs="Arial" w:eastAsia="Arial" w:hAnsi="Arial"/>
          <w:sz w:val="16"/>
          <w:szCs w:val="16"/>
          <w:color w:val="auto"/>
        </w:rPr>
        <w:t>Equity includes (a) Ordinary shares $0.000304635 nominal value; Authorized 1,510,003,775; Issued 95,079,835 (2025) and 99,805,780 (2024); Outstanding 95,079,835 (2025) and 99,805,780 (2024); (b) Preference shares, $0.000115 nominal value; Authorized 1,000,000,000 and Issued none in 2025 and 2024.</w:t>
      </w:r>
    </w:p>
    <w:p>
      <w:pPr>
        <w:spacing w:after="0" w:line="42" w:lineRule="exact"/>
        <w:rPr>
          <w:sz w:val="20"/>
          <w:szCs w:val="20"/>
          <w:color w:val="auto"/>
        </w:rPr>
      </w:pPr>
    </w:p>
    <w:p>
      <w:pPr>
        <w:jc w:val="center"/>
        <w:ind w:right="-105"/>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310" w:lineRule="exact"/>
        <w:rPr>
          <w:sz w:val="20"/>
          <w:szCs w:val="20"/>
          <w:color w:val="auto"/>
        </w:rPr>
      </w:pPr>
    </w:p>
    <w:p>
      <w:pPr>
        <w:jc w:val="center"/>
        <w:ind w:right="-105"/>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6"/>
          </w:cols>
          <w:pgMar w:left="1254" w:top="1177"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05"/>
        <w:spacing w:after="0"/>
        <w:rPr>
          <w:sz w:val="20"/>
          <w:szCs w:val="20"/>
          <w:color w:val="auto"/>
        </w:rPr>
      </w:pPr>
      <w:r>
        <w:rPr>
          <w:rFonts w:ascii="Arial" w:cs="Arial" w:eastAsia="Arial" w:hAnsi="Arial"/>
          <w:sz w:val="20"/>
          <w:szCs w:val="20"/>
          <w:color w:val="auto"/>
        </w:rPr>
        <w:t>12 / 15</w:t>
      </w:r>
    </w:p>
    <w:p>
      <w:pPr>
        <w:sectPr>
          <w:pgSz w:w="11900" w:h="16838" w:orient="portrait"/>
          <w:cols w:equalWidth="0" w:num="1">
            <w:col w:w="9286"/>
          </w:cols>
          <w:pgMar w:left="1254" w:top="1177" w:right="1366" w:bottom="0" w:gutter="0" w:footer="0" w:header="0"/>
          <w:type w:val="continuous"/>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1700" w:right="1680"/>
        <w:spacing w:after="0" w:line="307" w:lineRule="auto"/>
        <w:rPr>
          <w:sz w:val="20"/>
          <w:szCs w:val="20"/>
          <w:color w:val="auto"/>
        </w:rPr>
      </w:pPr>
      <w:r>
        <w:rPr>
          <w:rFonts w:ascii="Arial" w:cs="Arial" w:eastAsia="Arial" w:hAnsi="Arial"/>
          <w:sz w:val="22"/>
          <w:szCs w:val="22"/>
          <w:b w:val="1"/>
          <w:bCs w:val="1"/>
          <w:color w:val="auto"/>
        </w:rPr>
        <w:t xml:space="preserve">WILLIS TOWERS WATSON PUBLIC LIMITED COMPANY Consolidated Statements of Cash Flows </w:t>
      </w:r>
      <w:r>
        <w:rPr>
          <w:rFonts w:ascii="Arial" w:cs="Arial" w:eastAsia="Arial" w:hAnsi="Arial"/>
          <w:sz w:val="22"/>
          <w:szCs w:val="22"/>
          <w:color w:val="auto"/>
        </w:rPr>
        <w:t>(In millions of U.S. dollars)</w:t>
      </w:r>
    </w:p>
    <w:p>
      <w:pPr>
        <w:sectPr>
          <w:pgSz w:w="11900" w:h="16838" w:orient="portrait"/>
          <w:cols w:equalWidth="0" w:num="1">
            <w:col w:w="9360"/>
          </w:cols>
          <w:pgMar w:left="1260" w:top="1440" w:right="1286" w:bottom="0" w:gutter="0" w:footer="0" w:header="0"/>
        </w:sect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8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Years ended December 31,</w:t>
            </w:r>
          </w:p>
        </w:tc>
      </w:tr>
      <w:tr>
        <w:trPr>
          <w:trHeight w:val="264"/>
        </w:trPr>
        <w:tc>
          <w:tcPr>
            <w:tcW w:w="5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ind w:right="411"/>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22"/>
                <w:szCs w:val="22"/>
                <w:color w:val="auto"/>
              </w:rPr>
            </w:pPr>
          </w:p>
        </w:tc>
        <w:tc>
          <w:tcPr>
            <w:tcW w:w="1180" w:type="dxa"/>
            <w:vAlign w:val="bottom"/>
          </w:tcPr>
          <w:p>
            <w:pPr>
              <w:jc w:val="right"/>
              <w:ind w:right="650"/>
              <w:spacing w:after="0"/>
              <w:rPr>
                <w:sz w:val="20"/>
                <w:szCs w:val="20"/>
                <w:color w:val="auto"/>
              </w:rPr>
            </w:pPr>
            <w:r>
              <w:rPr>
                <w:rFonts w:ascii="Arial" w:cs="Arial" w:eastAsia="Arial" w:hAnsi="Arial"/>
                <w:sz w:val="16"/>
                <w:szCs w:val="16"/>
                <w:b w:val="1"/>
                <w:bCs w:val="1"/>
                <w:color w:val="auto"/>
              </w:rPr>
              <w:t>2024</w:t>
            </w:r>
          </w:p>
        </w:tc>
      </w:tr>
      <w:tr>
        <w:trPr>
          <w:trHeight w:val="290"/>
        </w:trPr>
        <w:tc>
          <w:tcPr>
            <w:tcW w:w="57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4"/>
        </w:trPr>
        <w:tc>
          <w:tcPr>
            <w:tcW w:w="5700" w:type="dxa"/>
            <w:vAlign w:val="bottom"/>
          </w:tcPr>
          <w:p>
            <w:pPr>
              <w:ind w:left="100"/>
              <w:spacing w:after="0"/>
              <w:rPr>
                <w:sz w:val="20"/>
                <w:szCs w:val="20"/>
                <w:color w:val="auto"/>
              </w:rPr>
            </w:pPr>
            <w:r>
              <w:rPr>
                <w:rFonts w:ascii="Arial" w:cs="Arial" w:eastAsia="Arial" w:hAnsi="Arial"/>
                <w:sz w:val="18"/>
                <w:szCs w:val="18"/>
                <w:color w:val="auto"/>
              </w:rPr>
              <w:t>NET INCOME/(LOSS)</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1,613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84"/>
        </w:trPr>
        <w:tc>
          <w:tcPr>
            <w:tcW w:w="5700" w:type="dxa"/>
            <w:vAlign w:val="bottom"/>
          </w:tcPr>
          <w:p>
            <w:pPr>
              <w:ind w:left="100"/>
              <w:spacing w:after="0"/>
              <w:rPr>
                <w:sz w:val="20"/>
                <w:szCs w:val="20"/>
                <w:color w:val="auto"/>
              </w:rPr>
            </w:pPr>
            <w:r>
              <w:rPr>
                <w:rFonts w:ascii="Arial" w:cs="Arial" w:eastAsia="Arial" w:hAnsi="Arial"/>
                <w:sz w:val="18"/>
                <w:szCs w:val="18"/>
                <w:color w:val="auto"/>
                <w:w w:val="94"/>
              </w:rPr>
              <w:t>Adjustments to reconcile net income/(loss) to total net cash from operating</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5700" w:type="dxa"/>
            <w:vAlign w:val="bottom"/>
          </w:tcPr>
          <w:p>
            <w:pPr>
              <w:ind w:left="100"/>
              <w:spacing w:after="0"/>
              <w:rPr>
                <w:sz w:val="20"/>
                <w:szCs w:val="20"/>
                <w:color w:val="auto"/>
              </w:rPr>
            </w:pPr>
            <w:r>
              <w:rPr>
                <w:rFonts w:ascii="Arial" w:cs="Arial" w:eastAsia="Arial" w:hAnsi="Arial"/>
                <w:sz w:val="18"/>
                <w:szCs w:val="18"/>
                <w:color w:val="auto"/>
              </w:rPr>
              <w:t>activities:</w:t>
            </w: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306"/>
        </w:trPr>
        <w:tc>
          <w:tcPr>
            <w:tcW w:w="57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230</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4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226</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4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1,042</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Non-cash restructuring charges</w:t>
            </w:r>
          </w:p>
        </w:tc>
        <w:tc>
          <w:tcPr>
            <w:tcW w:w="4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41</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Non-cash lease expense</w:t>
            </w:r>
          </w:p>
        </w:tc>
        <w:tc>
          <w:tcPr>
            <w:tcW w:w="4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98</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Net periodic cost of/(credit for) defined benefit pension plans</w:t>
            </w:r>
          </w:p>
        </w:tc>
        <w:tc>
          <w:tcPr>
            <w:tcW w:w="4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4</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Provision for doubtful receivables from clients</w:t>
            </w:r>
          </w:p>
        </w:tc>
        <w:tc>
          <w:tcPr>
            <w:tcW w:w="4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13</w:t>
            </w:r>
          </w:p>
        </w:tc>
      </w:tr>
      <w:tr>
        <w:trPr>
          <w:trHeight w:val="323"/>
        </w:trPr>
        <w:tc>
          <w:tcPr>
            <w:tcW w:w="5700" w:type="dxa"/>
            <w:vAlign w:val="bottom"/>
          </w:tcPr>
          <w:p>
            <w:pPr>
              <w:ind w:left="200"/>
              <w:spacing w:after="0"/>
              <w:rPr>
                <w:sz w:val="20"/>
                <w:szCs w:val="20"/>
                <w:color w:val="auto"/>
              </w:rPr>
            </w:pPr>
            <w:r>
              <w:rPr>
                <w:rFonts w:ascii="Arial" w:cs="Arial" w:eastAsia="Arial" w:hAnsi="Arial"/>
                <w:sz w:val="18"/>
                <w:szCs w:val="18"/>
                <w:color w:val="auto"/>
              </w:rPr>
              <w:t>Provision for/(benefit from) deferred income taxes</w:t>
            </w:r>
          </w:p>
        </w:tc>
        <w:tc>
          <w:tcPr>
            <w:tcW w:w="4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(213)</w:t>
            </w:r>
          </w:p>
        </w:tc>
      </w:tr>
      <w:tr>
        <w:trPr>
          <w:trHeight w:val="306"/>
        </w:trPr>
        <w:tc>
          <w:tcPr>
            <w:tcW w:w="570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121</w:t>
            </w:r>
          </w:p>
        </w:tc>
      </w:tr>
      <w:tr>
        <w:trPr>
          <w:trHeight w:val="323"/>
        </w:trPr>
        <w:tc>
          <w:tcPr>
            <w:tcW w:w="5700" w:type="dxa"/>
            <w:vAlign w:val="bottom"/>
          </w:tcPr>
          <w:p>
            <w:pPr>
              <w:ind w:left="200"/>
              <w:spacing w:after="0"/>
              <w:rPr>
                <w:sz w:val="20"/>
                <w:szCs w:val="20"/>
                <w:color w:val="auto"/>
              </w:rPr>
            </w:pPr>
            <w:r>
              <w:rPr>
                <w:rFonts w:ascii="Arial" w:cs="Arial" w:eastAsia="Arial" w:hAnsi="Arial"/>
                <w:sz w:val="18"/>
                <w:szCs w:val="18"/>
                <w:color w:val="auto"/>
              </w:rPr>
              <w:t>Net (gain)/loss on disposal of operations</w:t>
            </w:r>
          </w:p>
        </w:tc>
        <w:tc>
          <w:tcPr>
            <w:tcW w:w="42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337</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Non-cash foreign exchange loss/(gain)</w:t>
            </w:r>
          </w:p>
        </w:tc>
        <w:tc>
          <w:tcPr>
            <w:tcW w:w="4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(31)</w:t>
            </w:r>
          </w:p>
        </w:tc>
      </w:tr>
      <w:tr>
        <w:trPr>
          <w:trHeight w:val="306"/>
        </w:trPr>
        <w:tc>
          <w:tcPr>
            <w:tcW w:w="57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58</w:t>
            </w:r>
          </w:p>
        </w:tc>
      </w:tr>
      <w:tr>
        <w:trPr>
          <w:trHeight w:val="293"/>
        </w:trPr>
        <w:tc>
          <w:tcPr>
            <w:tcW w:w="5700" w:type="dxa"/>
            <w:vAlign w:val="bottom"/>
          </w:tcPr>
          <w:p>
            <w:pPr>
              <w:ind w:left="100"/>
              <w:spacing w:after="0"/>
              <w:rPr>
                <w:sz w:val="20"/>
                <w:szCs w:val="20"/>
                <w:color w:val="auto"/>
              </w:rPr>
            </w:pPr>
            <w:r>
              <w:rPr>
                <w:rFonts w:ascii="Arial" w:cs="Arial" w:eastAsia="Arial" w:hAnsi="Arial"/>
                <w:sz w:val="18"/>
                <w:szCs w:val="18"/>
                <w:color w:val="auto"/>
                <w:w w:val="94"/>
              </w:rPr>
              <w:t>Changes in operating assets and liabilities, net of effects from purchase of</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5700" w:type="dxa"/>
            <w:vAlign w:val="bottom"/>
          </w:tcPr>
          <w:p>
            <w:pPr>
              <w:ind w:left="100"/>
              <w:spacing w:after="0"/>
              <w:rPr>
                <w:sz w:val="20"/>
                <w:szCs w:val="20"/>
                <w:color w:val="auto"/>
              </w:rPr>
            </w:pPr>
            <w:r>
              <w:rPr>
                <w:rFonts w:ascii="Arial" w:cs="Arial" w:eastAsia="Arial" w:hAnsi="Arial"/>
                <w:sz w:val="18"/>
                <w:szCs w:val="18"/>
                <w:color w:val="auto"/>
              </w:rPr>
              <w:t>subsidiaries:</w:t>
            </w: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(233)</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(373)</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(458)</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301</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Provisions</w:t>
            </w:r>
          </w:p>
        </w:tc>
        <w:tc>
          <w:tcPr>
            <w:tcW w:w="42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(21)</w:t>
            </w:r>
          </w:p>
        </w:tc>
      </w:tr>
      <w:tr>
        <w:trPr>
          <w:trHeight w:val="316"/>
        </w:trPr>
        <w:tc>
          <w:tcPr>
            <w:tcW w:w="5700" w:type="dxa"/>
            <w:vAlign w:val="bottom"/>
          </w:tcPr>
          <w:p>
            <w:pPr>
              <w:ind w:left="320"/>
              <w:spacing w:after="0"/>
              <w:rPr>
                <w:sz w:val="20"/>
                <w:szCs w:val="20"/>
                <w:color w:val="auto"/>
              </w:rPr>
            </w:pPr>
            <w:r>
              <w:rPr>
                <w:rFonts w:ascii="Arial" w:cs="Arial" w:eastAsia="Arial" w:hAnsi="Arial"/>
                <w:sz w:val="18"/>
                <w:szCs w:val="18"/>
                <w:color w:val="auto"/>
              </w:rPr>
              <w:t>Net cash from operating activities</w:t>
            </w:r>
          </w:p>
        </w:tc>
        <w:tc>
          <w:tcPr>
            <w:tcW w:w="4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1,775</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1,512</w:t>
            </w:r>
          </w:p>
        </w:tc>
      </w:tr>
      <w:tr>
        <w:trPr>
          <w:trHeight w:val="303"/>
        </w:trPr>
        <w:tc>
          <w:tcPr>
            <w:tcW w:w="5700" w:type="dxa"/>
            <w:vAlign w:val="bottom"/>
          </w:tcPr>
          <w:p>
            <w:pPr>
              <w:spacing w:after="0"/>
              <w:rPr>
                <w:sz w:val="20"/>
                <w:szCs w:val="20"/>
                <w:color w:val="auto"/>
              </w:rPr>
            </w:pPr>
            <w:r>
              <w:rPr>
                <w:rFonts w:ascii="Arial" w:cs="Arial" w:eastAsia="Arial" w:hAnsi="Arial"/>
                <w:sz w:val="18"/>
                <w:szCs w:val="18"/>
                <w:color w:val="auto"/>
              </w:rPr>
              <w:t>CASH FLOWS FROM/(USED IN) INVESTING ACTIVITIES</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Additions to fixed assets and software</w:t>
            </w:r>
          </w:p>
        </w:tc>
        <w:tc>
          <w:tcPr>
            <w:tcW w:w="42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(245)</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Acquisitions of operations, net of cash acquired</w:t>
            </w:r>
          </w:p>
        </w:tc>
        <w:tc>
          <w:tcPr>
            <w:tcW w:w="42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(104)</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Contributions to investments in associates</w:t>
            </w:r>
          </w:p>
        </w:tc>
        <w:tc>
          <w:tcPr>
            <w:tcW w:w="42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w:t>
            </w:r>
          </w:p>
        </w:tc>
      </w:tr>
      <w:tr>
        <w:trPr>
          <w:trHeight w:val="306"/>
        </w:trPr>
        <w:tc>
          <w:tcPr>
            <w:tcW w:w="5700" w:type="dxa"/>
            <w:vAlign w:val="bottom"/>
          </w:tcPr>
          <w:p>
            <w:pPr>
              <w:ind w:left="200"/>
              <w:spacing w:after="0"/>
              <w:rPr>
                <w:sz w:val="20"/>
                <w:szCs w:val="20"/>
                <w:color w:val="auto"/>
              </w:rPr>
            </w:pPr>
            <w:r>
              <w:rPr>
                <w:rFonts w:ascii="Arial" w:cs="Arial" w:eastAsia="Arial" w:hAnsi="Arial"/>
                <w:sz w:val="18"/>
                <w:szCs w:val="18"/>
                <w:color w:val="auto"/>
              </w:rPr>
              <w:t>Net proceeds from sale of operations</w:t>
            </w:r>
          </w:p>
        </w:tc>
        <w:tc>
          <w:tcPr>
            <w:tcW w:w="4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870</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619</w:t>
            </w:r>
          </w:p>
        </w:tc>
      </w:tr>
      <w:tr>
        <w:trPr>
          <w:trHeight w:val="323"/>
        </w:trPr>
        <w:tc>
          <w:tcPr>
            <w:tcW w:w="5700" w:type="dxa"/>
            <w:vAlign w:val="bottom"/>
          </w:tcPr>
          <w:p>
            <w:pPr>
              <w:ind w:left="200"/>
              <w:spacing w:after="0"/>
              <w:rPr>
                <w:sz w:val="20"/>
                <w:szCs w:val="20"/>
                <w:color w:val="auto"/>
              </w:rPr>
            </w:pPr>
            <w:r>
              <w:rPr>
                <w:rFonts w:ascii="Arial" w:cs="Arial" w:eastAsia="Arial" w:hAnsi="Arial"/>
                <w:sz w:val="18"/>
                <w:szCs w:val="18"/>
                <w:color w:val="auto"/>
              </w:rPr>
              <w:t>Cash and fiduciary funds transferred in sale of operations</w:t>
            </w:r>
          </w:p>
        </w:tc>
        <w:tc>
          <w:tcPr>
            <w:tcW w:w="42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(5)</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Net purchases of held-to-maturity securities</w:t>
            </w:r>
          </w:p>
        </w:tc>
        <w:tc>
          <w:tcPr>
            <w:tcW w:w="42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Net purchases of available-for-sale securities</w:t>
            </w:r>
          </w:p>
        </w:tc>
        <w:tc>
          <w:tcPr>
            <w:tcW w:w="42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(12)</w:t>
            </w:r>
          </w:p>
        </w:tc>
      </w:tr>
      <w:tr>
        <w:trPr>
          <w:trHeight w:val="316"/>
        </w:trPr>
        <w:tc>
          <w:tcPr>
            <w:tcW w:w="5700" w:type="dxa"/>
            <w:vAlign w:val="bottom"/>
          </w:tcPr>
          <w:p>
            <w:pPr>
              <w:ind w:left="320"/>
              <w:spacing w:after="0"/>
              <w:rPr>
                <w:sz w:val="20"/>
                <w:szCs w:val="20"/>
                <w:color w:val="auto"/>
              </w:rPr>
            </w:pPr>
            <w:r>
              <w:rPr>
                <w:rFonts w:ascii="Arial" w:cs="Arial" w:eastAsia="Arial" w:hAnsi="Arial"/>
                <w:sz w:val="18"/>
                <w:szCs w:val="18"/>
                <w:color w:val="auto"/>
              </w:rPr>
              <w:t>Net cash from/(used in) investing activities</w:t>
            </w:r>
          </w:p>
        </w:tc>
        <w:tc>
          <w:tcPr>
            <w:tcW w:w="4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447</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250</w:t>
            </w:r>
          </w:p>
        </w:tc>
      </w:tr>
      <w:tr>
        <w:trPr>
          <w:trHeight w:val="303"/>
        </w:trPr>
        <w:tc>
          <w:tcPr>
            <w:tcW w:w="5700" w:type="dxa"/>
            <w:vAlign w:val="bottom"/>
          </w:tcPr>
          <w:p>
            <w:pPr>
              <w:spacing w:after="0"/>
              <w:rPr>
                <w:sz w:val="20"/>
                <w:szCs w:val="20"/>
                <w:color w:val="auto"/>
              </w:rPr>
            </w:pPr>
            <w:r>
              <w:rPr>
                <w:rFonts w:ascii="Arial" w:cs="Arial" w:eastAsia="Arial" w:hAnsi="Arial"/>
                <w:sz w:val="18"/>
                <w:szCs w:val="18"/>
                <w:color w:val="auto"/>
              </w:rPr>
              <w:t>CASH FLOWS USED IN FINANCING ACTIVITIES</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06"/>
        </w:trPr>
        <w:tc>
          <w:tcPr>
            <w:tcW w:w="5700" w:type="dxa"/>
            <w:vAlign w:val="bottom"/>
          </w:tcPr>
          <w:p>
            <w:pPr>
              <w:ind w:left="200"/>
              <w:spacing w:after="0"/>
              <w:rPr>
                <w:sz w:val="20"/>
                <w:szCs w:val="20"/>
                <w:color w:val="auto"/>
              </w:rPr>
            </w:pPr>
            <w:r>
              <w:rPr>
                <w:rFonts w:ascii="Arial" w:cs="Arial" w:eastAsia="Arial" w:hAnsi="Arial"/>
                <w:sz w:val="18"/>
                <w:szCs w:val="18"/>
                <w:color w:val="auto"/>
              </w:rPr>
              <w:t>Senior notes issued</w:t>
            </w:r>
          </w:p>
        </w:tc>
        <w:tc>
          <w:tcPr>
            <w:tcW w:w="4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999</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746</w:t>
            </w:r>
          </w:p>
        </w:tc>
      </w:tr>
      <w:tr>
        <w:trPr>
          <w:trHeight w:val="323"/>
        </w:trPr>
        <w:tc>
          <w:tcPr>
            <w:tcW w:w="570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42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(9)</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Repayments of debt</w:t>
            </w:r>
          </w:p>
        </w:tc>
        <w:tc>
          <w:tcPr>
            <w:tcW w:w="42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(655)</w:t>
            </w:r>
          </w:p>
        </w:tc>
      </w:tr>
      <w:tr>
        <w:trPr>
          <w:trHeight w:val="314"/>
        </w:trPr>
        <w:tc>
          <w:tcPr>
            <w:tcW w:w="5700" w:type="dxa"/>
            <w:vAlign w:val="bottom"/>
          </w:tcPr>
          <w:p>
            <w:pPr>
              <w:ind w:left="200"/>
              <w:spacing w:after="0"/>
              <w:rPr>
                <w:sz w:val="20"/>
                <w:szCs w:val="20"/>
                <w:color w:val="auto"/>
              </w:rPr>
            </w:pPr>
            <w:r>
              <w:rPr>
                <w:rFonts w:ascii="Arial" w:cs="Arial" w:eastAsia="Arial" w:hAnsi="Arial"/>
                <w:sz w:val="18"/>
                <w:szCs w:val="18"/>
                <w:color w:val="auto"/>
              </w:rPr>
              <w:t>Repurchase of shares</w:t>
            </w:r>
          </w:p>
        </w:tc>
        <w:tc>
          <w:tcPr>
            <w:tcW w:w="420" w:type="dxa"/>
            <w:vAlign w:val="bottom"/>
          </w:tcPr>
          <w:p>
            <w:pPr>
              <w:spacing w:after="0"/>
              <w:rPr>
                <w:sz w:val="24"/>
                <w:szCs w:val="24"/>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(1,650)</w:t>
            </w:r>
          </w:p>
        </w:tc>
        <w:tc>
          <w:tcPr>
            <w:tcW w:w="280" w:type="dxa"/>
            <w:vAlign w:val="bottom"/>
          </w:tcPr>
          <w:p>
            <w:pPr>
              <w:spacing w:after="0"/>
              <w:rPr>
                <w:sz w:val="24"/>
                <w:szCs w:val="24"/>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-7411085</wp:posOffset>
            </wp:positionV>
            <wp:extent cx="5967730" cy="74345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7">
                      <a:extLst>
                        <a:ext uri="{28A0092B-C50C-407E-A947-70E740481C1C}"/>
                      </a:extLst>
                    </a:blip>
                    <a:srcRect/>
                    <a:stretch>
                      <a:fillRect/>
                    </a:stretch>
                  </pic:blipFill>
                  <pic:spPr bwMode="auto">
                    <a:xfrm>
                      <a:off x="0" y="0"/>
                      <a:ext cx="5967730" cy="7434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wp:posOffset>
            </wp:positionH>
            <wp:positionV relativeFrom="paragraph">
              <wp:posOffset>-146685</wp:posOffset>
            </wp:positionV>
            <wp:extent cx="5969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8">
                      <a:extLst>
                        <a:ext uri="{28A0092B-C50C-407E-A947-70E740481C1C}"/>
                      </a:extLst>
                    </a:blip>
                    <a:srcRect/>
                    <a:stretch>
                      <a:fillRect/>
                    </a:stretch>
                  </pic:blipFill>
                  <pic:spPr bwMode="auto">
                    <a:xfrm>
                      <a:off x="0" y="0"/>
                      <a:ext cx="59690" cy="635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20320</wp:posOffset>
            </wp:positionV>
            <wp:extent cx="67437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9">
                      <a:extLst>
                        <a:ext uri="{28A0092B-C50C-407E-A947-70E740481C1C}"/>
                      </a:extLst>
                    </a:blip>
                    <a:srcRect/>
                    <a:stretch>
                      <a:fillRect/>
                    </a:stretch>
                  </pic:blipFill>
                  <pic:spPr bwMode="auto">
                    <a:xfrm>
                      <a:off x="0" y="0"/>
                      <a:ext cx="674370" cy="6350"/>
                    </a:xfrm>
                    <a:prstGeom prst="rect">
                      <a:avLst/>
                    </a:prstGeom>
                    <a:noFill/>
                  </pic:spPr>
                </pic:pic>
              </a:graphicData>
            </a:graphic>
          </wp:anchor>
        </w:drawing>
        <w:drawing>
          <wp:anchor simplePos="0" relativeHeight="251657728" behindDoc="1" locked="0" layoutInCell="0" allowOverlap="1">
            <wp:simplePos x="0" y="0"/>
            <wp:positionH relativeFrom="column">
              <wp:posOffset>-196850</wp:posOffset>
            </wp:positionH>
            <wp:positionV relativeFrom="paragraph">
              <wp:posOffset>20320</wp:posOffset>
            </wp:positionV>
            <wp:extent cx="67437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0">
                      <a:extLst>
                        <a:ext uri="{28A0092B-C50C-407E-A947-70E740481C1C}"/>
                      </a:extLst>
                    </a:blip>
                    <a:srcRect/>
                    <a:stretch>
                      <a:fillRect/>
                    </a:stretch>
                  </pic:blipFill>
                  <pic:spPr bwMode="auto">
                    <a:xfrm>
                      <a:off x="0" y="0"/>
                      <a:ext cx="674370" cy="6350"/>
                    </a:xfrm>
                    <a:prstGeom prst="rect">
                      <a:avLst/>
                    </a:prstGeom>
                    <a:noFill/>
                  </pic:spPr>
                </pic:pic>
              </a:graphicData>
            </a:graphic>
          </wp:anchor>
        </w:drawing>
      </w:r>
    </w:p>
    <w:p>
      <w:pPr>
        <w:spacing w:after="0" w:line="36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1,064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242</w:t>
      </w:r>
    </w:p>
    <w:p>
      <w:pPr>
        <w:spacing w:after="0" w:line="10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263</w:t>
      </w:r>
    </w:p>
    <w:p>
      <w:pPr>
        <w:spacing w:after="0" w:line="10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10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38</w:t>
      </w:r>
    </w:p>
    <w:p>
      <w:pPr>
        <w:spacing w:after="0" w:line="10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105</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6</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125</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(206)</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(185)</w:t>
      </w:r>
    </w:p>
    <w:p>
      <w:pPr>
        <w:spacing w:after="0" w:line="9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16</w:t>
      </w:r>
    </w:p>
    <w:p>
      <w:pPr>
        <w:spacing w:after="0" w:line="10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28575</wp:posOffset>
            </wp:positionV>
            <wp:extent cx="60833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1">
                      <a:extLst>
                        <a:ext uri="{28A0092B-C50C-407E-A947-70E740481C1C}"/>
                      </a:extLst>
                    </a:blip>
                    <a:srcRect/>
                    <a:stretch>
                      <a:fillRect/>
                    </a:stretch>
                  </pic:blipFill>
                  <pic:spPr bwMode="auto">
                    <a:xfrm>
                      <a:off x="0" y="0"/>
                      <a:ext cx="608330" cy="6350"/>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28575</wp:posOffset>
            </wp:positionV>
            <wp:extent cx="60833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2">
                      <a:extLst>
                        <a:ext uri="{28A0092B-C50C-407E-A947-70E740481C1C}"/>
                      </a:extLst>
                    </a:blip>
                    <a:srcRect/>
                    <a:stretch>
                      <a:fillRect/>
                    </a:stretch>
                  </pic:blipFill>
                  <pic:spPr bwMode="auto">
                    <a:xfrm>
                      <a:off x="0" y="0"/>
                      <a:ext cx="608330" cy="6350"/>
                    </a:xfrm>
                    <a:prstGeom prst="rect">
                      <a:avLst/>
                    </a:prstGeom>
                    <a:noFill/>
                  </pic:spPr>
                </pic:pic>
              </a:graphicData>
            </a:graphic>
          </wp:anchor>
        </w:drawing>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1,345</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(242)</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89</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(922)</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22860</wp:posOffset>
            </wp:positionV>
            <wp:extent cx="60833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3">
                      <a:extLst>
                        <a:ext uri="{28A0092B-C50C-407E-A947-70E740481C1C}"/>
                      </a:extLst>
                    </a:blip>
                    <a:srcRect/>
                    <a:stretch>
                      <a:fillRect/>
                    </a:stretch>
                  </pic:blipFill>
                  <pic:spPr bwMode="auto">
                    <a:xfrm>
                      <a:off x="0" y="0"/>
                      <a:ext cx="608330" cy="6350"/>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22860</wp:posOffset>
            </wp:positionV>
            <wp:extent cx="60833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4">
                      <a:extLst>
                        <a:ext uri="{28A0092B-C50C-407E-A947-70E740481C1C}"/>
                      </a:extLst>
                    </a:blip>
                    <a:srcRect/>
                    <a:stretch>
                      <a:fillRect/>
                    </a:stretch>
                  </pic:blipFill>
                  <pic:spPr bwMode="auto">
                    <a:xfrm>
                      <a:off x="0" y="0"/>
                      <a:ext cx="608330" cy="6350"/>
                    </a:xfrm>
                    <a:prstGeom prst="rect">
                      <a:avLst/>
                    </a:prstGeom>
                    <a:noFill/>
                  </pic:spPr>
                </pic:pic>
              </a:graphicData>
            </a:graphic>
          </wp:anchor>
        </w:drawing>
      </w:r>
    </w:p>
    <w:p>
      <w:pPr>
        <w:spacing w:after="0" w:line="3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748</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(7)</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(254)</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(1,000)</w:t>
      </w:r>
    </w:p>
    <w:p>
      <w:pPr>
        <w:spacing w:after="0" w:line="200" w:lineRule="exact"/>
        <w:rPr>
          <w:sz w:val="20"/>
          <w:szCs w:val="20"/>
          <w:color w:val="auto"/>
        </w:rPr>
      </w:pPr>
    </w:p>
    <w:p>
      <w:pPr>
        <w:sectPr>
          <w:pgSz w:w="11900" w:h="16838" w:orient="portrait"/>
          <w:cols w:equalWidth="0" w:num="2">
            <w:col w:w="8500" w:space="140"/>
            <w:col w:w="720"/>
          </w:cols>
          <w:pgMar w:left="1260" w:top="1440" w:right="1286" w:bottom="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 / 15</w:t>
      </w:r>
    </w:p>
    <w:p>
      <w:pPr>
        <w:sectPr>
          <w:pgSz w:w="11900" w:h="16838" w:orient="portrait"/>
          <w:cols w:equalWidth="0" w:num="1">
            <w:col w:w="9360"/>
          </w:cols>
          <w:pgMar w:left="1260" w:top="1440" w:right="1286" w:bottom="0" w:gutter="0" w:footer="0" w:header="0"/>
          <w:type w:val="continuous"/>
        </w:sectPr>
      </w:pPr>
    </w:p>
    <w:bookmarkStart w:id="147" w:name="page148"/>
    <w:bookmarkEnd w:id="147"/>
    <w:p>
      <w:pPr>
        <w:ind w:left="206"/>
        <w:spacing w:after="0"/>
        <w:rPr>
          <w:sz w:val="20"/>
          <w:szCs w:val="20"/>
          <w:color w:val="auto"/>
        </w:rPr>
      </w:pPr>
      <w:r>
        <w:rPr>
          <w:rFonts w:ascii="Arial" w:cs="Arial" w:eastAsia="Arial" w:hAnsi="Arial"/>
          <w:sz w:val="18"/>
          <w:szCs w:val="18"/>
          <w:color w:val="auto"/>
        </w:rPr>
        <w:t>Net proceeds/(payments) from fiduciary funds held for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967730" cy="1993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5">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96" w:lineRule="exact"/>
        <w:rPr>
          <w:sz w:val="20"/>
          <w:szCs w:val="20"/>
          <w:color w:val="auto"/>
        </w:rPr>
      </w:pPr>
    </w:p>
    <w:p>
      <w:pPr>
        <w:ind w:left="206"/>
        <w:spacing w:after="0"/>
        <w:rPr>
          <w:sz w:val="20"/>
          <w:szCs w:val="20"/>
          <w:color w:val="auto"/>
        </w:rPr>
      </w:pPr>
      <w:r>
        <w:rPr>
          <w:rFonts w:ascii="Arial" w:cs="Arial" w:eastAsia="Arial" w:hAnsi="Arial"/>
          <w:sz w:val="16"/>
          <w:szCs w:val="16"/>
          <w:color w:val="auto"/>
        </w:rPr>
        <w:t>Payments of deferred and contingent consideration related to acquisitions</w:t>
      </w:r>
    </w:p>
    <w:p>
      <w:pPr>
        <w:spacing w:after="0" w:line="122" w:lineRule="exact"/>
        <w:rPr>
          <w:sz w:val="20"/>
          <w:szCs w:val="20"/>
          <w:color w:val="auto"/>
        </w:rPr>
      </w:pPr>
    </w:p>
    <w:p>
      <w:pPr>
        <w:ind w:left="206"/>
        <w:spacing w:after="0"/>
        <w:rPr>
          <w:sz w:val="20"/>
          <w:szCs w:val="20"/>
          <w:color w:val="auto"/>
        </w:rPr>
      </w:pPr>
      <w:r>
        <w:rPr>
          <w:rFonts w:ascii="Arial" w:cs="Arial" w:eastAsia="Arial" w:hAnsi="Arial"/>
          <w:sz w:val="18"/>
          <w:szCs w:val="18"/>
          <w:color w:val="auto"/>
        </w:rPr>
        <w:t>Cash paid for employee taxes on withholding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967730" cy="1993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6">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87" w:lineRule="exact"/>
        <w:rPr>
          <w:sz w:val="20"/>
          <w:szCs w:val="20"/>
          <w:color w:val="auto"/>
        </w:rPr>
      </w:pPr>
    </w:p>
    <w:p>
      <w:pPr>
        <w:ind w:left="206"/>
        <w:spacing w:after="0"/>
        <w:rPr>
          <w:sz w:val="20"/>
          <w:szCs w:val="20"/>
          <w:color w:val="auto"/>
        </w:rPr>
      </w:pPr>
      <w:r>
        <w:rPr>
          <w:rFonts w:ascii="Arial" w:cs="Arial" w:eastAsia="Arial" w:hAnsi="Arial"/>
          <w:sz w:val="18"/>
          <w:szCs w:val="18"/>
          <w:color w:val="auto"/>
        </w:rPr>
        <w:t>Dividends paid</w:t>
      </w:r>
    </w:p>
    <w:p>
      <w:pPr>
        <w:spacing w:after="0" w:line="107" w:lineRule="exact"/>
        <w:rPr>
          <w:sz w:val="20"/>
          <w:szCs w:val="20"/>
          <w:color w:val="auto"/>
        </w:rPr>
      </w:pPr>
    </w:p>
    <w:p>
      <w:pPr>
        <w:ind w:left="206"/>
        <w:spacing w:after="0"/>
        <w:rPr>
          <w:sz w:val="20"/>
          <w:szCs w:val="20"/>
          <w:color w:val="auto"/>
        </w:rPr>
      </w:pPr>
      <w:r>
        <w:rPr>
          <w:rFonts w:ascii="Arial" w:cs="Arial" w:eastAsia="Arial" w:hAnsi="Arial"/>
          <w:sz w:val="18"/>
          <w:szCs w:val="18"/>
          <w:color w:val="auto"/>
        </w:rPr>
        <w:t>Acquisitions of and dividends paid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967730" cy="2120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7">
                      <a:extLst>
                        <a:ext uri="{28A0092B-C50C-407E-A947-70E740481C1C}"/>
                      </a:extLst>
                    </a:blip>
                    <a:srcRect/>
                    <a:stretch>
                      <a:fillRect/>
                    </a:stretch>
                  </pic:blipFill>
                  <pic:spPr bwMode="auto">
                    <a:xfrm>
                      <a:off x="0" y="0"/>
                      <a:ext cx="5967730" cy="212090"/>
                    </a:xfrm>
                    <a:prstGeom prst="rect">
                      <a:avLst/>
                    </a:prstGeom>
                    <a:noFill/>
                  </pic:spPr>
                </pic:pic>
              </a:graphicData>
            </a:graphic>
          </wp:anchor>
        </w:drawing>
      </w:r>
    </w:p>
    <w:p>
      <w:pPr>
        <w:spacing w:after="0" w:line="97" w:lineRule="exact"/>
        <w:rPr>
          <w:sz w:val="20"/>
          <w:szCs w:val="20"/>
          <w:color w:val="auto"/>
        </w:rPr>
      </w:pPr>
    </w:p>
    <w:p>
      <w:pPr>
        <w:ind w:left="326"/>
        <w:spacing w:after="0"/>
        <w:rPr>
          <w:sz w:val="20"/>
          <w:szCs w:val="20"/>
          <w:color w:val="auto"/>
        </w:rPr>
      </w:pPr>
      <w:r>
        <w:rPr>
          <w:rFonts w:ascii="Arial" w:cs="Arial" w:eastAsia="Arial" w:hAnsi="Arial"/>
          <w:sz w:val="18"/>
          <w:szCs w:val="18"/>
          <w:color w:val="auto"/>
        </w:rPr>
        <w:t>Net cash used in financing activities</w:t>
      </w:r>
    </w:p>
    <w:p>
      <w:pPr>
        <w:spacing w:after="0" w:line="126" w:lineRule="exact"/>
        <w:rPr>
          <w:sz w:val="20"/>
          <w:szCs w:val="20"/>
          <w:color w:val="auto"/>
        </w:rPr>
      </w:pPr>
    </w:p>
    <w:p>
      <w:pPr>
        <w:ind w:left="6" w:right="700"/>
        <w:spacing w:after="0" w:line="294" w:lineRule="auto"/>
        <w:rPr>
          <w:sz w:val="20"/>
          <w:szCs w:val="20"/>
          <w:color w:val="auto"/>
        </w:rPr>
      </w:pPr>
      <w:r>
        <w:rPr>
          <w:rFonts w:ascii="Arial" w:cs="Arial" w:eastAsia="Arial" w:hAnsi="Arial"/>
          <w:sz w:val="18"/>
          <w:szCs w:val="18"/>
          <w:color w:val="auto"/>
        </w:rPr>
        <w:t>INCREASE/(DECREASE) IN CASH, CASH EQUIVALENTS AND RESTRICTED</w:t>
      </w:r>
    </w:p>
    <w:p>
      <w:pPr>
        <w:spacing w:after="0" w:line="1" w:lineRule="exact"/>
        <w:rPr>
          <w:sz w:val="20"/>
          <w:szCs w:val="20"/>
          <w:color w:val="auto"/>
        </w:rPr>
      </w:pPr>
    </w:p>
    <w:p>
      <w:pPr>
        <w:ind w:left="126"/>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24"/>
          <w:szCs w:val="24"/>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967730" cy="1993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8">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20" w:lineRule="exact"/>
        <w:rPr>
          <w:sz w:val="20"/>
          <w:szCs w:val="20"/>
          <w:color w:val="auto"/>
        </w:rPr>
      </w:pPr>
    </w:p>
    <w:p>
      <w:pPr>
        <w:ind w:left="6"/>
        <w:spacing w:after="0"/>
        <w:rPr>
          <w:sz w:val="20"/>
          <w:szCs w:val="20"/>
          <w:color w:val="auto"/>
        </w:rPr>
      </w:pPr>
      <w:r>
        <w:rPr>
          <w:rFonts w:ascii="Arial" w:cs="Arial" w:eastAsia="Arial" w:hAnsi="Arial"/>
          <w:sz w:val="16"/>
          <w:szCs w:val="16"/>
          <w:color w:val="auto"/>
        </w:rPr>
        <w:t>Effect of exchange rate changes on cash, cash equivalents and restricted cash</w:t>
      </w:r>
    </w:p>
    <w:p>
      <w:pPr>
        <w:spacing w:after="0" w:line="130" w:lineRule="exact"/>
        <w:rPr>
          <w:sz w:val="20"/>
          <w:szCs w:val="20"/>
          <w:color w:val="auto"/>
        </w:rPr>
      </w:pPr>
    </w:p>
    <w:p>
      <w:pPr>
        <w:ind w:left="6" w:right="220"/>
        <w:spacing w:after="0" w:line="275" w:lineRule="auto"/>
        <w:rPr>
          <w:sz w:val="20"/>
          <w:szCs w:val="20"/>
          <w:color w:val="auto"/>
        </w:rPr>
      </w:pPr>
      <w:r>
        <w:rPr>
          <w:rFonts w:ascii="Arial" w:cs="Arial" w:eastAsia="Arial" w:hAnsi="Arial"/>
          <w:sz w:val="18"/>
          <w:szCs w:val="18"/>
          <w:color w:val="auto"/>
        </w:rPr>
        <w:t xml:space="preserve">CASH, CASH EQUIVALENTS AND RESTRICTED CASH, BEGINNING OF YEAR </w:t>
      </w:r>
      <w:r>
        <w:rPr>
          <w:rFonts w:ascii="Arial" w:cs="Arial" w:eastAsia="Arial" w:hAnsi="Arial"/>
          <w:sz w:val="24"/>
          <w:szCs w:val="24"/>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5967730" cy="3581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9">
                      <a:extLst>
                        <a:ext uri="{28A0092B-C50C-407E-A947-70E740481C1C}"/>
                      </a:extLst>
                    </a:blip>
                    <a:srcRect/>
                    <a:stretch>
                      <a:fillRect/>
                    </a:stretch>
                  </pic:blipFill>
                  <pic:spPr bwMode="auto">
                    <a:xfrm>
                      <a:off x="0" y="0"/>
                      <a:ext cx="5967730" cy="358140"/>
                    </a:xfrm>
                    <a:prstGeom prst="rect">
                      <a:avLst/>
                    </a:prstGeom>
                    <a:noFill/>
                  </pic:spPr>
                </pic:pic>
              </a:graphicData>
            </a:graphic>
          </wp:anchor>
        </w:drawing>
      </w:r>
    </w:p>
    <w:p>
      <w:pPr>
        <w:ind w:left="6"/>
        <w:spacing w:after="0"/>
        <w:rPr>
          <w:sz w:val="20"/>
          <w:szCs w:val="20"/>
          <w:color w:val="auto"/>
        </w:rPr>
      </w:pPr>
      <w:r>
        <w:rPr>
          <w:rFonts w:ascii="Arial" w:cs="Arial" w:eastAsia="Arial" w:hAnsi="Arial"/>
          <w:sz w:val="17"/>
          <w:szCs w:val="17"/>
          <w:color w:val="auto"/>
        </w:rPr>
        <w:t>CASH, CASH EQUIVALENTS AND RESTRICTED CASH, END OF YEAR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40" w:type="dxa"/>
            <w:vAlign w:val="bottom"/>
          </w:tcPr>
          <w:p>
            <w:pPr>
              <w:jc w:val="right"/>
              <w:ind w:right="350"/>
              <w:spacing w:after="0"/>
              <w:rPr>
                <w:sz w:val="20"/>
                <w:szCs w:val="20"/>
                <w:color w:val="auto"/>
              </w:rPr>
            </w:pPr>
            <w:r>
              <w:rPr>
                <w:rFonts w:ascii="Arial" w:cs="Arial" w:eastAsia="Arial" w:hAnsi="Arial"/>
                <w:sz w:val="18"/>
                <w:szCs w:val="18"/>
                <w:color w:val="auto"/>
              </w:rPr>
              <w:t>172</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785</w:t>
            </w:r>
          </w:p>
        </w:tc>
        <w:tc>
          <w:tcPr>
            <w:tcW w:w="88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314"/>
        </w:trPr>
        <w:tc>
          <w:tcPr>
            <w:tcW w:w="840" w:type="dxa"/>
            <w:vAlign w:val="bottom"/>
          </w:tcPr>
          <w:p>
            <w:pPr>
              <w:jc w:val="right"/>
              <w:ind w:right="270"/>
              <w:spacing w:after="0"/>
              <w:rPr>
                <w:sz w:val="20"/>
                <w:szCs w:val="20"/>
                <w:color w:val="auto"/>
              </w:rPr>
            </w:pPr>
            <w:r>
              <w:rPr>
                <w:rFonts w:ascii="Arial" w:cs="Arial" w:eastAsia="Arial" w:hAnsi="Arial"/>
                <w:sz w:val="18"/>
                <w:szCs w:val="18"/>
                <w:color w:val="auto"/>
              </w:rPr>
              <w:t>(19)</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4"/>
        </w:trPr>
        <w:tc>
          <w:tcPr>
            <w:tcW w:w="840" w:type="dxa"/>
            <w:vAlign w:val="bottom"/>
          </w:tcPr>
          <w:p>
            <w:pPr>
              <w:jc w:val="right"/>
              <w:ind w:right="270"/>
              <w:spacing w:after="0"/>
              <w:rPr>
                <w:sz w:val="20"/>
                <w:szCs w:val="20"/>
                <w:color w:val="auto"/>
              </w:rPr>
            </w:pPr>
            <w:r>
              <w:rPr>
                <w:rFonts w:ascii="Arial" w:cs="Arial" w:eastAsia="Arial" w:hAnsi="Arial"/>
                <w:sz w:val="18"/>
                <w:szCs w:val="18"/>
                <w:color w:val="auto"/>
              </w:rPr>
              <w:t>(56)</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(56)</w:t>
            </w: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4"/>
        </w:trPr>
        <w:tc>
          <w:tcPr>
            <w:tcW w:w="840" w:type="dxa"/>
            <w:vAlign w:val="bottom"/>
          </w:tcPr>
          <w:p>
            <w:pPr>
              <w:jc w:val="right"/>
              <w:ind w:right="270"/>
              <w:spacing w:after="0"/>
              <w:rPr>
                <w:sz w:val="20"/>
                <w:szCs w:val="20"/>
                <w:color w:val="auto"/>
              </w:rPr>
            </w:pPr>
            <w:r>
              <w:rPr>
                <w:rFonts w:ascii="Arial" w:cs="Arial" w:eastAsia="Arial" w:hAnsi="Arial"/>
                <w:sz w:val="18"/>
                <w:szCs w:val="18"/>
                <w:color w:val="auto"/>
              </w:rPr>
              <w:t>(358)</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(354)</w:t>
            </w:r>
          </w:p>
        </w:tc>
        <w:tc>
          <w:tcPr>
            <w:tcW w:w="88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314"/>
        </w:trPr>
        <w:tc>
          <w:tcPr>
            <w:tcW w:w="84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840" w:type="dxa"/>
            <w:vAlign w:val="bottom"/>
          </w:tcPr>
          <w:p>
            <w:pPr>
              <w:jc w:val="right"/>
              <w:ind w:right="270"/>
              <w:spacing w:after="0"/>
              <w:rPr>
                <w:sz w:val="20"/>
                <w:szCs w:val="20"/>
                <w:color w:val="auto"/>
              </w:rPr>
            </w:pPr>
            <w:r>
              <w:rPr>
                <w:rFonts w:ascii="Arial" w:cs="Arial" w:eastAsia="Arial" w:hAnsi="Arial"/>
                <w:sz w:val="18"/>
                <w:szCs w:val="18"/>
                <w:color w:val="auto"/>
              </w:rPr>
              <w:t>(936)</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(459)</w:t>
            </w: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834"/>
        </w:trPr>
        <w:tc>
          <w:tcPr>
            <w:tcW w:w="840" w:type="dxa"/>
            <w:vAlign w:val="bottom"/>
          </w:tcPr>
          <w:p>
            <w:pPr>
              <w:jc w:val="right"/>
              <w:ind w:right="350"/>
              <w:spacing w:after="0"/>
              <w:rPr>
                <w:sz w:val="20"/>
                <w:szCs w:val="20"/>
                <w:color w:val="auto"/>
              </w:rPr>
            </w:pPr>
            <w:r>
              <w:rPr>
                <w:rFonts w:ascii="Arial" w:cs="Arial" w:eastAsia="Arial" w:hAnsi="Arial"/>
                <w:sz w:val="18"/>
                <w:szCs w:val="18"/>
                <w:color w:val="auto"/>
                <w:w w:val="84"/>
              </w:rPr>
              <w:t>1,286</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1,303</w:t>
            </w:r>
          </w:p>
        </w:tc>
        <w:tc>
          <w:tcPr>
            <w:tcW w:w="88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314"/>
        </w:trPr>
        <w:tc>
          <w:tcPr>
            <w:tcW w:w="840" w:type="dxa"/>
            <w:vAlign w:val="bottom"/>
          </w:tcPr>
          <w:p>
            <w:pPr>
              <w:jc w:val="right"/>
              <w:ind w:right="350"/>
              <w:spacing w:after="0"/>
              <w:rPr>
                <w:sz w:val="20"/>
                <w:szCs w:val="20"/>
                <w:color w:val="auto"/>
              </w:rPr>
            </w:pPr>
            <w:r>
              <w:rPr>
                <w:rFonts w:ascii="Arial" w:cs="Arial" w:eastAsia="Arial" w:hAnsi="Arial"/>
                <w:sz w:val="18"/>
                <w:szCs w:val="18"/>
                <w:color w:val="auto"/>
              </w:rPr>
              <w:t>203</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(97)</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536"/>
        </w:trPr>
        <w:tc>
          <w:tcPr>
            <w:tcW w:w="840" w:type="dxa"/>
            <w:vAlign w:val="bottom"/>
          </w:tcPr>
          <w:p>
            <w:pPr>
              <w:jc w:val="right"/>
              <w:ind w:right="350"/>
              <w:spacing w:after="0"/>
              <w:rPr>
                <w:sz w:val="20"/>
                <w:szCs w:val="20"/>
                <w:color w:val="auto"/>
              </w:rPr>
            </w:pPr>
            <w:r>
              <w:rPr>
                <w:rFonts w:ascii="Arial" w:cs="Arial" w:eastAsia="Arial" w:hAnsi="Arial"/>
                <w:sz w:val="18"/>
                <w:szCs w:val="18"/>
                <w:color w:val="auto"/>
                <w:w w:val="84"/>
              </w:rPr>
              <w:t>4,998</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3,792</w:t>
            </w:r>
          </w:p>
        </w:tc>
        <w:tc>
          <w:tcPr>
            <w:tcW w:w="880" w:type="dxa"/>
            <w:vAlign w:val="bottom"/>
          </w:tcPr>
          <w:p>
            <w:pPr>
              <w:jc w:val="right"/>
              <w:spacing w:after="0"/>
              <w:rPr>
                <w:sz w:val="20"/>
                <w:szCs w:val="20"/>
                <w:color w:val="auto"/>
              </w:rPr>
            </w:pPr>
            <w:r>
              <w:rPr>
                <w:rFonts w:ascii="Arial" w:cs="Arial" w:eastAsia="Arial" w:hAnsi="Arial"/>
                <w:sz w:val="18"/>
                <w:szCs w:val="18"/>
                <w:color w:val="auto"/>
              </w:rPr>
              <w:t>4,721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-1252220</wp:posOffset>
            </wp:positionV>
            <wp:extent cx="214312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0">
                      <a:extLst>
                        <a:ext uri="{28A0092B-C50C-407E-A947-70E740481C1C}"/>
                      </a:extLst>
                    </a:blip>
                    <a:srcRect/>
                    <a:stretch>
                      <a:fillRect/>
                    </a:stretch>
                  </pic:blipFill>
                  <pic:spPr bwMode="auto">
                    <a:xfrm>
                      <a:off x="0" y="0"/>
                      <a:ext cx="2143125" cy="6350"/>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-1252220</wp:posOffset>
            </wp:positionV>
            <wp:extent cx="214312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1">
                      <a:extLst>
                        <a:ext uri="{28A0092B-C50C-407E-A947-70E740481C1C}"/>
                      </a:extLst>
                    </a:blip>
                    <a:srcRect/>
                    <a:stretch>
                      <a:fillRect/>
                    </a:stretch>
                  </pic:blipFill>
                  <pic:spPr bwMode="auto">
                    <a:xfrm>
                      <a:off x="0" y="0"/>
                      <a:ext cx="2143125" cy="6350"/>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28575</wp:posOffset>
            </wp:positionV>
            <wp:extent cx="2143125"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2">
                      <a:extLst>
                        <a:ext uri="{28A0092B-C50C-407E-A947-70E740481C1C}"/>
                      </a:extLst>
                    </a:blip>
                    <a:srcRect/>
                    <a:stretch>
                      <a:fillRect/>
                    </a:stretch>
                  </pic:blipFill>
                  <pic:spPr bwMode="auto">
                    <a:xfrm>
                      <a:off x="0" y="0"/>
                      <a:ext cx="2143125" cy="6350"/>
                    </a:xfrm>
                    <a:prstGeom prst="rect">
                      <a:avLst/>
                    </a:prstGeom>
                    <a:noFill/>
                  </pic:spPr>
                </pic:pic>
              </a:graphicData>
            </a:graphic>
          </wp:anchor>
        </w:drawing>
        <w:drawing>
          <wp:anchor simplePos="0" relativeHeight="251657728" behindDoc="1" locked="0" layoutInCell="0" allowOverlap="1">
            <wp:simplePos x="0" y="0"/>
            <wp:positionH relativeFrom="column">
              <wp:posOffset>-280670</wp:posOffset>
            </wp:positionH>
            <wp:positionV relativeFrom="paragraph">
              <wp:posOffset>28575</wp:posOffset>
            </wp:positionV>
            <wp:extent cx="214312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3">
                      <a:extLst>
                        <a:ext uri="{28A0092B-C50C-407E-A947-70E740481C1C}"/>
                      </a:extLst>
                    </a:blip>
                    <a:srcRect/>
                    <a:stretch>
                      <a:fillRect/>
                    </a:stretch>
                  </pic:blipFill>
                  <pic:spPr bwMode="auto">
                    <a:xfrm>
                      <a:off x="0" y="0"/>
                      <a:ext cx="2143125" cy="6350"/>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5746" w:space="720"/>
            <w:col w:w="2900"/>
          </w:cols>
          <w:pgMar w:left="1254" w:top="1175" w:right="1286" w:bottom="0" w:gutter="0" w:footer="0" w:header="0"/>
        </w:sectPr>
      </w:pPr>
    </w:p>
    <w:p>
      <w:pPr>
        <w:ind w:left="6"/>
        <w:spacing w:after="0"/>
        <w:tabs>
          <w:tab w:leader="none" w:pos="5906" w:val="left"/>
          <w:tab w:leader="none" w:pos="6446" w:val="left"/>
          <w:tab w:leader="none" w:pos="7106" w:val="left"/>
          <w:tab w:leader="none" w:pos="7646" w:val="left"/>
          <w:tab w:leader="none" w:pos="8306" w:val="left"/>
          <w:tab w:leader="none" w:pos="8866" w:val="left"/>
        </w:tabs>
        <w:rPr>
          <w:sz w:val="20"/>
          <w:szCs w:val="20"/>
          <w:color w:val="auto"/>
        </w:rPr>
      </w:pPr>
      <w:r>
        <w:rPr>
          <w:rFonts w:ascii="Arial" w:cs="Arial" w:eastAsia="Arial" w:hAnsi="Arial"/>
          <w:sz w:val="12"/>
          <w:szCs w:val="12"/>
          <w:color w:val="auto"/>
        </w:rPr>
        <w:t>(i)</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6,487</w:t>
        <w:tab/>
        <w:t>$</w:t>
      </w:r>
      <w:r>
        <w:rPr>
          <w:sz w:val="20"/>
          <w:szCs w:val="20"/>
          <w:color w:val="auto"/>
        </w:rPr>
        <w:tab/>
      </w:r>
      <w:r>
        <w:rPr>
          <w:rFonts w:ascii="Arial" w:cs="Arial" w:eastAsia="Arial" w:hAnsi="Arial"/>
          <w:sz w:val="18"/>
          <w:szCs w:val="18"/>
          <w:color w:val="auto"/>
        </w:rPr>
        <w:t>4,998</w:t>
        <w:tab/>
        <w:t>$</w:t>
      </w:r>
      <w:r>
        <w:rPr>
          <w:sz w:val="20"/>
          <w:szCs w:val="20"/>
          <w:color w:val="auto"/>
        </w:rPr>
        <w:tab/>
      </w:r>
      <w:r>
        <w:rPr>
          <w:rFonts w:ascii="Arial" w:cs="Arial" w:eastAsia="Arial" w:hAnsi="Arial"/>
          <w:sz w:val="15"/>
          <w:szCs w:val="15"/>
          <w:color w:val="auto"/>
        </w:rPr>
        <w:t>3,792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9565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4">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26" w:right="260" w:hanging="226"/>
        <w:spacing w:after="0" w:line="466" w:lineRule="auto"/>
        <w:tabs>
          <w:tab w:leader="none" w:pos="22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amounts of cash, cash equivalents and restricted cash, their respective classification on the consolidated balance sheets as well as their respective portions of the increase or decrease in cash, cash equivalents and restricted cash for each of the periods presented have been included in Note 21 — Supplemental Disclosures of Cash Flow Information.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5"/>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14"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6"/>
          </w:cols>
          <w:pgMar w:left="1254" w:top="1175" w:right="128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14 / 15</w:t>
      </w:r>
    </w:p>
    <w:p>
      <w:pPr>
        <w:sectPr>
          <w:pgSz w:w="11900" w:h="16838" w:orient="portrait"/>
          <w:cols w:equalWidth="0" w:num="1">
            <w:col w:w="9366"/>
          </w:cols>
          <w:pgMar w:left="1254" w:top="1175" w:right="1286" w:bottom="0" w:gutter="0" w:footer="0" w:header="0"/>
          <w:type w:val="continuous"/>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WILLIS TOWERS WATSON PUBLIC LIMITED COMPANY</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Statements of Changes in Equity</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millions of U.S. dollars and number of shares in thousands)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20"/>
        <w:spacing w:after="0" w:line="405" w:lineRule="auto"/>
        <w:rPr>
          <w:sz w:val="20"/>
          <w:szCs w:val="20"/>
          <w:color w:val="auto"/>
        </w:rPr>
      </w:pPr>
      <w:r>
        <w:rPr>
          <w:rFonts w:ascii="Arial" w:cs="Arial" w:eastAsia="Arial" w:hAnsi="Arial"/>
          <w:sz w:val="16"/>
          <w:szCs w:val="16"/>
          <w:b w:val="1"/>
          <w:bCs w:val="1"/>
          <w:color w:val="auto"/>
        </w:rPr>
        <w:t xml:space="preserve">Balance as of January 1, 2023 </w:t>
      </w:r>
      <w:r>
        <w:rPr>
          <w:rFonts w:ascii="Arial" w:cs="Arial" w:eastAsia="Arial" w:hAnsi="Arial"/>
          <w:sz w:val="16"/>
          <w:szCs w:val="16"/>
          <w:color w:val="auto"/>
        </w:rPr>
        <w:t>Shares repurchased Net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Dividends declared ($3.36 per share)</w:t>
      </w:r>
    </w:p>
    <w:p>
      <w:pPr>
        <w:spacing w:after="0" w:line="110" w:lineRule="exact"/>
        <w:rPr>
          <w:sz w:val="20"/>
          <w:szCs w:val="20"/>
          <w:color w:val="auto"/>
        </w:rPr>
      </w:pPr>
    </w:p>
    <w:p>
      <w:pPr>
        <w:ind w:right="520"/>
        <w:spacing w:after="0" w:line="303" w:lineRule="auto"/>
        <w:rPr>
          <w:sz w:val="20"/>
          <w:szCs w:val="20"/>
          <w:color w:val="auto"/>
        </w:rPr>
      </w:pPr>
      <w:r>
        <w:rPr>
          <w:rFonts w:ascii="Arial" w:cs="Arial" w:eastAsia="Arial" w:hAnsi="Arial"/>
          <w:sz w:val="16"/>
          <w:szCs w:val="16"/>
          <w:color w:val="auto"/>
        </w:rPr>
        <w:t>Dividends attributable to non-controlling interests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Other comprehensive (loss)/income</w:t>
      </w:r>
    </w:p>
    <w:p>
      <w:pPr>
        <w:spacing w:after="0" w:line="142"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color w:val="auto"/>
        </w:rPr>
        <w:t>Issuance of shares under employee stock</w:t>
      </w:r>
    </w:p>
    <w:p>
      <w:pPr>
        <w:spacing w:after="0" w:line="15" w:lineRule="exact"/>
        <w:rPr>
          <w:sz w:val="20"/>
          <w:szCs w:val="20"/>
          <w:color w:val="auto"/>
        </w:rPr>
      </w:pPr>
    </w:p>
    <w:p>
      <w:pPr>
        <w:ind w:right="220" w:firstLine="120"/>
        <w:spacing w:after="0" w:line="317" w:lineRule="auto"/>
        <w:rPr>
          <w:sz w:val="20"/>
          <w:szCs w:val="20"/>
          <w:color w:val="auto"/>
        </w:rPr>
      </w:pPr>
      <w:r>
        <w:rPr>
          <w:rFonts w:ascii="Arial" w:cs="Arial" w:eastAsia="Arial" w:hAnsi="Arial"/>
          <w:sz w:val="16"/>
          <w:szCs w:val="16"/>
          <w:color w:val="auto"/>
        </w:rPr>
        <w:t>compensation plans Share-based compensation and net settlements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Reduction of non-controlling interests</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(ii)</w:t>
      </w:r>
    </w:p>
    <w:p>
      <w:pPr>
        <w:spacing w:after="0" w:line="165" w:lineRule="exact"/>
        <w:rPr>
          <w:sz w:val="20"/>
          <w:szCs w:val="20"/>
          <w:color w:val="auto"/>
        </w:rPr>
      </w:pPr>
    </w:p>
    <w:p>
      <w:pPr>
        <w:ind w:right="220"/>
        <w:spacing w:after="0" w:line="415" w:lineRule="auto"/>
        <w:rPr>
          <w:sz w:val="20"/>
          <w:szCs w:val="20"/>
          <w:color w:val="auto"/>
        </w:rPr>
      </w:pPr>
      <w:r>
        <w:rPr>
          <w:rFonts w:ascii="Arial" w:cs="Arial" w:eastAsia="Arial" w:hAnsi="Arial"/>
          <w:sz w:val="16"/>
          <w:szCs w:val="16"/>
          <w:color w:val="auto"/>
        </w:rPr>
        <w:t xml:space="preserve">Foreign currency translation </w:t>
      </w:r>
      <w:r>
        <w:rPr>
          <w:rFonts w:ascii="Arial" w:cs="Arial" w:eastAsia="Arial" w:hAnsi="Arial"/>
          <w:sz w:val="16"/>
          <w:szCs w:val="16"/>
          <w:b w:val="1"/>
          <w:bCs w:val="1"/>
          <w:color w:val="auto"/>
        </w:rPr>
        <w:t xml:space="preserve">Balance as of December 31, 2023 </w:t>
      </w:r>
      <w:r>
        <w:rPr>
          <w:rFonts w:ascii="Arial" w:cs="Arial" w:eastAsia="Arial" w:hAnsi="Arial"/>
          <w:sz w:val="16"/>
          <w:szCs w:val="16"/>
          <w:color w:val="auto"/>
        </w:rPr>
        <w:t>Shares repurchased Net (loss)/income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Dividends declared ($3.52 per share)</w:t>
      </w:r>
    </w:p>
    <w:p>
      <w:pPr>
        <w:spacing w:after="0" w:line="110" w:lineRule="exact"/>
        <w:rPr>
          <w:sz w:val="20"/>
          <w:szCs w:val="20"/>
          <w:color w:val="auto"/>
        </w:rPr>
      </w:pPr>
    </w:p>
    <w:p>
      <w:pPr>
        <w:ind w:right="520"/>
        <w:spacing w:after="0" w:line="303" w:lineRule="auto"/>
        <w:rPr>
          <w:sz w:val="20"/>
          <w:szCs w:val="20"/>
          <w:color w:val="auto"/>
        </w:rPr>
      </w:pPr>
      <w:r>
        <w:rPr>
          <w:rFonts w:ascii="Arial" w:cs="Arial" w:eastAsia="Arial" w:hAnsi="Arial"/>
          <w:sz w:val="16"/>
          <w:szCs w:val="16"/>
          <w:color w:val="auto"/>
        </w:rPr>
        <w:t>Dividends attributable to non-controlling interests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138"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color w:val="auto"/>
        </w:rPr>
        <w:t>Issuance of shares under employee stock</w:t>
      </w:r>
    </w:p>
    <w:p>
      <w:pPr>
        <w:spacing w:after="0" w:line="15" w:lineRule="exact"/>
        <w:rPr>
          <w:sz w:val="20"/>
          <w:szCs w:val="20"/>
          <w:color w:val="auto"/>
        </w:rPr>
      </w:pPr>
    </w:p>
    <w:p>
      <w:pPr>
        <w:ind w:right="220" w:firstLine="120"/>
        <w:spacing w:after="0" w:line="317" w:lineRule="auto"/>
        <w:rPr>
          <w:sz w:val="20"/>
          <w:szCs w:val="20"/>
          <w:color w:val="auto"/>
        </w:rPr>
      </w:pPr>
      <w:r>
        <w:rPr>
          <w:rFonts w:ascii="Arial" w:cs="Arial" w:eastAsia="Arial" w:hAnsi="Arial"/>
          <w:sz w:val="16"/>
          <w:szCs w:val="16"/>
          <w:color w:val="auto"/>
        </w:rPr>
        <w:t>compensation plans Share-based compensation and net settlements</w:t>
      </w:r>
    </w:p>
    <w:p>
      <w:pPr>
        <w:spacing w:after="0" w:line="20" w:lineRule="exact"/>
        <w:rPr>
          <w:sz w:val="20"/>
          <w:szCs w:val="20"/>
          <w:color w:val="auto"/>
        </w:rPr>
      </w:pPr>
    </w:p>
    <w:p>
      <w:pPr>
        <w:spacing w:after="0" w:line="392" w:lineRule="auto"/>
        <w:rPr>
          <w:sz w:val="20"/>
          <w:szCs w:val="20"/>
          <w:color w:val="auto"/>
        </w:rPr>
      </w:pPr>
      <w:r>
        <w:rPr>
          <w:rFonts w:ascii="Arial" w:cs="Arial" w:eastAsia="Arial" w:hAnsi="Arial"/>
          <w:sz w:val="14"/>
          <w:szCs w:val="14"/>
          <w:color w:val="auto"/>
        </w:rPr>
        <w:t>Additional non-controlling interests Reduction of non-controlling interests</w:t>
      </w:r>
    </w:p>
    <w:p>
      <w:pPr>
        <w:spacing w:after="0" w:line="223" w:lineRule="auto"/>
        <w:rPr>
          <w:sz w:val="20"/>
          <w:szCs w:val="20"/>
          <w:color w:val="auto"/>
        </w:rPr>
      </w:pPr>
      <w:r>
        <w:rPr>
          <w:rFonts w:ascii="Arial" w:cs="Arial" w:eastAsia="Arial" w:hAnsi="Arial"/>
          <w:sz w:val="11"/>
          <w:szCs w:val="11"/>
          <w:color w:val="auto"/>
        </w:rPr>
        <w:t>(ii)</w:t>
      </w:r>
    </w:p>
    <w:p>
      <w:pPr>
        <w:spacing w:after="0" w:line="165" w:lineRule="exact"/>
        <w:rPr>
          <w:sz w:val="20"/>
          <w:szCs w:val="20"/>
          <w:color w:val="auto"/>
        </w:rPr>
      </w:pPr>
    </w:p>
    <w:p>
      <w:pPr>
        <w:ind w:right="220"/>
        <w:spacing w:after="0" w:line="415" w:lineRule="auto"/>
        <w:rPr>
          <w:sz w:val="20"/>
          <w:szCs w:val="20"/>
          <w:color w:val="auto"/>
        </w:rPr>
      </w:pPr>
      <w:r>
        <w:rPr>
          <w:rFonts w:ascii="Arial" w:cs="Arial" w:eastAsia="Arial" w:hAnsi="Arial"/>
          <w:sz w:val="16"/>
          <w:szCs w:val="16"/>
          <w:color w:val="auto"/>
        </w:rPr>
        <w:t xml:space="preserve">Foreign currency translation </w:t>
      </w:r>
      <w:r>
        <w:rPr>
          <w:rFonts w:ascii="Arial" w:cs="Arial" w:eastAsia="Arial" w:hAnsi="Arial"/>
          <w:sz w:val="16"/>
          <w:szCs w:val="16"/>
          <w:b w:val="1"/>
          <w:bCs w:val="1"/>
          <w:color w:val="auto"/>
        </w:rPr>
        <w:t xml:space="preserve">Balance as of December 31, 2024 </w:t>
      </w:r>
      <w:r>
        <w:rPr>
          <w:rFonts w:ascii="Arial" w:cs="Arial" w:eastAsia="Arial" w:hAnsi="Arial"/>
          <w:sz w:val="16"/>
          <w:szCs w:val="16"/>
          <w:color w:val="auto"/>
        </w:rPr>
        <w:t>Shares repurchased Net income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Dividends declared ($3.68 per share)</w:t>
      </w:r>
    </w:p>
    <w:p>
      <w:pPr>
        <w:spacing w:after="0" w:line="110" w:lineRule="exact"/>
        <w:rPr>
          <w:sz w:val="20"/>
          <w:szCs w:val="20"/>
          <w:color w:val="auto"/>
        </w:rPr>
      </w:pPr>
    </w:p>
    <w:p>
      <w:pPr>
        <w:ind w:right="520"/>
        <w:spacing w:after="0" w:line="303" w:lineRule="auto"/>
        <w:rPr>
          <w:sz w:val="20"/>
          <w:szCs w:val="20"/>
          <w:color w:val="auto"/>
        </w:rPr>
      </w:pPr>
      <w:r>
        <w:rPr>
          <w:rFonts w:ascii="Arial" w:cs="Arial" w:eastAsia="Arial" w:hAnsi="Arial"/>
          <w:sz w:val="16"/>
          <w:szCs w:val="16"/>
          <w:color w:val="auto"/>
        </w:rPr>
        <w:t>Dividends attributable to non-controlling interests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138" w:lineRule="exact"/>
        <w:rPr>
          <w:sz w:val="20"/>
          <w:szCs w:val="20"/>
          <w:color w:val="auto"/>
        </w:rPr>
      </w:pPr>
    </w:p>
    <w:p>
      <w:pPr>
        <w:ind w:right="220"/>
        <w:spacing w:after="0" w:line="303" w:lineRule="auto"/>
        <w:rPr>
          <w:sz w:val="20"/>
          <w:szCs w:val="20"/>
          <w:color w:val="auto"/>
        </w:rPr>
      </w:pPr>
      <w:r>
        <w:rPr>
          <w:rFonts w:ascii="Arial" w:cs="Arial" w:eastAsia="Arial" w:hAnsi="Arial"/>
          <w:sz w:val="16"/>
          <w:szCs w:val="16"/>
          <w:color w:val="auto"/>
        </w:rPr>
        <w:t>Issuance of shares under employee stock</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 plans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141"/>
              <w:spacing w:after="0"/>
              <w:rPr>
                <w:sz w:val="20"/>
                <w:szCs w:val="20"/>
                <w:color w:val="auto"/>
              </w:rPr>
            </w:pPr>
            <w:r>
              <w:rPr>
                <w:rFonts w:ascii="Arial" w:cs="Arial" w:eastAsia="Arial" w:hAnsi="Arial"/>
                <w:sz w:val="13"/>
                <w:szCs w:val="13"/>
                <w:b w:val="1"/>
                <w:bCs w:val="1"/>
                <w:color w:val="auto"/>
                <w:w w:val="90"/>
              </w:rPr>
              <w:t>Retained</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95"/>
        </w:trPr>
        <w:tc>
          <w:tcPr>
            <w:tcW w:w="820" w:type="dxa"/>
            <w:vAlign w:val="bottom"/>
          </w:tcPr>
          <w:p>
            <w:pPr>
              <w:spacing w:after="0"/>
              <w:rPr>
                <w:sz w:val="16"/>
                <w:szCs w:val="16"/>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6"/>
                <w:szCs w:val="16"/>
                <w:color w:val="auto"/>
              </w:rPr>
            </w:pPr>
          </w:p>
        </w:tc>
        <w:tc>
          <w:tcPr>
            <w:tcW w:w="800" w:type="dxa"/>
            <w:vAlign w:val="bottom"/>
          </w:tcPr>
          <w:p>
            <w:pPr>
              <w:jc w:val="center"/>
              <w:ind w:right="161"/>
              <w:spacing w:after="0"/>
              <w:rPr>
                <w:sz w:val="20"/>
                <w:szCs w:val="20"/>
                <w:color w:val="auto"/>
              </w:rPr>
            </w:pPr>
            <w:r>
              <w:rPr>
                <w:rFonts w:ascii="Arial" w:cs="Arial" w:eastAsia="Arial" w:hAnsi="Arial"/>
                <w:sz w:val="13"/>
                <w:szCs w:val="13"/>
                <w:b w:val="1"/>
                <w:bCs w:val="1"/>
                <w:color w:val="auto"/>
                <w:w w:val="89"/>
              </w:rPr>
              <w:t>earnings/</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gridSpan w:val="2"/>
          </w:tcPr>
          <w:p>
            <w:pPr>
              <w:jc w:val="right"/>
              <w:ind w:right="101"/>
              <w:spacing w:after="0"/>
              <w:rPr>
                <w:sz w:val="20"/>
                <w:szCs w:val="20"/>
                <w:color w:val="auto"/>
              </w:rPr>
            </w:pPr>
            <w:r>
              <w:rPr>
                <w:rFonts w:ascii="Arial" w:cs="Arial" w:eastAsia="Arial" w:hAnsi="Arial"/>
                <w:sz w:val="13"/>
                <w:szCs w:val="13"/>
                <w:b w:val="1"/>
                <w:bCs w:val="1"/>
                <w:color w:val="auto"/>
              </w:rPr>
              <w:t>Total WTW</w:t>
            </w:r>
          </w:p>
        </w:tc>
        <w:tc>
          <w:tcPr>
            <w:tcW w:w="160" w:type="dxa"/>
            <w:vAlign w:val="bottom"/>
          </w:tcPr>
          <w:p>
            <w:pPr>
              <w:spacing w:after="0"/>
              <w:rPr>
                <w:sz w:val="16"/>
                <w:szCs w:val="16"/>
                <w:color w:val="auto"/>
              </w:rPr>
            </w:pPr>
          </w:p>
        </w:tc>
        <w:tc>
          <w:tcPr>
            <w:tcW w:w="740" w:type="dxa"/>
            <w:vAlign w:val="bottom"/>
          </w:tcPr>
          <w:p>
            <w:pPr>
              <w:jc w:val="center"/>
              <w:ind w:right="161"/>
              <w:spacing w:after="0"/>
              <w:rPr>
                <w:sz w:val="20"/>
                <w:szCs w:val="20"/>
                <w:color w:val="auto"/>
              </w:rPr>
            </w:pPr>
            <w:r>
              <w:rPr>
                <w:rFonts w:ascii="Arial" w:cs="Arial" w:eastAsia="Arial" w:hAnsi="Arial"/>
                <w:sz w:val="13"/>
                <w:szCs w:val="13"/>
                <w:b w:val="1"/>
                <w:bCs w:val="1"/>
                <w:color w:val="auto"/>
                <w:w w:val="87"/>
              </w:rPr>
              <w:t>Non-</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5"/>
        </w:trPr>
        <w:tc>
          <w:tcPr>
            <w:tcW w:w="820" w:type="dxa"/>
            <w:vAlign w:val="bottom"/>
          </w:tcPr>
          <w:p>
            <w:pPr>
              <w:jc w:val="right"/>
              <w:ind w:right="221"/>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6"/>
                <w:szCs w:val="16"/>
                <w:color w:val="auto"/>
              </w:rPr>
            </w:pPr>
          </w:p>
        </w:tc>
        <w:tc>
          <w:tcPr>
            <w:tcW w:w="720" w:type="dxa"/>
            <w:vAlign w:val="bottom"/>
          </w:tcPr>
          <w:p>
            <w:pPr>
              <w:jc w:val="right"/>
              <w:ind w:right="221"/>
              <w:spacing w:after="0"/>
              <w:rPr>
                <w:sz w:val="20"/>
                <w:szCs w:val="20"/>
                <w:color w:val="auto"/>
              </w:rPr>
            </w:pPr>
            <w:r>
              <w:rPr>
                <w:rFonts w:ascii="Arial" w:cs="Arial" w:eastAsia="Arial" w:hAnsi="Arial"/>
                <w:sz w:val="13"/>
                <w:szCs w:val="13"/>
                <w:b w:val="1"/>
                <w:bCs w:val="1"/>
                <w:color w:val="auto"/>
                <w:w w:val="93"/>
              </w:rPr>
              <w:t>paid-in</w:t>
            </w: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(accumulated</w:t>
            </w: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Treasury</w:t>
            </w:r>
          </w:p>
        </w:tc>
        <w:tc>
          <w:tcPr>
            <w:tcW w:w="70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shareholders’</w:t>
            </w:r>
          </w:p>
        </w:tc>
        <w:tc>
          <w:tcPr>
            <w:tcW w:w="900" w:type="dxa"/>
            <w:vAlign w:val="bottom"/>
            <w:gridSpan w:val="2"/>
          </w:tcPr>
          <w:p>
            <w:pPr>
              <w:jc w:val="center"/>
              <w:ind w:right="1"/>
              <w:spacing w:after="0"/>
              <w:rPr>
                <w:sz w:val="20"/>
                <w:szCs w:val="20"/>
                <w:color w:val="auto"/>
              </w:rPr>
            </w:pPr>
            <w:r>
              <w:rPr>
                <w:rFonts w:ascii="Arial" w:cs="Arial" w:eastAsia="Arial" w:hAnsi="Arial"/>
                <w:sz w:val="13"/>
                <w:szCs w:val="13"/>
                <w:b w:val="1"/>
                <w:bCs w:val="1"/>
                <w:color w:val="auto"/>
                <w:w w:val="92"/>
              </w:rPr>
              <w:t>controlling</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40"/>
        </w:trPr>
        <w:tc>
          <w:tcPr>
            <w:tcW w:w="820" w:type="dxa"/>
            <w:vAlign w:val="bottom"/>
          </w:tcPr>
          <w:p>
            <w:pPr>
              <w:jc w:val="right"/>
              <w:ind w:right="81"/>
              <w:spacing w:after="0"/>
              <w:rPr>
                <w:sz w:val="20"/>
                <w:szCs w:val="20"/>
                <w:color w:val="auto"/>
              </w:rPr>
            </w:pPr>
            <w:r>
              <w:rPr>
                <w:rFonts w:ascii="Arial" w:cs="Arial" w:eastAsia="Arial" w:hAnsi="Arial"/>
                <w:sz w:val="13"/>
                <w:szCs w:val="13"/>
                <w:b w:val="1"/>
                <w:bCs w:val="1"/>
                <w:color w:val="auto"/>
                <w:w w:val="85"/>
              </w:rPr>
              <w:t>outstanding</w:t>
            </w:r>
          </w:p>
        </w:tc>
        <w:tc>
          <w:tcPr>
            <w:tcW w:w="180" w:type="dxa"/>
            <w:vAlign w:val="bottom"/>
          </w:tcPr>
          <w:p>
            <w:pPr>
              <w:spacing w:after="0"/>
              <w:rPr>
                <w:sz w:val="20"/>
                <w:szCs w:val="20"/>
                <w:color w:val="auto"/>
              </w:rPr>
            </w:pPr>
          </w:p>
        </w:tc>
        <w:tc>
          <w:tcPr>
            <w:tcW w:w="720" w:type="dxa"/>
            <w:vAlign w:val="bottom"/>
          </w:tcPr>
          <w:p>
            <w:pPr>
              <w:jc w:val="right"/>
              <w:ind w:right="221"/>
              <w:spacing w:after="0"/>
              <w:rPr>
                <w:sz w:val="20"/>
                <w:szCs w:val="20"/>
                <w:color w:val="auto"/>
              </w:rPr>
            </w:pPr>
            <w:r>
              <w:rPr>
                <w:rFonts w:ascii="Arial" w:cs="Arial" w:eastAsia="Arial" w:hAnsi="Arial"/>
                <w:sz w:val="13"/>
                <w:szCs w:val="13"/>
                <w:b w:val="1"/>
                <w:bCs w:val="1"/>
                <w:color w:val="auto"/>
                <w:w w:val="97"/>
              </w:rPr>
              <w:t>capital</w:t>
            </w:r>
          </w:p>
        </w:tc>
        <w:tc>
          <w:tcPr>
            <w:tcW w:w="160" w:type="dxa"/>
            <w:vAlign w:val="bottom"/>
          </w:tcPr>
          <w:p>
            <w:pPr>
              <w:spacing w:after="0"/>
              <w:rPr>
                <w:sz w:val="20"/>
                <w:szCs w:val="20"/>
                <w:color w:val="auto"/>
              </w:rPr>
            </w:pPr>
          </w:p>
        </w:tc>
        <w:tc>
          <w:tcPr>
            <w:tcW w:w="800" w:type="dxa"/>
            <w:vAlign w:val="bottom"/>
          </w:tcPr>
          <w:p>
            <w:pPr>
              <w:jc w:val="center"/>
              <w:ind w:right="161"/>
              <w:spacing w:after="0"/>
              <w:rPr>
                <w:sz w:val="20"/>
                <w:szCs w:val="20"/>
                <w:color w:val="auto"/>
              </w:rPr>
            </w:pPr>
            <w:r>
              <w:rPr>
                <w:rFonts w:ascii="Arial" w:cs="Arial" w:eastAsia="Arial" w:hAnsi="Arial"/>
                <w:sz w:val="13"/>
                <w:szCs w:val="13"/>
                <w:b w:val="1"/>
                <w:bCs w:val="1"/>
                <w:color w:val="auto"/>
                <w:w w:val="93"/>
              </w:rPr>
              <w:t>deficit)</w:t>
            </w:r>
          </w:p>
        </w:tc>
        <w:tc>
          <w:tcPr>
            <w:tcW w:w="140" w:type="dxa"/>
            <w:vAlign w:val="bottom"/>
          </w:tcPr>
          <w:p>
            <w:pPr>
              <w:spacing w:after="0"/>
              <w:rPr>
                <w:sz w:val="20"/>
                <w:szCs w:val="20"/>
                <w:color w:val="auto"/>
              </w:rPr>
            </w:pPr>
          </w:p>
        </w:tc>
        <w:tc>
          <w:tcPr>
            <w:tcW w:w="560" w:type="dxa"/>
            <w:vAlign w:val="bottom"/>
          </w:tcPr>
          <w:p>
            <w:pPr>
              <w:jc w:val="right"/>
              <w:ind w:right="121"/>
              <w:spacing w:after="0"/>
              <w:rPr>
                <w:sz w:val="20"/>
                <w:szCs w:val="20"/>
                <w:color w:val="auto"/>
              </w:rPr>
            </w:pPr>
            <w:r>
              <w:rPr>
                <w:rFonts w:ascii="Arial" w:cs="Arial" w:eastAsia="Arial" w:hAnsi="Arial"/>
                <w:sz w:val="13"/>
                <w:szCs w:val="13"/>
                <w:b w:val="1"/>
                <w:bCs w:val="1"/>
                <w:color w:val="auto"/>
                <w:w w:val="81"/>
              </w:rPr>
              <w:t>shares</w:t>
            </w:r>
          </w:p>
        </w:tc>
        <w:tc>
          <w:tcPr>
            <w:tcW w:w="700" w:type="dxa"/>
            <w:vAlign w:val="bottom"/>
          </w:tcPr>
          <w:p>
            <w:pPr>
              <w:jc w:val="right"/>
              <w:ind w:right="61"/>
              <w:spacing w:after="0"/>
              <w:rPr>
                <w:sz w:val="20"/>
                <w:szCs w:val="20"/>
                <w:color w:val="auto"/>
              </w:rPr>
            </w:pPr>
            <w:r>
              <w:rPr>
                <w:rFonts w:ascii="Arial" w:cs="Arial" w:eastAsia="Arial" w:hAnsi="Arial"/>
                <w:sz w:val="13"/>
                <w:szCs w:val="13"/>
                <w:b w:val="1"/>
                <w:bCs w:val="1"/>
                <w:color w:val="auto"/>
              </w:rPr>
              <w:t xml:space="preserve">AOCL </w:t>
            </w:r>
            <w:r>
              <w:rPr>
                <w:rFonts w:ascii="Arial" w:cs="Arial" w:eastAsia="Arial" w:hAnsi="Arial"/>
                <w:sz w:val="17"/>
                <w:szCs w:val="17"/>
                <w:b w:val="1"/>
                <w:bCs w:val="1"/>
                <w:color w:val="auto"/>
                <w:vertAlign w:val="superscript"/>
              </w:rPr>
              <w:t>(i)</w:t>
            </w:r>
          </w:p>
        </w:tc>
        <w:tc>
          <w:tcPr>
            <w:tcW w:w="200" w:type="dxa"/>
            <w:vAlign w:val="bottom"/>
          </w:tcPr>
          <w:p>
            <w:pPr>
              <w:spacing w:after="0"/>
              <w:rPr>
                <w:sz w:val="20"/>
                <w:szCs w:val="20"/>
                <w:color w:val="auto"/>
              </w:rPr>
            </w:pPr>
          </w:p>
        </w:tc>
        <w:tc>
          <w:tcPr>
            <w:tcW w:w="760" w:type="dxa"/>
            <w:vAlign w:val="bottom"/>
          </w:tcPr>
          <w:p>
            <w:pPr>
              <w:jc w:val="right"/>
              <w:ind w:right="261"/>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20"/>
                <w:szCs w:val="20"/>
                <w:color w:val="auto"/>
              </w:rPr>
            </w:pPr>
          </w:p>
        </w:tc>
        <w:tc>
          <w:tcPr>
            <w:tcW w:w="740" w:type="dxa"/>
            <w:vAlign w:val="bottom"/>
          </w:tcPr>
          <w:p>
            <w:pPr>
              <w:jc w:val="center"/>
              <w:ind w:right="161"/>
              <w:spacing w:after="0"/>
              <w:rPr>
                <w:sz w:val="20"/>
                <w:szCs w:val="20"/>
                <w:color w:val="auto"/>
              </w:rPr>
            </w:pPr>
            <w:r>
              <w:rPr>
                <w:rFonts w:ascii="Arial" w:cs="Arial" w:eastAsia="Arial" w:hAnsi="Arial"/>
                <w:sz w:val="13"/>
                <w:szCs w:val="13"/>
                <w:b w:val="1"/>
                <w:bCs w:val="1"/>
                <w:color w:val="auto"/>
                <w:w w:val="84"/>
              </w:rPr>
              <w:t>interests</w:t>
            </w: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 equity</w:t>
            </w:r>
          </w:p>
        </w:tc>
      </w:tr>
      <w:tr>
        <w:trPr>
          <w:trHeight w:val="273"/>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106,756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10,876</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1,764</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700" w:type="dxa"/>
            <w:vAlign w:val="bottom"/>
          </w:tcPr>
          <w:p>
            <w:pPr>
              <w:jc w:val="right"/>
              <w:spacing w:after="0"/>
              <w:rPr>
                <w:sz w:val="20"/>
                <w:szCs w:val="20"/>
                <w:color w:val="auto"/>
              </w:rPr>
            </w:pPr>
            <w:r>
              <w:rPr>
                <w:rFonts w:ascii="Arial" w:cs="Arial" w:eastAsia="Arial" w:hAnsi="Arial"/>
                <w:sz w:val="16"/>
                <w:szCs w:val="16"/>
                <w:color w:val="auto"/>
              </w:rPr>
              <w:t>$(2,621)</w:t>
            </w:r>
          </w:p>
        </w:tc>
        <w:tc>
          <w:tcPr>
            <w:tcW w:w="200" w:type="dxa"/>
            <w:vAlign w:val="bottom"/>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10,016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77</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10,093</w:t>
            </w:r>
          </w:p>
        </w:tc>
      </w:tr>
      <w:tr>
        <w:trPr>
          <w:trHeight w:val="314"/>
        </w:trPr>
        <w:tc>
          <w:tcPr>
            <w:tcW w:w="820" w:type="dxa"/>
            <w:vAlign w:val="bottom"/>
          </w:tcPr>
          <w:p>
            <w:pPr>
              <w:jc w:val="right"/>
              <w:spacing w:after="0"/>
              <w:rPr>
                <w:sz w:val="20"/>
                <w:szCs w:val="20"/>
                <w:color w:val="auto"/>
              </w:rPr>
            </w:pPr>
            <w:r>
              <w:rPr>
                <w:rFonts w:ascii="Arial" w:cs="Arial" w:eastAsia="Arial" w:hAnsi="Arial"/>
                <w:sz w:val="16"/>
                <w:szCs w:val="16"/>
                <w:color w:val="auto"/>
              </w:rPr>
              <w:t>(4,483)</w:t>
            </w:r>
          </w:p>
        </w:tc>
        <w:tc>
          <w:tcPr>
            <w:tcW w:w="18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1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1,055</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1,055</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1,064</w:t>
            </w:r>
          </w:p>
        </w:tc>
      </w:tr>
      <w:tr>
        <w:trPr>
          <w:trHeight w:val="31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(353)</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(353)</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(353)</w:t>
            </w:r>
          </w:p>
        </w:tc>
      </w:tr>
      <w:tr>
        <w:trPr>
          <w:trHeight w:val="49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1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(235)</w:t>
            </w:r>
          </w:p>
        </w:tc>
        <w:tc>
          <w:tcPr>
            <w:tcW w:w="20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(235)</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73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265</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9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89</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89</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49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1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2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102,538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10,910</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1,466</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$(2,856)</w:t>
            </w:r>
          </w:p>
        </w:tc>
        <w:tc>
          <w:tcPr>
            <w:tcW w:w="200" w:type="dxa"/>
            <w:vAlign w:val="bottom"/>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9,520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73</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9,593</w:t>
            </w:r>
          </w:p>
        </w:tc>
      </w:tr>
      <w:tr>
        <w:trPr>
          <w:trHeight w:val="324"/>
        </w:trPr>
        <w:tc>
          <w:tcPr>
            <w:tcW w:w="820" w:type="dxa"/>
            <w:vAlign w:val="bottom"/>
          </w:tcPr>
          <w:p>
            <w:pPr>
              <w:jc w:val="right"/>
              <w:spacing w:after="0"/>
              <w:rPr>
                <w:sz w:val="20"/>
                <w:szCs w:val="20"/>
                <w:color w:val="auto"/>
              </w:rPr>
            </w:pPr>
            <w:r>
              <w:rPr>
                <w:rFonts w:ascii="Arial" w:cs="Arial" w:eastAsia="Arial" w:hAnsi="Arial"/>
                <w:sz w:val="16"/>
                <w:szCs w:val="16"/>
                <w:color w:val="auto"/>
              </w:rPr>
              <w:t>(3,145)</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(901)</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(901)</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(901)</w:t>
            </w:r>
          </w:p>
        </w:tc>
      </w:tr>
      <w:tr>
        <w:trPr>
          <w:trHeight w:val="31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(98)</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1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(358)</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(358)</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49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1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(302)</w:t>
            </w:r>
          </w:p>
        </w:tc>
        <w:tc>
          <w:tcPr>
            <w:tcW w:w="20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(302)</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73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413</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9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31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9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1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2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99,806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10,989</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109</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$(3,158)</w:t>
            </w:r>
          </w:p>
        </w:tc>
        <w:tc>
          <w:tcPr>
            <w:tcW w:w="200" w:type="dxa"/>
            <w:vAlign w:val="bottom"/>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7,940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77</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8,017</w:t>
            </w:r>
          </w:p>
        </w:tc>
      </w:tr>
      <w:tr>
        <w:trPr>
          <w:trHeight w:val="324"/>
        </w:trPr>
        <w:tc>
          <w:tcPr>
            <w:tcW w:w="820" w:type="dxa"/>
            <w:vAlign w:val="bottom"/>
          </w:tcPr>
          <w:p>
            <w:pPr>
              <w:jc w:val="right"/>
              <w:spacing w:after="0"/>
              <w:rPr>
                <w:sz w:val="20"/>
                <w:szCs w:val="20"/>
                <w:color w:val="auto"/>
              </w:rPr>
            </w:pPr>
            <w:r>
              <w:rPr>
                <w:rFonts w:ascii="Arial" w:cs="Arial" w:eastAsia="Arial" w:hAnsi="Arial"/>
                <w:sz w:val="16"/>
                <w:szCs w:val="16"/>
                <w:color w:val="auto"/>
              </w:rPr>
              <w:t>(5,139)</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(1,650)</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(1,650)</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(1,650)</w:t>
            </w:r>
          </w:p>
        </w:tc>
      </w:tr>
      <w:tr>
        <w:trPr>
          <w:trHeight w:val="31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1,605</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1,605</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1,613</w:t>
            </w:r>
          </w:p>
        </w:tc>
      </w:tr>
      <w:tr>
        <w:trPr>
          <w:trHeight w:val="31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(360)</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(360)</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49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1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324</w:t>
            </w:r>
          </w:p>
        </w:tc>
        <w:tc>
          <w:tcPr>
            <w:tcW w:w="2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324</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734"/>
        </w:trPr>
        <w:tc>
          <w:tcPr>
            <w:tcW w:w="820" w:type="dxa"/>
            <w:vAlign w:val="bottom"/>
          </w:tcPr>
          <w:p>
            <w:pPr>
              <w:jc w:val="right"/>
              <w:ind w:right="41"/>
              <w:spacing w:after="0"/>
              <w:rPr>
                <w:sz w:val="20"/>
                <w:szCs w:val="20"/>
                <w:color w:val="auto"/>
              </w:rPr>
            </w:pPr>
            <w:r>
              <w:rPr>
                <w:rFonts w:ascii="Arial" w:cs="Arial" w:eastAsia="Arial" w:hAnsi="Arial"/>
                <w:sz w:val="16"/>
                <w:szCs w:val="16"/>
                <w:color w:val="auto"/>
              </w:rPr>
              <w:t>413</w:t>
            </w:r>
          </w:p>
        </w:tc>
        <w:tc>
          <w:tcPr>
            <w:tcW w:w="180" w:type="dxa"/>
            <w:vAlign w:val="bottom"/>
          </w:tcPr>
          <w:p>
            <w:pPr>
              <w:spacing w:after="0"/>
              <w:rPr>
                <w:sz w:val="24"/>
                <w:szCs w:val="24"/>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5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-1654175</wp:posOffset>
            </wp:positionH>
            <wp:positionV relativeFrom="paragraph">
              <wp:posOffset>-7200900</wp:posOffset>
            </wp:positionV>
            <wp:extent cx="5967730" cy="67557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6">
                      <a:extLst>
                        <a:ext uri="{28A0092B-C50C-407E-A947-70E740481C1C}"/>
                      </a:extLst>
                    </a:blip>
                    <a:srcRect/>
                    <a:stretch>
                      <a:fillRect/>
                    </a:stretch>
                  </pic:blipFill>
                  <pic:spPr bwMode="auto">
                    <a:xfrm>
                      <a:off x="0" y="0"/>
                      <a:ext cx="5967730" cy="6755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160"/>
            <w:col w:w="6760"/>
          </w:cols>
          <w:pgMar w:left="1260" w:top="1440" w:right="1286" w:bottom="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 / 15</w:t>
      </w:r>
    </w:p>
    <w:p>
      <w:pPr>
        <w:sectPr>
          <w:pgSz w:w="11900" w:h="16838" w:orient="portrait"/>
          <w:cols w:equalWidth="0" w:num="1">
            <w:col w:w="9360"/>
          </w:cols>
          <w:pgMar w:left="1260" w:top="1440" w:right="1286" w:bottom="0" w:gutter="0" w:footer="0" w:header="0"/>
          <w:type w:val="continuous"/>
        </w:sectPr>
      </w:pPr>
    </w:p>
    <w:bookmarkStart w:id="149" w:name="page150"/>
    <w:bookmarkEnd w:id="149"/>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and net settlements</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134</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Reduction of non-controlling interests </w:t>
      </w:r>
      <w:r>
        <w:rPr>
          <w:rFonts w:ascii="Arial" w:cs="Arial" w:eastAsia="Arial" w:hAnsi="Arial"/>
          <w:sz w:val="21"/>
          <w:szCs w:val="21"/>
          <w:color w:val="auto"/>
          <w:vertAlign w:val="superscript"/>
        </w:rPr>
        <w:t>(ii)</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36</w:t>
      </w:r>
    </w:p>
    <w:p>
      <w:pPr>
        <w:sectPr>
          <w:pgSz w:w="11900" w:h="16838" w:orient="portrait"/>
          <w:cols w:equalWidth="0" w:num="1">
            <w:col w:w="9400"/>
          </w:cols>
          <w:pgMar w:left="1260" w:top="1440" w:right="1246" w:bottom="0" w:gutter="0" w:footer="0" w:header="0"/>
          <w:type w:val="continuous"/>
        </w:sectPr>
      </w:pPr>
    </w:p>
    <w:bookmarkStart w:id="150" w:name="page151"/>
    <w:bookmarkEnd w:id="150"/>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translation</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as of December 31, 2025</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95,080</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11,106</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36</w:t>
      </w:r>
    </w:p>
    <w:p>
      <w:pPr>
        <w:sectPr>
          <w:pgSz w:w="11900" w:h="16838" w:orient="portrait"/>
          <w:cols w:equalWidth="0" w:num="1">
            <w:col w:w="9400"/>
          </w:cols>
          <w:pgMar w:left="1260" w:top="1440" w:right="1246" w:bottom="0" w:gutter="0" w:footer="0" w:header="0"/>
          <w:type w:val="continuous"/>
        </w:sectPr>
      </w:pPr>
    </w:p>
    <w:bookmarkStart w:id="151" w:name="page152"/>
    <w:bookmarkEnd w:id="151"/>
    <w:p>
      <w:pPr>
        <w:spacing w:after="0" w:line="198"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p>
    <w:p>
      <w:pPr>
        <w:spacing w:after="0" w:line="107" w:lineRule="exact"/>
        <w:rPr>
          <w:sz w:val="20"/>
          <w:szCs w:val="20"/>
          <w:color w:val="auto"/>
        </w:rPr>
      </w:pPr>
    </w:p>
    <w:p>
      <w:pPr>
        <w:ind w:left="8986"/>
        <w:spacing w:after="0"/>
        <w:rPr>
          <w:sz w:val="20"/>
          <w:szCs w:val="20"/>
          <w:color w:val="auto"/>
        </w:rPr>
      </w:pPr>
      <w:r>
        <w:rPr>
          <w:rFonts w:ascii="Arial" w:cs="Arial" w:eastAsia="Arial" w:hAnsi="Arial"/>
          <w:sz w:val="14"/>
          <w:szCs w:val="14"/>
          <w:color w:val="auto"/>
        </w:rPr>
        <w:t>(2,834</w:t>
      </w:r>
    </w:p>
    <w:p>
      <w:pPr>
        <w:spacing w:after="0" w:line="88"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p>
    <w:p>
      <w:pPr>
        <w:spacing w:after="0" w:line="107" w:lineRule="exact"/>
        <w:rPr>
          <w:sz w:val="20"/>
          <w:szCs w:val="20"/>
          <w:color w:val="auto"/>
        </w:rPr>
      </w:pPr>
    </w:p>
    <w:p>
      <w:pPr>
        <w:ind w:left="9046"/>
        <w:spacing w:after="0"/>
        <w:rPr>
          <w:sz w:val="20"/>
          <w:szCs w:val="20"/>
          <w:color w:val="auto"/>
        </w:rPr>
      </w:pPr>
      <w:r>
        <w:rPr>
          <w:rFonts w:ascii="Arial" w:cs="Arial" w:eastAsia="Arial" w:hAnsi="Arial"/>
          <w:sz w:val="14"/>
          <w:szCs w:val="14"/>
          <w:color w:val="auto"/>
        </w:rPr>
        <w:t>7,976</w:t>
      </w:r>
    </w:p>
    <w:p>
      <w:pPr>
        <w:spacing w:after="0" w:line="200" w:lineRule="exact"/>
        <w:rPr>
          <w:sz w:val="20"/>
          <w:szCs w:val="20"/>
          <w:color w:val="auto"/>
        </w:rPr>
      </w:pPr>
    </w:p>
    <w:p>
      <w:pPr>
        <w:spacing w:after="0" w:line="368"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p>
    <w:p>
      <w:pPr>
        <w:spacing w:after="0" w:line="107" w:lineRule="exact"/>
        <w:rPr>
          <w:sz w:val="20"/>
          <w:szCs w:val="20"/>
          <w:color w:val="auto"/>
        </w:rPr>
      </w:pPr>
    </w:p>
    <w:p>
      <w:pPr>
        <w:ind w:left="9246"/>
        <w:spacing w:after="0"/>
        <w:rPr>
          <w:sz w:val="20"/>
          <w:szCs w:val="20"/>
          <w:color w:val="auto"/>
        </w:rPr>
      </w:pPr>
      <w:r>
        <w:rPr>
          <w:rFonts w:ascii="Arial" w:cs="Arial" w:eastAsia="Arial" w:hAnsi="Arial"/>
          <w:sz w:val="14"/>
          <w:szCs w:val="14"/>
          <w:color w:val="auto"/>
        </w:rPr>
        <w:t>76</w:t>
      </w:r>
    </w:p>
    <w:p>
      <w:pPr>
        <w:spacing w:after="0" w:line="200" w:lineRule="exact"/>
        <w:rPr>
          <w:sz w:val="20"/>
          <w:szCs w:val="20"/>
          <w:color w:val="auto"/>
        </w:rPr>
      </w:pPr>
    </w:p>
    <w:p>
      <w:pPr>
        <w:spacing w:after="0" w:line="368" w:lineRule="exact"/>
        <w:rPr>
          <w:sz w:val="20"/>
          <w:szCs w:val="20"/>
          <w:color w:val="auto"/>
        </w:rPr>
      </w:pPr>
    </w:p>
    <w:p>
      <w:pPr>
        <w:ind w:left="6"/>
        <w:spacing w:after="0"/>
        <w:rPr>
          <w:sz w:val="20"/>
          <w:szCs w:val="20"/>
          <w:color w:val="auto"/>
        </w:rPr>
      </w:pPr>
      <w:r>
        <w:rPr>
          <w:rFonts w:ascii="Arial" w:cs="Arial" w:eastAsia="Arial" w:hAnsi="Arial"/>
          <w:sz w:val="16"/>
          <w:szCs w:val="16"/>
          <w:color w:val="auto"/>
        </w:rPr>
        <w:t>$</w:t>
      </w:r>
    </w:p>
    <w:p>
      <w:pPr>
        <w:spacing w:after="0" w:line="107" w:lineRule="exact"/>
        <w:rPr>
          <w:sz w:val="20"/>
          <w:szCs w:val="20"/>
          <w:color w:val="auto"/>
        </w:rPr>
      </w:pPr>
    </w:p>
    <w:p>
      <w:pPr>
        <w:ind w:left="9046"/>
        <w:spacing w:after="0"/>
        <w:rPr>
          <w:sz w:val="20"/>
          <w:szCs w:val="20"/>
          <w:color w:val="auto"/>
        </w:rPr>
      </w:pPr>
      <w:r>
        <w:rPr>
          <w:rFonts w:ascii="Arial" w:cs="Arial" w:eastAsia="Arial" w:hAnsi="Arial"/>
          <w:sz w:val="14"/>
          <w:szCs w:val="14"/>
          <w:color w:val="auto"/>
        </w:rPr>
        <w:t>8,052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396240</wp:posOffset>
            </wp:positionV>
            <wp:extent cx="795655" cy="95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7">
                      <a:extLst>
                        <a:ext uri="{28A0092B-C50C-407E-A947-70E740481C1C}"/>
                      </a:extLst>
                    </a:blip>
                    <a:srcRect/>
                    <a:stretch>
                      <a:fillRect/>
                    </a:stretch>
                  </pic:blipFill>
                  <pic:spPr bwMode="auto">
                    <a:xfrm>
                      <a:off x="0" y="0"/>
                      <a:ext cx="79565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6" w:hanging="226"/>
        <w:spacing w:after="0"/>
        <w:tabs>
          <w:tab w:leader="none" w:pos="226" w:val="left"/>
        </w:tabs>
        <w:numPr>
          <w:ilvl w:val="0"/>
          <w:numId w:val="51"/>
        </w:numPr>
        <w:rPr>
          <w:rFonts w:ascii="Arial" w:cs="Arial" w:eastAsia="Arial" w:hAnsi="Arial"/>
          <w:sz w:val="14"/>
          <w:szCs w:val="14"/>
          <w:color w:val="auto"/>
        </w:rPr>
      </w:pPr>
      <w:r>
        <w:rPr>
          <w:rFonts w:ascii="Arial" w:cs="Arial" w:eastAsia="Arial" w:hAnsi="Arial"/>
          <w:sz w:val="14"/>
          <w:szCs w:val="14"/>
          <w:color w:val="auto"/>
        </w:rPr>
        <w:t>Accumulated other comprehensive loss, net of tax (‘AOCL’).</w:t>
      </w:r>
    </w:p>
    <w:p>
      <w:pPr>
        <w:spacing w:after="0" w:line="236" w:lineRule="exact"/>
        <w:rPr>
          <w:rFonts w:ascii="Arial" w:cs="Arial" w:eastAsia="Arial" w:hAnsi="Arial"/>
          <w:sz w:val="14"/>
          <w:szCs w:val="14"/>
          <w:color w:val="auto"/>
        </w:rPr>
      </w:pPr>
    </w:p>
    <w:p>
      <w:pPr>
        <w:ind w:left="226" w:hanging="226"/>
        <w:spacing w:after="0" w:line="513" w:lineRule="auto"/>
        <w:tabs>
          <w:tab w:leader="none" w:pos="226"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Attributable to the divestiture of businesses that are less than wholly-owned or the acquisition of shares previously owned by minority interest holders. </w:t>
      </w:r>
      <w:r>
        <w:rPr>
          <w:rFonts w:ascii="Arial" w:cs="Arial" w:eastAsia="Arial" w:hAnsi="Arial"/>
          <w:sz w:val="15"/>
          <w:szCs w:val="15"/>
          <w:color w:val="auto"/>
        </w:rPr>
        <w:t>In an</w:t>
      </w:r>
      <w:r>
        <w:rPr>
          <w:rFonts w:ascii="Arial" w:cs="Arial" w:eastAsia="Arial" w:hAnsi="Arial"/>
          <w:sz w:val="14"/>
          <w:szCs w:val="14"/>
          <w:color w:val="auto"/>
        </w:rPr>
        <w:t xml:space="preserve"> </w:t>
      </w:r>
      <w:r>
        <w:rPr>
          <w:rFonts w:ascii="Arial" w:cs="Arial" w:eastAsia="Arial" w:hAnsi="Arial"/>
          <w:sz w:val="15"/>
          <w:szCs w:val="15"/>
          <w:color w:val="auto"/>
        </w:rPr>
        <w:t>acquisition, additional paid-in capital is adjusted as well to the extent that the consideration transferred differs from the carrying value of non-controlling interests prior to the acquisition.</w:t>
      </w:r>
    </w:p>
    <w:p>
      <w:pPr>
        <w:spacing w:after="0" w:line="258" w:lineRule="exact"/>
        <w:rPr>
          <w:sz w:val="20"/>
          <w:szCs w:val="20"/>
          <w:color w:val="auto"/>
        </w:rPr>
      </w:pPr>
    </w:p>
    <w:p>
      <w:pPr>
        <w:ind w:left="3766"/>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14"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 / 36</w:t>
      </w:r>
    </w:p>
    <w:p>
      <w:pPr>
        <w:sectPr>
          <w:pgSz w:w="11900" w:h="16838" w:orient="portrait"/>
          <w:cols w:equalWidth="0" w:num="1">
            <w:col w:w="9406"/>
          </w:cols>
          <w:pgMar w:left="1254" w:top="1440" w:right="1246" w:bottom="0" w:gutter="0" w:footer="0" w:header="0"/>
          <w:type w:val="continuous"/>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line="307" w:lineRule="auto"/>
        <w:rPr>
          <w:sz w:val="20"/>
          <w:szCs w:val="20"/>
          <w:color w:val="auto"/>
        </w:rPr>
      </w:pPr>
      <w:r>
        <w:rPr>
          <w:rFonts w:ascii="Arial" w:cs="Arial" w:eastAsia="Arial" w:hAnsi="Arial"/>
          <w:sz w:val="20"/>
          <w:szCs w:val="20"/>
          <w:b w:val="1"/>
          <w:bCs w:val="1"/>
          <w:color w:val="auto"/>
        </w:rPr>
        <w:t xml:space="preserve">WILLIS TOWERS WATSON PUBLIC LIMITED COMPANY Notes to the Consolidated Financial Statements </w:t>
      </w:r>
      <w:r>
        <w:rPr>
          <w:rFonts w:ascii="Arial" w:cs="Arial" w:eastAsia="Arial" w:hAnsi="Arial"/>
          <w:sz w:val="20"/>
          <w:szCs w:val="20"/>
          <w:color w:val="auto"/>
        </w:rPr>
        <w:t>(Tabular amounts are in millions of U.S. dollars, except per share data)</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Nature of Operations</w:t>
      </w:r>
    </w:p>
    <w:p>
      <w:pPr>
        <w:spacing w:after="0" w:line="260" w:lineRule="exact"/>
        <w:rPr>
          <w:sz w:val="20"/>
          <w:szCs w:val="20"/>
          <w:color w:val="auto"/>
        </w:rPr>
      </w:pPr>
    </w:p>
    <w:p>
      <w:pPr>
        <w:ind w:right="180"/>
        <w:spacing w:after="0" w:line="307" w:lineRule="auto"/>
        <w:rPr>
          <w:sz w:val="20"/>
          <w:szCs w:val="20"/>
          <w:color w:val="auto"/>
        </w:rPr>
      </w:pPr>
      <w:r>
        <w:rPr>
          <w:rFonts w:ascii="Arial" w:cs="Arial" w:eastAsia="Arial" w:hAnsi="Arial"/>
          <w:sz w:val="20"/>
          <w:szCs w:val="20"/>
          <w:color w:val="auto"/>
        </w:rPr>
        <w:t>Willis Towers Watson Public Limited Company is a leading global advisory, broking and solutions company that provides data-driven, insight-led solutions in the areas of people, risk and capital. The Company has approximately 47,000 colleagues serving more than 140 countries and markets.</w:t>
      </w:r>
    </w:p>
    <w:p>
      <w:pPr>
        <w:spacing w:after="0" w:line="197" w:lineRule="exact"/>
        <w:rPr>
          <w:sz w:val="20"/>
          <w:szCs w:val="20"/>
          <w:color w:val="auto"/>
        </w:rPr>
      </w:pPr>
    </w:p>
    <w:p>
      <w:pPr>
        <w:ind w:right="100"/>
        <w:spacing w:after="0" w:line="302" w:lineRule="auto"/>
        <w:rPr>
          <w:sz w:val="20"/>
          <w:szCs w:val="20"/>
          <w:color w:val="auto"/>
        </w:rPr>
      </w:pPr>
      <w:r>
        <w:rPr>
          <w:rFonts w:ascii="Arial" w:cs="Arial" w:eastAsia="Arial" w:hAnsi="Arial"/>
          <w:sz w:val="20"/>
          <w:szCs w:val="20"/>
          <w:color w:val="auto"/>
        </w:rPr>
        <w:t>We design and deliver solutions that manage risk, optimize benefits, cultivate talent and expand the power of capital to protect and strengthen institutions and individuals.</w:t>
      </w:r>
    </w:p>
    <w:p>
      <w:pPr>
        <w:spacing w:after="0" w:line="201" w:lineRule="exact"/>
        <w:rPr>
          <w:sz w:val="20"/>
          <w:szCs w:val="20"/>
          <w:color w:val="auto"/>
        </w:rPr>
      </w:pPr>
    </w:p>
    <w:p>
      <w:pPr>
        <w:ind w:right="200"/>
        <w:spacing w:after="0" w:line="330" w:lineRule="auto"/>
        <w:rPr>
          <w:sz w:val="20"/>
          <w:szCs w:val="20"/>
          <w:color w:val="auto"/>
        </w:rPr>
      </w:pPr>
      <w:r>
        <w:rPr>
          <w:rFonts w:ascii="Arial" w:cs="Arial" w:eastAsia="Arial" w:hAnsi="Arial"/>
          <w:sz w:val="19"/>
          <w:szCs w:val="19"/>
          <w:color w:val="auto"/>
        </w:rPr>
        <w:t>Our risk control services include strategic risk consulting (including providing actuarial analysis), a variety of due diligence services, the provision of practical on-site risk control services (such as health and safety or property loss control consulting), and analytical and advisory services (such as hazard modeling and climate risk quantification). We also assist our clients with managing incidents or crises when they occur. These services include contingency planning, security audits and product tampering plans.</w:t>
      </w:r>
    </w:p>
    <w:p>
      <w:pPr>
        <w:spacing w:after="0" w:line="178" w:lineRule="exact"/>
        <w:rPr>
          <w:sz w:val="20"/>
          <w:szCs w:val="20"/>
          <w:color w:val="auto"/>
        </w:rPr>
      </w:pPr>
    </w:p>
    <w:p>
      <w:pPr>
        <w:ind w:right="140"/>
        <w:spacing w:after="0" w:line="355" w:lineRule="auto"/>
        <w:rPr>
          <w:sz w:val="20"/>
          <w:szCs w:val="20"/>
          <w:color w:val="auto"/>
        </w:rPr>
      </w:pPr>
      <w:r>
        <w:rPr>
          <w:rFonts w:ascii="Arial" w:cs="Arial" w:eastAsia="Arial" w:hAnsi="Arial"/>
          <w:sz w:val="18"/>
          <w:szCs w:val="18"/>
          <w:color w:val="auto"/>
        </w:rPr>
        <w:t>We help our clients enhance their business performance by delivering consulting services, technology and solutions that help them anticipate, identify and capitalize on emerging opportunities in human capital management, and by offering investment advice to help them develop disciplined and efficient strategies to meet their investment goals.</w:t>
      </w:r>
    </w:p>
    <w:p>
      <w:pPr>
        <w:spacing w:after="0" w:line="162" w:lineRule="exact"/>
        <w:rPr>
          <w:sz w:val="20"/>
          <w:szCs w:val="20"/>
          <w:color w:val="auto"/>
        </w:rPr>
      </w:pPr>
    </w:p>
    <w:p>
      <w:pPr>
        <w:spacing w:after="0" w:line="307" w:lineRule="auto"/>
        <w:rPr>
          <w:sz w:val="20"/>
          <w:szCs w:val="20"/>
          <w:color w:val="auto"/>
        </w:rPr>
      </w:pPr>
      <w:r>
        <w:rPr>
          <w:rFonts w:ascii="Arial" w:cs="Arial" w:eastAsia="Arial" w:hAnsi="Arial"/>
          <w:sz w:val="20"/>
          <w:szCs w:val="20"/>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197"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We operate a private Medicare marketplace in the U.S. through which, along with our active employee marketplace, we help our clients move to a more sustainable economic model by capping and controlling the costs associated with healthcare benefits.</w:t>
      </w:r>
    </w:p>
    <w:p>
      <w:pPr>
        <w:spacing w:after="0" w:line="197" w:lineRule="exact"/>
        <w:rPr>
          <w:sz w:val="20"/>
          <w:szCs w:val="20"/>
          <w:color w:val="auto"/>
        </w:rPr>
      </w:pPr>
    </w:p>
    <w:p>
      <w:pPr>
        <w:ind w:right="120"/>
        <w:spacing w:after="0" w:line="307" w:lineRule="auto"/>
        <w:rPr>
          <w:sz w:val="20"/>
          <w:szCs w:val="20"/>
          <w:color w:val="auto"/>
        </w:rPr>
      </w:pPr>
      <w:r>
        <w:rPr>
          <w:rFonts w:ascii="Arial" w:cs="Arial" w:eastAsia="Arial" w:hAnsi="Arial"/>
          <w:sz w:val="20"/>
          <w:szCs w:val="20"/>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Significant Accounting Policies and Recent Accounting Pronouncements</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60" w:lineRule="exact"/>
        <w:rPr>
          <w:sz w:val="20"/>
          <w:szCs w:val="20"/>
          <w:color w:val="auto"/>
        </w:rPr>
      </w:pPr>
    </w:p>
    <w:p>
      <w:pPr>
        <w:ind w:right="220"/>
        <w:spacing w:after="0" w:line="330" w:lineRule="auto"/>
        <w:rPr>
          <w:sz w:val="20"/>
          <w:szCs w:val="20"/>
          <w:color w:val="auto"/>
        </w:rPr>
      </w:pPr>
      <w:r>
        <w:rPr>
          <w:rFonts w:ascii="Arial" w:cs="Arial" w:eastAsia="Arial" w:hAnsi="Arial"/>
          <w:sz w:val="19"/>
          <w:szCs w:val="19"/>
          <w:color w:val="auto"/>
        </w:rPr>
        <w:t>The accompanying audited consolidated financial statements of WTW and our subsidiaries are presented in accordance with the rules and regulations of the SEC for annual reports on Form 10-K and are prepared in accordance with U.S. GAAP. Certain prior-period amounts have been reclassified to conform to the current-period presentation. All intercompany accounts and transactions have been eliminated in consolidation.</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Accounting Policies</w:t>
      </w:r>
    </w:p>
    <w:p>
      <w:pPr>
        <w:spacing w:after="0" w:line="260" w:lineRule="exact"/>
        <w:rPr>
          <w:sz w:val="20"/>
          <w:szCs w:val="20"/>
          <w:color w:val="auto"/>
        </w:rPr>
      </w:pPr>
    </w:p>
    <w:p>
      <w:pPr>
        <w:ind w:right="140"/>
        <w:spacing w:after="0" w:line="352" w:lineRule="auto"/>
        <w:rPr>
          <w:sz w:val="20"/>
          <w:szCs w:val="20"/>
          <w:color w:val="auto"/>
        </w:rPr>
      </w:pPr>
      <w:r>
        <w:rPr>
          <w:rFonts w:ascii="Arial" w:cs="Arial" w:eastAsia="Arial" w:hAnsi="Arial"/>
          <w:sz w:val="18"/>
          <w:szCs w:val="18"/>
          <w:i w:val="1"/>
          <w:iCs w:val="1"/>
          <w:u w:val="single" w:color="auto"/>
          <w:color w:val="auto"/>
        </w:rPr>
        <w:t>Principles of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accompanying consolidated financial statements include the accounts of WTW</w:t>
      </w:r>
      <w:r>
        <w:rPr>
          <w:rFonts w:ascii="Arial" w:cs="Arial" w:eastAsia="Arial" w:hAnsi="Arial"/>
          <w:sz w:val="18"/>
          <w:szCs w:val="18"/>
          <w:i w:val="1"/>
          <w:iCs w:val="1"/>
          <w:color w:val="auto"/>
        </w:rPr>
        <w:t xml:space="preserve"> </w:t>
      </w:r>
      <w:r>
        <w:rPr>
          <w:rFonts w:ascii="Arial" w:cs="Arial" w:eastAsia="Arial" w:hAnsi="Arial"/>
          <w:sz w:val="18"/>
          <w:szCs w:val="18"/>
          <w:color w:val="auto"/>
        </w:rPr>
        <w:t>and those of our majority-owned and controlled subsidiaries. We determine whether we have a controlling financial interest in an entity by first evaluating whether the entity is a voting interest entity or a variable interest entity (‘VIE’). Variable interest entities are entities that lack one or more of the characteristics of a voting interest entity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36</w:t>
      </w:r>
    </w:p>
    <w:p>
      <w:pPr>
        <w:sectPr>
          <w:pgSz w:w="11900" w:h="16838" w:orient="portrait"/>
          <w:cols w:equalWidth="0" w:num="1">
            <w:col w:w="9400"/>
          </w:cols>
          <w:pgMar w:left="1260" w:top="1440" w:right="1246" w:bottom="0" w:gutter="0" w:footer="0" w:header="0"/>
          <w:type w:val="continuous"/>
        </w:sectPr>
      </w:pPr>
    </w:p>
    <w:bookmarkStart w:id="153" w:name="page154"/>
    <w:bookmarkEnd w:id="153"/>
    <w:p>
      <w:pPr>
        <w:ind w:right="40"/>
        <w:spacing w:after="0" w:line="350" w:lineRule="auto"/>
        <w:rPr>
          <w:sz w:val="20"/>
          <w:szCs w:val="20"/>
          <w:color w:val="auto"/>
        </w:rPr>
      </w:pPr>
      <w:r>
        <w:rPr>
          <w:rFonts w:ascii="Arial" w:cs="Arial" w:eastAsia="Arial" w:hAnsi="Arial"/>
          <w:sz w:val="18"/>
          <w:szCs w:val="18"/>
          <w:color w:val="auto"/>
        </w:rPr>
        <w:t>and therefore require a different approach in determining which party involved with the VIE should consolidate the entity. With a VIE, either the entity does not have sufficient equity at risk to finance its activities without additional subordinated financial support from other parties, or the equity holders, as a group, do not have the power to direct the activities that most significantly impact its financial performance, the obligation to absorb expected losses of the entity, or the right to receive the expected residual returns of the entity. The entity that has a controlling financial interest in a VIE is referred to as the primary beneficiary and is required to consolidate the VIE.</w:t>
      </w:r>
    </w:p>
    <w:p>
      <w:pPr>
        <w:spacing w:after="0" w:line="169" w:lineRule="exact"/>
        <w:rPr>
          <w:sz w:val="20"/>
          <w:szCs w:val="20"/>
          <w:color w:val="auto"/>
        </w:rPr>
      </w:pPr>
    </w:p>
    <w:p>
      <w:pPr>
        <w:ind w:right="40"/>
        <w:spacing w:after="0" w:line="352" w:lineRule="auto"/>
        <w:rPr>
          <w:sz w:val="20"/>
          <w:szCs w:val="20"/>
          <w:color w:val="auto"/>
        </w:rPr>
      </w:pPr>
      <w:r>
        <w:rPr>
          <w:rFonts w:ascii="Arial" w:cs="Arial" w:eastAsia="Arial" w:hAnsi="Arial"/>
          <w:sz w:val="18"/>
          <w:szCs w:val="18"/>
          <w:color w:val="auto"/>
        </w:rPr>
        <w:t>Voting interest entities are entities that have sufficient equity and provide equity investors voting rights that give them the power to make significant decisions related to the entity’s operations. The usual condition for a controlling financial interest in a voting interest entity is ownership of a majority voting interest. Accordingly, we consolidate our voting interest entity investments in which we hold, directly or indirectly, more than 50% of the voting rights.</w:t>
      </w:r>
    </w:p>
    <w:p>
      <w:pPr>
        <w:spacing w:after="0" w:line="166" w:lineRule="exact"/>
        <w:rPr>
          <w:sz w:val="20"/>
          <w:szCs w:val="20"/>
          <w:color w:val="auto"/>
        </w:rPr>
      </w:pPr>
    </w:p>
    <w:p>
      <w:pPr>
        <w:spacing w:after="0" w:line="309" w:lineRule="auto"/>
        <w:rPr>
          <w:sz w:val="20"/>
          <w:szCs w:val="20"/>
          <w:color w:val="auto"/>
        </w:rPr>
      </w:pPr>
      <w:r>
        <w:rPr>
          <w:rFonts w:ascii="Arial" w:cs="Arial" w:eastAsia="Arial" w:hAnsi="Arial"/>
          <w:sz w:val="20"/>
          <w:szCs w:val="20"/>
          <w:i w:val="1"/>
          <w:iCs w:val="1"/>
          <w:u w:val="single" w:color="auto"/>
          <w:color w:val="auto"/>
        </w:rPr>
        <w:t>Use of Estimates</w:t>
      </w:r>
      <w:r>
        <w:rPr>
          <w:rFonts w:ascii="Arial" w:cs="Arial" w:eastAsia="Arial" w:hAnsi="Arial"/>
          <w:sz w:val="20"/>
          <w:szCs w:val="20"/>
          <w:i w:val="1"/>
          <w:iCs w:val="1"/>
          <w:color w:val="auto"/>
        </w:rPr>
        <w:t xml:space="preserve"> </w:t>
      </w:r>
      <w:r>
        <w:rPr>
          <w:rFonts w:ascii="Arial" w:cs="Arial" w:eastAsia="Arial" w:hAnsi="Arial"/>
          <w:sz w:val="20"/>
          <w:szCs w:val="20"/>
          <w:color w:val="auto"/>
        </w:rPr>
        <w:t>— These consolidated financial statements conform to U.S. GAAP, which requires management to</w:t>
      </w:r>
      <w:r>
        <w:rPr>
          <w:rFonts w:ascii="Arial" w:cs="Arial" w:eastAsia="Arial" w:hAnsi="Arial"/>
          <w:sz w:val="20"/>
          <w:szCs w:val="20"/>
          <w:i w:val="1"/>
          <w:iCs w:val="1"/>
          <w:color w:val="auto"/>
        </w:rPr>
        <w:t xml:space="preserve"> </w:t>
      </w:r>
      <w:r>
        <w:rPr>
          <w:rFonts w:ascii="Arial" w:cs="Arial" w:eastAsia="Arial" w:hAnsi="Arial"/>
          <w:sz w:val="20"/>
          <w:szCs w:val="20"/>
          <w:color w:val="auto"/>
        </w:rPr>
        <w:t>make estimates and assumptions that affect the reported amounts of assets and liabilities as well as disclosures of contingent assets and liabilities at the date of the financial statements and the reported amounts of revenue and expenses during the reporting periods. Our estimates,</w:t>
      </w: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 / 36</w:t>
      </w:r>
    </w:p>
    <w:p>
      <w:pPr>
        <w:sectPr>
          <w:pgSz w:w="11900" w:h="16838" w:orient="portrait"/>
          <w:cols w:equalWidth="0" w:num="1">
            <w:col w:w="9320"/>
          </w:cols>
          <w:pgMar w:left="1260" w:top="1173" w:right="1326" w:bottom="0" w:gutter="0" w:footer="0" w:header="0"/>
          <w:type w:val="continuous"/>
        </w:sectPr>
      </w:pPr>
    </w:p>
    <w:bookmarkStart w:id="154" w:name="page155"/>
    <w:bookmarkEnd w:id="1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11" w:lineRule="auto"/>
        <w:rPr>
          <w:sz w:val="20"/>
          <w:szCs w:val="20"/>
          <w:color w:val="auto"/>
        </w:rPr>
      </w:pPr>
      <w:r>
        <w:rPr>
          <w:rFonts w:ascii="Arial" w:cs="Arial" w:eastAsia="Arial" w:hAnsi="Arial"/>
          <w:sz w:val="20"/>
          <w:szCs w:val="20"/>
          <w:color w:val="auto"/>
        </w:rPr>
        <w:t>judgments and assumptions are continually evaluated based on available information and experience. Because of the use of estimates inherent in the financial reporting process, actual results could differ from those estimates. Estimates are used when accounting for revenue recognition and related costs, the selection of useful lives of fixed and intangible assets, impairment testing, valuation of billed and unbilled receivables from clients, discretionary compensation, income taxes, pension assumptions, incurred but not reported claims, legal reserves and goodwill and intangible assets.</w:t>
      </w:r>
    </w:p>
    <w:p>
      <w:pPr>
        <w:spacing w:after="0" w:line="192" w:lineRule="exact"/>
        <w:rPr>
          <w:sz w:val="20"/>
          <w:szCs w:val="20"/>
          <w:color w:val="auto"/>
        </w:rPr>
      </w:pPr>
    </w:p>
    <w:p>
      <w:pPr>
        <w:ind w:right="20"/>
        <w:spacing w:after="0" w:line="311" w:lineRule="auto"/>
        <w:rPr>
          <w:sz w:val="20"/>
          <w:szCs w:val="20"/>
          <w:color w:val="auto"/>
        </w:rPr>
      </w:pPr>
      <w:r>
        <w:rPr>
          <w:rFonts w:ascii="Arial" w:cs="Arial" w:eastAsia="Arial" w:hAnsi="Arial"/>
          <w:sz w:val="20"/>
          <w:szCs w:val="20"/>
          <w:i w:val="1"/>
          <w:iCs w:val="1"/>
          <w:u w:val="single" w:color="auto"/>
          <w:color w:val="auto"/>
        </w:rPr>
        <w:t>Going Concern</w:t>
      </w:r>
      <w:r>
        <w:rPr>
          <w:rFonts w:ascii="Arial" w:cs="Arial" w:eastAsia="Arial" w:hAnsi="Arial"/>
          <w:sz w:val="20"/>
          <w:szCs w:val="20"/>
          <w:i w:val="1"/>
          <w:iCs w:val="1"/>
          <w:color w:val="auto"/>
        </w:rPr>
        <w:t xml:space="preserve"> </w:t>
      </w:r>
      <w:r>
        <w:rPr>
          <w:rFonts w:ascii="Arial" w:cs="Arial" w:eastAsia="Arial" w:hAnsi="Arial"/>
          <w:sz w:val="20"/>
          <w:szCs w:val="20"/>
          <w:color w:val="auto"/>
        </w:rPr>
        <w:t>— Management evaluates at each annual and interim period whether there are conditions or events,</w:t>
      </w:r>
      <w:r>
        <w:rPr>
          <w:rFonts w:ascii="Arial" w:cs="Arial" w:eastAsia="Arial" w:hAnsi="Arial"/>
          <w:sz w:val="20"/>
          <w:szCs w:val="20"/>
          <w:i w:val="1"/>
          <w:iCs w:val="1"/>
          <w:color w:val="auto"/>
        </w:rPr>
        <w:t xml:space="preserve"> </w:t>
      </w:r>
      <w:r>
        <w:rPr>
          <w:rFonts w:ascii="Arial" w:cs="Arial" w:eastAsia="Arial" w:hAnsi="Arial"/>
          <w:sz w:val="20"/>
          <w:szCs w:val="20"/>
          <w:color w:val="auto"/>
        </w:rPr>
        <w:t>considered in the aggregate, that raise substantial doubt about our ability to continue as a going concern within one year after the date that the consolidated financial statements are issued. Management’s evaluation is based on relevant conditions and events that are known and reasonably knowable at the date that the consolidated financial statements are issued. Management has concluded that there are no conditions or events, considered in the aggregate, that raise substantial doubt about our ability to continue as a going concern within one year after the date of these financial statements.</w:t>
      </w:r>
    </w:p>
    <w:p>
      <w:pPr>
        <w:spacing w:after="0" w:line="194" w:lineRule="exact"/>
        <w:rPr>
          <w:sz w:val="20"/>
          <w:szCs w:val="20"/>
          <w:color w:val="auto"/>
        </w:rPr>
      </w:pPr>
    </w:p>
    <w:p>
      <w:pPr>
        <w:spacing w:after="0" w:line="375" w:lineRule="auto"/>
        <w:rPr>
          <w:sz w:val="20"/>
          <w:szCs w:val="20"/>
          <w:color w:val="auto"/>
        </w:rPr>
      </w:pPr>
      <w:r>
        <w:rPr>
          <w:rFonts w:ascii="Arial" w:cs="Arial" w:eastAsia="Arial" w:hAnsi="Arial"/>
          <w:sz w:val="17"/>
          <w:szCs w:val="17"/>
          <w:i w:val="1"/>
          <w:iCs w:val="1"/>
          <w:u w:val="single" w:color="auto"/>
          <w:color w:val="auto"/>
        </w:rPr>
        <w:t>Fair Value of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 The carrying values of our cash, cash equivalents and restricted cash,</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receivable, short-term investments, accrued expenses and revolving lines of credit approximate their fair values because of the short maturity and liquidity of those instruments. The fair value of our senior notes and note receivable are considered Level 2 financial instruments as they are corroborated by observable market data. See Note 12 — Fair Value Measurements and Investments for additional information about our measurements of fair value.</w:t>
      </w:r>
    </w:p>
    <w:p>
      <w:pPr>
        <w:spacing w:after="0" w:line="153" w:lineRule="exact"/>
        <w:rPr>
          <w:sz w:val="20"/>
          <w:szCs w:val="20"/>
          <w:color w:val="auto"/>
        </w:rPr>
      </w:pPr>
    </w:p>
    <w:p>
      <w:pPr>
        <w:ind w:right="40"/>
        <w:spacing w:after="0" w:line="329" w:lineRule="auto"/>
        <w:rPr>
          <w:sz w:val="20"/>
          <w:szCs w:val="20"/>
          <w:color w:val="auto"/>
        </w:rPr>
      </w:pPr>
      <w:r>
        <w:rPr>
          <w:rFonts w:ascii="Arial" w:cs="Arial" w:eastAsia="Arial" w:hAnsi="Arial"/>
          <w:sz w:val="19"/>
          <w:szCs w:val="19"/>
          <w:i w:val="1"/>
          <w:iCs w:val="1"/>
          <w:u w:val="single" w:color="auto"/>
          <w:color w:val="auto"/>
        </w:rPr>
        <w:t>Cash and Cash Equivalents</w:t>
      </w:r>
      <w:r>
        <w:rPr>
          <w:rFonts w:ascii="Arial" w:cs="Arial" w:eastAsia="Arial" w:hAnsi="Arial"/>
          <w:sz w:val="19"/>
          <w:szCs w:val="19"/>
          <w:i w:val="1"/>
          <w:iCs w:val="1"/>
          <w:color w:val="auto"/>
        </w:rPr>
        <w:t xml:space="preserve"> </w:t>
      </w:r>
      <w:r>
        <w:rPr>
          <w:rFonts w:ascii="Arial" w:cs="Arial" w:eastAsia="Arial" w:hAnsi="Arial"/>
          <w:sz w:val="19"/>
          <w:szCs w:val="19"/>
          <w:color w:val="auto"/>
        </w:rPr>
        <w:t>— Cash and cash equivalents primarily consist of time deposits with original maturities</w:t>
      </w:r>
      <w:r>
        <w:rPr>
          <w:rFonts w:ascii="Arial" w:cs="Arial" w:eastAsia="Arial" w:hAnsi="Arial"/>
          <w:sz w:val="19"/>
          <w:szCs w:val="19"/>
          <w:i w:val="1"/>
          <w:iCs w:val="1"/>
          <w:color w:val="auto"/>
        </w:rPr>
        <w:t xml:space="preserve"> </w:t>
      </w:r>
      <w:r>
        <w:rPr>
          <w:rFonts w:ascii="Arial" w:cs="Arial" w:eastAsia="Arial" w:hAnsi="Arial"/>
          <w:sz w:val="19"/>
          <w:szCs w:val="19"/>
          <w:color w:val="auto"/>
        </w:rPr>
        <w:t>of three months or less. In certain of the countries in which we conduct business, we are subject to capital adequacy requirements. Most significantly, Willis Limited, our U.K. brokerage subsidiary regulated by the Financial Conduct Authority, is currently required to maintain $100 million in unencumbered and available financial resources, of which at least $53 million must be in cash, for regulatory purposes. Term deposits and certificates of deposits with original maturities greater than three months are considered to be short-term investments and are included in Prepaid and other current assets. See Note 21 — Supplemental Disclosures of Cash Flow Information for a reconciliation of the cash, cash equivalents and restricted cash as presented on our consolidated balance sheets and the consolidated statements of cash flows.</w:t>
      </w:r>
    </w:p>
    <w:p>
      <w:pPr>
        <w:spacing w:after="0" w:line="184" w:lineRule="exact"/>
        <w:rPr>
          <w:sz w:val="20"/>
          <w:szCs w:val="20"/>
          <w:color w:val="auto"/>
        </w:rPr>
      </w:pPr>
    </w:p>
    <w:p>
      <w:pPr>
        <w:spacing w:after="0" w:line="350" w:lineRule="auto"/>
        <w:rPr>
          <w:sz w:val="20"/>
          <w:szCs w:val="20"/>
          <w:color w:val="auto"/>
        </w:rPr>
      </w:pPr>
      <w:r>
        <w:rPr>
          <w:rFonts w:ascii="Arial" w:cs="Arial" w:eastAsia="Arial" w:hAnsi="Arial"/>
          <w:sz w:val="18"/>
          <w:szCs w:val="18"/>
          <w:i w:val="1"/>
          <w:iCs w:val="1"/>
          <w:u w:val="single" w:color="auto"/>
          <w:color w:val="auto"/>
        </w:rPr>
        <w:t>Fiduciary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collects premiums from insureds and, after deducting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remits the premiums to the respective insurers. The Company also collects claims or refunds from insurers on behalf of insureds. Certain of our health and welfare benefits administration outsourcing agreements require us to hold funds on behalf of clients to pay obligations on their behalf or for plan participants to pay for medical costs (‘benefit funds’). Benefit funds held in cash and cash equivalents are part of fiduciary funds. In some instances, plan participants direct us to invest these benefit funds on their behalf (‘benefit funds investments’). Each of these transactions is reported on our consolidated balance sheets as assets and corresponding liabilities unless such balances are due to or from the same party and a right of offset exists, in which case the balances are recorded net.</w:t>
      </w:r>
    </w:p>
    <w:p>
      <w:pPr>
        <w:spacing w:after="0" w:line="165" w:lineRule="exact"/>
        <w:rPr>
          <w:sz w:val="20"/>
          <w:szCs w:val="20"/>
          <w:color w:val="auto"/>
        </w:rPr>
      </w:pPr>
    </w:p>
    <w:p>
      <w:pPr>
        <w:ind w:right="140"/>
        <w:spacing w:after="0" w:line="302" w:lineRule="auto"/>
        <w:rPr>
          <w:sz w:val="20"/>
          <w:szCs w:val="20"/>
          <w:color w:val="auto"/>
        </w:rPr>
      </w:pPr>
      <w:r>
        <w:rPr>
          <w:rFonts w:ascii="Arial" w:cs="Arial" w:eastAsia="Arial" w:hAnsi="Arial"/>
          <w:sz w:val="20"/>
          <w:szCs w:val="20"/>
          <w:color w:val="auto"/>
        </w:rPr>
        <w:t>Fiduciary assets on the consolidated balance sheets are comprised of fiduciary funds, benefit funds investments and fiduciary receivables:</w:t>
      </w:r>
    </w:p>
    <w:p>
      <w:pPr>
        <w:spacing w:after="0" w:line="201" w:lineRule="exact"/>
        <w:rPr>
          <w:sz w:val="20"/>
          <w:szCs w:val="20"/>
          <w:color w:val="auto"/>
        </w:rPr>
      </w:pPr>
    </w:p>
    <w:p>
      <w:pPr>
        <w:ind w:left="300" w:right="20"/>
        <w:spacing w:after="0" w:line="355" w:lineRule="auto"/>
        <w:rPr>
          <w:sz w:val="20"/>
          <w:szCs w:val="20"/>
          <w:color w:val="auto"/>
        </w:rPr>
      </w:pPr>
      <w:r>
        <w:rPr>
          <w:rFonts w:ascii="Arial" w:cs="Arial" w:eastAsia="Arial" w:hAnsi="Arial"/>
          <w:sz w:val="18"/>
          <w:szCs w:val="18"/>
          <w:i w:val="1"/>
          <w:iCs w:val="1"/>
          <w:color w:val="auto"/>
        </w:rPr>
        <w:t xml:space="preserve">Fiduciary funds – </w:t>
      </w:r>
      <w:r>
        <w:rPr>
          <w:rFonts w:ascii="Arial" w:cs="Arial" w:eastAsia="Arial" w:hAnsi="Arial"/>
          <w:sz w:val="18"/>
          <w:szCs w:val="18"/>
          <w:color w:val="auto"/>
        </w:rPr>
        <w:t>These amounts are restricted cash and cash equivalents held for unremitted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premiums and claims and benefit funds not invested, and are recorded within fiduciary assets on the consolidated balance sheets. Fiduciary funds are generally required to be kept in certain regulated bank accounts subject to</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36</w:t>
      </w:r>
    </w:p>
    <w:p>
      <w:pPr>
        <w:sectPr>
          <w:pgSz w:w="11900" w:h="16838" w:orient="portrait"/>
          <w:cols w:equalWidth="0" w:num="1">
            <w:col w:w="9380"/>
          </w:cols>
          <w:pgMar w:left="1260" w:top="1440" w:right="1266" w:bottom="0" w:gutter="0" w:footer="0" w:header="0"/>
          <w:type w:val="continuous"/>
        </w:sectPr>
      </w:pPr>
    </w:p>
    <w:bookmarkStart w:id="155" w:name="page156"/>
    <w:bookmarkEnd w:id="155"/>
    <w:p>
      <w:pPr>
        <w:ind w:left="120"/>
        <w:spacing w:after="0" w:line="371" w:lineRule="auto"/>
        <w:rPr>
          <w:sz w:val="20"/>
          <w:szCs w:val="20"/>
          <w:color w:val="auto"/>
        </w:rPr>
      </w:pPr>
      <w:r>
        <w:rPr>
          <w:rFonts w:ascii="Arial" w:cs="Arial" w:eastAsia="Arial" w:hAnsi="Arial"/>
          <w:sz w:val="17"/>
          <w:szCs w:val="17"/>
          <w:color w:val="auto"/>
        </w:rPr>
        <w:t>guidelines which emphasize capital preservation and liquidity. Such funds are not available to service the Company’s debt or for other corporate purposes. Notwithstanding the legal relationships with insureds and insurers and excluding earnings on benefit funds, the Company is entitled to retain investment income earned on fiduciary funds in accordance with industry custom and practice and, in some cases, as supported by agreements with insureds. The period for which the Company holds such funds in its broking capacity is dependent upon the date the insured remits the payment of the premium to the Company, or the date the Company receives a refund from the insurer, and the date the Company is required to forward such payments to the insurer or insured, respectively. For the benefit funds, cash and cash equivalents are held until the funds are directed by plan participants to either be invested in mutual funds or paid out on their behalf. Fiduciary funds are included in the beginning and ending balances of cash, cash equivalents and restricted cash in the consolidated statements of cash flows. See Note 21 — Supplemental Disclosures of Cash Flow Information for a reconciliation of the fiduciary funds as presented on our consolidated balance sheets and the consolidated statements of cash flows.</w:t>
      </w:r>
    </w:p>
    <w:p>
      <w:pPr>
        <w:spacing w:after="0" w:line="154" w:lineRule="exact"/>
        <w:rPr>
          <w:sz w:val="20"/>
          <w:szCs w:val="20"/>
          <w:color w:val="auto"/>
        </w:rPr>
      </w:pPr>
    </w:p>
    <w:p>
      <w:pPr>
        <w:ind w:left="120" w:right="280"/>
        <w:spacing w:after="0" w:line="307" w:lineRule="auto"/>
        <w:rPr>
          <w:sz w:val="20"/>
          <w:szCs w:val="20"/>
          <w:color w:val="auto"/>
        </w:rPr>
      </w:pPr>
      <w:r>
        <w:rPr>
          <w:rFonts w:ascii="Arial" w:cs="Arial" w:eastAsia="Arial" w:hAnsi="Arial"/>
          <w:sz w:val="20"/>
          <w:szCs w:val="20"/>
          <w:i w:val="1"/>
          <w:iCs w:val="1"/>
          <w:color w:val="auto"/>
        </w:rPr>
        <w:t xml:space="preserve">Benefit funds investments – </w:t>
      </w:r>
      <w:r>
        <w:rPr>
          <w:rFonts w:ascii="Arial" w:cs="Arial" w:eastAsia="Arial" w:hAnsi="Arial"/>
          <w:sz w:val="20"/>
          <w:szCs w:val="20"/>
          <w:color w:val="auto"/>
        </w:rPr>
        <w:t>Benefit funds investments can be invested in open-ended mutual funds at the</w:t>
      </w:r>
      <w:r>
        <w:rPr>
          <w:rFonts w:ascii="Arial" w:cs="Arial" w:eastAsia="Arial" w:hAnsi="Arial"/>
          <w:sz w:val="20"/>
          <w:szCs w:val="20"/>
          <w:i w:val="1"/>
          <w:iCs w:val="1"/>
          <w:color w:val="auto"/>
        </w:rPr>
        <w:t xml:space="preserve"> </w:t>
      </w:r>
      <w:r>
        <w:rPr>
          <w:rFonts w:ascii="Arial" w:cs="Arial" w:eastAsia="Arial" w:hAnsi="Arial"/>
          <w:sz w:val="20"/>
          <w:szCs w:val="20"/>
          <w:color w:val="auto"/>
        </w:rPr>
        <w:t>direction of the participant. Such funds are not available to service the Company’s debt or for other corporate purposes and earnings accrue to the participant.</w:t>
      </w:r>
    </w:p>
    <w:p>
      <w:pPr>
        <w:spacing w:after="0" w:line="197" w:lineRule="exact"/>
        <w:rPr>
          <w:sz w:val="20"/>
          <w:szCs w:val="20"/>
          <w:color w:val="auto"/>
        </w:rPr>
      </w:pPr>
    </w:p>
    <w:p>
      <w:pPr>
        <w:ind w:left="120" w:right="100"/>
        <w:spacing w:after="0" w:line="310" w:lineRule="auto"/>
        <w:rPr>
          <w:sz w:val="20"/>
          <w:szCs w:val="20"/>
          <w:color w:val="auto"/>
        </w:rPr>
      </w:pPr>
      <w:r>
        <w:rPr>
          <w:rFonts w:ascii="Arial" w:cs="Arial" w:eastAsia="Arial" w:hAnsi="Arial"/>
          <w:sz w:val="20"/>
          <w:szCs w:val="20"/>
          <w:i w:val="1"/>
          <w:iCs w:val="1"/>
          <w:color w:val="auto"/>
        </w:rPr>
        <w:t xml:space="preserve">Fiduciary receivables – </w:t>
      </w:r>
      <w:r>
        <w:rPr>
          <w:rFonts w:ascii="Arial" w:cs="Arial" w:eastAsia="Arial" w:hAnsi="Arial"/>
          <w:sz w:val="20"/>
          <w:szCs w:val="20"/>
          <w:color w:val="auto"/>
        </w:rPr>
        <w:t>Uncollected premiums from insureds, uncollected claims or refunds from insurers and</w:t>
      </w:r>
      <w:r>
        <w:rPr>
          <w:rFonts w:ascii="Arial" w:cs="Arial" w:eastAsia="Arial" w:hAnsi="Arial"/>
          <w:sz w:val="20"/>
          <w:szCs w:val="20"/>
          <w:i w:val="1"/>
          <w:iCs w:val="1"/>
          <w:color w:val="auto"/>
        </w:rPr>
        <w:t xml:space="preserve"> </w:t>
      </w:r>
      <w:r>
        <w:rPr>
          <w:rFonts w:ascii="Arial" w:cs="Arial" w:eastAsia="Arial" w:hAnsi="Arial"/>
          <w:sz w:val="20"/>
          <w:szCs w:val="20"/>
          <w:color w:val="auto"/>
        </w:rPr>
        <w:t>unremitted benefits funds are recorded as fiduciary assets on the consolidated balance sheets. In certain instances, the Company advances premiums, refunds or claims to insurance underwriters or insureds prior to collection. Such advances are made from fiduciary funds and are reflected in the consolidated balance sheets as fiduciary assets.</w:t>
      </w:r>
    </w:p>
    <w:p>
      <w:pPr>
        <w:spacing w:after="0" w:line="24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40"/>
          </w:cols>
          <w:pgMar w:left="144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7 / 36</w:t>
      </w:r>
    </w:p>
    <w:p>
      <w:pPr>
        <w:sectPr>
          <w:pgSz w:w="11900" w:h="16838" w:orient="portrait"/>
          <w:cols w:equalWidth="0" w:num="1">
            <w:col w:w="9140"/>
          </w:cols>
          <w:pgMar w:left="1440" w:top="1173" w:right="1326" w:bottom="0" w:gutter="0" w:footer="0" w:header="0"/>
          <w:type w:val="continuous"/>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40"/>
        <w:spacing w:after="0" w:line="383" w:lineRule="auto"/>
        <w:rPr>
          <w:sz w:val="20"/>
          <w:szCs w:val="20"/>
          <w:color w:val="auto"/>
        </w:rPr>
      </w:pPr>
      <w:r>
        <w:rPr>
          <w:rFonts w:ascii="Arial" w:cs="Arial" w:eastAsia="Arial" w:hAnsi="Arial"/>
          <w:sz w:val="17"/>
          <w:szCs w:val="17"/>
          <w:color w:val="auto"/>
        </w:rPr>
        <w:t>Fiduciary liabilities on the consolidated balance sheets represent the obligations to remit all fiduciary assets as required under the terms of the various arrangements. Fiduciary receivables and liabilities for which cash has not been collected are equal and offsetting and have not been presented in the consolidated statements of cash flows.</w:t>
      </w:r>
    </w:p>
    <w:p>
      <w:pPr>
        <w:spacing w:after="0" w:line="144" w:lineRule="exact"/>
        <w:rPr>
          <w:sz w:val="20"/>
          <w:szCs w:val="20"/>
          <w:color w:val="auto"/>
        </w:rPr>
      </w:pPr>
    </w:p>
    <w:p>
      <w:pPr>
        <w:ind w:right="120"/>
        <w:spacing w:after="0" w:line="330" w:lineRule="auto"/>
        <w:rPr>
          <w:sz w:val="20"/>
          <w:szCs w:val="20"/>
          <w:color w:val="auto"/>
        </w:rPr>
      </w:pPr>
      <w:r>
        <w:rPr>
          <w:rFonts w:ascii="Arial" w:cs="Arial" w:eastAsia="Arial" w:hAnsi="Arial"/>
          <w:sz w:val="19"/>
          <w:szCs w:val="19"/>
          <w:i w:val="1"/>
          <w:iCs w:val="1"/>
          <w:u w:val="single" w:color="auto"/>
          <w:color w:val="auto"/>
        </w:rPr>
        <w:t>Accounts Receivable</w:t>
      </w:r>
      <w:r>
        <w:rPr>
          <w:rFonts w:ascii="Arial" w:cs="Arial" w:eastAsia="Arial" w:hAnsi="Arial"/>
          <w:sz w:val="19"/>
          <w:szCs w:val="19"/>
          <w:i w:val="1"/>
          <w:iCs w:val="1"/>
          <w:color w:val="auto"/>
        </w:rPr>
        <w:t xml:space="preserve"> </w:t>
      </w:r>
      <w:r>
        <w:rPr>
          <w:rFonts w:ascii="Arial" w:cs="Arial" w:eastAsia="Arial" w:hAnsi="Arial"/>
          <w:sz w:val="19"/>
          <w:szCs w:val="19"/>
          <w:color w:val="auto"/>
        </w:rPr>
        <w:t>— Accounts receivable includes both billed and unbilled receivables and is stated at estimated</w:t>
      </w:r>
      <w:r>
        <w:rPr>
          <w:rFonts w:ascii="Arial" w:cs="Arial" w:eastAsia="Arial" w:hAnsi="Arial"/>
          <w:sz w:val="19"/>
          <w:szCs w:val="19"/>
          <w:i w:val="1"/>
          <w:iCs w:val="1"/>
          <w:color w:val="auto"/>
        </w:rPr>
        <w:t xml:space="preserve"> </w:t>
      </w:r>
      <w:r>
        <w:rPr>
          <w:rFonts w:ascii="Arial" w:cs="Arial" w:eastAsia="Arial" w:hAnsi="Arial"/>
          <w:sz w:val="19"/>
          <w:szCs w:val="19"/>
          <w:color w:val="auto"/>
        </w:rPr>
        <w:t>net realizable values. Provision for billed receivables is recorded, when necessary, in an amount considered by management to be sufficient to meet probable future losses related to uncollectible accounts. Accrued and unbilled receivables are stated at net realizable value which includes an allowance for accrued and unbillable amounts. See Note 4 — Revenue for additional information about our accounts receivable.</w:t>
      </w:r>
    </w:p>
    <w:p>
      <w:pPr>
        <w:spacing w:after="0" w:line="178" w:lineRule="exact"/>
        <w:rPr>
          <w:sz w:val="20"/>
          <w:szCs w:val="20"/>
          <w:color w:val="auto"/>
        </w:rPr>
      </w:pPr>
    </w:p>
    <w:p>
      <w:pPr>
        <w:spacing w:after="0" w:line="329" w:lineRule="auto"/>
        <w:rPr>
          <w:sz w:val="20"/>
          <w:szCs w:val="20"/>
          <w:color w:val="auto"/>
        </w:rPr>
      </w:pPr>
      <w:r>
        <w:rPr>
          <w:rFonts w:ascii="Arial" w:cs="Arial" w:eastAsia="Arial" w:hAnsi="Arial"/>
          <w:sz w:val="19"/>
          <w:szCs w:val="19"/>
          <w:i w:val="1"/>
          <w:iCs w:val="1"/>
          <w:u w:val="single" w:color="auto"/>
          <w:color w:val="auto"/>
        </w:rPr>
        <w:t>Income Taxes</w:t>
      </w:r>
      <w:r>
        <w:rPr>
          <w:rFonts w:ascii="Arial" w:cs="Arial" w:eastAsia="Arial" w:hAnsi="Arial"/>
          <w:sz w:val="19"/>
          <w:szCs w:val="19"/>
          <w:i w:val="1"/>
          <w:iCs w:val="1"/>
          <w:color w:val="auto"/>
        </w:rPr>
        <w:t xml:space="preserve"> </w:t>
      </w:r>
      <w:r>
        <w:rPr>
          <w:rFonts w:ascii="Arial" w:cs="Arial" w:eastAsia="Arial" w:hAnsi="Arial"/>
          <w:sz w:val="19"/>
          <w:szCs w:val="19"/>
          <w:color w:val="auto"/>
        </w:rPr>
        <w:t>— The Company recognizes deferred tax assets and liabilities for the estimated future tax</w:t>
      </w:r>
      <w:r>
        <w:rPr>
          <w:rFonts w:ascii="Arial" w:cs="Arial" w:eastAsia="Arial" w:hAnsi="Arial"/>
          <w:sz w:val="19"/>
          <w:szCs w:val="19"/>
          <w:i w:val="1"/>
          <w:iCs w:val="1"/>
          <w:color w:val="auto"/>
        </w:rPr>
        <w:t xml:space="preserve"> </w:t>
      </w:r>
      <w:r>
        <w:rPr>
          <w:rFonts w:ascii="Arial" w:cs="Arial" w:eastAsia="Arial" w:hAnsi="Arial"/>
          <w:sz w:val="19"/>
          <w:szCs w:val="19"/>
          <w:color w:val="auto"/>
        </w:rPr>
        <w:t>consequences of events attributable to differences between the financial statement carrying amounts of existing assets and liabilities and their respective tax bases and operating and capital loss and tax credit carryforwards. Deferred tax assets and liabilities are measured using enacted tax rates in effect for the year in which the differences are expected to be recovered or settled. The effect on deferred tax assets and liabilities of changes in tax rates is recognized in the consolidated statement of comprehensive income in the period in which the change is enacted. Deferred tax assets are reduced through the establishment of a valuation allowance at such time as, based on available evidence, it is more likely than not that the deferred tax assets will not be realized. The Company adjusts valuation allowances to measure deferred tax assets at the amounts considered realizable in future periods, which is assessed at each balance sheet date. In making such determinations, the Company considers all available positive and negative evidence, including future reversals of existing taxable temporary differences, projected future taxable income, tax planning strategies and recent financial operating results. The Company places more reliance on evidence that is objectively verifiable.</w:t>
      </w:r>
    </w:p>
    <w:p>
      <w:pPr>
        <w:spacing w:after="0" w:line="186"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Positions taken in the Company’s tax returns may be subject to challenge by the taxing authorities upon examination. The Company recognizes the benefits of uncertain tax positions in the financial statements when it is more likely than not that a position will be sustained on the basis of the technical merits of the position assuming the tax authorities have full knowledge of the position and all relevant facts. Recognition also occurs upon either the lapse of the relevant statute of limitations or when positions are effectively settled. The benefit recognized is the largest amount of tax benefit that is greater than 50 percent likely to be realized on settlement with the tax authority. The Company adjusts its recognition of uncertain tax benefits in the period in which new information is available impacting either the recognition or measurement of its uncertain tax positions. Such adjustments are reflected as increases or decreases to income taxes in the period in which they are determined.</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20"/>
          <w:szCs w:val="20"/>
          <w:color w:val="auto"/>
        </w:rPr>
        <w:t>The Company recognizes interest and penalties relating to unrecognized tax benefits within income taxes. See Note 7 — Income Taxes for additional information regarding the Company’s income taxes.</w:t>
      </w:r>
    </w:p>
    <w:p>
      <w:pPr>
        <w:spacing w:after="0" w:line="201" w:lineRule="exact"/>
        <w:rPr>
          <w:sz w:val="20"/>
          <w:szCs w:val="20"/>
          <w:color w:val="auto"/>
        </w:rPr>
      </w:pPr>
    </w:p>
    <w:p>
      <w:pPr>
        <w:ind w:right="60"/>
        <w:spacing w:after="0" w:line="329" w:lineRule="auto"/>
        <w:rPr>
          <w:sz w:val="20"/>
          <w:szCs w:val="20"/>
          <w:color w:val="auto"/>
        </w:rPr>
      </w:pPr>
      <w:r>
        <w:rPr>
          <w:rFonts w:ascii="Arial" w:cs="Arial" w:eastAsia="Arial" w:hAnsi="Arial"/>
          <w:sz w:val="19"/>
          <w:szCs w:val="19"/>
          <w:i w:val="1"/>
          <w:iCs w:val="1"/>
          <w:u w:val="single" w:color="auto"/>
          <w:color w:val="auto"/>
        </w:rPr>
        <w:t>Foreign Currency</w:t>
      </w:r>
      <w:r>
        <w:rPr>
          <w:rFonts w:ascii="Arial" w:cs="Arial" w:eastAsia="Arial" w:hAnsi="Arial"/>
          <w:sz w:val="19"/>
          <w:szCs w:val="19"/>
          <w:i w:val="1"/>
          <w:iCs w:val="1"/>
          <w:color w:val="auto"/>
        </w:rPr>
        <w:t xml:space="preserve"> </w:t>
      </w:r>
      <w:r>
        <w:rPr>
          <w:rFonts w:ascii="Arial" w:cs="Arial" w:eastAsia="Arial" w:hAnsi="Arial"/>
          <w:sz w:val="19"/>
          <w:szCs w:val="19"/>
          <w:color w:val="auto"/>
        </w:rPr>
        <w:t>— Transactions in currencies other than the functional currency of the entity are recorded at the</w:t>
      </w:r>
      <w:r>
        <w:rPr>
          <w:rFonts w:ascii="Arial" w:cs="Arial" w:eastAsia="Arial" w:hAnsi="Arial"/>
          <w:sz w:val="19"/>
          <w:szCs w:val="19"/>
          <w:i w:val="1"/>
          <w:iCs w:val="1"/>
          <w:color w:val="auto"/>
        </w:rPr>
        <w:t xml:space="preserve"> </w:t>
      </w:r>
      <w:r>
        <w:rPr>
          <w:rFonts w:ascii="Arial" w:cs="Arial" w:eastAsia="Arial" w:hAnsi="Arial"/>
          <w:sz w:val="19"/>
          <w:szCs w:val="19"/>
          <w:color w:val="auto"/>
        </w:rPr>
        <w:t>rates of exchange prevailing at the date of the transaction. Monetary assets and liabilities in currencies other than the functional currency are translated at the rates of exchange prevailing at the balance sheet date and the related transaction gains and losses are reported as income or expense in the consolidated statements of comprehensive income. Certain intercompany loans may be determined to be of a long-term investment nature. The Company records transaction gains and losses from re-measuring such loans as other comprehensive income in the consolidated statements of comprehensive income.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 / 36</w:t>
      </w:r>
    </w:p>
    <w:p>
      <w:pPr>
        <w:sectPr>
          <w:pgSz w:w="11900" w:h="16838" w:orient="portrait"/>
          <w:cols w:equalWidth="0" w:num="1">
            <w:col w:w="9380"/>
          </w:cols>
          <w:pgMar w:left="1260" w:top="1440" w:right="1266" w:bottom="0" w:gutter="0" w:footer="0" w:header="0"/>
          <w:type w:val="continuous"/>
        </w:sectPr>
      </w:pPr>
    </w:p>
    <w:bookmarkStart w:id="157" w:name="page158"/>
    <w:bookmarkEnd w:id="157"/>
    <w:p>
      <w:pPr>
        <w:spacing w:after="0" w:line="310" w:lineRule="auto"/>
        <w:rPr>
          <w:sz w:val="20"/>
          <w:szCs w:val="20"/>
          <w:color w:val="auto"/>
        </w:rPr>
      </w:pPr>
      <w:r>
        <w:rPr>
          <w:rFonts w:ascii="Arial" w:cs="Arial" w:eastAsia="Arial" w:hAnsi="Arial"/>
          <w:sz w:val="20"/>
          <w:szCs w:val="20"/>
          <w:color w:val="auto"/>
        </w:rPr>
        <w:t>Upon consolidation, the results of operations of subsidiaries and associates whose functional currency is other than the U.S. dollar are translated into U.S. dollars at the average exchange rates, and assets and liabilities are translated at year-end exchange rates. Translation adjustments are presented as a separate component of other comprehensive income in the financial statements and are included in net income only upon sale or liquidation of the underlying foreign subsidiary or associated company.</w:t>
      </w:r>
    </w:p>
    <w:p>
      <w:pPr>
        <w:spacing w:after="0" w:line="195" w:lineRule="exact"/>
        <w:rPr>
          <w:sz w:val="20"/>
          <w:szCs w:val="20"/>
          <w:color w:val="auto"/>
        </w:rPr>
      </w:pPr>
    </w:p>
    <w:p>
      <w:pPr>
        <w:ind w:right="40"/>
        <w:spacing w:after="0" w:line="349" w:lineRule="auto"/>
        <w:rPr>
          <w:sz w:val="20"/>
          <w:szCs w:val="20"/>
          <w:color w:val="auto"/>
        </w:rPr>
      </w:pPr>
      <w:r>
        <w:rPr>
          <w:rFonts w:ascii="Arial" w:cs="Arial" w:eastAsia="Arial" w:hAnsi="Arial"/>
          <w:sz w:val="18"/>
          <w:szCs w:val="18"/>
          <w:i w:val="1"/>
          <w:iCs w:val="1"/>
          <w:u w:val="single" w:color="auto"/>
          <w:color w:val="auto"/>
        </w:rPr>
        <w:t>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uses derivative financial instruments to alter the risk profile of an existing underlying</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Forward and option foreign currency exchange contracts are used to manage currency exposures arising from future income and expenses and to offset balance sheet exposures in currencies other than the functional currency of an entity. We do not hold any derivatives for trading purposes. The fair values of derivative contracts are recorded in other assets and other liabilities in the consolidated balance sheets. The effective portions of changes in the fair value of derivatives that qualify for hedge accounting as cash flow hedges are recorded in other comprehensive income. Amounts are reclassified from other comprehensive income into earnings when the hedged exposure affects earnings. If the derivative is designated and qualifies as an effective hedge, the changes in the fair value of the derivative and of the hedged item associated with the hedged risk are both recognized in earnings. The amount of hedge ineffectiveness recognized in earnings is based on the extent to which an offset between the fair value of the derivative and hedged item is not achieved. Changes in the fair value of derivatives that do not qualify for hedge accounting, together with any hedge ineffectiveness on those that do qualify, are recorded in Other (loss)/ income, net or interest expense as appropriate.</w:t>
      </w:r>
    </w:p>
    <w:p>
      <w:pPr>
        <w:spacing w:after="0" w:line="167"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The Company evaluates whether its contracts include clauses or conditions which would be required to be separately accounted for at fair value as embedded derivatives. See Note 10 — Derivative Financial Instruments for additional information about the Company’s derivatives.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36</w:t>
      </w:r>
    </w:p>
    <w:p>
      <w:pPr>
        <w:sectPr>
          <w:pgSz w:w="11900" w:h="16838" w:orient="portrait"/>
          <w:cols w:equalWidth="0" w:num="1">
            <w:col w:w="9400"/>
          </w:cols>
          <w:pgMar w:left="1260" w:top="1173" w:right="1246" w:bottom="0" w:gutter="0" w:footer="0" w:header="0"/>
          <w:type w:val="continuous"/>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49" w:lineRule="auto"/>
        <w:rPr>
          <w:sz w:val="20"/>
          <w:szCs w:val="20"/>
          <w:color w:val="auto"/>
        </w:rPr>
      </w:pPr>
      <w:r>
        <w:rPr>
          <w:rFonts w:ascii="Arial" w:cs="Arial" w:eastAsia="Arial" w:hAnsi="Arial"/>
          <w:sz w:val="18"/>
          <w:szCs w:val="18"/>
          <w:i w:val="1"/>
          <w:iCs w:val="1"/>
          <w:u w:val="single" w:color="auto"/>
          <w:color w:val="auto"/>
        </w:rPr>
        <w:t>Commitments, Contingencies and Provisions for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establishes provisions against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actual and potential claims, lawsuits and other proceedings relating principally to alleged errors and omissions in the ordinary course of business. Such provisions cover claims that have been reported but not paid and also unasserted claims and related legal fees. These provisions are established based on actuarial estimates together with individual case reviews and are believed to be adequate in light of current information and legal advice. In certain cases, where a range of loss exists, we accrue the minimum amount in the range if no amount within the range is a better estimate than any other amount. To the extent such losses can be recovered under the Company’s insurance programs, estimated recoveries are recorded when losses for insured events are recognized and the recoveries are likely to be realized. Significant management judgment is required to estimate the amounts of such unasserted claims and the related insurance recoveries. The Company analyzes its litigation exposure based on available information, including consultation with outside counsel handling the defense of these matters, to assess its potential liability. These contingent liabilities are not discounted. See Note 15 — Commitments and Contingencies and Note 16 — Supplementary Information for Certain Balance Sheet Accounts for additional information about our commitments, contingencies and provisions for liabilities.</w:t>
      </w:r>
    </w:p>
    <w:p>
      <w:pPr>
        <w:spacing w:after="0" w:line="166" w:lineRule="exact"/>
        <w:rPr>
          <w:sz w:val="20"/>
          <w:szCs w:val="20"/>
          <w:color w:val="auto"/>
        </w:rPr>
      </w:pPr>
    </w:p>
    <w:p>
      <w:pPr>
        <w:ind w:right="80"/>
        <w:spacing w:after="0" w:line="355" w:lineRule="auto"/>
        <w:rPr>
          <w:sz w:val="20"/>
          <w:szCs w:val="20"/>
          <w:color w:val="auto"/>
        </w:rPr>
      </w:pPr>
      <w:r>
        <w:rPr>
          <w:rFonts w:ascii="Arial" w:cs="Arial" w:eastAsia="Arial" w:hAnsi="Arial"/>
          <w:sz w:val="18"/>
          <w:szCs w:val="18"/>
          <w:i w:val="1"/>
          <w:iCs w:val="1"/>
          <w:u w:val="single" w:color="auto"/>
          <w:color w:val="auto"/>
        </w:rPr>
        <w:t>Share-Based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equity-based compensation plans that provide for grants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and stock options to employees and non-employee directors of the Company. Additionally, the Company has cash-settled share-based compensation plans that provide for grants to employees.</w:t>
      </w:r>
    </w:p>
    <w:p>
      <w:pPr>
        <w:spacing w:after="0" w:line="162" w:lineRule="exact"/>
        <w:rPr>
          <w:sz w:val="20"/>
          <w:szCs w:val="20"/>
          <w:color w:val="auto"/>
        </w:rPr>
      </w:pPr>
    </w:p>
    <w:p>
      <w:pPr>
        <w:ind w:right="20"/>
        <w:spacing w:after="0" w:line="311" w:lineRule="auto"/>
        <w:rPr>
          <w:sz w:val="20"/>
          <w:szCs w:val="20"/>
          <w:color w:val="auto"/>
        </w:rPr>
      </w:pPr>
      <w:r>
        <w:rPr>
          <w:rFonts w:ascii="Arial" w:cs="Arial" w:eastAsia="Arial" w:hAnsi="Arial"/>
          <w:sz w:val="20"/>
          <w:szCs w:val="20"/>
          <w:color w:val="auto"/>
        </w:rPr>
        <w:t>The Company expenses equity-based compensation, which is included in Salaries and benefits in the consolidated statements of comprehensive income, primarily on a straight-line basis over the requisite service period. The significant assumptions underlying our expense calculations include the fair value of the award on the date of grant, the estimated achievement of any performance targets and estimated forfeiture rates. Forfeitures are estimated on the date of grant and revised for both actual and expected forfeiture activity. The awards under equity-based compensation are classified as equity and are included as a component of equity on the Company’s consolidated balance sheets, as the ultimate payment of such awards will not be achieved through use of the Company’s cash or other assets.</w:t>
      </w:r>
    </w:p>
    <w:p>
      <w:pPr>
        <w:spacing w:after="0" w:line="196"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For the cash-settled share-based compensation, the Company recognizes a liability for the fair-value of the awards as of each reporting date. The liability for these awards is included within Other current liabilities or Other non-current liabilities in the consolidated balance sheets depending on when the amounts are payable. Expense is recognized over the service period, and as the liability is remeasured at the end of each reporting period, changes in fair value are recognized as compensation cost within Salaries and benefits in the consolidated statements of comprehensive income. The significant assumptions underlying our expense calculations include the estimated achievement of any performance targets and estimated forfeiture rates.</w:t>
      </w:r>
    </w:p>
    <w:p>
      <w:pPr>
        <w:spacing w:after="0" w:line="183" w:lineRule="exact"/>
        <w:rPr>
          <w:sz w:val="20"/>
          <w:szCs w:val="20"/>
          <w:color w:val="auto"/>
        </w:rPr>
      </w:pPr>
    </w:p>
    <w:p>
      <w:pPr>
        <w:ind w:right="1020"/>
        <w:spacing w:after="0" w:line="302" w:lineRule="auto"/>
        <w:rPr>
          <w:sz w:val="20"/>
          <w:szCs w:val="20"/>
          <w:color w:val="auto"/>
        </w:rPr>
      </w:pPr>
      <w:r>
        <w:rPr>
          <w:rFonts w:ascii="Arial" w:cs="Arial" w:eastAsia="Arial" w:hAnsi="Arial"/>
          <w:sz w:val="20"/>
          <w:szCs w:val="20"/>
          <w:color w:val="auto"/>
        </w:rPr>
        <w:t>See Note 19 — Share-based Compensation for additional information about the Company’s share-based compensation.</w:t>
      </w:r>
    </w:p>
    <w:p>
      <w:pPr>
        <w:spacing w:after="0" w:line="201" w:lineRule="exact"/>
        <w:rPr>
          <w:sz w:val="20"/>
          <w:szCs w:val="20"/>
          <w:color w:val="auto"/>
        </w:rPr>
      </w:pPr>
    </w:p>
    <w:p>
      <w:pPr>
        <w:ind w:right="20"/>
        <w:spacing w:after="0" w:line="350" w:lineRule="auto"/>
        <w:rPr>
          <w:sz w:val="20"/>
          <w:szCs w:val="20"/>
          <w:color w:val="auto"/>
        </w:rPr>
      </w:pPr>
      <w:r>
        <w:rPr>
          <w:rFonts w:ascii="Arial" w:cs="Arial" w:eastAsia="Arial" w:hAnsi="Arial"/>
          <w:sz w:val="18"/>
          <w:szCs w:val="18"/>
          <w:i w:val="1"/>
          <w:iCs w:val="1"/>
          <w:u w:val="single" w:color="auto"/>
          <w:color w:val="auto"/>
        </w:rPr>
        <w:t>Employee Share Purchase Plan</w:t>
      </w:r>
      <w:r>
        <w:rPr>
          <w:rFonts w:ascii="Arial" w:cs="Arial" w:eastAsia="Arial" w:hAnsi="Arial"/>
          <w:sz w:val="18"/>
          <w:szCs w:val="18"/>
          <w:i w:val="1"/>
          <w:iCs w:val="1"/>
          <w:color w:val="auto"/>
        </w:rPr>
        <w:t xml:space="preserve"> </w:t>
      </w:r>
      <w:r>
        <w:rPr>
          <w:rFonts w:ascii="Arial" w:cs="Arial" w:eastAsia="Arial" w:hAnsi="Arial"/>
          <w:sz w:val="18"/>
          <w:szCs w:val="18"/>
          <w:color w:val="auto"/>
        </w:rPr>
        <w:t>— In the second quarter of 2024, the Company launched an employee share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 plan (‘ESPP’), which was initially available to colleagues in North America and certain other countries and was expanded to additional countries in 2025. The ESPP allows eligible colleagues to defer a portion of their after-tax income during biannual six-month offering periods, at the end of which periods amounts deferred are converted to shares using the Company’s closing share price on the last trading day of the applicable offering period with a 15% discount applied. ASC 840,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requires these deferred amounts to be</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 / 36</w:t>
      </w:r>
    </w:p>
    <w:p>
      <w:pPr>
        <w:sectPr>
          <w:pgSz w:w="11900" w:h="16838" w:orient="portrait"/>
          <w:cols w:equalWidth="0" w:num="1">
            <w:col w:w="9360"/>
          </w:cols>
          <w:pgMar w:left="1260" w:top="1440" w:right="1286" w:bottom="0" w:gutter="0" w:footer="0" w:header="0"/>
          <w:type w:val="continuous"/>
        </w:sectPr>
      </w:pPr>
    </w:p>
    <w:bookmarkStart w:id="159" w:name="page160"/>
    <w:bookmarkEnd w:id="159"/>
    <w:p>
      <w:pPr>
        <w:ind w:right="40"/>
        <w:spacing w:after="0" w:line="307" w:lineRule="auto"/>
        <w:rPr>
          <w:sz w:val="20"/>
          <w:szCs w:val="20"/>
          <w:color w:val="auto"/>
        </w:rPr>
      </w:pPr>
      <w:r>
        <w:rPr>
          <w:rFonts w:ascii="Arial" w:cs="Arial" w:eastAsia="Arial" w:hAnsi="Arial"/>
          <w:sz w:val="20"/>
          <w:szCs w:val="20"/>
          <w:color w:val="auto"/>
        </w:rPr>
        <w:t>recognized as liabilities, which we have included in other current liabilities on our accompanying consolidated balance sheet until they are converted to shares on the purchase date. See Note 19 — Share-based Compensation for more information.</w:t>
      </w:r>
    </w:p>
    <w:p>
      <w:pPr>
        <w:spacing w:after="0" w:line="197" w:lineRule="exact"/>
        <w:rPr>
          <w:sz w:val="20"/>
          <w:szCs w:val="20"/>
          <w:color w:val="auto"/>
        </w:rPr>
      </w:pPr>
    </w:p>
    <w:p>
      <w:pPr>
        <w:ind w:right="180"/>
        <w:spacing w:after="0" w:line="330" w:lineRule="auto"/>
        <w:rPr>
          <w:sz w:val="20"/>
          <w:szCs w:val="20"/>
          <w:color w:val="auto"/>
        </w:rPr>
      </w:pPr>
      <w:r>
        <w:rPr>
          <w:rFonts w:ascii="Arial" w:cs="Arial" w:eastAsia="Arial" w:hAnsi="Arial"/>
          <w:sz w:val="19"/>
          <w:szCs w:val="19"/>
          <w:i w:val="1"/>
          <w:iCs w:val="1"/>
          <w:u w:val="single" w:color="auto"/>
          <w:color w:val="auto"/>
        </w:rPr>
        <w:t>Fixed Assets</w:t>
      </w:r>
      <w:r>
        <w:rPr>
          <w:rFonts w:ascii="Arial" w:cs="Arial" w:eastAsia="Arial" w:hAnsi="Arial"/>
          <w:sz w:val="19"/>
          <w:szCs w:val="19"/>
          <w:i w:val="1"/>
          <w:iCs w:val="1"/>
          <w:color w:val="auto"/>
        </w:rPr>
        <w:t xml:space="preserve"> </w:t>
      </w:r>
      <w:r>
        <w:rPr>
          <w:rFonts w:ascii="Arial" w:cs="Arial" w:eastAsia="Arial" w:hAnsi="Arial"/>
          <w:sz w:val="19"/>
          <w:szCs w:val="19"/>
          <w:color w:val="auto"/>
        </w:rPr>
        <w:t>— Fixed assets are stated at cost less accumulated depreciation. Expenditures for improvements are</w:t>
      </w:r>
      <w:r>
        <w:rPr>
          <w:rFonts w:ascii="Arial" w:cs="Arial" w:eastAsia="Arial" w:hAnsi="Arial"/>
          <w:sz w:val="19"/>
          <w:szCs w:val="19"/>
          <w:i w:val="1"/>
          <w:iCs w:val="1"/>
          <w:color w:val="auto"/>
        </w:rPr>
        <w:t xml:space="preserve"> </w:t>
      </w:r>
      <w:r>
        <w:rPr>
          <w:rFonts w:ascii="Arial" w:cs="Arial" w:eastAsia="Arial" w:hAnsi="Arial"/>
          <w:sz w:val="19"/>
          <w:szCs w:val="19"/>
          <w:color w:val="auto"/>
        </w:rPr>
        <w:t>capitalized; repairs and maintenance are charged to expense as incurred. Depreciation is computed primarily using the straight-line method based on the estimated useful lives of assets.</w:t>
      </w:r>
    </w:p>
    <w:p>
      <w:pPr>
        <w:spacing w:after="0" w:line="179"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Depreciation on internally-developed software is amortized over the estimated useful life of the asset ranging from 3 to 10 years. Buildings include assets held under finance leases and are depreciated over the lesser of 50 years, the asset lives or the lease terms, as appropriate. Depreciation on leasehold improvements is calculated over the lesser of the useful lives of the assets or the remaining lease terms. Depreciation on furniture and equipment is calculated based on a range of 3 to 10 years. Land is not depreciated.</w:t>
      </w:r>
    </w:p>
    <w:p>
      <w:pPr>
        <w:spacing w:after="0" w:line="178" w:lineRule="exact"/>
        <w:rPr>
          <w:sz w:val="20"/>
          <w:szCs w:val="20"/>
          <w:color w:val="auto"/>
        </w:rPr>
      </w:pPr>
    </w:p>
    <w:p>
      <w:pPr>
        <w:ind w:right="100"/>
        <w:spacing w:after="0" w:line="350" w:lineRule="auto"/>
        <w:rPr>
          <w:sz w:val="20"/>
          <w:szCs w:val="20"/>
          <w:color w:val="auto"/>
        </w:rPr>
      </w:pPr>
      <w:r>
        <w:rPr>
          <w:rFonts w:ascii="Arial" w:cs="Arial" w:eastAsia="Arial" w:hAnsi="Arial"/>
          <w:sz w:val="18"/>
          <w:szCs w:val="18"/>
          <w:color w:val="auto"/>
        </w:rPr>
        <w:t>Long-lived assets are tested for recoverability whenever events or changes in circumstance indicate that their carrying amounts may not be recoverable. An impairment loss is recognized if the carrying amount of a long-lived asset is not recoverable and exceeds its fair value. Recoverability is determined based on the undiscounted cash flows expected to result from the use and eventual disposition of the asset or asset group. Long-lived assets and certain identifiable intangible assets to be disposed of are reported at the lower of carrying amount or fair value less cost to sell. See Note 8 — Fixed Assets for additional information about our fixed assets.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 / 36</w:t>
      </w:r>
    </w:p>
    <w:p>
      <w:pPr>
        <w:sectPr>
          <w:pgSz w:w="11900" w:h="16838" w:orient="portrait"/>
          <w:cols w:equalWidth="0" w:num="1">
            <w:col w:w="9340"/>
          </w:cols>
          <w:pgMar w:left="1260" w:top="1173" w:right="1306" w:bottom="0" w:gutter="0" w:footer="0" w:header="0"/>
          <w:type w:val="continuous"/>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
        <w:spacing w:after="0" w:line="329" w:lineRule="auto"/>
        <w:rPr>
          <w:sz w:val="20"/>
          <w:szCs w:val="20"/>
          <w:color w:val="auto"/>
        </w:rPr>
      </w:pPr>
      <w:r>
        <w:rPr>
          <w:rFonts w:ascii="Arial" w:cs="Arial" w:eastAsia="Arial" w:hAnsi="Arial"/>
          <w:sz w:val="19"/>
          <w:szCs w:val="19"/>
          <w:i w:val="1"/>
          <w:iCs w:val="1"/>
          <w:u w:val="single" w:color="auto"/>
          <w:color w:val="auto"/>
        </w:rPr>
        <w:t>Leases</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212529"/>
        </w:rPr>
        <w:t>As an advisory, broking and solutions company providing services to clients in more than 140 countries,</w:t>
      </w:r>
      <w:r>
        <w:rPr>
          <w:rFonts w:ascii="Arial" w:cs="Arial" w:eastAsia="Arial" w:hAnsi="Arial"/>
          <w:sz w:val="19"/>
          <w:szCs w:val="19"/>
          <w:i w:val="1"/>
          <w:iCs w:val="1"/>
          <w:color w:val="auto"/>
        </w:rPr>
        <w:t xml:space="preserve"> </w:t>
      </w:r>
      <w:r>
        <w:rPr>
          <w:rFonts w:ascii="Arial" w:cs="Arial" w:eastAsia="Arial" w:hAnsi="Arial"/>
          <w:sz w:val="19"/>
          <w:szCs w:val="19"/>
          <w:color w:val="212529"/>
        </w:rPr>
        <w:t>we enter into lease agreements from time to time, primarily for the use of real estate for our office space. We determine if an arrangement is a lease at the inception of the contract, and the nature of our operations is such that it is generally clear whether an arrangement contains a lease and what underlying asset is being leased. The majority of the leases into which we enter are operating leases. Upon entering into leases, we obtain the right to control the use of an identified space for a lease term and recognize these right-of-use (‘ROU’) assets on our consolidated balance sheets with corresponding lease liabilities reflecting our obligation to make the related lease payments. ROU assets are amortized over the term of the lease.</w:t>
      </w:r>
    </w:p>
    <w:p>
      <w:pPr>
        <w:spacing w:after="0" w:line="184" w:lineRule="exact"/>
        <w:rPr>
          <w:sz w:val="20"/>
          <w:szCs w:val="20"/>
          <w:color w:val="auto"/>
        </w:rPr>
      </w:pPr>
    </w:p>
    <w:p>
      <w:pPr>
        <w:ind w:right="80"/>
        <w:spacing w:after="0" w:line="372" w:lineRule="auto"/>
        <w:rPr>
          <w:sz w:val="20"/>
          <w:szCs w:val="20"/>
          <w:color w:val="auto"/>
        </w:rPr>
      </w:pPr>
      <w:r>
        <w:rPr>
          <w:rFonts w:ascii="Arial" w:cs="Arial" w:eastAsia="Arial" w:hAnsi="Arial"/>
          <w:sz w:val="17"/>
          <w:szCs w:val="17"/>
          <w:color w:val="212529"/>
        </w:rPr>
        <w:t>Our real estate leases are generally long-term in nature, with terms that currently range from 3 to 10 years. Our most significant lease supports our London market operations with a lease term through 2032. Our real estate leases often contain options to renew the lease, either through exercise of the option or through automatic renewal. Additionally, certain leases have options to cancel the lease with appropriate notice to the landlord prior to the end of the stated lease term. As we enter into new leases, we consider these options as we assess lease terms in our recognized ROU assets and lease liabilities. If we are reasonably certain to exercise an option to renew a lease, we include this period in our lease term. To the extent that we have the option to cancel a lease, we recognize our ROU assets and lease liabilities using the term that would result from using this earlier date. If a significant penalty is required to cancel the lease at an earlier date, we assess our lease term as ending at the point when no significant penalty would be due.</w:t>
      </w:r>
    </w:p>
    <w:p>
      <w:pPr>
        <w:spacing w:after="0" w:line="153" w:lineRule="exact"/>
        <w:rPr>
          <w:sz w:val="20"/>
          <w:szCs w:val="20"/>
          <w:color w:val="auto"/>
        </w:rPr>
      </w:pPr>
    </w:p>
    <w:p>
      <w:pPr>
        <w:ind w:right="20"/>
        <w:spacing w:after="0" w:line="349" w:lineRule="auto"/>
        <w:rPr>
          <w:sz w:val="20"/>
          <w:szCs w:val="20"/>
          <w:color w:val="auto"/>
        </w:rPr>
      </w:pPr>
      <w:r>
        <w:rPr>
          <w:rFonts w:ascii="Arial" w:cs="Arial" w:eastAsia="Arial" w:hAnsi="Arial"/>
          <w:sz w:val="18"/>
          <w:szCs w:val="18"/>
          <w:color w:val="212529"/>
        </w:rPr>
        <w:t xml:space="preserve">In addition to payments for previously-agreed base rent, many of our lease agreements are subject to variable and unknown future payments, typically in the form of common area maintenance charges (a non-lease component as defined by ASC 842, </w:t>
      </w:r>
      <w:r>
        <w:rPr>
          <w:rFonts w:ascii="Arial" w:cs="Arial" w:eastAsia="Arial" w:hAnsi="Arial"/>
          <w:sz w:val="18"/>
          <w:szCs w:val="18"/>
          <w:i w:val="1"/>
          <w:iCs w:val="1"/>
          <w:color w:val="212529"/>
        </w:rPr>
        <w:t>Leases</w:t>
      </w:r>
      <w:r>
        <w:rPr>
          <w:rFonts w:ascii="Arial" w:cs="Arial" w:eastAsia="Arial" w:hAnsi="Arial"/>
          <w:sz w:val="18"/>
          <w:szCs w:val="18"/>
          <w:color w:val="212529"/>
        </w:rPr>
        <w:t xml:space="preserve"> (‘ASC 842’)) or real estate taxes. These variable payments are excluded from our lease liabilities and ROU assets, and instead are recognized as lease expense within Other operating expenses on the consolidated statement of comprehensive income as the amounts are incurred. To the extent that we have agreed to fixed charges for common area maintenance or other non-lease components, or our base rent increases by an index or rate (most commonly an inflation rate), these amounts are included in the measurement of our lease liabilities and ROU assets. We have elected the practical expedient under ASC 842 which allows the lease and non-lease components to be combined in our measurement of lease liabilities and ROU assets.</w:t>
      </w:r>
    </w:p>
    <w:p>
      <w:pPr>
        <w:spacing w:after="0" w:line="171" w:lineRule="exact"/>
        <w:rPr>
          <w:sz w:val="20"/>
          <w:szCs w:val="20"/>
          <w:color w:val="auto"/>
        </w:rPr>
      </w:pPr>
    </w:p>
    <w:p>
      <w:pPr>
        <w:jc w:val="both"/>
        <w:spacing w:after="0" w:line="307" w:lineRule="auto"/>
        <w:rPr>
          <w:sz w:val="20"/>
          <w:szCs w:val="20"/>
          <w:color w:val="auto"/>
        </w:rPr>
      </w:pPr>
      <w:r>
        <w:rPr>
          <w:rFonts w:ascii="Arial" w:cs="Arial" w:eastAsia="Arial" w:hAnsi="Arial"/>
          <w:sz w:val="20"/>
          <w:szCs w:val="20"/>
          <w:color w:val="212529"/>
        </w:rPr>
        <w:t>From time to time we may enter into subleases if we are unable to cancel or fully occupy a space and are able to find an appropriate subtenant. However, entering subleases is not a primary objective of our business operations and these arrangements do not currently represent a material amount of cash flows.</w:t>
      </w:r>
    </w:p>
    <w:p>
      <w:pPr>
        <w:spacing w:after="0" w:line="197" w:lineRule="exact"/>
        <w:rPr>
          <w:sz w:val="20"/>
          <w:szCs w:val="20"/>
          <w:color w:val="auto"/>
        </w:rPr>
      </w:pPr>
    </w:p>
    <w:p>
      <w:pPr>
        <w:ind w:right="80"/>
        <w:spacing w:after="0" w:line="311" w:lineRule="auto"/>
        <w:rPr>
          <w:sz w:val="20"/>
          <w:szCs w:val="20"/>
          <w:color w:val="auto"/>
        </w:rPr>
      </w:pPr>
      <w:r>
        <w:rPr>
          <w:rFonts w:ascii="Arial" w:cs="Arial" w:eastAsia="Arial" w:hAnsi="Arial"/>
          <w:sz w:val="20"/>
          <w:szCs w:val="20"/>
          <w:color w:val="212529"/>
        </w:rPr>
        <w:t>We are required to use judgment in the determination of the incremental borrowing rates to calculate the present values of our future lease payments. Since the majority of our debt is publicly traded, our real estate function is centralized, and our treasury function is centralized and generally prohibits our subsidiaries from borrowing externally, we have determined it appropriate to use the Company’s consolidated unsecured borrowing rate, and we adjust for collateralization in accordance with ASC 842. Using the resulting interest rate curves from publicly traded debt at this collateralized borrowing rate, we select the interest rate at lease inception by reference to the lease term and lease currency. At December 31, 2025, 84% of our leases are denominated in U.S. dollars, Pounds sterling or Euros.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212529"/>
        </w:rPr>
        <w:t>Our leases generally do not subject us to restrictive covenants and contain no residual value guarantees.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See Note 14 — Leases for additional information about our operating leases.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36</w:t>
      </w:r>
    </w:p>
    <w:p>
      <w:pPr>
        <w:sectPr>
          <w:pgSz w:w="11900" w:h="16838" w:orient="portrait"/>
          <w:cols w:equalWidth="0" w:num="1">
            <w:col w:w="9400"/>
          </w:cols>
          <w:pgMar w:left="1260" w:top="1440" w:right="1246" w:bottom="0" w:gutter="0" w:footer="0" w:header="0"/>
          <w:type w:val="continuous"/>
        </w:sectPr>
      </w:pPr>
    </w:p>
    <w:bookmarkStart w:id="161" w:name="page162"/>
    <w:bookmarkEnd w:id="161"/>
    <w:p>
      <w:pPr>
        <w:spacing w:after="0" w:line="350" w:lineRule="auto"/>
        <w:rPr>
          <w:sz w:val="20"/>
          <w:szCs w:val="20"/>
          <w:color w:val="auto"/>
        </w:rPr>
      </w:pPr>
      <w:r>
        <w:rPr>
          <w:rFonts w:ascii="Arial" w:cs="Arial" w:eastAsia="Arial" w:hAnsi="Arial"/>
          <w:sz w:val="18"/>
          <w:szCs w:val="18"/>
          <w:i w:val="1"/>
          <w:iCs w:val="1"/>
          <w:u w:val="single" w:color="auto"/>
          <w:color w:val="auto"/>
        </w:rPr>
        <w:t>Goodwill and Other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In applying the acquisition method of accounting for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 amounts assigned to identifiable assets and liabilities acquired were based on estimated fair values as of the date of acquisition, with the remainder recorded as goodwill. 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Intangible assets with indefinite lives are tested for impairment annually as of October 1, and whenever indicators of impairment exist. The fair values of intangible assets are compared with their carrying values, and an impairment loss would be recognized for the amount by which a carrying amount exceeds its fair value.</w:t>
      </w:r>
    </w:p>
    <w:p>
      <w:pPr>
        <w:spacing w:after="0" w:line="165" w:lineRule="exact"/>
        <w:rPr>
          <w:sz w:val="20"/>
          <w:szCs w:val="20"/>
          <w:color w:val="auto"/>
        </w:rPr>
      </w:pPr>
    </w:p>
    <w:p>
      <w:pPr>
        <w:ind w:right="100"/>
        <w:spacing w:after="0" w:line="302" w:lineRule="auto"/>
        <w:rPr>
          <w:sz w:val="20"/>
          <w:szCs w:val="20"/>
          <w:color w:val="auto"/>
        </w:rPr>
      </w:pPr>
      <w:r>
        <w:rPr>
          <w:rFonts w:ascii="Arial" w:cs="Arial" w:eastAsia="Arial" w:hAnsi="Arial"/>
          <w:sz w:val="20"/>
          <w:szCs w:val="20"/>
          <w:color w:val="auto"/>
        </w:rPr>
        <w:t>Acquired intangible assets held at December 31, 2025 are being amortized on the basis noted and over the following expected life:</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740" w:type="dxa"/>
            <w:vAlign w:val="bottom"/>
          </w:tcPr>
          <w:p>
            <w:pPr>
              <w:ind w:left="400"/>
              <w:spacing w:after="0"/>
              <w:rPr>
                <w:sz w:val="20"/>
                <w:szCs w:val="20"/>
                <w:color w:val="auto"/>
              </w:rPr>
            </w:pPr>
            <w:r>
              <w:rPr>
                <w:rFonts w:ascii="Arial" w:cs="Arial" w:eastAsia="Arial" w:hAnsi="Arial"/>
                <w:sz w:val="16"/>
                <w:szCs w:val="16"/>
                <w:b w:val="1"/>
                <w:bCs w:val="1"/>
                <w:color w:val="auto"/>
              </w:rPr>
              <w:t>Expected life</w:t>
            </w:r>
          </w:p>
        </w:tc>
      </w:tr>
      <w:tr>
        <w:trPr>
          <w:trHeight w:val="240"/>
        </w:trPr>
        <w:tc>
          <w:tcPr>
            <w:tcW w:w="2720" w:type="dxa"/>
            <w:vAlign w:val="bottom"/>
          </w:tcPr>
          <w:p>
            <w:pPr>
              <w:spacing w:after="0"/>
              <w:rPr>
                <w:sz w:val="20"/>
                <w:szCs w:val="20"/>
                <w:color w:val="auto"/>
              </w:rPr>
            </w:pPr>
          </w:p>
        </w:tc>
        <w:tc>
          <w:tcPr>
            <w:tcW w:w="4940" w:type="dxa"/>
            <w:vAlign w:val="bottom"/>
          </w:tcPr>
          <w:p>
            <w:pPr>
              <w:ind w:left="2040"/>
              <w:spacing w:after="0"/>
              <w:rPr>
                <w:sz w:val="20"/>
                <w:szCs w:val="20"/>
                <w:color w:val="auto"/>
              </w:rPr>
            </w:pPr>
            <w:r>
              <w:rPr>
                <w:rFonts w:ascii="Arial" w:cs="Arial" w:eastAsia="Arial" w:hAnsi="Arial"/>
                <w:sz w:val="16"/>
                <w:szCs w:val="16"/>
                <w:b w:val="1"/>
                <w:bCs w:val="1"/>
                <w:color w:val="auto"/>
              </w:rPr>
              <w:t>Amortization basis</w:t>
            </w:r>
          </w:p>
        </w:tc>
        <w:tc>
          <w:tcPr>
            <w:tcW w:w="1740" w:type="dxa"/>
            <w:vAlign w:val="bottom"/>
          </w:tcPr>
          <w:p>
            <w:pPr>
              <w:ind w:left="600"/>
              <w:spacing w:after="0"/>
              <w:rPr>
                <w:sz w:val="20"/>
                <w:szCs w:val="20"/>
                <w:color w:val="auto"/>
              </w:rPr>
            </w:pPr>
            <w:r>
              <w:rPr>
                <w:rFonts w:ascii="Arial" w:cs="Arial" w:eastAsia="Arial" w:hAnsi="Arial"/>
                <w:sz w:val="16"/>
                <w:szCs w:val="16"/>
                <w:b w:val="1"/>
                <w:bCs w:val="1"/>
                <w:color w:val="auto"/>
              </w:rPr>
              <w:t>(years)</w:t>
            </w:r>
          </w:p>
        </w:tc>
      </w:tr>
      <w:tr>
        <w:trPr>
          <w:trHeight w:val="47"/>
        </w:trPr>
        <w:tc>
          <w:tcPr>
            <w:tcW w:w="2720" w:type="dxa"/>
            <w:vAlign w:val="bottom"/>
          </w:tcPr>
          <w:p>
            <w:pPr>
              <w:spacing w:after="0"/>
              <w:rPr>
                <w:sz w:val="4"/>
                <w:szCs w:val="4"/>
                <w:color w:val="auto"/>
              </w:rPr>
            </w:pPr>
          </w:p>
        </w:tc>
        <w:tc>
          <w:tcPr>
            <w:tcW w:w="494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80"/>
        </w:trPr>
        <w:tc>
          <w:tcPr>
            <w:tcW w:w="2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Client relationships</w:t>
            </w:r>
          </w:p>
        </w:tc>
        <w:tc>
          <w:tcPr>
            <w:tcW w:w="49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20"/>
                <w:szCs w:val="20"/>
                <w:color w:val="auto"/>
              </w:rPr>
              <w:t>In line with underlying cash flows</w:t>
            </w:r>
          </w:p>
        </w:tc>
        <w:tc>
          <w:tcPr>
            <w:tcW w:w="174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20"/>
                <w:szCs w:val="20"/>
                <w:color w:val="auto"/>
              </w:rPr>
              <w:t>1 to 21</w:t>
            </w:r>
          </w:p>
        </w:tc>
      </w:tr>
      <w:tr>
        <w:trPr>
          <w:trHeight w:val="259"/>
        </w:trPr>
        <w:tc>
          <w:tcPr>
            <w:tcW w:w="2720" w:type="dxa"/>
            <w:vAlign w:val="bottom"/>
          </w:tcPr>
          <w:p>
            <w:pPr>
              <w:spacing w:after="0"/>
              <w:rPr>
                <w:sz w:val="22"/>
                <w:szCs w:val="22"/>
                <w:color w:val="auto"/>
              </w:rPr>
            </w:pPr>
          </w:p>
        </w:tc>
        <w:tc>
          <w:tcPr>
            <w:tcW w:w="4940" w:type="dxa"/>
            <w:vAlign w:val="bottom"/>
          </w:tcPr>
          <w:p>
            <w:pPr>
              <w:ind w:left="560"/>
              <w:spacing w:after="0"/>
              <w:rPr>
                <w:sz w:val="20"/>
                <w:szCs w:val="20"/>
                <w:color w:val="auto"/>
              </w:rPr>
            </w:pPr>
            <w:r>
              <w:rPr>
                <w:rFonts w:ascii="Arial" w:cs="Arial" w:eastAsia="Arial" w:hAnsi="Arial"/>
                <w:sz w:val="20"/>
                <w:szCs w:val="20"/>
                <w:color w:val="auto"/>
              </w:rPr>
              <w:t>In line with underlying cash flows or straight-line</w:t>
            </w:r>
          </w:p>
        </w:tc>
        <w:tc>
          <w:tcPr>
            <w:tcW w:w="1740" w:type="dxa"/>
            <w:vAlign w:val="bottom"/>
          </w:tcPr>
          <w:p>
            <w:pPr>
              <w:spacing w:after="0"/>
              <w:rPr>
                <w:sz w:val="22"/>
                <w:szCs w:val="22"/>
                <w:color w:val="auto"/>
              </w:rPr>
            </w:pPr>
          </w:p>
        </w:tc>
      </w:tr>
      <w:tr>
        <w:trPr>
          <w:trHeight w:val="300"/>
        </w:trPr>
        <w:tc>
          <w:tcPr>
            <w:tcW w:w="2720" w:type="dxa"/>
            <w:vAlign w:val="bottom"/>
          </w:tcPr>
          <w:p>
            <w:pPr>
              <w:spacing w:after="0"/>
              <w:rPr>
                <w:sz w:val="20"/>
                <w:szCs w:val="20"/>
                <w:color w:val="auto"/>
              </w:rPr>
            </w:pPr>
            <w:r>
              <w:rPr>
                <w:rFonts w:ascii="Arial" w:cs="Arial" w:eastAsia="Arial" w:hAnsi="Arial"/>
                <w:sz w:val="20"/>
                <w:szCs w:val="20"/>
                <w:color w:val="auto"/>
              </w:rPr>
              <w:t>Software</w:t>
            </w:r>
          </w:p>
        </w:tc>
        <w:tc>
          <w:tcPr>
            <w:tcW w:w="4940" w:type="dxa"/>
            <w:vAlign w:val="bottom"/>
          </w:tcPr>
          <w:p>
            <w:pPr>
              <w:ind w:left="560"/>
              <w:spacing w:after="0"/>
              <w:rPr>
                <w:sz w:val="20"/>
                <w:szCs w:val="20"/>
                <w:color w:val="auto"/>
              </w:rPr>
            </w:pPr>
            <w:r>
              <w:rPr>
                <w:rFonts w:ascii="Arial" w:cs="Arial" w:eastAsia="Arial" w:hAnsi="Arial"/>
                <w:sz w:val="20"/>
                <w:szCs w:val="20"/>
                <w:color w:val="auto"/>
              </w:rPr>
              <w:t>basis</w:t>
            </w:r>
          </w:p>
        </w:tc>
        <w:tc>
          <w:tcPr>
            <w:tcW w:w="1740" w:type="dxa"/>
            <w:vAlign w:val="bottom"/>
          </w:tcPr>
          <w:p>
            <w:pPr>
              <w:ind w:left="760"/>
              <w:spacing w:after="0"/>
              <w:rPr>
                <w:sz w:val="20"/>
                <w:szCs w:val="20"/>
                <w:color w:val="auto"/>
              </w:rPr>
            </w:pPr>
            <w:r>
              <w:rPr>
                <w:rFonts w:ascii="Arial" w:cs="Arial" w:eastAsia="Arial" w:hAnsi="Arial"/>
                <w:sz w:val="20"/>
                <w:szCs w:val="20"/>
                <w:color w:val="auto"/>
              </w:rPr>
              <w:t>5</w:t>
            </w:r>
          </w:p>
        </w:tc>
      </w:tr>
      <w:tr>
        <w:trPr>
          <w:trHeight w:val="41"/>
        </w:trPr>
        <w:tc>
          <w:tcPr>
            <w:tcW w:w="2720" w:type="dxa"/>
            <w:vAlign w:val="bottom"/>
          </w:tcPr>
          <w:p>
            <w:pPr>
              <w:spacing w:after="0"/>
              <w:rPr>
                <w:sz w:val="3"/>
                <w:szCs w:val="3"/>
                <w:color w:val="auto"/>
              </w:rPr>
            </w:pPr>
          </w:p>
        </w:tc>
        <w:tc>
          <w:tcPr>
            <w:tcW w:w="494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59"/>
        </w:trPr>
        <w:tc>
          <w:tcPr>
            <w:tcW w:w="2720" w:type="dxa"/>
            <w:vAlign w:val="bottom"/>
            <w:shd w:val="clear" w:color="auto" w:fill="CFF0FC"/>
          </w:tcPr>
          <w:p>
            <w:pPr>
              <w:spacing w:after="0"/>
              <w:rPr>
                <w:sz w:val="20"/>
                <w:szCs w:val="20"/>
                <w:color w:val="auto"/>
              </w:rPr>
            </w:pPr>
            <w:r>
              <w:rPr>
                <w:rFonts w:ascii="Arial" w:cs="Arial" w:eastAsia="Arial" w:hAnsi="Arial"/>
                <w:sz w:val="20"/>
                <w:szCs w:val="20"/>
                <w:color w:val="auto"/>
              </w:rPr>
              <w:t>Trademark and trade name</w:t>
            </w:r>
          </w:p>
        </w:tc>
        <w:tc>
          <w:tcPr>
            <w:tcW w:w="4940" w:type="dxa"/>
            <w:vAlign w:val="bottom"/>
            <w:shd w:val="clear" w:color="auto" w:fill="CFF0FC"/>
          </w:tcPr>
          <w:p>
            <w:pPr>
              <w:ind w:left="560"/>
              <w:spacing w:after="0"/>
              <w:rPr>
                <w:sz w:val="20"/>
                <w:szCs w:val="20"/>
                <w:color w:val="auto"/>
              </w:rPr>
            </w:pPr>
            <w:r>
              <w:rPr>
                <w:rFonts w:ascii="Arial" w:cs="Arial" w:eastAsia="Arial" w:hAnsi="Arial"/>
                <w:sz w:val="20"/>
                <w:szCs w:val="20"/>
                <w:color w:val="auto"/>
              </w:rPr>
              <w:t>Straight-line basis</w:t>
            </w:r>
          </w:p>
        </w:tc>
        <w:tc>
          <w:tcPr>
            <w:tcW w:w="17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5 to 25</w:t>
            </w:r>
          </w:p>
        </w:tc>
      </w:tr>
      <w:tr>
        <w:trPr>
          <w:trHeight w:val="41"/>
        </w:trPr>
        <w:tc>
          <w:tcPr>
            <w:tcW w:w="2720" w:type="dxa"/>
            <w:vAlign w:val="bottom"/>
            <w:shd w:val="clear" w:color="auto" w:fill="CFF0FC"/>
          </w:tcPr>
          <w:p>
            <w:pPr>
              <w:spacing w:after="0"/>
              <w:rPr>
                <w:sz w:val="3"/>
                <w:szCs w:val="3"/>
                <w:color w:val="auto"/>
              </w:rPr>
            </w:pPr>
          </w:p>
        </w:tc>
        <w:tc>
          <w:tcPr>
            <w:tcW w:w="4940" w:type="dxa"/>
            <w:vAlign w:val="bottom"/>
            <w:shd w:val="clear" w:color="auto" w:fill="CFF0FC"/>
          </w:tcPr>
          <w:p>
            <w:pPr>
              <w:spacing w:after="0"/>
              <w:rPr>
                <w:sz w:val="3"/>
                <w:szCs w:val="3"/>
                <w:color w:val="auto"/>
              </w:rPr>
            </w:pPr>
          </w:p>
        </w:tc>
        <w:tc>
          <w:tcPr>
            <w:tcW w:w="17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2084705</wp:posOffset>
            </wp:positionH>
            <wp:positionV relativeFrom="paragraph">
              <wp:posOffset>-770890</wp:posOffset>
            </wp:positionV>
            <wp:extent cx="3879215" cy="95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3">
                      <a:extLst>
                        <a:ext uri="{28A0092B-C50C-407E-A947-70E740481C1C}"/>
                      </a:extLst>
                    </a:blip>
                    <a:srcRect/>
                    <a:stretch>
                      <a:fillRect/>
                    </a:stretch>
                  </pic:blipFill>
                  <pic:spPr bwMode="auto">
                    <a:xfrm>
                      <a:off x="0" y="0"/>
                      <a:ext cx="3879215" cy="9525"/>
                    </a:xfrm>
                    <a:prstGeom prst="rect">
                      <a:avLst/>
                    </a:prstGeom>
                    <a:noFill/>
                  </pic:spPr>
                </pic:pic>
              </a:graphicData>
            </a:graphic>
          </wp:anchor>
        </w:drawing>
      </w:r>
    </w:p>
    <w:p>
      <w:pPr>
        <w:spacing w:after="0" w:line="199" w:lineRule="exact"/>
        <w:rPr>
          <w:sz w:val="20"/>
          <w:szCs w:val="20"/>
          <w:color w:val="auto"/>
        </w:rPr>
      </w:pPr>
    </w:p>
    <w:p>
      <w:pPr>
        <w:ind w:right="160"/>
        <w:spacing w:after="0" w:line="302" w:lineRule="auto"/>
        <w:rPr>
          <w:sz w:val="20"/>
          <w:szCs w:val="20"/>
          <w:color w:val="auto"/>
        </w:rPr>
      </w:pPr>
      <w:r>
        <w:rPr>
          <w:rFonts w:ascii="Arial" w:cs="Arial" w:eastAsia="Arial" w:hAnsi="Arial"/>
          <w:sz w:val="20"/>
          <w:szCs w:val="20"/>
          <w:color w:val="auto"/>
        </w:rPr>
        <w:t>Goodwill is tested for impairment annually as of October 1, and whenever indicators of impairment exist. Goodwill is tested at the reporting unit level, and the Company had</w:t>
      </w:r>
    </w:p>
    <w:p>
      <w:pPr>
        <w:spacing w:after="0" w:line="21" w:lineRule="exact"/>
        <w:rPr>
          <w:sz w:val="20"/>
          <w:szCs w:val="20"/>
          <w:color w:val="auto"/>
        </w:rPr>
      </w:pPr>
    </w:p>
    <w:p>
      <w:pPr>
        <w:ind w:right="360"/>
        <w:spacing w:after="0" w:line="309" w:lineRule="auto"/>
        <w:rPr>
          <w:sz w:val="20"/>
          <w:szCs w:val="20"/>
          <w:color w:val="auto"/>
        </w:rPr>
      </w:pPr>
      <w:r>
        <w:rPr>
          <w:rFonts w:ascii="Arial" w:cs="Arial" w:eastAsia="Arial" w:hAnsi="Arial"/>
          <w:sz w:val="20"/>
          <w:szCs w:val="20"/>
          <w:color w:val="auto"/>
        </w:rPr>
        <w:t>six reporting units as of October 1, 2025. In the impairment test, the fair value of each reporting unit is compared with its carrying value, including goodwill. If the carrying value of a reporting unit exceeds its fair value, the difference is recognized as an impairment loss. As discussed in Note 3 — Acquisitions and Divestitures in connection with the sale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36</w:t>
      </w:r>
    </w:p>
    <w:p>
      <w:pPr>
        <w:sectPr>
          <w:pgSz w:w="11900" w:h="16838" w:orient="portrait"/>
          <w:cols w:equalWidth="0" w:num="1">
            <w:col w:w="9400"/>
          </w:cols>
          <w:pgMar w:left="1260" w:top="1173" w:right="1246" w:bottom="0" w:gutter="0" w:footer="0" w:header="0"/>
          <w:type w:val="continuous"/>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40"/>
        <w:spacing w:after="0" w:line="329" w:lineRule="auto"/>
        <w:rPr>
          <w:sz w:val="20"/>
          <w:szCs w:val="20"/>
          <w:color w:val="auto"/>
        </w:rPr>
      </w:pPr>
      <w:r>
        <w:rPr>
          <w:rFonts w:ascii="Arial" w:cs="Arial" w:eastAsia="Arial" w:hAnsi="Arial"/>
          <w:sz w:val="19"/>
          <w:szCs w:val="19"/>
          <w:color w:val="auto"/>
        </w:rPr>
        <w:t>of TRANZACT, completed on December 31, 2024, the Company recorded a $1.0 billion non-cash goodwill impairment charge on the Benefits Delivery &amp; Outsourcing reporting unit (‘BDO’). The BDO reporting unit goodwill after impairment is approximately $1.2 billion. After reflecting the sale of TRANZACT, the fair value of the remaining reporting unit was estimated to be significantly in excess of its carrying value. A qualitative impairment test for all six reporting units resulted in estimated fair values that continue to be significantly in excess of their carrying values at October 1, 2025. See Note 9 — Goodwill and Other Intangible Assets for additional information about our goodwill and other intangible assets.</w:t>
      </w:r>
    </w:p>
    <w:p>
      <w:pPr>
        <w:spacing w:after="0" w:line="183" w:lineRule="exact"/>
        <w:rPr>
          <w:sz w:val="20"/>
          <w:szCs w:val="20"/>
          <w:color w:val="auto"/>
        </w:rPr>
      </w:pPr>
    </w:p>
    <w:p>
      <w:pPr>
        <w:spacing w:after="0" w:line="329" w:lineRule="auto"/>
        <w:rPr>
          <w:sz w:val="20"/>
          <w:szCs w:val="20"/>
          <w:color w:val="auto"/>
        </w:rPr>
      </w:pPr>
      <w:r>
        <w:rPr>
          <w:rFonts w:ascii="Arial" w:cs="Arial" w:eastAsia="Arial" w:hAnsi="Arial"/>
          <w:sz w:val="19"/>
          <w:szCs w:val="19"/>
          <w:i w:val="1"/>
          <w:iCs w:val="1"/>
          <w:u w:val="single" w:color="auto"/>
          <w:color w:val="auto"/>
        </w:rPr>
        <w:t>Pensions</w:t>
      </w:r>
      <w:r>
        <w:rPr>
          <w:rFonts w:ascii="Arial" w:cs="Arial" w:eastAsia="Arial" w:hAnsi="Arial"/>
          <w:sz w:val="19"/>
          <w:szCs w:val="19"/>
          <w:i w:val="1"/>
          <w:iCs w:val="1"/>
          <w:color w:val="auto"/>
        </w:rPr>
        <w:t xml:space="preserve"> </w:t>
      </w:r>
      <w:r>
        <w:rPr>
          <w:rFonts w:ascii="Arial" w:cs="Arial" w:eastAsia="Arial" w:hAnsi="Arial"/>
          <w:sz w:val="19"/>
          <w:szCs w:val="19"/>
          <w:color w:val="auto"/>
        </w:rPr>
        <w:t>— The Company has multiple defined benefit pension and defined contribution plans. The net periodic cost</w:t>
      </w:r>
      <w:r>
        <w:rPr>
          <w:rFonts w:ascii="Arial" w:cs="Arial" w:eastAsia="Arial" w:hAnsi="Arial"/>
          <w:sz w:val="19"/>
          <w:szCs w:val="19"/>
          <w:i w:val="1"/>
          <w:iCs w:val="1"/>
          <w:color w:val="auto"/>
        </w:rPr>
        <w:t xml:space="preserve"> </w:t>
      </w:r>
      <w:r>
        <w:rPr>
          <w:rFonts w:ascii="Arial" w:cs="Arial" w:eastAsia="Arial" w:hAnsi="Arial"/>
          <w:sz w:val="19"/>
          <w:szCs w:val="19"/>
          <w:color w:val="auto"/>
        </w:rPr>
        <w:t>of the Company’s defined benefit plans is measured on an actuarial basis using various methods and actuarial assumptions. The most significant assumptions are the discount rates (formulated using the granular approach to calculating service and interest cost) and the expected long-term rates of return on plan assets. Other material assumptions include rates of participant mortality, the expected long-term rates of compensation and pension increases and rates of employee termination. Gains and losses occur when actual experience differs from actuarial assumptions. If such gains or losses exceed ten percent of the greater of the market-related value of plan assets or the projected benefit obligation, the Company amortizes those gains or losses over the average remaining service period or average remaining life expectancy, as appropriate, of the plan participants. In accordance with U.S. GAAP, the Company records the funded status of its pension plans based on the projected benefit obligation on its consolidated balance sheets.</w:t>
      </w:r>
    </w:p>
    <w:p>
      <w:pPr>
        <w:spacing w:after="0" w:line="185" w:lineRule="exact"/>
        <w:rPr>
          <w:sz w:val="20"/>
          <w:szCs w:val="20"/>
          <w:color w:val="auto"/>
        </w:rPr>
      </w:pPr>
    </w:p>
    <w:p>
      <w:pPr>
        <w:spacing w:after="0" w:line="355" w:lineRule="auto"/>
        <w:rPr>
          <w:sz w:val="20"/>
          <w:szCs w:val="20"/>
          <w:color w:val="auto"/>
        </w:rPr>
      </w:pPr>
      <w:r>
        <w:rPr>
          <w:rFonts w:ascii="Arial" w:cs="Arial" w:eastAsia="Arial" w:hAnsi="Arial"/>
          <w:sz w:val="18"/>
          <w:szCs w:val="18"/>
          <w:color w:val="auto"/>
        </w:rPr>
        <w:t>Contributions to the Company’s defined contribution plans are recognized as incurred. Differences between contributions payable in the year and contributions actually paid are shown as either other assets or other liabilities in the consolidated balance sheets. See Note 13 — Retirement Benefits for additional information about our pensions.</w:t>
      </w:r>
    </w:p>
    <w:p>
      <w:pPr>
        <w:spacing w:after="0" w:line="162" w:lineRule="exact"/>
        <w:rPr>
          <w:sz w:val="20"/>
          <w:szCs w:val="20"/>
          <w:color w:val="auto"/>
        </w:rPr>
      </w:pPr>
    </w:p>
    <w:p>
      <w:pPr>
        <w:spacing w:after="0" w:line="311" w:lineRule="auto"/>
        <w:rPr>
          <w:sz w:val="20"/>
          <w:szCs w:val="20"/>
          <w:color w:val="auto"/>
        </w:rPr>
      </w:pPr>
      <w:r>
        <w:rPr>
          <w:rFonts w:ascii="Arial" w:cs="Arial" w:eastAsia="Arial" w:hAnsi="Arial"/>
          <w:sz w:val="20"/>
          <w:szCs w:val="20"/>
          <w:i w:val="1"/>
          <w:iCs w:val="1"/>
          <w:u w:val="single" w:color="auto"/>
          <w:color w:val="auto"/>
        </w:rPr>
        <w:t>Revenue Recognition</w:t>
      </w:r>
      <w:r>
        <w:rPr>
          <w:rFonts w:ascii="Arial" w:cs="Arial" w:eastAsia="Arial" w:hAnsi="Arial"/>
          <w:sz w:val="20"/>
          <w:szCs w:val="20"/>
          <w:i w:val="1"/>
          <w:iCs w:val="1"/>
          <w:color w:val="auto"/>
        </w:rPr>
        <w:t xml:space="preserve"> </w:t>
      </w:r>
      <w:r>
        <w:rPr>
          <w:rFonts w:ascii="Arial" w:cs="Arial" w:eastAsia="Arial" w:hAnsi="Arial"/>
          <w:sz w:val="20"/>
          <w:szCs w:val="20"/>
          <w:color w:val="auto"/>
        </w:rPr>
        <w:t>— We recognize revenue from a variety of services, with broking, consulting and outsourced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administration representing our most significant offerings. All other revenue streams, which can be recognized at either a point in time or over time, are individually less significant and are grouped in Other in our revenue disaggregation disclosures in Note 4 </w:t>
      </w:r>
      <w:r>
        <w:rPr>
          <w:rFonts w:ascii="Arial" w:cs="Arial" w:eastAsia="Arial" w:hAnsi="Arial"/>
          <w:sz w:val="20"/>
          <w:szCs w:val="20"/>
          <w:b w:val="1"/>
          <w:bCs w:val="1"/>
          <w:color w:val="auto"/>
        </w:rPr>
        <w:t>—</w:t>
      </w:r>
      <w:r>
        <w:rPr>
          <w:rFonts w:ascii="Arial" w:cs="Arial" w:eastAsia="Arial" w:hAnsi="Arial"/>
          <w:sz w:val="20"/>
          <w:szCs w:val="20"/>
          <w:color w:val="auto"/>
        </w:rPr>
        <w:t xml:space="preserve"> Revenue. These Other revenue streams represent 6% to 7% of customer contract revenue each year. The Company experiences seasonal fluctuations of its revenue during the year, with revenue being typically higher during the Company’s first and fourth quarters due primarily to the timing of broking-related activities.</w:t>
      </w:r>
    </w:p>
    <w:p>
      <w:pPr>
        <w:spacing w:after="0" w:line="194" w:lineRule="exact"/>
        <w:rPr>
          <w:sz w:val="20"/>
          <w:szCs w:val="20"/>
          <w:color w:val="auto"/>
        </w:rPr>
      </w:pPr>
    </w:p>
    <w:p>
      <w:pPr>
        <w:ind w:right="60"/>
        <w:spacing w:after="0" w:line="350" w:lineRule="auto"/>
        <w:rPr>
          <w:sz w:val="20"/>
          <w:szCs w:val="20"/>
          <w:color w:val="auto"/>
        </w:rPr>
      </w:pPr>
      <w:r>
        <w:rPr>
          <w:rFonts w:ascii="Arial" w:cs="Arial" w:eastAsia="Arial" w:hAnsi="Arial"/>
          <w:sz w:val="18"/>
          <w:szCs w:val="18"/>
          <w:i w:val="1"/>
          <w:iCs w:val="1"/>
          <w:color w:val="auto"/>
        </w:rPr>
        <w:t xml:space="preserve">Broking </w:t>
      </w:r>
      <w:r>
        <w:rPr>
          <w:rFonts w:ascii="Arial" w:cs="Arial" w:eastAsia="Arial" w:hAnsi="Arial"/>
          <w:sz w:val="18"/>
          <w:szCs w:val="18"/>
          <w:color w:val="auto"/>
        </w:rPr>
        <w:t>— Representing 46% to 49% of customer contract revenue each year, in our broking arrangements, we earn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by acting as an intermediary in the placement of effective insurance policies. Generally, we act as an agent and view our client to be the party looking to obtain insurance coverage for various risks, or an employer or sponsoring organization looking to obtain insurance coverage for its employees or members. Our primary performance obligation under the majority of these arrangements is to place an effective insurance policy, but there can also be significant post-placement obligations in certain contracts to which we need to allocate revenue. The most common of these is for claims handling or call center support. The revenue recognition method for these, after the relative fair value allocation, is described further as part of the ‘Outsourced Administration’ description below.</w:t>
      </w:r>
    </w:p>
    <w:p>
      <w:pPr>
        <w:spacing w:after="0" w:line="165" w:lineRule="exact"/>
        <w:rPr>
          <w:sz w:val="20"/>
          <w:szCs w:val="20"/>
          <w:color w:val="auto"/>
        </w:rPr>
      </w:pPr>
    </w:p>
    <w:p>
      <w:pPr>
        <w:ind w:right="140"/>
        <w:spacing w:after="0" w:line="302" w:lineRule="auto"/>
        <w:rPr>
          <w:sz w:val="20"/>
          <w:szCs w:val="20"/>
          <w:color w:val="auto"/>
        </w:rPr>
      </w:pPr>
      <w:r>
        <w:rPr>
          <w:rFonts w:ascii="Arial" w:cs="Arial" w:eastAsia="Arial" w:hAnsi="Arial"/>
          <w:sz w:val="20"/>
          <w:szCs w:val="20"/>
          <w:color w:val="auto"/>
        </w:rPr>
        <w:t xml:space="preserve">Due to the nature of the majority of our broking arrangements, no single document constitutes the contract for ASC 606, </w:t>
      </w:r>
      <w:r>
        <w:rPr>
          <w:rFonts w:ascii="Arial" w:cs="Arial" w:eastAsia="Arial" w:hAnsi="Arial"/>
          <w:sz w:val="20"/>
          <w:szCs w:val="20"/>
          <w:i w:val="1"/>
          <w:iCs w:val="1"/>
          <w:color w:val="auto"/>
        </w:rPr>
        <w:t>Revenue From Contracts With Customers</w:t>
      </w:r>
    </w:p>
    <w:p>
      <w:pPr>
        <w:spacing w:after="0" w:line="21" w:lineRule="exact"/>
        <w:rPr>
          <w:sz w:val="20"/>
          <w:szCs w:val="20"/>
          <w:color w:val="auto"/>
        </w:rPr>
      </w:pPr>
    </w:p>
    <w:p>
      <w:pPr>
        <w:ind w:right="120"/>
        <w:spacing w:after="0" w:line="355" w:lineRule="auto"/>
        <w:rPr>
          <w:sz w:val="20"/>
          <w:szCs w:val="20"/>
          <w:color w:val="auto"/>
        </w:rPr>
      </w:pPr>
      <w:r>
        <w:rPr>
          <w:rFonts w:ascii="Arial" w:cs="Arial" w:eastAsia="Arial" w:hAnsi="Arial"/>
          <w:sz w:val="18"/>
          <w:szCs w:val="18"/>
          <w:color w:val="auto"/>
        </w:rPr>
        <w:t>(‘ASC 606’) purposes. Our services may be governed by a mixture of different types of contractual arrangements depending on the jurisdiction or type of coverage, including terms of business agreements, broker-of-record letters, statements of work or local custom and practice. This is then confirmed by the client’s acceptance of the underlying</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 / 36</w:t>
      </w:r>
    </w:p>
    <w:p>
      <w:pPr>
        <w:sectPr>
          <w:pgSz w:w="11900" w:h="16838" w:orient="portrait"/>
          <w:cols w:equalWidth="0" w:num="1">
            <w:col w:w="9380"/>
          </w:cols>
          <w:pgMar w:left="1260" w:top="1440" w:right="1266" w:bottom="0" w:gutter="0" w:footer="0" w:header="0"/>
          <w:type w:val="continuous"/>
        </w:sectPr>
      </w:pPr>
    </w:p>
    <w:bookmarkStart w:id="163" w:name="page164"/>
    <w:bookmarkEnd w:id="163"/>
    <w:p>
      <w:pPr>
        <w:ind w:right="120"/>
        <w:spacing w:after="0" w:line="350" w:lineRule="auto"/>
        <w:rPr>
          <w:sz w:val="20"/>
          <w:szCs w:val="20"/>
          <w:color w:val="auto"/>
        </w:rPr>
      </w:pPr>
      <w:r>
        <w:rPr>
          <w:rFonts w:ascii="Arial" w:cs="Arial" w:eastAsia="Arial" w:hAnsi="Arial"/>
          <w:sz w:val="18"/>
          <w:szCs w:val="18"/>
          <w:color w:val="auto"/>
        </w:rPr>
        <w:t>insurance contract. Prior to the policy inception date, the client has not accepted nor formally committed to perform under the arrangement (i.e. pay for the insurance coverage in place). Therefore, in the majority of broking arrangements, the contract date is the date the insurance policy incepts. However, in certain instances such as employer-sponsored Medicare broking or Affinity arrangements, where the employer or sponsoring organization is our customer, client acceptance of underlying individual policy placements is not required, and therefore the date at which we have a contract with a customer is not dependent upon placement.</w:t>
      </w:r>
    </w:p>
    <w:p>
      <w:pPr>
        <w:spacing w:after="0" w:line="169" w:lineRule="exact"/>
        <w:rPr>
          <w:sz w:val="20"/>
          <w:szCs w:val="20"/>
          <w:color w:val="auto"/>
        </w:rPr>
      </w:pPr>
    </w:p>
    <w:p>
      <w:pPr>
        <w:ind w:right="220"/>
        <w:spacing w:after="0" w:line="330" w:lineRule="auto"/>
        <w:rPr>
          <w:sz w:val="20"/>
          <w:szCs w:val="20"/>
          <w:color w:val="auto"/>
        </w:rPr>
      </w:pPr>
      <w:r>
        <w:rPr>
          <w:rFonts w:ascii="Arial" w:cs="Arial" w:eastAsia="Arial" w:hAnsi="Arial"/>
          <w:sz w:val="19"/>
          <w:szCs w:val="19"/>
          <w:color w:val="auto"/>
        </w:rPr>
        <w:t>As noted, our primary performance obligations typically consist of only the placement of an effective insurance policy which precedes the inception date of the policy. Therefore, most of our fulfillment costs are incurred before we can recognize revenue, and are thus deferred during the pre-placement process. Where we have material post-placement services obligations, we estimate the relative fair value of the post-placement services using either the expected cost-plus-margin or the market assessment approach.</w:t>
      </w:r>
    </w:p>
    <w:p>
      <w:pPr>
        <w:spacing w:after="0" w:line="178"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Revenue from our broking services consists of commissions or fees negotiated in lieu of commissions. At times, we may receive additional income for performing these services from the insurance and reinsurance carriers’ markets, which is collectively referred to as ‘market derived income’. In situations in which our fees are not fixed but are variable, we must estimate the likely commission per policy, taking into account the likelihood of cancellation before the end of the policy term. For employer-sponsored Medicare broking and Affinity arrangements, the commissions to which we will be entitled can vary based on the underlying individual insurance policies that are placed. For employer-sponsored Medicare broking in particular, we base the estimates of transaction prices on supportable evidence from an analysis of past transactions, and only include amounts that are probable of being received or not refunded (referred to as applying ‘constraint’ under ASC 606). This is an area requiring significant judgment and results in us estimating a transaction price that may be significantly lower than the ultimate amount of commissions we may collect. The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 / 36</w:t>
      </w:r>
    </w:p>
    <w:p>
      <w:pPr>
        <w:sectPr>
          <w:pgSz w:w="11900" w:h="16838" w:orient="portrait"/>
          <w:cols w:equalWidth="0" w:num="1">
            <w:col w:w="9380"/>
          </w:cols>
          <w:pgMar w:left="1260" w:top="1173" w:right="1266" w:bottom="0" w:gutter="0" w:footer="0" w:header="0"/>
          <w:type w:val="continuous"/>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60"/>
        <w:spacing w:after="0" w:line="302" w:lineRule="auto"/>
        <w:rPr>
          <w:sz w:val="20"/>
          <w:szCs w:val="20"/>
          <w:color w:val="auto"/>
        </w:rPr>
      </w:pPr>
      <w:r>
        <w:rPr>
          <w:rFonts w:ascii="Arial" w:cs="Arial" w:eastAsia="Arial" w:hAnsi="Arial"/>
          <w:sz w:val="20"/>
          <w:szCs w:val="20"/>
          <w:color w:val="auto"/>
        </w:rPr>
        <w:t>transaction price is then adjusted over time as we receive confirmation of our remuneration, or as other information becomes available.</w:t>
      </w:r>
    </w:p>
    <w:p>
      <w:pPr>
        <w:spacing w:after="0" w:line="201" w:lineRule="exact"/>
        <w:rPr>
          <w:sz w:val="20"/>
          <w:szCs w:val="20"/>
          <w:color w:val="auto"/>
        </w:rPr>
      </w:pPr>
    </w:p>
    <w:p>
      <w:pPr>
        <w:spacing w:after="0" w:line="375" w:lineRule="auto"/>
        <w:rPr>
          <w:sz w:val="20"/>
          <w:szCs w:val="20"/>
          <w:color w:val="auto"/>
        </w:rPr>
      </w:pPr>
      <w:r>
        <w:rPr>
          <w:rFonts w:ascii="Arial" w:cs="Arial" w:eastAsia="Arial" w:hAnsi="Arial"/>
          <w:sz w:val="17"/>
          <w:szCs w:val="17"/>
          <w:color w:val="auto"/>
        </w:rPr>
        <w:t>We recognize revenue for most broking arrangements as of a point in time at the later of the policy inception date or when the policy placement is complete, because this is viewed as the date when control is transferred to the client. For employer-sponsored Medicare broking, we recognize revenue over time, as we stand ready under our agreements to place retiree Medicare coverage. For this type of broking arrangement, we recognize the majority of our placement revenue in the fourth quarter of the calendar year when most of the placement or renewal activity occurs.</w:t>
      </w:r>
    </w:p>
    <w:p>
      <w:pPr>
        <w:spacing w:after="0" w:line="153" w:lineRule="exact"/>
        <w:rPr>
          <w:sz w:val="20"/>
          <w:szCs w:val="20"/>
          <w:color w:val="auto"/>
        </w:rPr>
      </w:pPr>
    </w:p>
    <w:p>
      <w:pPr>
        <w:ind w:right="20"/>
        <w:spacing w:after="0" w:line="350" w:lineRule="auto"/>
        <w:rPr>
          <w:sz w:val="20"/>
          <w:szCs w:val="20"/>
          <w:color w:val="auto"/>
        </w:rPr>
      </w:pPr>
      <w:r>
        <w:rPr>
          <w:rFonts w:ascii="Arial" w:cs="Arial" w:eastAsia="Arial" w:hAnsi="Arial"/>
          <w:sz w:val="18"/>
          <w:szCs w:val="18"/>
          <w:color w:val="auto"/>
        </w:rPr>
        <w:t>Prior to the sale of TRANZACT, we also had a direct-to-consumer Medicare broking offering. The contractual arrangements in this offering differed from our employer-sponsored Medicare broking offering described above. The governing contracts in our direct-to-consumer Medicare broking offering were the contractual arrangements with insurance carriers, for whom we acted as an agent, that provided compensation in return for issued policies. Once an application was submitted to a carrier, our obligation was complete, and we had no ongoing fulfillment obligations. We received compensation from carriers in the form of commissions, administrative fees and marketing fees in the first year, and depending on the type of policy issued, we may have received renewal commissions for up to 25 years, provided the policies were renewed for such periods of time.</w:t>
      </w:r>
    </w:p>
    <w:p>
      <w:pPr>
        <w:spacing w:after="0" w:line="165" w:lineRule="exact"/>
        <w:rPr>
          <w:sz w:val="20"/>
          <w:szCs w:val="20"/>
          <w:color w:val="auto"/>
        </w:rPr>
      </w:pPr>
    </w:p>
    <w:p>
      <w:pPr>
        <w:ind w:right="60"/>
        <w:spacing w:after="0" w:line="311" w:lineRule="auto"/>
        <w:rPr>
          <w:sz w:val="20"/>
          <w:szCs w:val="20"/>
          <w:color w:val="auto"/>
        </w:rPr>
      </w:pPr>
      <w:r>
        <w:rPr>
          <w:rFonts w:ascii="Arial" w:cs="Arial" w:eastAsia="Arial" w:hAnsi="Arial"/>
          <w:sz w:val="20"/>
          <w:szCs w:val="20"/>
          <w:color w:val="auto"/>
        </w:rPr>
        <w:t>Because our obligation was complete upon application submission to the carrier, we recognized revenue at that date, which included both compensation that was due to us in the first year as well as an estimate of the total renewal commissions that would have been received over the lifetime of the policy. This variable consideration estimate required significant judgment, and varied based on product type, estimated commission rates, the expected lives of the respective policies and other factors. The Company applied an actuarial model to account for these uncertainties, which was updated periodically based on actual experience, and included an element of ‘constraint’ as defined by ASC 606 such that no significant reversal was expected to occur in the future. Actual results differed from these estimates.</w:t>
      </w:r>
    </w:p>
    <w:p>
      <w:pPr>
        <w:spacing w:after="0" w:line="196" w:lineRule="exact"/>
        <w:rPr>
          <w:sz w:val="20"/>
          <w:szCs w:val="20"/>
          <w:color w:val="auto"/>
        </w:rPr>
      </w:pPr>
    </w:p>
    <w:p>
      <w:pPr>
        <w:ind w:right="40"/>
        <w:spacing w:after="0" w:line="352" w:lineRule="auto"/>
        <w:rPr>
          <w:sz w:val="20"/>
          <w:szCs w:val="20"/>
          <w:color w:val="auto"/>
        </w:rPr>
      </w:pPr>
      <w:r>
        <w:rPr>
          <w:rFonts w:ascii="Arial" w:cs="Arial" w:eastAsia="Arial" w:hAnsi="Arial"/>
          <w:sz w:val="18"/>
          <w:szCs w:val="18"/>
          <w:color w:val="auto"/>
        </w:rPr>
        <w:t>The timing of renewal payments in our direct-to-consumer Medicare broking offering was reflective of regulatory restrictions and insurance carriers’ protection for cancellations and varied based on policy holder decisions that were outside of the control of both the Company and the insurance carriers. As such, the estimate of these renewal commissions receivables was not discounted to reflect a significant financing component.</w:t>
      </w:r>
    </w:p>
    <w:p>
      <w:pPr>
        <w:spacing w:after="0" w:line="166" w:lineRule="exact"/>
        <w:rPr>
          <w:sz w:val="20"/>
          <w:szCs w:val="20"/>
          <w:color w:val="auto"/>
        </w:rPr>
      </w:pPr>
    </w:p>
    <w:p>
      <w:pPr>
        <w:ind w:right="60"/>
        <w:spacing w:after="0" w:line="330" w:lineRule="auto"/>
        <w:rPr>
          <w:sz w:val="20"/>
          <w:szCs w:val="20"/>
          <w:color w:val="auto"/>
        </w:rPr>
      </w:pPr>
      <w:r>
        <w:rPr>
          <w:rFonts w:ascii="Arial" w:cs="Arial" w:eastAsia="Arial" w:hAnsi="Arial"/>
          <w:sz w:val="19"/>
          <w:szCs w:val="19"/>
          <w:i w:val="1"/>
          <w:iCs w:val="1"/>
          <w:color w:val="auto"/>
        </w:rPr>
        <w:t xml:space="preserve">Consulting </w:t>
      </w:r>
      <w:r>
        <w:rPr>
          <w:rFonts w:ascii="Arial" w:cs="Arial" w:eastAsia="Arial" w:hAnsi="Arial"/>
          <w:sz w:val="19"/>
          <w:szCs w:val="19"/>
          <w:color w:val="auto"/>
        </w:rPr>
        <w:t>— We earn revenue for advisory and consulting work that may be structured as different types of service</w:t>
      </w:r>
      <w:r>
        <w:rPr>
          <w:rFonts w:ascii="Arial" w:cs="Arial" w:eastAsia="Arial" w:hAnsi="Arial"/>
          <w:sz w:val="19"/>
          <w:szCs w:val="19"/>
          <w:i w:val="1"/>
          <w:iCs w:val="1"/>
          <w:color w:val="auto"/>
        </w:rPr>
        <w:t xml:space="preserve"> </w:t>
      </w:r>
      <w:r>
        <w:rPr>
          <w:rFonts w:ascii="Arial" w:cs="Arial" w:eastAsia="Arial" w:hAnsi="Arial"/>
          <w:sz w:val="19"/>
          <w:szCs w:val="19"/>
          <w:color w:val="auto"/>
        </w:rPr>
        <w:t>offerings, including annual recurring projects, projects of a short duration or stand-ready obligations. Collectively, our consulting arrangements represent 31% to 35% of customer contract revenue each year.</w:t>
      </w:r>
    </w:p>
    <w:p>
      <w:pPr>
        <w:spacing w:after="0" w:line="179" w:lineRule="exact"/>
        <w:rPr>
          <w:sz w:val="20"/>
          <w:szCs w:val="20"/>
          <w:color w:val="auto"/>
        </w:rPr>
      </w:pPr>
    </w:p>
    <w:p>
      <w:pPr>
        <w:ind w:right="180"/>
        <w:spacing w:after="0" w:line="331" w:lineRule="auto"/>
        <w:rPr>
          <w:sz w:val="20"/>
          <w:szCs w:val="20"/>
          <w:color w:val="auto"/>
        </w:rPr>
      </w:pPr>
      <w:r>
        <w:rPr>
          <w:rFonts w:ascii="Arial" w:cs="Arial" w:eastAsia="Arial" w:hAnsi="Arial"/>
          <w:sz w:val="19"/>
          <w:szCs w:val="19"/>
          <w:color w:val="auto"/>
        </w:rPr>
        <w:t>We have engagement letters with our clients that specify the terms and conditions upon which the engagements are based. These terms and conditions can only be changed upon agreement by both parties.</w:t>
      </w:r>
    </w:p>
    <w:p>
      <w:pPr>
        <w:spacing w:after="0" w:line="177" w:lineRule="exact"/>
        <w:rPr>
          <w:sz w:val="20"/>
          <w:szCs w:val="20"/>
          <w:color w:val="auto"/>
        </w:rPr>
      </w:pPr>
    </w:p>
    <w:p>
      <w:pPr>
        <w:ind w:right="60"/>
        <w:spacing w:after="0" w:line="352" w:lineRule="auto"/>
        <w:rPr>
          <w:sz w:val="20"/>
          <w:szCs w:val="20"/>
          <w:color w:val="auto"/>
        </w:rPr>
      </w:pPr>
      <w:r>
        <w:rPr>
          <w:rFonts w:ascii="Arial" w:cs="Arial" w:eastAsia="Arial" w:hAnsi="Arial"/>
          <w:sz w:val="18"/>
          <w:szCs w:val="18"/>
          <w:color w:val="auto"/>
        </w:rPr>
        <w:t>In assessing our performance obligations, our consulting work is typically highly integrated, with the various promised services representing inputs of the combined overall output. We view these arrangements as representing a single performance obligation. To the extent we do not integrate our services, as is the case with unrelated services that may be sourced from different areas of our business, we consider these separate performance obligations.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36</w:t>
      </w:r>
    </w:p>
    <w:p>
      <w:pPr>
        <w:sectPr>
          <w:pgSz w:w="11900" w:h="16838" w:orient="portrait"/>
          <w:cols w:equalWidth="0" w:num="1">
            <w:col w:w="9380"/>
          </w:cols>
          <w:pgMar w:left="1260" w:top="1440" w:right="1266" w:bottom="0" w:gutter="0" w:footer="0" w:header="0"/>
          <w:type w:val="continuous"/>
        </w:sectPr>
      </w:pPr>
    </w:p>
    <w:bookmarkStart w:id="165" w:name="page166"/>
    <w:bookmarkEnd w:id="165"/>
    <w:p>
      <w:pPr>
        <w:spacing w:after="0" w:line="309" w:lineRule="auto"/>
        <w:rPr>
          <w:sz w:val="20"/>
          <w:szCs w:val="20"/>
          <w:color w:val="auto"/>
        </w:rPr>
      </w:pPr>
      <w:r>
        <w:rPr>
          <w:rFonts w:ascii="Arial" w:cs="Arial" w:eastAsia="Arial" w:hAnsi="Arial"/>
          <w:sz w:val="20"/>
          <w:szCs w:val="20"/>
          <w:color w:val="auto"/>
        </w:rPr>
        <w:t>Fee terms can be in the form of fixed-fees (including fixed-fees offset by commissions), time-and-expense fees, commissions, per-participant fees, or fees based on assets under management. Payment is typically due on a monthly basis as we perform under the contract, and we are entitled to be reimbursed for work performed to date in the event of termination.</w:t>
      </w:r>
    </w:p>
    <w:p>
      <w:pPr>
        <w:spacing w:after="0" w:line="196" w:lineRule="exact"/>
        <w:rPr>
          <w:sz w:val="20"/>
          <w:szCs w:val="20"/>
          <w:color w:val="auto"/>
        </w:rPr>
      </w:pPr>
    </w:p>
    <w:p>
      <w:pPr>
        <w:ind w:right="40"/>
        <w:spacing w:after="0" w:line="329" w:lineRule="auto"/>
        <w:rPr>
          <w:sz w:val="20"/>
          <w:szCs w:val="20"/>
          <w:color w:val="auto"/>
        </w:rPr>
      </w:pPr>
      <w:r>
        <w:rPr>
          <w:rFonts w:ascii="Arial" w:cs="Arial" w:eastAsia="Arial" w:hAnsi="Arial"/>
          <w:sz w:val="19"/>
          <w:szCs w:val="19"/>
          <w:color w:val="auto"/>
        </w:rPr>
        <w:t>The majority of our revenue from these consulting engagements is recognized over time, either because our clients are simultaneously receiving and consuming the benefits of our services, or because we have an enforceable right to payment for performance rendered to date. Additionally, from time to time, we may be entitled to an additional fee based on achieving certain performance criteria. To the extent that we cannot estimate with reasonable assurance the likelihood that we will achieve the performance target, we will ‘constrain’ this portion of the transaction price and recognize it when or as the uncertainty is resolved.</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We use different progress measures to determine our revenue depending on the nature of the engagement:</w:t>
      </w:r>
    </w:p>
    <w:p>
      <w:pPr>
        <w:spacing w:after="0" w:line="247" w:lineRule="exact"/>
        <w:rPr>
          <w:sz w:val="20"/>
          <w:szCs w:val="20"/>
          <w:color w:val="auto"/>
        </w:rPr>
      </w:pPr>
    </w:p>
    <w:p>
      <w:pPr>
        <w:ind w:left="620" w:right="40" w:hanging="313"/>
        <w:spacing w:after="0" w:line="395" w:lineRule="auto"/>
        <w:tabs>
          <w:tab w:leader="none" w:pos="620" w:val="left"/>
        </w:tabs>
        <w:numPr>
          <w:ilvl w:val="0"/>
          <w:numId w:val="52"/>
        </w:numPr>
        <w:rPr>
          <w:rFonts w:ascii="Arial" w:cs="Arial" w:eastAsia="Arial" w:hAnsi="Arial"/>
          <w:sz w:val="19"/>
          <w:szCs w:val="19"/>
          <w:color w:val="auto"/>
        </w:rPr>
      </w:pPr>
      <w:r>
        <w:rPr>
          <w:rFonts w:ascii="Arial" w:cs="Arial" w:eastAsia="Arial" w:hAnsi="Arial"/>
          <w:sz w:val="19"/>
          <w:szCs w:val="19"/>
          <w:i w:val="1"/>
          <w:iCs w:val="1"/>
          <w:color w:val="auto"/>
        </w:rPr>
        <w:t xml:space="preserve">Annual recurring projects </w:t>
      </w:r>
      <w:r>
        <w:rPr>
          <w:rFonts w:ascii="Arial" w:cs="Arial" w:eastAsia="Arial" w:hAnsi="Arial"/>
          <w:sz w:val="19"/>
          <w:szCs w:val="19"/>
          <w:color w:val="auto"/>
        </w:rPr>
        <w:t>and</w:t>
      </w:r>
      <w:r>
        <w:rPr>
          <w:rFonts w:ascii="Arial" w:cs="Arial" w:eastAsia="Arial" w:hAnsi="Arial"/>
          <w:sz w:val="19"/>
          <w:szCs w:val="19"/>
          <w:i w:val="1"/>
          <w:iCs w:val="1"/>
          <w:color w:val="auto"/>
        </w:rPr>
        <w:t xml:space="preserve"> projects of short duration. </w:t>
      </w:r>
      <w:r>
        <w:rPr>
          <w:rFonts w:ascii="Arial" w:cs="Arial" w:eastAsia="Arial" w:hAnsi="Arial"/>
          <w:sz w:val="19"/>
          <w:szCs w:val="19"/>
          <w:color w:val="auto"/>
        </w:rPr>
        <w:t>These projects are typically straightforward and</w:t>
      </w:r>
      <w:r>
        <w:rPr>
          <w:rFonts w:ascii="Arial" w:cs="Arial" w:eastAsia="Arial" w:hAnsi="Arial"/>
          <w:sz w:val="19"/>
          <w:szCs w:val="19"/>
          <w:i w:val="1"/>
          <w:iCs w:val="1"/>
          <w:color w:val="auto"/>
        </w:rPr>
        <w:t xml:space="preserve"> </w:t>
      </w:r>
      <w:r>
        <w:rPr>
          <w:rFonts w:ascii="Arial" w:cs="Arial" w:eastAsia="Arial" w:hAnsi="Arial"/>
          <w:sz w:val="19"/>
          <w:szCs w:val="19"/>
          <w:color w:val="auto"/>
        </w:rPr>
        <w:t>highly predictable in nature with either time-and-expense or fixed fee terms. Time-and-expense fees are recognized as hours or expenses are incurred using the ‘right to invoice’ practical expedient allowed under ASC 606. For fixed-fee arrangements, to the extent estimates can be made of the remaining work required under the arrangement, revenue is based upon the proportional performance method, using the value of labor hours spent to date compared to the estimated total value of labor hours for the entire engagement. We believe that cost represents a faithful depiction of the transfer of value because the completion of these performance obligations is based upon the professional services of employees of differing experience levels and thereby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 / 36</w:t>
      </w:r>
    </w:p>
    <w:p>
      <w:pPr>
        <w:sectPr>
          <w:pgSz w:w="11900" w:h="16838" w:orient="portrait"/>
          <w:cols w:equalWidth="0" w:num="1">
            <w:col w:w="9360"/>
          </w:cols>
          <w:pgMar w:left="1260" w:top="1173" w:right="1286" w:bottom="0" w:gutter="0" w:footer="0" w:header="0"/>
          <w:type w:val="continuous"/>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20" w:right="120"/>
        <w:spacing w:after="0" w:line="370" w:lineRule="auto"/>
        <w:rPr>
          <w:sz w:val="20"/>
          <w:szCs w:val="20"/>
          <w:color w:val="auto"/>
        </w:rPr>
      </w:pPr>
      <w:r>
        <w:rPr>
          <w:rFonts w:ascii="Arial" w:cs="Arial" w:eastAsia="Arial" w:hAnsi="Arial"/>
          <w:sz w:val="20"/>
          <w:szCs w:val="20"/>
          <w:color w:val="auto"/>
        </w:rPr>
        <w:t>costs. It is appropriate that satisfaction of these performance obligations considers both the number of hours incurred by each employee and the value of each labor hour worked (as opposed to simply the hours worked).</w:t>
      </w:r>
    </w:p>
    <w:p>
      <w:pPr>
        <w:spacing w:after="0" w:line="136" w:lineRule="exact"/>
        <w:rPr>
          <w:sz w:val="20"/>
          <w:szCs w:val="20"/>
          <w:color w:val="auto"/>
        </w:rPr>
      </w:pPr>
    </w:p>
    <w:p>
      <w:pPr>
        <w:ind w:left="620" w:right="20" w:hanging="313"/>
        <w:spacing w:after="0" w:line="373" w:lineRule="auto"/>
        <w:tabs>
          <w:tab w:leader="none" w:pos="620" w:val="left"/>
        </w:tabs>
        <w:numPr>
          <w:ilvl w:val="0"/>
          <w:numId w:val="53"/>
        </w:numPr>
        <w:rPr>
          <w:rFonts w:ascii="Arial" w:cs="Arial" w:eastAsia="Arial" w:hAnsi="Arial"/>
          <w:sz w:val="20"/>
          <w:szCs w:val="20"/>
          <w:color w:val="auto"/>
        </w:rPr>
      </w:pPr>
      <w:r>
        <w:rPr>
          <w:rFonts w:ascii="Arial" w:cs="Arial" w:eastAsia="Arial" w:hAnsi="Arial"/>
          <w:sz w:val="20"/>
          <w:szCs w:val="20"/>
          <w:i w:val="1"/>
          <w:iCs w:val="1"/>
          <w:color w:val="auto"/>
        </w:rPr>
        <w:t xml:space="preserve">Stand-ready obligations. </w:t>
      </w:r>
      <w:r>
        <w:rPr>
          <w:rFonts w:ascii="Arial" w:cs="Arial" w:eastAsia="Arial" w:hAnsi="Arial"/>
          <w:sz w:val="20"/>
          <w:szCs w:val="20"/>
          <w:color w:val="auto"/>
        </w:rPr>
        <w:t>These projects consist of repetitive monthly or quarterly services performed</w:t>
      </w:r>
      <w:r>
        <w:rPr>
          <w:rFonts w:ascii="Arial" w:cs="Arial" w:eastAsia="Arial" w:hAnsi="Arial"/>
          <w:sz w:val="20"/>
          <w:szCs w:val="20"/>
          <w:i w:val="1"/>
          <w:iCs w:val="1"/>
          <w:color w:val="auto"/>
        </w:rPr>
        <w:t xml:space="preserve"> </w:t>
      </w:r>
      <w:r>
        <w:rPr>
          <w:rFonts w:ascii="Arial" w:cs="Arial" w:eastAsia="Arial" w:hAnsi="Arial"/>
          <w:sz w:val="20"/>
          <w:szCs w:val="20"/>
          <w:color w:val="auto"/>
        </w:rPr>
        <w:t>consistently each period. As none of the activities provided under these services are performed at specified times and quantities, but at the discretion of each customer, our obligation is to stand ready to perform these services on an as-needed basis. These arrangements represent a ‘series’ performance obligation in accordance with ASC 606. Each time increment (i.e., each month or quarter) of standing ready to provide the overall services is distinct and the customer obtains value from each period of service independent of the other periods of service.</w:t>
      </w:r>
    </w:p>
    <w:p>
      <w:pPr>
        <w:spacing w:after="0" w:line="152" w:lineRule="exact"/>
        <w:rPr>
          <w:sz w:val="20"/>
          <w:szCs w:val="20"/>
          <w:color w:val="auto"/>
        </w:rPr>
      </w:pPr>
    </w:p>
    <w:p>
      <w:pPr>
        <w:ind w:right="80"/>
        <w:spacing w:after="0" w:line="350" w:lineRule="auto"/>
        <w:rPr>
          <w:sz w:val="20"/>
          <w:szCs w:val="20"/>
          <w:color w:val="auto"/>
        </w:rPr>
      </w:pPr>
      <w:r>
        <w:rPr>
          <w:rFonts w:ascii="Arial" w:cs="Arial" w:eastAsia="Arial" w:hAnsi="Arial"/>
          <w:sz w:val="18"/>
          <w:szCs w:val="18"/>
          <w:color w:val="auto"/>
        </w:rPr>
        <w:t>Where we recognize revenue on a proportional performance basis, the amount we recognize is affected by a number of factors that can change the estimated amount of work required to complete the project such as the staffing on the engagement and/or the level of client participation. Our periodic engagement evaluations require us to make judgments and estimates regarding the overall profitability and stage of project completion that, in turn, affect how we recognize revenue. We recognize a loss on an engagement when estimated revenue to be received for that engagement is less than the total estimated costs associated with the engagement.</w:t>
      </w:r>
    </w:p>
    <w:p>
      <w:pPr>
        <w:spacing w:after="0" w:line="169" w:lineRule="exact"/>
        <w:rPr>
          <w:sz w:val="20"/>
          <w:szCs w:val="20"/>
          <w:color w:val="auto"/>
        </w:rPr>
      </w:pPr>
    </w:p>
    <w:p>
      <w:pPr>
        <w:ind w:right="80"/>
        <w:spacing w:after="0" w:line="329" w:lineRule="auto"/>
        <w:rPr>
          <w:sz w:val="20"/>
          <w:szCs w:val="20"/>
          <w:color w:val="auto"/>
        </w:rPr>
      </w:pPr>
      <w:r>
        <w:rPr>
          <w:rFonts w:ascii="Arial" w:cs="Arial" w:eastAsia="Arial" w:hAnsi="Arial"/>
          <w:sz w:val="19"/>
          <w:szCs w:val="19"/>
          <w:i w:val="1"/>
          <w:iCs w:val="1"/>
          <w:color w:val="auto"/>
        </w:rPr>
        <w:t xml:space="preserve">Outsourced Administration </w:t>
      </w:r>
      <w:r>
        <w:rPr>
          <w:rFonts w:ascii="Arial" w:cs="Arial" w:eastAsia="Arial" w:hAnsi="Arial"/>
          <w:sz w:val="19"/>
          <w:szCs w:val="19"/>
          <w:color w:val="auto"/>
        </w:rPr>
        <w:t>— We provide customized benefits outsourcing and co-sourcing solutions services in</w:t>
      </w:r>
      <w:r>
        <w:rPr>
          <w:rFonts w:ascii="Arial" w:cs="Arial" w:eastAsia="Arial" w:hAnsi="Arial"/>
          <w:sz w:val="19"/>
          <w:szCs w:val="19"/>
          <w:i w:val="1"/>
          <w:iCs w:val="1"/>
          <w:color w:val="auto"/>
        </w:rPr>
        <w:t xml:space="preserve"> </w:t>
      </w:r>
      <w:r>
        <w:rPr>
          <w:rFonts w:ascii="Arial" w:cs="Arial" w:eastAsia="Arial" w:hAnsi="Arial"/>
          <w:sz w:val="19"/>
          <w:szCs w:val="19"/>
          <w:color w:val="auto"/>
        </w:rPr>
        <w:t>relation to the administration of defined benefit, defined contribution, and health and welfare plans. These plans are sponsored by our clients to provide benefits to their active or retired employees. Additionally, these services include operating call centers and may include providing access to, and managing, a variety of consumer-directed savings accounts. The operation of call centers and consumer-directed accounts can be provisioned as part of an ongoing administration or solutions service, or separately as part of a broking arrangement. The products and services available to all clients are the same, but the selections by client can vary and portray customized products and services based on the customer’s specific needs. Our services often include the use of proprietary systems that are configured for each of our clients’ needs. In total, our outsourced administration services represent 12% of customer contract revenue each year.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These contracts typically consist of an implementation phase and an ongoing administration phase:</w:t>
      </w:r>
    </w:p>
    <w:p>
      <w:pPr>
        <w:spacing w:after="0" w:line="245" w:lineRule="exact"/>
        <w:rPr>
          <w:sz w:val="20"/>
          <w:szCs w:val="20"/>
          <w:color w:val="auto"/>
        </w:rPr>
      </w:pPr>
    </w:p>
    <w:p>
      <w:pPr>
        <w:ind w:left="620" w:hanging="313"/>
        <w:spacing w:after="0" w:line="373" w:lineRule="auto"/>
        <w:tabs>
          <w:tab w:leader="none" w:pos="620" w:val="left"/>
        </w:tabs>
        <w:numPr>
          <w:ilvl w:val="0"/>
          <w:numId w:val="54"/>
        </w:numPr>
        <w:rPr>
          <w:rFonts w:ascii="Arial" w:cs="Arial" w:eastAsia="Arial" w:hAnsi="Arial"/>
          <w:sz w:val="20"/>
          <w:szCs w:val="20"/>
          <w:color w:val="auto"/>
        </w:rPr>
      </w:pPr>
      <w:r>
        <w:rPr>
          <w:rFonts w:ascii="Arial" w:cs="Arial" w:eastAsia="Arial" w:hAnsi="Arial"/>
          <w:sz w:val="20"/>
          <w:szCs w:val="20"/>
          <w:i w:val="1"/>
          <w:iCs w:val="1"/>
          <w:color w:val="auto"/>
        </w:rPr>
        <w:t xml:space="preserve">Implementation phase. </w:t>
      </w:r>
      <w:r>
        <w:rPr>
          <w:rFonts w:ascii="Arial" w:cs="Arial" w:eastAsia="Arial" w:hAnsi="Arial"/>
          <w:sz w:val="20"/>
          <w:szCs w:val="20"/>
          <w:color w:val="auto"/>
        </w:rPr>
        <w:t>Work performed during the implementation phase is considered a set-up activity</w:t>
      </w:r>
      <w:r>
        <w:rPr>
          <w:rFonts w:ascii="Arial" w:cs="Arial" w:eastAsia="Arial" w:hAnsi="Arial"/>
          <w:sz w:val="20"/>
          <w:szCs w:val="20"/>
          <w:i w:val="1"/>
          <w:iCs w:val="1"/>
          <w:color w:val="auto"/>
        </w:rPr>
        <w:t xml:space="preserve"> </w:t>
      </w:r>
      <w:r>
        <w:rPr>
          <w:rFonts w:ascii="Arial" w:cs="Arial" w:eastAsia="Arial" w:hAnsi="Arial"/>
          <w:sz w:val="20"/>
          <w:szCs w:val="20"/>
          <w:color w:val="auto"/>
        </w:rPr>
        <w:t>because it does not transfer a service to the customer, and therefore costs are deferred during this phase of the arrangement. Since these arrangements are longer term in nature and subject to more changes in scope as the project progresses, our contracts generally provide that if the client terminates a contract, we are entitled to an additional payment for services performed through the termination date designed to recover our up-front costs of implementation.</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 36</w:t>
      </w:r>
    </w:p>
    <w:p>
      <w:pPr>
        <w:sectPr>
          <w:pgSz w:w="11900" w:h="16838" w:orient="portrait"/>
          <w:cols w:equalWidth="0" w:num="1">
            <w:col w:w="9380"/>
          </w:cols>
          <w:pgMar w:left="1260" w:top="1440" w:right="1266" w:bottom="0" w:gutter="0" w:footer="0" w:header="0"/>
          <w:type w:val="continuous"/>
        </w:sectPr>
      </w:pPr>
    </w:p>
    <w:bookmarkStart w:id="167" w:name="page168"/>
    <w:bookmarkEnd w:id="167"/>
    <w:p>
      <w:pPr>
        <w:ind w:left="620" w:right="140" w:hanging="313"/>
        <w:spacing w:after="0" w:line="395" w:lineRule="auto"/>
        <w:tabs>
          <w:tab w:leader="none" w:pos="620" w:val="left"/>
        </w:tabs>
        <w:numPr>
          <w:ilvl w:val="0"/>
          <w:numId w:val="55"/>
        </w:numPr>
        <w:rPr>
          <w:rFonts w:ascii="Arial" w:cs="Arial" w:eastAsia="Arial" w:hAnsi="Arial"/>
          <w:sz w:val="19"/>
          <w:szCs w:val="19"/>
          <w:color w:val="auto"/>
        </w:rPr>
      </w:pPr>
      <w:r>
        <w:rPr>
          <w:rFonts w:ascii="Arial" w:cs="Arial" w:eastAsia="Arial" w:hAnsi="Arial"/>
          <w:sz w:val="19"/>
          <w:szCs w:val="19"/>
          <w:i w:val="1"/>
          <w:iCs w:val="1"/>
          <w:color w:val="auto"/>
        </w:rPr>
        <w:t xml:space="preserve">Ongoing administration phase. </w:t>
      </w:r>
      <w:r>
        <w:rPr>
          <w:rFonts w:ascii="Arial" w:cs="Arial" w:eastAsia="Arial" w:hAnsi="Arial"/>
          <w:sz w:val="19"/>
          <w:szCs w:val="19"/>
          <w:color w:val="auto"/>
        </w:rPr>
        <w:t>The ongoing administration phase includes a variety of plan administration</w:t>
      </w:r>
      <w:r>
        <w:rPr>
          <w:rFonts w:ascii="Arial" w:cs="Arial" w:eastAsia="Arial" w:hAnsi="Arial"/>
          <w:sz w:val="19"/>
          <w:szCs w:val="19"/>
          <w:i w:val="1"/>
          <w:iCs w:val="1"/>
          <w:color w:val="auto"/>
        </w:rPr>
        <w:t xml:space="preserve"> </w:t>
      </w:r>
      <w:r>
        <w:rPr>
          <w:rFonts w:ascii="Arial" w:cs="Arial" w:eastAsia="Arial" w:hAnsi="Arial"/>
          <w:sz w:val="19"/>
          <w:szCs w:val="19"/>
          <w:color w:val="auto"/>
        </w:rPr>
        <w:t>services, system hosting and support services. More specifically, these services include data management, calculations, reporting, fulfillment/communications, compliance services, call center support, and in our health and welfare arrangements, annual onboarding and enrollment support. While there are a variety of activities performed, the overall nature of the obligation is to provide an integrated outsourcing solution to the customer. The arrangement represents a stand-ready obligation to perform these activities on an as-needed basis. The customer obtains value from each period of service, and each time increment (i.e., each month, or each benefits cycle in our health and welfare arrangements) is distinct and substantially the same. Accordingly, the ongoing administration services represent a ‘series’ in accordance with ASC 606 and are deemed one performance obligation.</w:t>
      </w:r>
    </w:p>
    <w:p>
      <w:pPr>
        <w:spacing w:after="0" w:line="138"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We have engagement letters with our clients that specify the terms and conditions upon which the engagements are based. These terms and conditions can only be changed upon agreement by both parties. Fees for these arrangements can be fixed, per-participant-per-month, or in the case of call center services, provided in conjunction with our broking services, with an allocation based on commissions. Our fees are not typically payable until the commencement of the ongoing administration phase. However, in our health and welfare arrangements, we begin transferring services to our customers approximately four months prior to payments being due as part of our annual onboarding and enrollment work. Although our per-participant-per-month and commission-based fees are considered variable, they are typically predictable in nature, and therefore we generally do not ‘constrain’ any portion of our transaction price estimates. Once fees become payable, payment is typically due on a monthly basis as we perform under the contract, and we are entitled to be reimbursed for work performed to date in the event of termination.</w:t>
      </w:r>
    </w:p>
    <w:p>
      <w:pPr>
        <w:spacing w:after="0" w:line="170" w:lineRule="exact"/>
        <w:rPr>
          <w:sz w:val="20"/>
          <w:szCs w:val="20"/>
          <w:color w:val="auto"/>
        </w:rPr>
      </w:pPr>
    </w:p>
    <w:p>
      <w:pPr>
        <w:ind w:right="20"/>
        <w:spacing w:after="0" w:line="350" w:lineRule="auto"/>
        <w:rPr>
          <w:sz w:val="20"/>
          <w:szCs w:val="20"/>
          <w:color w:val="auto"/>
        </w:rPr>
      </w:pPr>
      <w:r>
        <w:rPr>
          <w:rFonts w:ascii="Arial" w:cs="Arial" w:eastAsia="Arial" w:hAnsi="Arial"/>
          <w:sz w:val="18"/>
          <w:szCs w:val="18"/>
          <w:color w:val="auto"/>
        </w:rPr>
        <w:t>Revenue is recognized over time as the services are performed because our clients are simultaneously receiving and consuming the benefits of our services. For our health and welfare arrangements where each benefits cycle represents a time increment under the series guidance, revenue is recognized based on proportional performance. We use an input measure (value of labor hours worked) as the measure of progress. Given that the service is stand-ready in nature, it can be difficult to predict the remaining obligation under the benefits cycle. Therefore, the input measure is based on the historical effort expended each month, which is measured as labor cost. This results in slightly more revenue being recognized during periods of annual onboarding since we are performing both our normal monthly services and our annual services during this portion of the benefits cycle.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338"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 / 36</w:t>
      </w:r>
    </w:p>
    <w:p>
      <w:pPr>
        <w:sectPr>
          <w:pgSz w:w="11900" w:h="16838" w:orient="portrait"/>
          <w:cols w:equalWidth="0" w:num="1">
            <w:col w:w="9380"/>
          </w:cols>
          <w:pgMar w:left="1260" w:top="1338" w:right="1266" w:bottom="0" w:gutter="0" w:footer="0" w:header="0"/>
          <w:type w:val="continuous"/>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80"/>
        <w:spacing w:after="0" w:line="310" w:lineRule="auto"/>
        <w:rPr>
          <w:sz w:val="20"/>
          <w:szCs w:val="20"/>
          <w:color w:val="auto"/>
        </w:rPr>
      </w:pPr>
      <w:r>
        <w:rPr>
          <w:rFonts w:ascii="Arial" w:cs="Arial" w:eastAsia="Arial" w:hAnsi="Arial"/>
          <w:sz w:val="20"/>
          <w:szCs w:val="20"/>
          <w:color w:val="auto"/>
        </w:rPr>
        <w:t>For all other outsourced administration arrangements where a month represents our time increment under the series guidance, we allocate transaction price to the month we are performing our services. Therefore, the amount recognized each month is the variable consideration related to that month plus the fixed monthly or annual fee. The fixed monthly or annual fee is recognized on a straight-line basis. Revenue recognition for these types of arrangements is therefore more consistent throughout the year.</w:t>
      </w:r>
    </w:p>
    <w:p>
      <w:pPr>
        <w:spacing w:after="0" w:line="195" w:lineRule="exact"/>
        <w:rPr>
          <w:sz w:val="20"/>
          <w:szCs w:val="20"/>
          <w:color w:val="auto"/>
        </w:rPr>
      </w:pPr>
    </w:p>
    <w:p>
      <w:pPr>
        <w:ind w:right="260"/>
        <w:spacing w:after="0" w:line="351" w:lineRule="auto"/>
        <w:rPr>
          <w:sz w:val="20"/>
          <w:szCs w:val="20"/>
          <w:color w:val="auto"/>
        </w:rPr>
      </w:pPr>
      <w:r>
        <w:rPr>
          <w:rFonts w:ascii="Arial" w:cs="Arial" w:eastAsia="Arial" w:hAnsi="Arial"/>
          <w:sz w:val="18"/>
          <w:szCs w:val="18"/>
          <w:i w:val="1"/>
          <w:iCs w:val="1"/>
          <w:color w:val="auto"/>
        </w:rPr>
        <w:t xml:space="preserve">Reimbursed expenses </w:t>
      </w:r>
      <w:r>
        <w:rPr>
          <w:rFonts w:ascii="Arial" w:cs="Arial" w:eastAsia="Arial" w:hAnsi="Arial"/>
          <w:sz w:val="18"/>
          <w:szCs w:val="18"/>
          <w:color w:val="auto"/>
        </w:rPr>
        <w:t>— Client reimbursable expenses, including those relating to travel, other out-of-pocket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any third-party costs, are included in revenue, and an equivalent amount of reimbursable expenses is included in other operating expenses as a cost of revenue as incurred. Reimbursed expenses represented approximately 1% of customer contract revenue each year. Taxes collected from customers and remitted to government authorities are recorded net and are excluded from revenue.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Interest income</w:t>
      </w:r>
      <w:r>
        <w:rPr>
          <w:rFonts w:ascii="Arial" w:cs="Arial" w:eastAsia="Arial" w:hAnsi="Arial"/>
          <w:sz w:val="20"/>
          <w:szCs w:val="20"/>
          <w:i w:val="1"/>
          <w:iCs w:val="1"/>
          <w:color w:val="auto"/>
        </w:rPr>
        <w:t xml:space="preserve"> — </w:t>
      </w:r>
      <w:r>
        <w:rPr>
          <w:rFonts w:ascii="Arial" w:cs="Arial" w:eastAsia="Arial" w:hAnsi="Arial"/>
          <w:sz w:val="20"/>
          <w:szCs w:val="20"/>
          <w:color w:val="auto"/>
        </w:rPr>
        <w:t>Interest income is recognized as earned.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Other income</w:t>
      </w:r>
    </w:p>
    <w:p>
      <w:pPr>
        <w:spacing w:after="0" w:line="80" w:lineRule="exact"/>
        <w:rPr>
          <w:sz w:val="20"/>
          <w:szCs w:val="20"/>
          <w:color w:val="auto"/>
        </w:rPr>
      </w:pPr>
    </w:p>
    <w:p>
      <w:pPr>
        <w:jc w:val="both"/>
        <w:ind w:right="440"/>
        <w:spacing w:after="0" w:line="307" w:lineRule="auto"/>
        <w:rPr>
          <w:sz w:val="20"/>
          <w:szCs w:val="20"/>
          <w:color w:val="auto"/>
        </w:rPr>
      </w:pPr>
      <w:r>
        <w:rPr>
          <w:rFonts w:ascii="Arial" w:cs="Arial" w:eastAsia="Arial" w:hAnsi="Arial"/>
          <w:sz w:val="20"/>
          <w:szCs w:val="20"/>
          <w:i w:val="1"/>
          <w:iCs w:val="1"/>
          <w:color w:val="auto"/>
        </w:rPr>
        <w:t xml:space="preserve">— </w:t>
      </w:r>
      <w:r>
        <w:rPr>
          <w:rFonts w:ascii="Arial" w:cs="Arial" w:eastAsia="Arial" w:hAnsi="Arial"/>
          <w:sz w:val="20"/>
          <w:szCs w:val="20"/>
          <w:color w:val="auto"/>
        </w:rPr>
        <w:t>Other income includes gains on disposal of intangible assets, which primarily arise from settlements through</w:t>
      </w:r>
      <w:r>
        <w:rPr>
          <w:rFonts w:ascii="Arial" w:cs="Arial" w:eastAsia="Arial" w:hAnsi="Arial"/>
          <w:sz w:val="20"/>
          <w:szCs w:val="20"/>
          <w:i w:val="1"/>
          <w:iCs w:val="1"/>
          <w:color w:val="auto"/>
        </w:rPr>
        <w:t xml:space="preserve"> </w:t>
      </w:r>
      <w:r>
        <w:rPr>
          <w:rFonts w:ascii="Arial" w:cs="Arial" w:eastAsia="Arial" w:hAnsi="Arial"/>
          <w:sz w:val="20"/>
          <w:szCs w:val="20"/>
          <w:color w:val="auto"/>
        </w:rPr>
        <w:t>enforcing non-compete agreements in the event of losing accounts through producer defection or the disposal of books of business.</w:t>
      </w:r>
    </w:p>
    <w:p>
      <w:pPr>
        <w:spacing w:after="0" w:line="197" w:lineRule="exact"/>
        <w:rPr>
          <w:sz w:val="20"/>
          <w:szCs w:val="20"/>
          <w:color w:val="auto"/>
        </w:rPr>
      </w:pPr>
    </w:p>
    <w:p>
      <w:pPr>
        <w:spacing w:after="0" w:line="351" w:lineRule="auto"/>
        <w:rPr>
          <w:sz w:val="20"/>
          <w:szCs w:val="20"/>
          <w:color w:val="auto"/>
        </w:rPr>
      </w:pPr>
      <w:r>
        <w:rPr>
          <w:rFonts w:ascii="Arial" w:cs="Arial" w:eastAsia="Arial" w:hAnsi="Arial"/>
          <w:sz w:val="18"/>
          <w:szCs w:val="18"/>
          <w:i w:val="1"/>
          <w:iCs w:val="1"/>
          <w:u w:val="single" w:color="auto"/>
          <w:color w:val="auto"/>
        </w:rPr>
        <w:t>Cost to obtain or fulfill contracts</w:t>
      </w:r>
      <w:r>
        <w:rPr>
          <w:rFonts w:ascii="Arial" w:cs="Arial" w:eastAsia="Arial" w:hAnsi="Arial"/>
          <w:sz w:val="18"/>
          <w:szCs w:val="18"/>
          <w:i w:val="1"/>
          <w:iCs w:val="1"/>
          <w:color w:val="auto"/>
        </w:rPr>
        <w:t xml:space="preserve"> — </w:t>
      </w:r>
      <w:r>
        <w:rPr>
          <w:rFonts w:ascii="Arial" w:cs="Arial" w:eastAsia="Arial" w:hAnsi="Arial"/>
          <w:sz w:val="18"/>
          <w:szCs w:val="18"/>
          <w:color w:val="auto"/>
        </w:rPr>
        <w:t>Costs to obtain customers include compensation for brokers under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that would not be incurred without a contract being signed and executed. The Company has elected to apply the ASC 606 ‘practical expedient’ which allows us to expense these costs as incurred if the amortization period related to the resulting asset would be one year or less. Where the Company has instances of contracts that would be amortized for a period greater than a year, the related compensation has been capitalized.</w:t>
      </w:r>
    </w:p>
    <w:p>
      <w:pPr>
        <w:spacing w:after="0" w:line="166" w:lineRule="exact"/>
        <w:rPr>
          <w:sz w:val="20"/>
          <w:szCs w:val="20"/>
          <w:color w:val="auto"/>
        </w:rPr>
      </w:pPr>
    </w:p>
    <w:p>
      <w:pPr>
        <w:jc w:val="both"/>
        <w:ind w:right="40"/>
        <w:spacing w:after="0" w:line="307" w:lineRule="auto"/>
        <w:rPr>
          <w:sz w:val="20"/>
          <w:szCs w:val="20"/>
          <w:color w:val="auto"/>
        </w:rPr>
      </w:pPr>
      <w:r>
        <w:rPr>
          <w:rFonts w:ascii="Arial" w:cs="Arial" w:eastAsia="Arial" w:hAnsi="Arial"/>
          <w:sz w:val="20"/>
          <w:szCs w:val="20"/>
          <w:color w:val="auto"/>
        </w:rPr>
        <w:t>Costs to fulfill include costs incurred by the Company that are expected to be recovered within the expected contract period. The costs associated with our system implementation activities and consulting contracts are recorded through time entry.</w:t>
      </w:r>
    </w:p>
    <w:p>
      <w:pPr>
        <w:spacing w:after="0" w:line="197" w:lineRule="exact"/>
        <w:rPr>
          <w:sz w:val="20"/>
          <w:szCs w:val="20"/>
          <w:color w:val="auto"/>
        </w:rPr>
      </w:pPr>
    </w:p>
    <w:p>
      <w:pPr>
        <w:ind w:right="140"/>
        <w:spacing w:after="0" w:line="302" w:lineRule="auto"/>
        <w:rPr>
          <w:sz w:val="20"/>
          <w:szCs w:val="20"/>
          <w:color w:val="auto"/>
        </w:rPr>
      </w:pPr>
      <w:r>
        <w:rPr>
          <w:rFonts w:ascii="Arial" w:cs="Arial" w:eastAsia="Arial" w:hAnsi="Arial"/>
          <w:sz w:val="20"/>
          <w:szCs w:val="20"/>
          <w:color w:val="auto"/>
        </w:rPr>
        <w:t>For our broking business, the Company must estimate the fulfillment costs incurred during the pre-placement of the broking contracts. These judgments include:</w:t>
      </w:r>
    </w:p>
    <w:p>
      <w:pPr>
        <w:spacing w:after="0" w:line="131" w:lineRule="exact"/>
        <w:rPr>
          <w:sz w:val="20"/>
          <w:szCs w:val="20"/>
          <w:color w:val="auto"/>
        </w:rPr>
      </w:pPr>
    </w:p>
    <w:p>
      <w:pPr>
        <w:ind w:left="620" w:hanging="313"/>
        <w:spacing w:after="0"/>
        <w:tabs>
          <w:tab w:leader="none" w:pos="6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which activities in the pre-placement process should be eligible for capitalization;</w:t>
      </w:r>
    </w:p>
    <w:p>
      <w:pPr>
        <w:spacing w:after="0" w:line="190" w:lineRule="exact"/>
        <w:rPr>
          <w:rFonts w:ascii="Arial" w:cs="Arial" w:eastAsia="Arial" w:hAnsi="Arial"/>
          <w:sz w:val="20"/>
          <w:szCs w:val="20"/>
          <w:color w:val="auto"/>
        </w:rPr>
      </w:pPr>
    </w:p>
    <w:p>
      <w:pPr>
        <w:ind w:left="620" w:hanging="313"/>
        <w:spacing w:after="0"/>
        <w:tabs>
          <w:tab w:leader="none" w:pos="6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amount of time and effort expended on those pre-placement activities;</w:t>
      </w:r>
    </w:p>
    <w:p>
      <w:pPr>
        <w:spacing w:after="0" w:line="190" w:lineRule="exact"/>
        <w:rPr>
          <w:rFonts w:ascii="Arial" w:cs="Arial" w:eastAsia="Arial" w:hAnsi="Arial"/>
          <w:sz w:val="20"/>
          <w:szCs w:val="20"/>
          <w:color w:val="auto"/>
        </w:rPr>
      </w:pPr>
    </w:p>
    <w:p>
      <w:pPr>
        <w:ind w:left="620" w:hanging="313"/>
        <w:spacing w:after="0"/>
        <w:tabs>
          <w:tab w:leader="none" w:pos="6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amount of payroll and related costs eligible for capitalization; and,</w:t>
      </w:r>
    </w:p>
    <w:p>
      <w:pPr>
        <w:spacing w:after="0" w:line="190" w:lineRule="exact"/>
        <w:rPr>
          <w:rFonts w:ascii="Arial" w:cs="Arial" w:eastAsia="Arial" w:hAnsi="Arial"/>
          <w:sz w:val="20"/>
          <w:szCs w:val="20"/>
          <w:color w:val="auto"/>
        </w:rPr>
      </w:pPr>
    </w:p>
    <w:p>
      <w:pPr>
        <w:ind w:left="620" w:hanging="313"/>
        <w:spacing w:after="0"/>
        <w:tabs>
          <w:tab w:leader="none" w:pos="6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monthly or quarterly timing of underlying insurance and reinsurance policy inception dates.</w:t>
      </w:r>
    </w:p>
    <w:p>
      <w:pPr>
        <w:spacing w:after="0" w:line="260" w:lineRule="exact"/>
        <w:rPr>
          <w:sz w:val="20"/>
          <w:szCs w:val="20"/>
          <w:color w:val="auto"/>
        </w:rPr>
      </w:pPr>
    </w:p>
    <w:p>
      <w:pPr>
        <w:ind w:right="200"/>
        <w:spacing w:after="0" w:line="310" w:lineRule="auto"/>
        <w:rPr>
          <w:sz w:val="20"/>
          <w:szCs w:val="20"/>
          <w:color w:val="auto"/>
        </w:rPr>
      </w:pPr>
      <w:r>
        <w:rPr>
          <w:rFonts w:ascii="Arial" w:cs="Arial" w:eastAsia="Arial" w:hAnsi="Arial"/>
          <w:sz w:val="20"/>
          <w:szCs w:val="20"/>
          <w:color w:val="auto"/>
        </w:rPr>
        <w:t>We amortize costs to fulfill over the period we receive the related benefits. For broking pre-placement costs, this is typically less than a year. In our system implementation and consulting arrangements and in our cost to obtain broking arrangements which do not qualify for the practical expedient, we include the likelihood of contract renewals in our estimate of the amortization period, resulting in most costs being amortized for a greater length of time than the initial contract term.</w:t>
      </w:r>
    </w:p>
    <w:p>
      <w:pPr>
        <w:spacing w:after="0" w:line="195" w:lineRule="exact"/>
        <w:rPr>
          <w:sz w:val="20"/>
          <w:szCs w:val="20"/>
          <w:color w:val="auto"/>
        </w:rPr>
      </w:pPr>
    </w:p>
    <w:p>
      <w:pPr>
        <w:ind w:right="200"/>
        <w:spacing w:after="0" w:line="307" w:lineRule="auto"/>
        <w:rPr>
          <w:sz w:val="20"/>
          <w:szCs w:val="20"/>
          <w:color w:val="auto"/>
        </w:rPr>
      </w:pPr>
      <w:r>
        <w:rPr>
          <w:rFonts w:ascii="Arial" w:cs="Arial" w:eastAsia="Arial" w:hAnsi="Arial"/>
          <w:sz w:val="20"/>
          <w:szCs w:val="20"/>
          <w:i w:val="1"/>
          <w:iCs w:val="1"/>
          <w:u w:val="single" w:color="auto"/>
          <w:color w:val="auto"/>
        </w:rPr>
        <w:t>Transaction and transformation</w:t>
      </w:r>
      <w:r>
        <w:rPr>
          <w:rFonts w:ascii="Arial" w:cs="Arial" w:eastAsia="Arial" w:hAnsi="Arial"/>
          <w:sz w:val="20"/>
          <w:szCs w:val="20"/>
          <w:i w:val="1"/>
          <w:iCs w:val="1"/>
          <w:color w:val="auto"/>
        </w:rPr>
        <w:t xml:space="preserve"> — </w:t>
      </w:r>
      <w:r>
        <w:rPr>
          <w:rFonts w:ascii="Arial" w:cs="Arial" w:eastAsia="Arial" w:hAnsi="Arial"/>
          <w:sz w:val="20"/>
          <w:szCs w:val="20"/>
          <w:color w:val="auto"/>
        </w:rPr>
        <w:t>Transaction and transformation consists of two components, transaction-related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costs related to acquisitions and disposals, and transformation expenses associated with our completed Transformation program (see Note 6 </w:t>
      </w:r>
      <w:r>
        <w:rPr>
          <w:rFonts w:ascii="Arial" w:cs="Arial" w:eastAsia="Arial" w:hAnsi="Arial"/>
          <w:sz w:val="20"/>
          <w:szCs w:val="20"/>
          <w:i w:val="1"/>
          <w:iCs w:val="1"/>
          <w:color w:val="auto"/>
        </w:rPr>
        <w:t>—</w:t>
      </w:r>
      <w:r>
        <w:rPr>
          <w:rFonts w:ascii="Arial" w:cs="Arial" w:eastAsia="Arial" w:hAnsi="Arial"/>
          <w:sz w:val="20"/>
          <w:szCs w:val="20"/>
          <w:color w:val="auto"/>
        </w:rPr>
        <w:t xml:space="preserve"> Restructuring Costs).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36</w:t>
      </w:r>
    </w:p>
    <w:p>
      <w:pPr>
        <w:sectPr>
          <w:pgSz w:w="11900" w:h="16838" w:orient="portrait"/>
          <w:cols w:equalWidth="0" w:num="1">
            <w:col w:w="9400"/>
          </w:cols>
          <w:pgMar w:left="1260" w:top="1440" w:right="1246" w:bottom="0" w:gutter="0" w:footer="0" w:header="0"/>
          <w:type w:val="continuous"/>
        </w:sectPr>
      </w:pPr>
    </w:p>
    <w:bookmarkStart w:id="169" w:name="page170"/>
    <w:bookmarkEnd w:id="169"/>
    <w:p>
      <w:pPr>
        <w:spacing w:after="0" w:line="352" w:lineRule="auto"/>
        <w:rPr>
          <w:sz w:val="20"/>
          <w:szCs w:val="20"/>
          <w:color w:val="auto"/>
        </w:rPr>
      </w:pPr>
      <w:r>
        <w:rPr>
          <w:rFonts w:ascii="Arial" w:cs="Arial" w:eastAsia="Arial" w:hAnsi="Arial"/>
          <w:sz w:val="18"/>
          <w:szCs w:val="18"/>
          <w:color w:val="auto"/>
        </w:rPr>
        <w:t>Transaction costs primarily include legal and other professional fees as well as other costs that are directly attributable to an acquisition or an in-process but not yet completed divestiture. Costs related to divestitures incurred during the period of the divestment are not included in transaction costs, but are instead included in the gain or loss on disposal of a business within Other (loss)/income, net on the consolidated statements of comprehensive income.</w:t>
      </w:r>
    </w:p>
    <w:p>
      <w:pPr>
        <w:spacing w:after="0" w:line="166" w:lineRule="exact"/>
        <w:rPr>
          <w:sz w:val="20"/>
          <w:szCs w:val="20"/>
          <w:color w:val="auto"/>
        </w:rPr>
      </w:pPr>
    </w:p>
    <w:p>
      <w:pPr>
        <w:ind w:right="160"/>
        <w:spacing w:after="0" w:line="307" w:lineRule="auto"/>
        <w:rPr>
          <w:sz w:val="20"/>
          <w:szCs w:val="20"/>
          <w:color w:val="auto"/>
        </w:rPr>
      </w:pPr>
      <w:r>
        <w:rPr>
          <w:rFonts w:ascii="Arial" w:cs="Arial" w:eastAsia="Arial" w:hAnsi="Arial"/>
          <w:sz w:val="20"/>
          <w:szCs w:val="20"/>
          <w:color w:val="auto"/>
        </w:rPr>
        <w:t xml:space="preserve">Transformation costs are costs incurred under the Transformation program but are not eligible to be classified as restructuring costs under ASC 420, </w:t>
      </w:r>
      <w:r>
        <w:rPr>
          <w:rFonts w:ascii="Arial" w:cs="Arial" w:eastAsia="Arial" w:hAnsi="Arial"/>
          <w:sz w:val="20"/>
          <w:szCs w:val="20"/>
          <w:i w:val="1"/>
          <w:iCs w:val="1"/>
          <w:color w:val="auto"/>
        </w:rPr>
        <w:t>Exit or Disposal Cost Obligation</w:t>
      </w:r>
      <w:r>
        <w:rPr>
          <w:rFonts w:ascii="Arial" w:cs="Arial" w:eastAsia="Arial" w:hAnsi="Arial"/>
          <w:sz w:val="20"/>
          <w:szCs w:val="20"/>
          <w:color w:val="auto"/>
        </w:rPr>
        <w:t xml:space="preserve"> (‘ASC 420’)</w:t>
      </w:r>
      <w:r>
        <w:rPr>
          <w:rFonts w:ascii="Arial" w:cs="Arial" w:eastAsia="Arial" w:hAnsi="Arial"/>
          <w:sz w:val="20"/>
          <w:szCs w:val="20"/>
          <w:i w:val="1"/>
          <w:iCs w:val="1"/>
          <w:color w:val="auto"/>
        </w:rPr>
        <w:t>.</w:t>
      </w:r>
      <w:r>
        <w:rPr>
          <w:rFonts w:ascii="Arial" w:cs="Arial" w:eastAsia="Arial" w:hAnsi="Arial"/>
          <w:sz w:val="20"/>
          <w:szCs w:val="20"/>
          <w:color w:val="auto"/>
        </w:rPr>
        <w:t xml:space="preserve"> These costs are not expected to continue beyond the defined period of the program.</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Not Yet Adopted</w:t>
      </w:r>
    </w:p>
    <w:p>
      <w:pPr>
        <w:spacing w:after="0" w:line="260" w:lineRule="exact"/>
        <w:rPr>
          <w:sz w:val="20"/>
          <w:szCs w:val="20"/>
          <w:color w:val="auto"/>
        </w:rPr>
      </w:pPr>
    </w:p>
    <w:p>
      <w:pPr>
        <w:ind w:right="40"/>
        <w:spacing w:after="0" w:line="350" w:lineRule="auto"/>
        <w:rPr>
          <w:sz w:val="20"/>
          <w:szCs w:val="20"/>
          <w:color w:val="auto"/>
        </w:rPr>
      </w:pPr>
      <w:r>
        <w:rPr>
          <w:rFonts w:ascii="Arial" w:cs="Arial" w:eastAsia="Arial" w:hAnsi="Arial"/>
          <w:sz w:val="18"/>
          <w:szCs w:val="18"/>
          <w:color w:val="auto"/>
        </w:rPr>
        <w:t>In March 2024, the SEC adopted final rules on the enhancement and standardization of climate-related disclosures for investors (the ‘SEC Climate Rules’). The SEC Climate Rules would require disclosure of certain climate-related information, including in the notes to the Company’s financial statements, in registration statements and annual reports on Form 10-K. Following a number of legal challenges, the SEC voluntarily stayed the SEC Climate Rules. In response to the SEC’s discontinuation of its defense of the SEC Climate Rules, the pending litigation is held in abeyance, awaiting the SEC to either defend, revise, or rescind the rules. The Company is monitoring the outcome.</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21 / 36</w:t>
      </w:r>
    </w:p>
    <w:p>
      <w:pPr>
        <w:sectPr>
          <w:pgSz w:w="11900" w:h="16838" w:orient="portrait"/>
          <w:cols w:equalWidth="0" w:num="1">
            <w:col w:w="9320"/>
          </w:cols>
          <w:pgMar w:left="1260" w:top="1173" w:right="1326" w:bottom="0" w:gutter="0" w:footer="0" w:header="0"/>
          <w:type w:val="continuous"/>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80"/>
        <w:spacing w:after="0" w:line="349" w:lineRule="auto"/>
        <w:rPr>
          <w:sz w:val="20"/>
          <w:szCs w:val="20"/>
          <w:color w:val="auto"/>
        </w:rPr>
      </w:pPr>
      <w:r>
        <w:rPr>
          <w:rFonts w:ascii="Arial" w:cs="Arial" w:eastAsia="Arial" w:hAnsi="Arial"/>
          <w:sz w:val="18"/>
          <w:szCs w:val="18"/>
          <w:color w:val="auto"/>
        </w:rPr>
        <w:t xml:space="preserve">In November 2024, the FASB issued ASU No. 2024-03, </w:t>
      </w:r>
      <w:r>
        <w:rPr>
          <w:rFonts w:ascii="Arial" w:cs="Arial" w:eastAsia="Arial" w:hAnsi="Arial"/>
          <w:sz w:val="18"/>
          <w:szCs w:val="18"/>
          <w:i w:val="1"/>
          <w:iCs w:val="1"/>
          <w:color w:val="auto"/>
        </w:rPr>
        <w:t>Disaggregation of Income Statement Expense</w:t>
      </w:r>
      <w:r>
        <w:rPr>
          <w:rFonts w:ascii="Arial" w:cs="Arial" w:eastAsia="Arial" w:hAnsi="Arial"/>
          <w:sz w:val="18"/>
          <w:szCs w:val="18"/>
          <w:color w:val="auto"/>
        </w:rPr>
        <w:t>, which is intended to provide transparency about the components of expenses included in the income statement. This ASU requires public companies to disclose additional information about certain expenses in the notes to the financial statements on a quarterly and annual basis, including purchases of inventory, employee compensation, depreciation, intangible asset amortization and depletion for each income statement line item that contains those expenses. The ASU requires a new tabular disclosure format that centralizes expense information and additional qualitative disclosure. The guidance does not change the existing income statement presentation. The annual requirements for this ASU become effective with the Company's Annual Report on Form 10-K for the year ended December 31, 2027, and for its interim periods beginning on January 1, 2028. Early adoption is permitted. The guidance is to be applied prospectively, with the option for retrospective application. The Company currently does not plan to early-adopt this ASU and is assessing the expected impact on its consolidated financial statements.</w:t>
      </w:r>
    </w:p>
    <w:p>
      <w:pPr>
        <w:spacing w:after="0" w:line="169"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 xml:space="preserve">In July 2025, the FASB issued ASU 2025-05, </w:t>
      </w:r>
      <w:r>
        <w:rPr>
          <w:rFonts w:ascii="Arial" w:cs="Arial" w:eastAsia="Arial" w:hAnsi="Arial"/>
          <w:sz w:val="19"/>
          <w:szCs w:val="19"/>
          <w:i w:val="1"/>
          <w:iCs w:val="1"/>
          <w:color w:val="auto"/>
        </w:rPr>
        <w:t>Financial Instruments—Credit Losses (Topic 326): Measurement of</w:t>
      </w:r>
      <w:r>
        <w:rPr>
          <w:rFonts w:ascii="Arial" w:cs="Arial" w:eastAsia="Arial" w:hAnsi="Arial"/>
          <w:sz w:val="19"/>
          <w:szCs w:val="19"/>
          <w:color w:val="auto"/>
        </w:rPr>
        <w:t xml:space="preserve"> </w:t>
      </w:r>
      <w:r>
        <w:rPr>
          <w:rFonts w:ascii="Arial" w:cs="Arial" w:eastAsia="Arial" w:hAnsi="Arial"/>
          <w:sz w:val="19"/>
          <w:szCs w:val="19"/>
          <w:i w:val="1"/>
          <w:iCs w:val="1"/>
          <w:color w:val="auto"/>
        </w:rPr>
        <w:t>Credit Losses for Accounts Receivable and Contract Assets</w:t>
      </w:r>
      <w:r>
        <w:rPr>
          <w:rFonts w:ascii="Arial" w:cs="Arial" w:eastAsia="Arial" w:hAnsi="Arial"/>
          <w:sz w:val="19"/>
          <w:szCs w:val="19"/>
          <w:color w:val="auto"/>
        </w:rPr>
        <w:t>, which is intended to improve guidance on the</w:t>
      </w:r>
      <w:r>
        <w:rPr>
          <w:rFonts w:ascii="Arial" w:cs="Arial" w:eastAsia="Arial" w:hAnsi="Arial"/>
          <w:sz w:val="19"/>
          <w:szCs w:val="19"/>
          <w:i w:val="1"/>
          <w:iCs w:val="1"/>
          <w:color w:val="auto"/>
        </w:rPr>
        <w:t xml:space="preserve"> </w:t>
      </w:r>
      <w:r>
        <w:rPr>
          <w:rFonts w:ascii="Arial" w:cs="Arial" w:eastAsia="Arial" w:hAnsi="Arial"/>
          <w:sz w:val="19"/>
          <w:szCs w:val="19"/>
          <w:color w:val="auto"/>
        </w:rPr>
        <w:t>measurement of credit losses for accounts receivable and contract assets. This ASU provides an optional practical expedient to assume that current conditions as of the balance sheet date do not change for the remaining life of the assets. The requirements for this ASU became effective for the Company on January 1, 2026. Early adoption was permitted and the guidance was applied prospectively to estimates of expected credit losses on asset balances prepared after the date of adoption. The Company did not early-adopt this ASU and does not expect the ASU to have a material impact on its consolidated financial statements.</w:t>
      </w:r>
    </w:p>
    <w:p>
      <w:pPr>
        <w:spacing w:after="0" w:line="184" w:lineRule="exact"/>
        <w:rPr>
          <w:sz w:val="20"/>
          <w:szCs w:val="20"/>
          <w:color w:val="auto"/>
        </w:rPr>
      </w:pPr>
    </w:p>
    <w:p>
      <w:pPr>
        <w:ind w:right="20"/>
        <w:spacing w:after="0" w:line="311" w:lineRule="auto"/>
        <w:rPr>
          <w:sz w:val="20"/>
          <w:szCs w:val="20"/>
          <w:color w:val="auto"/>
        </w:rPr>
      </w:pPr>
      <w:r>
        <w:rPr>
          <w:rFonts w:ascii="Arial" w:cs="Arial" w:eastAsia="Arial" w:hAnsi="Arial"/>
          <w:sz w:val="20"/>
          <w:szCs w:val="20"/>
          <w:color w:val="auto"/>
        </w:rPr>
        <w:t xml:space="preserve">In September 2025, the FASB issued ASU 2025-06, </w:t>
      </w:r>
      <w:r>
        <w:rPr>
          <w:rFonts w:ascii="Arial" w:cs="Arial" w:eastAsia="Arial" w:hAnsi="Arial"/>
          <w:sz w:val="20"/>
          <w:szCs w:val="20"/>
          <w:i w:val="1"/>
          <w:iCs w:val="1"/>
          <w:color w:val="auto"/>
        </w:rPr>
        <w:t>Intangibles—Goodwill and Other—Internal-Use Software</w:t>
      </w:r>
      <w:r>
        <w:rPr>
          <w:rFonts w:ascii="Arial" w:cs="Arial" w:eastAsia="Arial" w:hAnsi="Arial"/>
          <w:sz w:val="20"/>
          <w:szCs w:val="20"/>
          <w:color w:val="auto"/>
        </w:rPr>
        <w:t xml:space="preserve"> </w:t>
      </w:r>
      <w:r>
        <w:rPr>
          <w:rFonts w:ascii="Arial" w:cs="Arial" w:eastAsia="Arial" w:hAnsi="Arial"/>
          <w:sz w:val="20"/>
          <w:szCs w:val="20"/>
          <w:i w:val="1"/>
          <w:iCs w:val="1"/>
          <w:color w:val="auto"/>
        </w:rPr>
        <w:t>(Subtopic 350-40): Targeted Improvements to the Accounting for Internal-Use Software</w:t>
      </w:r>
      <w:r>
        <w:rPr>
          <w:rFonts w:ascii="Arial" w:cs="Arial" w:eastAsia="Arial" w:hAnsi="Arial"/>
          <w:sz w:val="20"/>
          <w:szCs w:val="20"/>
          <w:color w:val="auto"/>
        </w:rPr>
        <w:t>, which is intended to clarify</w:t>
      </w:r>
      <w:r>
        <w:rPr>
          <w:rFonts w:ascii="Arial" w:cs="Arial" w:eastAsia="Arial" w:hAnsi="Arial"/>
          <w:sz w:val="20"/>
          <w:szCs w:val="20"/>
          <w:i w:val="1"/>
          <w:iCs w:val="1"/>
          <w:color w:val="auto"/>
        </w:rPr>
        <w:t xml:space="preserve"> </w:t>
      </w:r>
      <w:r>
        <w:rPr>
          <w:rFonts w:ascii="Arial" w:cs="Arial" w:eastAsia="Arial" w:hAnsi="Arial"/>
          <w:sz w:val="20"/>
          <w:szCs w:val="20"/>
          <w:color w:val="auto"/>
        </w:rPr>
        <w:t>and modernize the accounting for costs related to internal-use software. This ASU changes capitalization requirements from being tied to development stages and instead creates a capitalization threshold which is achieved when it is probable the software will be completed for its intended purpose. The annual and interim requirements for this ASU become effective for the Company on January 1, 2028. Early adoption is permitted and may be applied using a prospective, retrospective, or modified transition approach. The Company is assessing all aspects of the ASU, including adoption timing and transition method, and the expected impact on its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Adopted</w:t>
      </w:r>
    </w:p>
    <w:p>
      <w:pPr>
        <w:spacing w:after="0" w:line="260" w:lineRule="exact"/>
        <w:rPr>
          <w:sz w:val="20"/>
          <w:szCs w:val="20"/>
          <w:color w:val="auto"/>
        </w:rPr>
      </w:pPr>
    </w:p>
    <w:p>
      <w:pPr>
        <w:ind w:right="60"/>
        <w:spacing w:after="0" w:line="349"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Income Taxes (Topic 740): Improvements to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which is intended to improve the transparency of income tax disclosures by requiring consistent</w:t>
      </w:r>
      <w:r>
        <w:rPr>
          <w:rFonts w:ascii="Arial" w:cs="Arial" w:eastAsia="Arial" w:hAnsi="Arial"/>
          <w:sz w:val="18"/>
          <w:szCs w:val="18"/>
          <w:i w:val="1"/>
          <w:iCs w:val="1"/>
          <w:color w:val="auto"/>
        </w:rPr>
        <w:t xml:space="preserve"> </w:t>
      </w:r>
      <w:r>
        <w:rPr>
          <w:rFonts w:ascii="Arial" w:cs="Arial" w:eastAsia="Arial" w:hAnsi="Arial"/>
          <w:sz w:val="18"/>
          <w:szCs w:val="18"/>
          <w:color w:val="auto"/>
        </w:rPr>
        <w:t>categories and greater disaggregation of information within the income tax rate reconciliation and income taxes paid disclosures. It also includes certain other amendments intended to improve the effectiveness of income tax disclosures. Specifically, this ASU requires a tabular income tax rate reconciliation using both percentages and amounts disaggregated into specific categories with certain reconciling items at or above 5% of the statutory tax, further disaggregated by its nature and/or jurisdiction. Additionally, income taxes paid are required to be presented by federal, state, local and foreign jurisdictions, including amounts paid to individual jurisdictions representing 5% or more of the total income taxes paid. This ASU became effective for the Company on January 1, 2025, at which time it was adopted. The Company has included the required disclosures within Note 7 — Income Taxes.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Legislation</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 / 36</w:t>
      </w:r>
    </w:p>
    <w:p>
      <w:pPr>
        <w:sectPr>
          <w:pgSz w:w="11900" w:h="16838" w:orient="portrait"/>
          <w:cols w:equalWidth="0" w:num="1">
            <w:col w:w="9360"/>
          </w:cols>
          <w:pgMar w:left="1260" w:top="1440" w:right="1286" w:bottom="0" w:gutter="0" w:footer="0" w:header="0"/>
          <w:type w:val="continuous"/>
        </w:sectPr>
      </w:pPr>
    </w:p>
    <w:bookmarkStart w:id="171" w:name="page172"/>
    <w:bookmarkEnd w:id="171"/>
    <w:p>
      <w:pPr>
        <w:spacing w:after="0"/>
        <w:rPr>
          <w:sz w:val="20"/>
          <w:szCs w:val="20"/>
          <w:color w:val="auto"/>
        </w:rPr>
      </w:pPr>
      <w:r>
        <w:rPr>
          <w:rFonts w:ascii="Arial" w:cs="Arial" w:eastAsia="Arial" w:hAnsi="Arial"/>
          <w:sz w:val="20"/>
          <w:szCs w:val="20"/>
          <w:i w:val="1"/>
          <w:iCs w:val="1"/>
          <w:color w:val="auto"/>
        </w:rPr>
        <w:t>Pillar Two</w:t>
      </w:r>
    </w:p>
    <w:p>
      <w:pPr>
        <w:spacing w:after="0" w:line="260"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In December 2021, the Organisation for Economic Co-operation and Development (‘OECD’) and G20 Inclusive Framework on Base Erosion and Profit Shifting released the Model Global Anti-Base Erosion (‘GloBE’) rules (the ‘OECD Model Rules’) under Pillar Two. In 2023, many E.U. countries, including Ireland, enacted the necessary legislation (based on the OECD Model Rules) to implement Pillar Two in 2024. Other countries and territories introduced Pillar Two legislation in 2024 and 2025. In January 2026, the OECD announced the release of a new package of administrative guidance under the Pillar Two global minimum tax rules (the ‘side-by-side’ (SbS) package). Key components of the package include a simplified effective tax rate safe harbor, an extension of the transitional country-by-country reporting safe harbor, a substance-based tax incentive safe harbor, a side-by-side safe harbor for certain multinational groups located in eligible jurisdictions, an ultimate parent entity safe harbor for eligible countries, and a commitment to focus on additional clarifications and simplifications. These new safe harbor rules do not affect the application of a qualified domestic minimum top-up tax. Except for the extension of the transitional country-by-country reporting safe harbor, the Company does not expect the new safe harbors to apply. The Pillar Two minimum tax is treated as a period-cost beginning in 2024 and does not have a material impact on the Company's financial results of operations for the periods presented.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 / 36</w:t>
      </w:r>
    </w:p>
    <w:p>
      <w:pPr>
        <w:sectPr>
          <w:pgSz w:w="11900" w:h="16838" w:orient="portrait"/>
          <w:cols w:equalWidth="0" w:num="1">
            <w:col w:w="9380"/>
          </w:cols>
          <w:pgMar w:left="1260" w:top="1163" w:right="1266" w:bottom="0" w:gutter="0" w:footer="0" w:header="0"/>
          <w:type w:val="continuous"/>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H.R. 1</w:t>
      </w:r>
    </w:p>
    <w:p>
      <w:pPr>
        <w:spacing w:after="0" w:line="260" w:lineRule="exact"/>
        <w:rPr>
          <w:sz w:val="20"/>
          <w:szCs w:val="20"/>
          <w:color w:val="auto"/>
        </w:rPr>
      </w:pPr>
    </w:p>
    <w:p>
      <w:pPr>
        <w:ind w:right="80"/>
        <w:spacing w:after="0" w:line="329" w:lineRule="auto"/>
        <w:rPr>
          <w:sz w:val="20"/>
          <w:szCs w:val="20"/>
          <w:color w:val="auto"/>
        </w:rPr>
      </w:pPr>
      <w:r>
        <w:rPr>
          <w:rFonts w:ascii="Arial" w:cs="Arial" w:eastAsia="Arial" w:hAnsi="Arial"/>
          <w:sz w:val="19"/>
          <w:szCs w:val="19"/>
          <w:color w:val="auto"/>
        </w:rPr>
        <w:t>On July 4, 2025, the ‘Act to provide for reconciliation pursuant to title II of H. Con. Res. 14’ (‘H.R. 1’) was enacted into law and generally became effective on January 1, 2026, with certain exceptions. H.R. 1 included numerous changes to existing tax law affecting businesses, including extending and modifying certain key provisions of the Tax Cuts and Jobs Act of 2017, both domestic and international, expanding certain Investment Retirement Account incentives while accelerating the phase-out of others. In 2025, the Company recognized cash tax benefits related to the acceleration of certain timing differences. The Company will continue to evaluate the overall impact of H.R. 1 and related regulations on our operations and tax positions.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Acquisitions and Divestitures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disclosures discuss significant transactions during the three-year period ended December 31, 2025.</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Willis Re Joint Venture</w:t>
      </w:r>
    </w:p>
    <w:p>
      <w:pPr>
        <w:spacing w:after="0" w:line="260"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 xml:space="preserve">During the fourth quarter of 2024, the Company re-entered the reinsurance broking space by making an initial investment in Willis Re, a reinsurance joint venture with Bain Capital. WTW does not have a controlling financial interest in Willis Re and therefore does not consolidate the Willis Re entities. Rather, WTW holds a minority interest in the joint venture and has an option to acquire a controlling interest in the future. During 2025, the Company made further investments of $30 million and holds both preference and ordinary shares in Willis Re. The Company accounts for the ordinary share portion of these investments using the equity method of accounting, and has elected the accounting alternative under ASC 321, </w:t>
      </w:r>
      <w:r>
        <w:rPr>
          <w:rFonts w:ascii="Arial" w:cs="Arial" w:eastAsia="Arial" w:hAnsi="Arial"/>
          <w:sz w:val="19"/>
          <w:szCs w:val="19"/>
          <w:i w:val="1"/>
          <w:iCs w:val="1"/>
          <w:color w:val="auto"/>
        </w:rPr>
        <w:t>Investments – Equity Securities</w:t>
      </w:r>
      <w:r>
        <w:rPr>
          <w:rFonts w:ascii="Arial" w:cs="Arial" w:eastAsia="Arial" w:hAnsi="Arial"/>
          <w:sz w:val="19"/>
          <w:szCs w:val="19"/>
          <w:color w:val="auto"/>
        </w:rPr>
        <w:t>, for the accounting for the preference shares and call options and is therefore carrying those assets at cost. The net income and the assets and liabilities of Willis Re are not currently significant to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Pending Acquisitions</w:t>
      </w:r>
    </w:p>
    <w:p>
      <w:pPr>
        <w:spacing w:after="0" w:line="260" w:lineRule="exact"/>
        <w:rPr>
          <w:sz w:val="20"/>
          <w:szCs w:val="20"/>
          <w:color w:val="auto"/>
        </w:rPr>
      </w:pPr>
    </w:p>
    <w:p>
      <w:pPr>
        <w:ind w:right="40"/>
        <w:spacing w:after="0" w:line="349" w:lineRule="auto"/>
        <w:rPr>
          <w:sz w:val="20"/>
          <w:szCs w:val="20"/>
          <w:color w:val="auto"/>
        </w:rPr>
      </w:pPr>
      <w:r>
        <w:rPr>
          <w:rFonts w:ascii="Arial" w:cs="Arial" w:eastAsia="Arial" w:hAnsi="Arial"/>
          <w:sz w:val="18"/>
          <w:szCs w:val="18"/>
          <w:i w:val="1"/>
          <w:iCs w:val="1"/>
          <w:color w:val="auto"/>
        </w:rPr>
        <w:t xml:space="preserve">Newfront — </w:t>
      </w:r>
      <w:r>
        <w:rPr>
          <w:rFonts w:ascii="Arial" w:cs="Arial" w:eastAsia="Arial" w:hAnsi="Arial"/>
          <w:sz w:val="18"/>
          <w:szCs w:val="18"/>
          <w:color w:val="auto"/>
        </w:rPr>
        <w:t>On December 9, 2025, the Company entered into a definitive agreement to acquire Newfront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(‘Newfront’), a U.S.-based broker combining specialty expertise and cutting-edge technology, for up-front and contingent consideration payments totaling $1.3 billion. The $1.05 billion up-front portion is comprised of approximately $900 million in cash and $150 million in equity to be paid to Newfront employee-shareholders, and up to $250 million contingent consideration is payable primarily in equity, subject to Newfront’s achievement of specified performance targets. A significant portion of both equity awards payable are expected to be recognized as compensation cost. Additionally, up to an incremental $150 million, payable primarily in equity, would become payable if Newfront achieves above-target revenue growth. The transaction was completed on January 27, 2026 (see Note 22 — Subsequent Events within Item 8 of this Annual Report on Form 10-K).</w:t>
      </w:r>
    </w:p>
    <w:p>
      <w:pPr>
        <w:spacing w:after="0" w:line="171" w:lineRule="exact"/>
        <w:rPr>
          <w:sz w:val="20"/>
          <w:szCs w:val="20"/>
          <w:color w:val="auto"/>
        </w:rPr>
      </w:pPr>
    </w:p>
    <w:p>
      <w:pPr>
        <w:ind w:right="20"/>
        <w:spacing w:after="0" w:line="309" w:lineRule="auto"/>
        <w:rPr>
          <w:sz w:val="20"/>
          <w:szCs w:val="20"/>
          <w:color w:val="auto"/>
        </w:rPr>
      </w:pPr>
      <w:r>
        <w:rPr>
          <w:rFonts w:ascii="Arial" w:cs="Arial" w:eastAsia="Arial" w:hAnsi="Arial"/>
          <w:sz w:val="20"/>
          <w:szCs w:val="20"/>
          <w:i w:val="1"/>
          <w:iCs w:val="1"/>
          <w:color w:val="auto"/>
        </w:rPr>
        <w:t xml:space="preserve">Cushon — </w:t>
      </w:r>
      <w:r>
        <w:rPr>
          <w:rFonts w:ascii="Arial" w:cs="Arial" w:eastAsia="Arial" w:hAnsi="Arial"/>
          <w:sz w:val="20"/>
          <w:szCs w:val="20"/>
          <w:color w:val="auto"/>
        </w:rPr>
        <w:t>On December 10, 2025, the Company entered into a definitive agreement to acquire Cushon,</w:t>
      </w:r>
      <w:r>
        <w:rPr>
          <w:rFonts w:ascii="Arial" w:cs="Arial" w:eastAsia="Arial" w:hAnsi="Arial"/>
          <w:sz w:val="20"/>
          <w:szCs w:val="20"/>
          <w:i w:val="1"/>
          <w:iCs w:val="1"/>
          <w:color w:val="auto"/>
        </w:rPr>
        <w:t xml:space="preserve"> </w:t>
      </w:r>
      <w:r>
        <w:rPr>
          <w:rFonts w:ascii="Arial" w:cs="Arial" w:eastAsia="Arial" w:hAnsi="Arial"/>
          <w:sz w:val="20"/>
          <w:szCs w:val="20"/>
          <w:color w:val="2A2A2B"/>
        </w:rPr>
        <w:t>a workplace</w:t>
      </w:r>
      <w:r>
        <w:rPr>
          <w:rFonts w:ascii="Arial" w:cs="Arial" w:eastAsia="Arial" w:hAnsi="Arial"/>
          <w:sz w:val="20"/>
          <w:szCs w:val="20"/>
          <w:i w:val="1"/>
          <w:iCs w:val="1"/>
          <w:color w:val="auto"/>
        </w:rPr>
        <w:t xml:space="preserve"> </w:t>
      </w:r>
      <w:r>
        <w:rPr>
          <w:rFonts w:ascii="Arial" w:cs="Arial" w:eastAsia="Arial" w:hAnsi="Arial"/>
          <w:sz w:val="20"/>
          <w:szCs w:val="20"/>
          <w:color w:val="2A2A2B"/>
        </w:rPr>
        <w:t xml:space="preserve">pensions, savings and financial wellbeing company for consideration of £150 million, subject to working capital and other adjustments, and contingent consideration of up to £100 million, </w:t>
      </w:r>
      <w:r>
        <w:rPr>
          <w:rFonts w:ascii="Arial" w:cs="Arial" w:eastAsia="Arial" w:hAnsi="Arial"/>
          <w:sz w:val="20"/>
          <w:szCs w:val="20"/>
          <w:color w:val="000000"/>
        </w:rPr>
        <w:t>a portion of which is expected to be</w:t>
      </w:r>
      <w:r>
        <w:rPr>
          <w:rFonts w:ascii="Arial" w:cs="Arial" w:eastAsia="Arial" w:hAnsi="Arial"/>
          <w:sz w:val="20"/>
          <w:szCs w:val="20"/>
          <w:color w:val="2A2A2B"/>
        </w:rPr>
        <w:t xml:space="preserve"> </w:t>
      </w:r>
      <w:r>
        <w:rPr>
          <w:rFonts w:ascii="Arial" w:cs="Arial" w:eastAsia="Arial" w:hAnsi="Arial"/>
          <w:sz w:val="20"/>
          <w:szCs w:val="20"/>
          <w:color w:val="000000"/>
        </w:rPr>
        <w:t>recognized as compensation costs</w:t>
      </w:r>
      <w:r>
        <w:rPr>
          <w:rFonts w:ascii="Arial" w:cs="Arial" w:eastAsia="Arial" w:hAnsi="Arial"/>
          <w:sz w:val="20"/>
          <w:szCs w:val="20"/>
          <w:color w:val="2A2A2B"/>
        </w:rPr>
        <w:t>.</w:t>
      </w:r>
    </w:p>
    <w:p>
      <w:pPr>
        <w:spacing w:after="0" w:line="16" w:lineRule="exact"/>
        <w:rPr>
          <w:sz w:val="20"/>
          <w:szCs w:val="20"/>
          <w:color w:val="auto"/>
        </w:rPr>
      </w:pPr>
    </w:p>
    <w:p>
      <w:pPr>
        <w:ind w:right="280"/>
        <w:spacing w:after="0" w:line="302" w:lineRule="auto"/>
        <w:rPr>
          <w:sz w:val="20"/>
          <w:szCs w:val="20"/>
          <w:color w:val="auto"/>
        </w:rPr>
      </w:pPr>
      <w:r>
        <w:rPr>
          <w:rFonts w:ascii="Arial" w:cs="Arial" w:eastAsia="Arial" w:hAnsi="Arial"/>
          <w:sz w:val="20"/>
          <w:szCs w:val="20"/>
          <w:color w:val="auto"/>
        </w:rPr>
        <w:t>The transaction is expected to close during the first half of 2026, subject to receipt of certain regulatory approvals and other customary closing conditions.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 / 36</w:t>
      </w:r>
    </w:p>
    <w:p>
      <w:pPr>
        <w:sectPr>
          <w:pgSz w:w="11900" w:h="16838" w:orient="portrait"/>
          <w:cols w:equalWidth="0" w:num="1">
            <w:col w:w="9360"/>
          </w:cols>
          <w:pgMar w:left="1260" w:top="1440" w:right="1286" w:bottom="0" w:gutter="0" w:footer="0" w:header="0"/>
          <w:type w:val="continuous"/>
        </w:sectPr>
      </w:pPr>
    </w:p>
    <w:bookmarkStart w:id="173" w:name="page174"/>
    <w:bookmarkEnd w:id="173"/>
    <w:p>
      <w:pPr>
        <w:ind w:right="60"/>
        <w:spacing w:after="0" w:line="350" w:lineRule="auto"/>
        <w:rPr>
          <w:sz w:val="20"/>
          <w:szCs w:val="20"/>
          <w:color w:val="auto"/>
        </w:rPr>
      </w:pPr>
      <w:r>
        <w:rPr>
          <w:rFonts w:ascii="Arial" w:cs="Arial" w:eastAsia="Arial" w:hAnsi="Arial"/>
          <w:sz w:val="18"/>
          <w:szCs w:val="18"/>
          <w:i w:val="1"/>
          <w:iCs w:val="1"/>
          <w:color w:val="auto"/>
        </w:rPr>
        <w:t xml:space="preserve">Al-Futtaim Willis — </w:t>
      </w:r>
      <w:r>
        <w:rPr>
          <w:rFonts w:ascii="Arial" w:cs="Arial" w:eastAsia="Arial" w:hAnsi="Arial"/>
          <w:sz w:val="18"/>
          <w:szCs w:val="18"/>
          <w:color w:val="auto"/>
        </w:rPr>
        <w:t>On May 2, 2025, the Company entered into a definitive agreement to acquire the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51% controlling interest of its longstanding broking joint venture, Al-Futtaim Willis (‘AFW’), based in the United Arab Emirates, for cash consideration of $58 million, subject to certain adjustments. The results of AFW are currently included in interest in earnings of associates, net of tax, on the consolidated statements of comprehensive income, but will be fully consolidated after the close of the transaction. The transaction is expected to close during the first half of 2026, subject to receipt of certain regulatory approvals and other customary closing conditions.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Acquisitions</w:t>
      </w:r>
    </w:p>
    <w:p>
      <w:pPr>
        <w:spacing w:after="0" w:line="260" w:lineRule="exact"/>
        <w:rPr>
          <w:sz w:val="20"/>
          <w:szCs w:val="20"/>
          <w:color w:val="auto"/>
        </w:rPr>
      </w:pPr>
    </w:p>
    <w:p>
      <w:pPr>
        <w:spacing w:after="0" w:line="368" w:lineRule="auto"/>
        <w:rPr>
          <w:sz w:val="20"/>
          <w:szCs w:val="20"/>
          <w:color w:val="auto"/>
        </w:rPr>
      </w:pPr>
      <w:r>
        <w:rPr>
          <w:rFonts w:ascii="Arial" w:cs="Arial" w:eastAsia="Arial" w:hAnsi="Arial"/>
          <w:sz w:val="17"/>
          <w:szCs w:val="17"/>
          <w:color w:val="auto"/>
        </w:rPr>
        <w:t>The Company completed acquisitions, including acquisitions of assets and non-controlling interests of certain subsidiaries, and made contributions to interests in associates accounted for under the equity method of accounting, during the years ended December 31, 2025, 2024 and 2023 for combined cash payments of $20 million,</w:t>
      </w:r>
    </w:p>
    <w:p>
      <w:pPr>
        <w:spacing w:after="0" w:line="1" w:lineRule="exact"/>
        <w:rPr>
          <w:sz w:val="20"/>
          <w:szCs w:val="20"/>
          <w:color w:val="auto"/>
        </w:rPr>
      </w:pPr>
    </w:p>
    <w:p>
      <w:pPr>
        <w:ind w:right="220"/>
        <w:spacing w:after="0" w:line="302" w:lineRule="auto"/>
        <w:rPr>
          <w:sz w:val="20"/>
          <w:szCs w:val="20"/>
          <w:color w:val="auto"/>
        </w:rPr>
      </w:pPr>
      <w:r>
        <w:rPr>
          <w:rFonts w:ascii="Arial" w:cs="Arial" w:eastAsia="Arial" w:hAnsi="Arial"/>
          <w:sz w:val="20"/>
          <w:szCs w:val="20"/>
          <w:color w:val="auto"/>
        </w:rPr>
        <w:t>$119 million and $56 million, respectively, and contingent or deferred consideration fair valued at $5 million, $3 million and $3 million, respectively.</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40"/>
          </w:cols>
          <w:pgMar w:left="1260" w:top="1173" w:right="1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25 / 36</w:t>
      </w:r>
    </w:p>
    <w:p>
      <w:pPr>
        <w:sectPr>
          <w:pgSz w:w="11900" w:h="16838" w:orient="portrait"/>
          <w:cols w:equalWidth="0" w:num="1">
            <w:col w:w="9240"/>
          </w:cols>
          <w:pgMar w:left="1260" w:top="1173" w:right="1406" w:bottom="0" w:gutter="0" w:footer="0" w:header="0"/>
          <w:type w:val="continuous"/>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Divestitures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TRANZACT Sale</w:t>
      </w:r>
    </w:p>
    <w:p>
      <w:pPr>
        <w:spacing w:after="0" w:line="260" w:lineRule="exact"/>
        <w:rPr>
          <w:sz w:val="20"/>
          <w:szCs w:val="20"/>
          <w:color w:val="auto"/>
        </w:rPr>
      </w:pPr>
    </w:p>
    <w:p>
      <w:pPr>
        <w:ind w:right="60"/>
        <w:spacing w:after="0" w:line="330" w:lineRule="auto"/>
        <w:rPr>
          <w:sz w:val="20"/>
          <w:szCs w:val="20"/>
          <w:color w:val="auto"/>
        </w:rPr>
      </w:pPr>
      <w:r>
        <w:rPr>
          <w:rFonts w:ascii="Arial" w:cs="Arial" w:eastAsia="Arial" w:hAnsi="Arial"/>
          <w:sz w:val="19"/>
          <w:szCs w:val="19"/>
          <w:color w:val="auto"/>
        </w:rPr>
        <w:t>Effective December 31, 2024, the Company sold TRANZACT, its direct-to-consumer insurance distribution business, for total cash consideration of $632 million, which was subject to certain adjustments pursuant to an equity purchase agreement dated September 30, 2024. The Company was providing a number of services to TRANZACT under a Transition Services Agreement which remained in effect through most of 2025.</w:t>
      </w:r>
    </w:p>
    <w:p>
      <w:pPr>
        <w:spacing w:after="0" w:line="178" w:lineRule="exact"/>
        <w:rPr>
          <w:sz w:val="20"/>
          <w:szCs w:val="20"/>
          <w:color w:val="auto"/>
        </w:rPr>
      </w:pPr>
    </w:p>
    <w:p>
      <w:pPr>
        <w:ind w:right="20"/>
        <w:spacing w:after="0" w:line="310" w:lineRule="auto"/>
        <w:rPr>
          <w:sz w:val="20"/>
          <w:szCs w:val="20"/>
          <w:color w:val="auto"/>
        </w:rPr>
      </w:pPr>
      <w:r>
        <w:rPr>
          <w:rFonts w:ascii="Arial" w:cs="Arial" w:eastAsia="Arial" w:hAnsi="Arial"/>
          <w:sz w:val="20"/>
          <w:szCs w:val="20"/>
          <w:color w:val="auto"/>
        </w:rPr>
        <w:t>In connection with the sale, the Company recorded a pre-tax loss on the disposal of $1.1 billion within Other (loss)/ income, net on our consolidated statements of comprehensive income. Additionally, and in conjunction with the sale, the Company recognized a $1.0 billion pre-tax goodwill impairment charge within its BDO reporting unit. During the year ended December 31, 2025, the Company had disposal price and other adjustments to the sale of TRANZACT resulting in a gain of $14 million.</w:t>
      </w:r>
    </w:p>
    <w:p>
      <w:pPr>
        <w:spacing w:after="0" w:line="195" w:lineRule="exact"/>
        <w:rPr>
          <w:sz w:val="20"/>
          <w:szCs w:val="20"/>
          <w:color w:val="auto"/>
        </w:rPr>
      </w:pPr>
    </w:p>
    <w:p>
      <w:pPr>
        <w:ind w:right="140"/>
        <w:spacing w:after="0" w:line="302" w:lineRule="auto"/>
        <w:rPr>
          <w:sz w:val="20"/>
          <w:szCs w:val="20"/>
          <w:color w:val="auto"/>
        </w:rPr>
      </w:pPr>
      <w:r>
        <w:rPr>
          <w:rFonts w:ascii="Arial" w:cs="Arial" w:eastAsia="Arial" w:hAnsi="Arial"/>
          <w:sz w:val="20"/>
          <w:szCs w:val="20"/>
          <w:color w:val="auto"/>
        </w:rPr>
        <w:t>TRANZACT was included in our Health, Wealth and Career segment. The following selected financial information relates to the operations of TRANZACT for the periods presented: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tcPr>
          <w:p>
            <w:pPr>
              <w:ind w:left="420"/>
              <w:spacing w:after="0"/>
              <w:rPr>
                <w:sz w:val="20"/>
                <w:szCs w:val="20"/>
                <w:color w:val="auto"/>
              </w:rPr>
            </w:pPr>
            <w:r>
              <w:rPr>
                <w:rFonts w:ascii="Arial" w:cs="Arial" w:eastAsia="Arial" w:hAnsi="Arial"/>
                <w:sz w:val="16"/>
                <w:szCs w:val="16"/>
                <w:b w:val="1"/>
                <w:bCs w:val="1"/>
                <w:color w:val="auto"/>
                <w:w w:val="94"/>
              </w:rPr>
              <w:t>Years Ended December 31,</w:t>
            </w:r>
          </w:p>
        </w:tc>
        <w:tc>
          <w:tcPr>
            <w:tcW w:w="520" w:type="dxa"/>
            <w:vAlign w:val="bottom"/>
          </w:tcPr>
          <w:p>
            <w:pPr>
              <w:spacing w:after="0"/>
              <w:rPr>
                <w:sz w:val="16"/>
                <w:szCs w:val="16"/>
                <w:color w:val="auto"/>
              </w:rPr>
            </w:pPr>
          </w:p>
        </w:tc>
      </w:tr>
      <w:tr>
        <w:trPr>
          <w:trHeight w:val="314"/>
        </w:trPr>
        <w:tc>
          <w:tcPr>
            <w:tcW w:w="6240" w:type="dxa"/>
            <w:vAlign w:val="bottom"/>
          </w:tcPr>
          <w:p>
            <w:pPr>
              <w:spacing w:after="0"/>
              <w:rPr>
                <w:sz w:val="24"/>
                <w:szCs w:val="24"/>
                <w:color w:val="auto"/>
              </w:rPr>
            </w:pPr>
          </w:p>
        </w:tc>
        <w:tc>
          <w:tcPr>
            <w:tcW w:w="1060" w:type="dxa"/>
            <w:vAlign w:val="bottom"/>
            <w:gridSpan w:val="3"/>
          </w:tcPr>
          <w:p>
            <w:pPr>
              <w:ind w:left="660"/>
              <w:spacing w:after="0"/>
              <w:rPr>
                <w:sz w:val="20"/>
                <w:szCs w:val="20"/>
                <w:color w:val="auto"/>
              </w:rPr>
            </w:pPr>
            <w:r>
              <w:rPr>
                <w:rFonts w:ascii="Arial" w:cs="Arial" w:eastAsia="Arial" w:hAnsi="Arial"/>
                <w:sz w:val="16"/>
                <w:szCs w:val="16"/>
                <w:b w:val="1"/>
                <w:bCs w:val="1"/>
                <w:color w:val="auto"/>
              </w:rPr>
              <w:t>2024</w:t>
            </w:r>
          </w:p>
        </w:tc>
        <w:tc>
          <w:tcPr>
            <w:tcW w:w="5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6"/>
                <w:szCs w:val="16"/>
                <w:b w:val="1"/>
                <w:bCs w:val="1"/>
                <w:color w:val="auto"/>
              </w:rPr>
              <w:t>2023</w:t>
            </w:r>
          </w:p>
        </w:tc>
        <w:tc>
          <w:tcPr>
            <w:tcW w:w="520" w:type="dxa"/>
            <w:vAlign w:val="bottom"/>
          </w:tcPr>
          <w:p>
            <w:pPr>
              <w:spacing w:after="0"/>
              <w:rPr>
                <w:sz w:val="24"/>
                <w:szCs w:val="24"/>
                <w:color w:val="auto"/>
              </w:rPr>
            </w:pPr>
          </w:p>
        </w:tc>
      </w:tr>
      <w:tr>
        <w:trPr>
          <w:trHeight w:val="42"/>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r>
      <w:tr>
        <w:trPr>
          <w:trHeight w:val="294"/>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Revenue</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71"/>
                <w:shd w:val="clear" w:color="auto" w:fill="CFF0FC"/>
              </w:rPr>
              <w:t>$</w:t>
            </w:r>
          </w:p>
        </w:tc>
        <w:tc>
          <w:tcPr>
            <w:tcW w:w="8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785</w:t>
            </w:r>
          </w:p>
        </w:tc>
        <w:tc>
          <w:tcPr>
            <w:tcW w:w="1060" w:type="dxa"/>
            <w:vAlign w:val="bottom"/>
            <w:tcBorders>
              <w:bottom w:val="single" w:sz="8" w:color="CFF0FC"/>
            </w:tcBorders>
            <w:shd w:val="clear" w:color="auto" w:fill="CFF0FC"/>
          </w:tcPr>
          <w:p>
            <w:pPr>
              <w:jc w:val="right"/>
              <w:ind w:right="710"/>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805</w:t>
            </w:r>
          </w:p>
        </w:tc>
      </w:tr>
      <w:tr>
        <w:trPr>
          <w:trHeight w:val="274"/>
        </w:trPr>
        <w:tc>
          <w:tcPr>
            <w:tcW w:w="6240" w:type="dxa"/>
            <w:vAlign w:val="bottom"/>
          </w:tcPr>
          <w:p>
            <w:pPr>
              <w:spacing w:after="0"/>
              <w:rPr>
                <w:sz w:val="20"/>
                <w:szCs w:val="20"/>
                <w:color w:val="auto"/>
              </w:rPr>
            </w:pPr>
            <w:r>
              <w:rPr>
                <w:rFonts w:ascii="Arial" w:cs="Arial" w:eastAsia="Arial" w:hAnsi="Arial"/>
                <w:sz w:val="20"/>
                <w:szCs w:val="20"/>
                <w:color w:val="auto"/>
              </w:rPr>
              <w:t>Operating income</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jc w:val="right"/>
              <w:ind w:right="20"/>
              <w:spacing w:after="0"/>
              <w:rPr>
                <w:sz w:val="20"/>
                <w:szCs w:val="20"/>
                <w:color w:val="auto"/>
              </w:rPr>
            </w:pPr>
            <w:r>
              <w:rPr>
                <w:rFonts w:ascii="Arial" w:cs="Arial" w:eastAsia="Arial" w:hAnsi="Arial"/>
                <w:sz w:val="20"/>
                <w:szCs w:val="20"/>
                <w:color w:val="auto"/>
              </w:rPr>
              <w:t>148</w:t>
            </w:r>
          </w:p>
        </w:tc>
        <w:tc>
          <w:tcPr>
            <w:tcW w:w="1060" w:type="dxa"/>
            <w:vAlign w:val="bottom"/>
          </w:tcPr>
          <w:p>
            <w:pPr>
              <w:spacing w:after="0"/>
              <w:rPr>
                <w:sz w:val="23"/>
                <w:szCs w:val="23"/>
                <w:color w:val="auto"/>
              </w:rPr>
            </w:pPr>
          </w:p>
        </w:tc>
        <w:tc>
          <w:tcPr>
            <w:tcW w:w="520" w:type="dxa"/>
            <w:vAlign w:val="bottom"/>
          </w:tcPr>
          <w:p>
            <w:pPr>
              <w:jc w:val="right"/>
              <w:ind w:right="20"/>
              <w:spacing w:after="0"/>
              <w:rPr>
                <w:sz w:val="20"/>
                <w:szCs w:val="20"/>
                <w:color w:val="auto"/>
              </w:rPr>
            </w:pPr>
            <w:r>
              <w:rPr>
                <w:rFonts w:ascii="Arial" w:cs="Arial" w:eastAsia="Arial" w:hAnsi="Arial"/>
                <w:sz w:val="20"/>
                <w:szCs w:val="20"/>
                <w:color w:val="auto"/>
              </w:rPr>
              <w:t>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-579120</wp:posOffset>
            </wp:positionV>
            <wp:extent cx="190246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1">
                      <a:extLst>
                        <a:ext uri="{28A0092B-C50C-407E-A947-70E740481C1C}"/>
                      </a:extLst>
                    </a:blip>
                    <a:srcRect/>
                    <a:stretch>
                      <a:fillRect/>
                    </a:stretch>
                  </pic:blipFill>
                  <pic:spPr bwMode="auto">
                    <a:xfrm>
                      <a:off x="0" y="0"/>
                      <a:ext cx="1902460" cy="635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-379095</wp:posOffset>
            </wp:positionV>
            <wp:extent cx="190246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2">
                      <a:extLst>
                        <a:ext uri="{28A0092B-C50C-407E-A947-70E740481C1C}"/>
                      </a:extLst>
                    </a:blip>
                    <a:srcRect/>
                    <a:stretch>
                      <a:fillRect/>
                    </a:stretch>
                  </pic:blipFill>
                  <pic:spPr bwMode="auto">
                    <a:xfrm>
                      <a:off x="0" y="0"/>
                      <a:ext cx="1902460" cy="635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Willis Re Divestiture</w:t>
      </w:r>
    </w:p>
    <w:p>
      <w:pPr>
        <w:spacing w:after="0" w:line="260" w:lineRule="exact"/>
        <w:rPr>
          <w:sz w:val="20"/>
          <w:szCs w:val="20"/>
          <w:color w:val="auto"/>
        </w:rPr>
      </w:pPr>
    </w:p>
    <w:p>
      <w:pPr>
        <w:ind w:right="140"/>
        <w:spacing w:after="0" w:line="311" w:lineRule="auto"/>
        <w:rPr>
          <w:sz w:val="20"/>
          <w:szCs w:val="20"/>
          <w:color w:val="auto"/>
        </w:rPr>
      </w:pPr>
      <w:r>
        <w:rPr>
          <w:rFonts w:ascii="Arial" w:cs="Arial" w:eastAsia="Arial" w:hAnsi="Arial"/>
          <w:sz w:val="20"/>
          <w:szCs w:val="20"/>
          <w:color w:val="auto"/>
        </w:rPr>
        <w:t>On August 13, 2021, the Company entered into a definitive security and asset purchase agreement (the ‘Willis Re SAPA’) to sell its treaty-reinsurance business (‘Willis Re’) to Arthur J. Gallagher &amp; Co. (‘Gallagher’), a leading global provider of insurance, risk management and consulting services, for total upfront cash consideration of $3.25 billion plus an earnout payable in 2025 of up to $750 million in cash, subject to certain adjustments. The deal was subject to required regulatory approvals and clearances, as well as other customary closing conditions, and was completed on December 1, 2021.</w:t>
      </w:r>
    </w:p>
    <w:p>
      <w:pPr>
        <w:spacing w:after="0" w:line="192" w:lineRule="exact"/>
        <w:rPr>
          <w:sz w:val="20"/>
          <w:szCs w:val="20"/>
          <w:color w:val="auto"/>
        </w:rPr>
      </w:pPr>
    </w:p>
    <w:p>
      <w:pPr>
        <w:ind w:right="100"/>
        <w:spacing w:after="0" w:line="329" w:lineRule="auto"/>
        <w:rPr>
          <w:sz w:val="20"/>
          <w:szCs w:val="20"/>
          <w:color w:val="auto"/>
        </w:rPr>
      </w:pPr>
      <w:r>
        <w:rPr>
          <w:rFonts w:ascii="Arial" w:cs="Arial" w:eastAsia="Arial" w:hAnsi="Arial"/>
          <w:sz w:val="19"/>
          <w:szCs w:val="19"/>
          <w:color w:val="auto"/>
        </w:rPr>
        <w:t>Certain amounts included in the consolidated balance sheets did not transfer to Gallagher under the terms of the Willis Re SAPA, and instead were to be settled by the Company, noting that certain fiduciary positions continued to be held under the terms of various co-broking agreements between subsidiaries of the Company and Gallagher. On May 31, 2023, the Company and Gallagher entered into a side letter to the Willis Re SAPA which became effective on June 1, 2023 and which (A) ended the co-broking agreements prospectively and (B) transferred related fiduciary and certain non-fiduciary assets and liabilities to Gallagher at that time based on then-current estimates. These non-fiduciary amounts were finalized in the third quarter of 2023. The value of the initial transfer during the second quarter of 2023 amounted to $74 million of other current liabilities less $26 million of accounts receivables due to the Company, totaling $48 million of net cash transferred to Gallagher. Additionally, total fiduciary assets and liabilities of $4.5 billion, including $868 million of fiduciary cash, were transferred to Gallagher. The total cash outflow of</w:t>
      </w:r>
    </w:p>
    <w:p>
      <w:pPr>
        <w:spacing w:after="0" w:line="5" w:lineRule="exact"/>
        <w:rPr>
          <w:sz w:val="20"/>
          <w:szCs w:val="20"/>
          <w:color w:val="auto"/>
        </w:rPr>
      </w:pPr>
    </w:p>
    <w:p>
      <w:pPr>
        <w:ind w:right="60"/>
        <w:spacing w:after="0" w:line="363" w:lineRule="auto"/>
        <w:rPr>
          <w:sz w:val="20"/>
          <w:szCs w:val="20"/>
          <w:color w:val="auto"/>
        </w:rPr>
      </w:pPr>
      <w:r>
        <w:rPr>
          <w:rFonts w:ascii="Arial" w:cs="Arial" w:eastAsia="Arial" w:hAnsi="Arial"/>
          <w:sz w:val="18"/>
          <w:szCs w:val="18"/>
          <w:color w:val="auto"/>
        </w:rPr>
        <w:t>$916 million was included in cash used in investing activities in the consolidated statements of cash flows for the six months ended June 30, 2023. During the third quarter of 2023, WTW and Gallagher agreed to a final settlement of</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 / 36</w:t>
      </w:r>
    </w:p>
    <w:p>
      <w:pPr>
        <w:sectPr>
          <w:pgSz w:w="11900" w:h="16838" w:orient="portrait"/>
          <w:cols w:equalWidth="0" w:num="1">
            <w:col w:w="9400"/>
          </w:cols>
          <w:pgMar w:left="1260" w:top="1440" w:right="1246" w:bottom="0" w:gutter="0" w:footer="0" w:header="0"/>
          <w:type w:val="continuous"/>
        </w:sectPr>
      </w:pPr>
    </w:p>
    <w:bookmarkStart w:id="175" w:name="page176"/>
    <w:bookmarkEnd w:id="175"/>
    <w:p>
      <w:pPr>
        <w:ind w:right="220"/>
        <w:spacing w:after="0" w:line="330" w:lineRule="auto"/>
        <w:rPr>
          <w:sz w:val="20"/>
          <w:szCs w:val="20"/>
          <w:color w:val="auto"/>
        </w:rPr>
      </w:pPr>
      <w:r>
        <w:rPr>
          <w:rFonts w:ascii="Arial" w:cs="Arial" w:eastAsia="Arial" w:hAnsi="Arial"/>
          <w:sz w:val="19"/>
          <w:szCs w:val="19"/>
          <w:color w:val="auto"/>
        </w:rPr>
        <w:t>all balances which resulted in a $5 million increase to the gain on disposal recognized at that time, and is included within Other (loss)/income, net on our consolidated statements of comprehensive income. The settlement of remaining amounts owed to Gallagher totaling $11 million was transferred in October 2023.</w:t>
      </w:r>
    </w:p>
    <w:p>
      <w:pPr>
        <w:spacing w:after="0" w:line="179" w:lineRule="exact"/>
        <w:rPr>
          <w:sz w:val="20"/>
          <w:szCs w:val="20"/>
          <w:color w:val="auto"/>
        </w:rPr>
      </w:pPr>
    </w:p>
    <w:p>
      <w:pPr>
        <w:ind w:right="760"/>
        <w:spacing w:after="0" w:line="302" w:lineRule="auto"/>
        <w:rPr>
          <w:sz w:val="20"/>
          <w:szCs w:val="20"/>
          <w:color w:val="auto"/>
        </w:rPr>
      </w:pPr>
      <w:r>
        <w:rPr>
          <w:rFonts w:ascii="Arial" w:cs="Arial" w:eastAsia="Arial" w:hAnsi="Arial"/>
          <w:sz w:val="20"/>
          <w:szCs w:val="20"/>
          <w:color w:val="auto"/>
        </w:rPr>
        <w:t>In April 2025, the Company received $750 million pertaining to the earnout, for which the related gain was recognized in 2024.</w:t>
      </w:r>
    </w:p>
    <w:p>
      <w:pPr>
        <w:spacing w:after="0" w:line="201"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A number of services continued under a cost reimbursement Transition Services Agreement (‘TSA’) in which WTW was providing Gallagher support including real estate leases, information technology, payroll, human resources and accounting. During the third quarter of 2023, the term for these services was extended from November 30, 2023 to May 31, 2024, and during the second quarter of 2024, the second of the two extensions allowed under the TSA was invoked and the term for these services was further extended to November 30, 2024. Fees earned under the TSA were $19 million and $36 million during the years ended December 31, 2024 and 2023, respectively, and have been recognized as a reduction to the costs incurred to service the TSA and are included within Other operating expenses on the consolidated statements of comprehensive income.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Disposals</w:t>
      </w:r>
    </w:p>
    <w:p>
      <w:pPr>
        <w:spacing w:after="0" w:line="260" w:lineRule="exact"/>
        <w:rPr>
          <w:sz w:val="20"/>
          <w:szCs w:val="20"/>
          <w:color w:val="auto"/>
        </w:rPr>
      </w:pPr>
    </w:p>
    <w:p>
      <w:pPr>
        <w:ind w:right="620"/>
        <w:spacing w:after="0" w:line="302" w:lineRule="auto"/>
        <w:rPr>
          <w:sz w:val="20"/>
          <w:szCs w:val="20"/>
          <w:color w:val="auto"/>
        </w:rPr>
      </w:pPr>
      <w:r>
        <w:rPr>
          <w:rFonts w:ascii="Arial" w:cs="Arial" w:eastAsia="Arial" w:hAnsi="Arial"/>
          <w:sz w:val="20"/>
          <w:szCs w:val="20"/>
          <w:color w:val="auto"/>
        </w:rPr>
        <w:t>The Company completed other disposals during the years ended December 31, 2025, 2024 and 2023 for cash proceeds of $34 million, $18 million and</w:t>
      </w:r>
    </w:p>
    <w:p>
      <w:pPr>
        <w:spacing w:after="0" w:line="21" w:lineRule="exact"/>
        <w:rPr>
          <w:sz w:val="20"/>
          <w:szCs w:val="20"/>
          <w:color w:val="auto"/>
        </w:rPr>
      </w:pPr>
    </w:p>
    <w:p>
      <w:pPr>
        <w:ind w:right="40"/>
        <w:spacing w:after="0" w:line="309" w:lineRule="auto"/>
        <w:rPr>
          <w:sz w:val="20"/>
          <w:szCs w:val="20"/>
          <w:color w:val="auto"/>
        </w:rPr>
      </w:pPr>
      <w:r>
        <w:rPr>
          <w:rFonts w:ascii="Arial" w:cs="Arial" w:eastAsia="Arial" w:hAnsi="Arial"/>
          <w:sz w:val="20"/>
          <w:szCs w:val="20"/>
          <w:color w:val="auto"/>
        </w:rPr>
        <w:t>$89 million, respectively. These disposals resulted in a net gain for the year ended December 31, 2025 of $26 million, and for the year ended December 31, 2023 a net gain on disposal of $38 million. There were no net gains or losses on disposal for the year ended December 31, 2024. There were no non-cash proceeds recognized on disposals for the years ended December 31, 2025, 2024 and 2023.</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27 / 36</w:t>
      </w:r>
    </w:p>
    <w:p>
      <w:pPr>
        <w:sectPr>
          <w:pgSz w:w="11900" w:h="16838" w:orient="portrait"/>
          <w:cols w:equalWidth="0" w:num="1">
            <w:col w:w="9340"/>
          </w:cols>
          <w:pgMar w:left="1260" w:top="1173" w:right="1306" w:bottom="0" w:gutter="0" w:footer="0" w:header="0"/>
          <w:type w:val="continuous"/>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4 — Revenue</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Disaggregation of Revenue</w:t>
      </w:r>
    </w:p>
    <w:p>
      <w:pPr>
        <w:spacing w:after="0" w:line="260" w:lineRule="exact"/>
        <w:rPr>
          <w:sz w:val="20"/>
          <w:szCs w:val="20"/>
          <w:color w:val="auto"/>
        </w:rPr>
      </w:pPr>
    </w:p>
    <w:p>
      <w:pPr>
        <w:ind w:left="6" w:right="140"/>
        <w:spacing w:after="0" w:line="309" w:lineRule="auto"/>
        <w:rPr>
          <w:sz w:val="20"/>
          <w:szCs w:val="20"/>
          <w:color w:val="auto"/>
        </w:rPr>
      </w:pPr>
      <w:r>
        <w:rPr>
          <w:rFonts w:ascii="Arial" w:cs="Arial" w:eastAsia="Arial" w:hAnsi="Arial"/>
          <w:sz w:val="20"/>
          <w:szCs w:val="20"/>
          <w:color w:val="auto"/>
        </w:rPr>
        <w:t xml:space="preserve">The Company reports revenue by segment in Note 5 </w:t>
      </w:r>
      <w:r>
        <w:rPr>
          <w:rFonts w:ascii="Arial" w:cs="Arial" w:eastAsia="Arial" w:hAnsi="Arial"/>
          <w:sz w:val="20"/>
          <w:szCs w:val="20"/>
          <w:b w:val="1"/>
          <w:bCs w:val="1"/>
          <w:color w:val="auto"/>
        </w:rPr>
        <w:t>—</w:t>
      </w:r>
      <w:r>
        <w:rPr>
          <w:rFonts w:ascii="Arial" w:cs="Arial" w:eastAsia="Arial" w:hAnsi="Arial"/>
          <w:sz w:val="20"/>
          <w:szCs w:val="20"/>
          <w:color w:val="auto"/>
        </w:rPr>
        <w:t xml:space="preserve"> Segment Information. The following table presents revenue by service offering and segment, as well as reconciliations to total revenue for the years ended December 31, 2025, 2024 and 2023. Along with reimbursable expenses and other, total revenue by service offering represents our revenue from customer contracts.</w:t>
      </w:r>
    </w:p>
    <w:p>
      <w:pPr>
        <w:spacing w:after="0" w:line="200" w:lineRule="exact"/>
        <w:rPr>
          <w:sz w:val="20"/>
          <w:szCs w:val="20"/>
          <w:color w:val="auto"/>
        </w:rPr>
      </w:pPr>
    </w:p>
    <w:p>
      <w:pPr>
        <w:spacing w:after="0" w:line="370"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120"/>
              <w:spacing w:after="0"/>
              <w:rPr>
                <w:sz w:val="20"/>
                <w:szCs w:val="20"/>
                <w:color w:val="auto"/>
              </w:rPr>
            </w:pPr>
            <w:r>
              <w:rPr>
                <w:rFonts w:ascii="Arial" w:cs="Arial" w:eastAsia="Arial" w:hAnsi="Arial"/>
                <w:sz w:val="16"/>
                <w:szCs w:val="16"/>
                <w:b w:val="1"/>
                <w:bCs w:val="1"/>
                <w:i w:val="1"/>
                <w:iCs w:val="1"/>
                <w:color w:val="auto"/>
                <w:w w:val="88"/>
              </w:rPr>
              <w:t>Total</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0"/>
        </w:trPr>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200"/>
              <w:spacing w:after="0"/>
              <w:rPr>
                <w:sz w:val="20"/>
                <w:szCs w:val="20"/>
                <w:color w:val="auto"/>
              </w:rPr>
            </w:pPr>
            <w:r>
              <w:rPr>
                <w:rFonts w:ascii="Arial" w:cs="Arial" w:eastAsia="Arial" w:hAnsi="Arial"/>
                <w:sz w:val="16"/>
                <w:szCs w:val="16"/>
                <w:b w:val="1"/>
                <w:bCs w:val="1"/>
                <w:i w:val="1"/>
                <w:iCs w:val="1"/>
                <w:color w:val="auto"/>
              </w:rPr>
              <w:t>Total</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120"/>
              <w:spacing w:after="0"/>
              <w:rPr>
                <w:sz w:val="20"/>
                <w:szCs w:val="20"/>
                <w:color w:val="auto"/>
              </w:rPr>
            </w:pPr>
            <w:r>
              <w:rPr>
                <w:rFonts w:ascii="Arial" w:cs="Arial" w:eastAsia="Arial" w:hAnsi="Arial"/>
                <w:sz w:val="16"/>
                <w:szCs w:val="16"/>
                <w:b w:val="1"/>
                <w:bCs w:val="1"/>
                <w:i w:val="1"/>
                <w:iCs w:val="1"/>
                <w:color w:val="auto"/>
                <w:w w:val="87"/>
              </w:rPr>
              <w:t>revenue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0"/>
        </w:trPr>
        <w:tc>
          <w:tcPr>
            <w:tcW w:w="860" w:type="dxa"/>
            <w:vAlign w:val="bottom"/>
          </w:tcPr>
          <w:p>
            <w:pPr>
              <w:spacing w:after="0"/>
              <w:rPr>
                <w:sz w:val="20"/>
                <w:szCs w:val="20"/>
                <w:color w:val="auto"/>
              </w:rPr>
            </w:pPr>
            <w:r>
              <w:rPr>
                <w:rFonts w:ascii="Arial" w:cs="Arial" w:eastAsia="Arial" w:hAnsi="Arial"/>
                <w:sz w:val="16"/>
                <w:szCs w:val="16"/>
                <w:b w:val="1"/>
                <w:bCs w:val="1"/>
                <w:color w:val="auto"/>
                <w:w w:val="95"/>
              </w:rPr>
              <w:t>Year Ended</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b w:val="1"/>
                <w:bCs w:val="1"/>
                <w:i w:val="1"/>
                <w:iCs w:val="1"/>
                <w:color w:val="auto"/>
              </w:rPr>
              <w:t>revenue</w:t>
            </w: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Reimbursable</w:t>
            </w:r>
          </w:p>
        </w:tc>
        <w:tc>
          <w:tcPr>
            <w:tcW w:w="160" w:type="dxa"/>
            <w:vAlign w:val="bottom"/>
          </w:tcPr>
          <w:p>
            <w:pPr>
              <w:spacing w:after="0"/>
              <w:rPr>
                <w:sz w:val="20"/>
                <w:szCs w:val="20"/>
                <w:color w:val="auto"/>
              </w:rPr>
            </w:pPr>
          </w:p>
        </w:tc>
        <w:tc>
          <w:tcPr>
            <w:tcW w:w="740" w:type="dxa"/>
            <w:vAlign w:val="bottom"/>
          </w:tcPr>
          <w:p>
            <w:pPr>
              <w:jc w:val="center"/>
              <w:ind w:right="100"/>
              <w:spacing w:after="0"/>
              <w:rPr>
                <w:sz w:val="20"/>
                <w:szCs w:val="20"/>
                <w:color w:val="auto"/>
              </w:rPr>
            </w:pPr>
            <w:r>
              <w:rPr>
                <w:rFonts w:ascii="Arial" w:cs="Arial" w:eastAsia="Arial" w:hAnsi="Arial"/>
                <w:sz w:val="16"/>
                <w:szCs w:val="16"/>
                <w:b w:val="1"/>
                <w:bCs w:val="1"/>
                <w:i w:val="1"/>
                <w:iCs w:val="1"/>
                <w:color w:val="auto"/>
                <w:w w:val="89"/>
              </w:rPr>
              <w:t>from</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Interest</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0"/>
        </w:trPr>
        <w:tc>
          <w:tcPr>
            <w:tcW w:w="860" w:type="dxa"/>
            <w:vAlign w:val="bottom"/>
          </w:tcPr>
          <w:p>
            <w:pPr>
              <w:ind w:left="60"/>
              <w:spacing w:after="0"/>
              <w:rPr>
                <w:sz w:val="20"/>
                <w:szCs w:val="20"/>
                <w:color w:val="auto"/>
              </w:rPr>
            </w:pPr>
            <w:r>
              <w:rPr>
                <w:rFonts w:ascii="Arial" w:cs="Arial" w:eastAsia="Arial" w:hAnsi="Arial"/>
                <w:sz w:val="16"/>
                <w:szCs w:val="16"/>
                <w:b w:val="1"/>
                <w:bCs w:val="1"/>
                <w:color w:val="auto"/>
              </w:rPr>
              <w:t>December</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60"/>
              <w:spacing w:after="0"/>
              <w:rPr>
                <w:sz w:val="20"/>
                <w:szCs w:val="20"/>
                <w:color w:val="auto"/>
              </w:rPr>
            </w:pPr>
            <w:r>
              <w:rPr>
                <w:rFonts w:ascii="Arial" w:cs="Arial" w:eastAsia="Arial" w:hAnsi="Arial"/>
                <w:sz w:val="16"/>
                <w:szCs w:val="16"/>
                <w:b w:val="1"/>
                <w:bCs w:val="1"/>
                <w:color w:val="auto"/>
                <w:w w:val="89"/>
              </w:rPr>
              <w:t>Outsourced</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6"/>
                <w:szCs w:val="16"/>
                <w:b w:val="1"/>
                <w:bCs w:val="1"/>
                <w:i w:val="1"/>
                <w:iCs w:val="1"/>
                <w:color w:val="auto"/>
                <w:w w:val="97"/>
              </w:rPr>
              <w:t>by service</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4"/>
              </w:rPr>
              <w:t>expenses and</w:t>
            </w: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i w:val="1"/>
                <w:iCs w:val="1"/>
                <w:color w:val="auto"/>
                <w:w w:val="86"/>
              </w:rPr>
              <w:t>customer</w:t>
            </w: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and other</w:t>
            </w:r>
          </w:p>
        </w:tc>
        <w:tc>
          <w:tcPr>
            <w:tcW w:w="160" w:type="dxa"/>
            <w:vAlign w:val="bottom"/>
          </w:tcPr>
          <w:p>
            <w:pPr>
              <w:spacing w:after="0"/>
              <w:rPr>
                <w:sz w:val="20"/>
                <w:szCs w:val="20"/>
                <w:color w:val="auto"/>
              </w:rPr>
            </w:pPr>
          </w:p>
        </w:tc>
        <w:tc>
          <w:tcPr>
            <w:tcW w:w="700" w:type="dxa"/>
            <w:vAlign w:val="bottom"/>
          </w:tcPr>
          <w:p>
            <w:pPr>
              <w:jc w:val="right"/>
              <w:ind w:right="200"/>
              <w:spacing w:after="0"/>
              <w:rPr>
                <w:sz w:val="20"/>
                <w:szCs w:val="20"/>
                <w:color w:val="auto"/>
              </w:rPr>
            </w:pPr>
            <w:r>
              <w:rPr>
                <w:rFonts w:ascii="Arial" w:cs="Arial" w:eastAsia="Arial" w:hAnsi="Arial"/>
                <w:sz w:val="16"/>
                <w:szCs w:val="16"/>
                <w:b w:val="1"/>
                <w:bCs w:val="1"/>
                <w:i w:val="1"/>
                <w:iCs w:val="1"/>
                <w:color w:val="auto"/>
              </w:rPr>
              <w:t>Total</w:t>
            </w:r>
          </w:p>
        </w:tc>
      </w:tr>
      <w:tr>
        <w:trPr>
          <w:trHeight w:val="282"/>
        </w:trPr>
        <w:tc>
          <w:tcPr>
            <w:tcW w:w="860" w:type="dxa"/>
            <w:vAlign w:val="bottom"/>
          </w:tcPr>
          <w:p>
            <w:pPr>
              <w:ind w:left="300"/>
              <w:spacing w:after="0"/>
              <w:rPr>
                <w:sz w:val="20"/>
                <w:szCs w:val="20"/>
                <w:color w:val="auto"/>
              </w:rPr>
            </w:pPr>
            <w:r>
              <w:rPr>
                <w:rFonts w:ascii="Arial" w:cs="Arial" w:eastAsia="Arial" w:hAnsi="Arial"/>
                <w:sz w:val="16"/>
                <w:szCs w:val="16"/>
                <w:b w:val="1"/>
                <w:bCs w:val="1"/>
                <w:color w:val="auto"/>
              </w:rPr>
              <w:t>31,</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Broking</w:t>
            </w: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w w:val="98"/>
              </w:rPr>
              <w:t>Consulting</w:t>
            </w: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w w:val="99"/>
              </w:rPr>
              <w:t>Administration</w:t>
            </w:r>
          </w:p>
        </w:tc>
        <w:tc>
          <w:tcPr>
            <w:tcW w:w="180" w:type="dxa"/>
            <w:vAlign w:val="bottom"/>
          </w:tcPr>
          <w:p>
            <w:pPr>
              <w:spacing w:after="0"/>
              <w:rPr>
                <w:sz w:val="24"/>
                <w:szCs w:val="24"/>
                <w:color w:val="auto"/>
              </w:rPr>
            </w:pPr>
          </w:p>
        </w:tc>
        <w:tc>
          <w:tcPr>
            <w:tcW w:w="660" w:type="dxa"/>
            <w:vAlign w:val="bottom"/>
          </w:tcPr>
          <w:p>
            <w:pPr>
              <w:jc w:val="right"/>
              <w:ind w:right="14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24"/>
                <w:szCs w:val="24"/>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b w:val="1"/>
                <w:bCs w:val="1"/>
                <w:i w:val="1"/>
                <w:iCs w:val="1"/>
                <w:color w:val="auto"/>
                <w:w w:val="87"/>
              </w:rPr>
              <w:t>offering</w:t>
            </w:r>
          </w:p>
        </w:tc>
        <w:tc>
          <w:tcPr>
            <w:tcW w:w="260" w:type="dxa"/>
            <w:vAlign w:val="bottom"/>
          </w:tcPr>
          <w:p>
            <w:pPr>
              <w:spacing w:after="0"/>
              <w:rPr>
                <w:sz w:val="24"/>
                <w:szCs w:val="24"/>
                <w:color w:val="auto"/>
              </w:rPr>
            </w:pPr>
          </w:p>
        </w:tc>
        <w:tc>
          <w:tcPr>
            <w:tcW w:w="920" w:type="dxa"/>
            <w:vAlign w:val="bottom"/>
          </w:tcPr>
          <w:p>
            <w:pPr>
              <w:jc w:val="right"/>
              <w:ind w:right="260"/>
              <w:spacing w:after="0"/>
              <w:rPr>
                <w:sz w:val="20"/>
                <w:szCs w:val="20"/>
                <w:color w:val="auto"/>
              </w:rPr>
            </w:pPr>
            <w:r>
              <w:rPr>
                <w:rFonts w:ascii="Arial" w:cs="Arial" w:eastAsia="Arial" w:hAnsi="Arial"/>
                <w:sz w:val="16"/>
                <w:szCs w:val="16"/>
                <w:b w:val="1"/>
                <w:bCs w:val="1"/>
                <w:color w:val="auto"/>
                <w:w w:val="97"/>
              </w:rPr>
              <w:t xml:space="preserve">other </w:t>
            </w:r>
            <w:r>
              <w:rPr>
                <w:rFonts w:ascii="Arial" w:cs="Arial" w:eastAsia="Arial" w:hAnsi="Arial"/>
                <w:sz w:val="21"/>
                <w:szCs w:val="21"/>
                <w:b w:val="1"/>
                <w:bCs w:val="1"/>
                <w:color w:val="auto"/>
                <w:w w:val="97"/>
                <w:vertAlign w:val="superscript"/>
              </w:rPr>
              <w:t>(i)</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i w:val="1"/>
                <w:iCs w:val="1"/>
                <w:color w:val="auto"/>
              </w:rPr>
              <w:t>contracts</w:t>
            </w:r>
          </w:p>
        </w:tc>
        <w:tc>
          <w:tcPr>
            <w:tcW w:w="180" w:type="dxa"/>
            <w:vAlign w:val="bottom"/>
          </w:tcPr>
          <w:p>
            <w:pPr>
              <w:spacing w:after="0"/>
              <w:rPr>
                <w:sz w:val="24"/>
                <w:szCs w:val="24"/>
                <w:color w:val="auto"/>
              </w:rPr>
            </w:pPr>
          </w:p>
        </w:tc>
        <w:tc>
          <w:tcPr>
            <w:tcW w:w="72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income</w:t>
            </w:r>
          </w:p>
        </w:tc>
        <w:tc>
          <w:tcPr>
            <w:tcW w:w="160" w:type="dxa"/>
            <w:vAlign w:val="bottom"/>
          </w:tcPr>
          <w:p>
            <w:pPr>
              <w:spacing w:after="0"/>
              <w:rPr>
                <w:sz w:val="24"/>
                <w:szCs w:val="24"/>
                <w:color w:val="auto"/>
              </w:rPr>
            </w:pPr>
          </w:p>
        </w:tc>
        <w:tc>
          <w:tcPr>
            <w:tcW w:w="700" w:type="dxa"/>
            <w:vAlign w:val="bottom"/>
          </w:tcPr>
          <w:p>
            <w:pPr>
              <w:jc w:val="right"/>
              <w:ind w:right="100"/>
              <w:spacing w:after="0"/>
              <w:rPr>
                <w:sz w:val="20"/>
                <w:szCs w:val="20"/>
                <w:color w:val="auto"/>
              </w:rPr>
            </w:pPr>
            <w:r>
              <w:rPr>
                <w:rFonts w:ascii="Arial" w:cs="Arial" w:eastAsia="Arial" w:hAnsi="Arial"/>
                <w:sz w:val="16"/>
                <w:szCs w:val="16"/>
                <w:b w:val="1"/>
                <w:bCs w:val="1"/>
                <w:i w:val="1"/>
                <w:iCs w:val="1"/>
                <w:color w:val="auto"/>
                <w:w w:val="81"/>
              </w:rPr>
              <w:t>revenue</w:t>
            </w:r>
          </w:p>
        </w:tc>
      </w:tr>
      <w:tr>
        <w:trPr>
          <w:trHeight w:val="220"/>
        </w:trPr>
        <w:tc>
          <w:tcPr>
            <w:tcW w:w="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HWC</w:t>
            </w:r>
          </w:p>
        </w:tc>
        <w:tc>
          <w:tcPr>
            <w:tcW w:w="2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r>
      <w:tr>
        <w:trPr>
          <w:trHeight w:val="268"/>
        </w:trPr>
        <w:tc>
          <w:tcPr>
            <w:tcW w:w="860" w:type="dxa"/>
            <w:vAlign w:val="bottom"/>
          </w:tcPr>
          <w:p>
            <w:pPr>
              <w:spacing w:after="0"/>
              <w:rPr>
                <w:sz w:val="20"/>
                <w:szCs w:val="20"/>
                <w:color w:val="auto"/>
              </w:rPr>
            </w:pPr>
            <w:r>
              <w:rPr>
                <w:rFonts w:ascii="Arial" w:cs="Arial" w:eastAsia="Arial" w:hAnsi="Arial"/>
                <w:sz w:val="16"/>
                <w:szCs w:val="16"/>
                <w:color w:val="auto"/>
              </w:rPr>
              <w:t>2025</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882</w:t>
            </w: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2,849</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1,096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390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5,217</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5,291</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5,328</w:t>
            </w:r>
          </w:p>
        </w:tc>
      </w:tr>
      <w:tr>
        <w:trPr>
          <w:trHeight w:val="32"/>
        </w:trPr>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80"/>
        </w:trPr>
        <w:tc>
          <w:tcPr>
            <w:tcW w:w="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2024</w:t>
            </w:r>
          </w:p>
        </w:tc>
        <w:tc>
          <w:tcPr>
            <w:tcW w:w="2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1,613</w:t>
            </w:r>
          </w:p>
        </w:tc>
        <w:tc>
          <w:tcPr>
            <w:tcW w:w="3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2,668</w:t>
            </w:r>
          </w:p>
        </w:tc>
        <w:tc>
          <w:tcPr>
            <w:tcW w:w="1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1,091</w:t>
            </w:r>
          </w:p>
        </w:tc>
        <w:tc>
          <w:tcPr>
            <w:tcW w:w="1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363</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5,735</w:t>
            </w:r>
          </w:p>
        </w:tc>
        <w:tc>
          <w:tcPr>
            <w:tcW w:w="2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5,804</w:t>
            </w:r>
          </w:p>
        </w:tc>
        <w:tc>
          <w:tcPr>
            <w:tcW w:w="18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42</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5,846</w:t>
            </w:r>
          </w:p>
        </w:tc>
      </w:tr>
      <w:tr>
        <w:trPr>
          <w:trHeight w:val="251"/>
        </w:trPr>
        <w:tc>
          <w:tcPr>
            <w:tcW w:w="860" w:type="dxa"/>
            <w:vAlign w:val="bottom"/>
          </w:tcPr>
          <w:p>
            <w:pPr>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1,531</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2,594</w:t>
            </w:r>
          </w:p>
        </w:tc>
        <w:tc>
          <w:tcPr>
            <w:tcW w:w="18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1,078</w:t>
            </w:r>
          </w:p>
        </w:tc>
        <w:tc>
          <w:tcPr>
            <w:tcW w:w="18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349</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5,552</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5,625</w:t>
            </w:r>
          </w:p>
        </w:tc>
        <w:tc>
          <w:tcPr>
            <w:tcW w:w="18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21"/>
                <w:szCs w:val="21"/>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5,655</w:t>
            </w:r>
          </w:p>
        </w:tc>
      </w:tr>
      <w:tr>
        <w:trPr>
          <w:trHeight w:val="49"/>
        </w:trPr>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20"/>
        </w:trPr>
        <w:tc>
          <w:tcPr>
            <w:tcW w:w="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R&amp;B</w:t>
            </w:r>
          </w:p>
        </w:tc>
        <w:tc>
          <w:tcPr>
            <w:tcW w:w="2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r>
      <w:tr>
        <w:trPr>
          <w:trHeight w:val="251"/>
        </w:trPr>
        <w:tc>
          <w:tcPr>
            <w:tcW w:w="860" w:type="dxa"/>
            <w:vAlign w:val="bottom"/>
          </w:tcPr>
          <w:p>
            <w:pPr>
              <w:spacing w:after="0"/>
              <w:rPr>
                <w:sz w:val="20"/>
                <w:szCs w:val="20"/>
                <w:color w:val="auto"/>
              </w:rPr>
            </w:pPr>
            <w:r>
              <w:rPr>
                <w:rFonts w:ascii="Arial" w:cs="Arial" w:eastAsia="Arial" w:hAnsi="Arial"/>
                <w:sz w:val="16"/>
                <w:szCs w:val="16"/>
                <w:color w:val="auto"/>
              </w:rPr>
              <w:t>2025</w:t>
            </w:r>
          </w:p>
        </w:tc>
        <w:tc>
          <w:tcPr>
            <w:tcW w:w="26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3,452</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435</w:t>
            </w:r>
          </w:p>
        </w:tc>
        <w:tc>
          <w:tcPr>
            <w:tcW w:w="18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254</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4,210</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4,222</w:t>
            </w:r>
          </w:p>
        </w:tc>
        <w:tc>
          <w:tcPr>
            <w:tcW w:w="18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160" w:type="dxa"/>
            <w:vAlign w:val="bottom"/>
          </w:tcPr>
          <w:p>
            <w:pPr>
              <w:spacing w:after="0"/>
              <w:rPr>
                <w:sz w:val="21"/>
                <w:szCs w:val="21"/>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4,346</w:t>
            </w:r>
          </w:p>
        </w:tc>
      </w:tr>
      <w:tr>
        <w:trPr>
          <w:trHeight w:val="49"/>
        </w:trPr>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80"/>
        </w:trPr>
        <w:tc>
          <w:tcPr>
            <w:tcW w:w="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2024</w:t>
            </w:r>
          </w:p>
        </w:tc>
        <w:tc>
          <w:tcPr>
            <w:tcW w:w="2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3,196</w:t>
            </w:r>
          </w:p>
        </w:tc>
        <w:tc>
          <w:tcPr>
            <w:tcW w:w="3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1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76</w:t>
            </w:r>
          </w:p>
        </w:tc>
        <w:tc>
          <w:tcPr>
            <w:tcW w:w="1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243</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3,911</w:t>
            </w:r>
          </w:p>
        </w:tc>
        <w:tc>
          <w:tcPr>
            <w:tcW w:w="2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3,924</w:t>
            </w:r>
          </w:p>
        </w:tc>
        <w:tc>
          <w:tcPr>
            <w:tcW w:w="18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127</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4,051</w:t>
            </w:r>
          </w:p>
        </w:tc>
      </w:tr>
      <w:tr>
        <w:trPr>
          <w:trHeight w:val="251"/>
        </w:trPr>
        <w:tc>
          <w:tcPr>
            <w:tcW w:w="860" w:type="dxa"/>
            <w:vAlign w:val="bottom"/>
          </w:tcPr>
          <w:p>
            <w:pPr>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2,947</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378</w:t>
            </w:r>
          </w:p>
        </w:tc>
        <w:tc>
          <w:tcPr>
            <w:tcW w:w="18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81</w:t>
            </w:r>
          </w:p>
        </w:tc>
        <w:tc>
          <w:tcPr>
            <w:tcW w:w="18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222</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3,628</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3,641</w:t>
            </w:r>
          </w:p>
        </w:tc>
        <w:tc>
          <w:tcPr>
            <w:tcW w:w="18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160" w:type="dxa"/>
            <w:vAlign w:val="bottom"/>
          </w:tcPr>
          <w:p>
            <w:pPr>
              <w:spacing w:after="0"/>
              <w:rPr>
                <w:sz w:val="21"/>
                <w:szCs w:val="21"/>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3,748</w:t>
            </w:r>
          </w:p>
        </w:tc>
      </w:tr>
      <w:tr>
        <w:trPr>
          <w:trHeight w:val="49"/>
        </w:trPr>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40"/>
        </w:trPr>
        <w:tc>
          <w:tcPr>
            <w:tcW w:w="860" w:type="dxa"/>
            <w:vAlign w:val="bottom"/>
            <w:shd w:val="clear" w:color="auto" w:fill="CFF0FC"/>
          </w:tcPr>
          <w:p>
            <w:pPr>
              <w:spacing w:after="0" w:line="240" w:lineRule="exact"/>
              <w:rPr>
                <w:sz w:val="20"/>
                <w:szCs w:val="20"/>
                <w:color w:val="auto"/>
              </w:rPr>
            </w:pPr>
            <w:r>
              <w:rPr>
                <w:rFonts w:ascii="Arial" w:cs="Arial" w:eastAsia="Arial" w:hAnsi="Arial"/>
                <w:sz w:val="16"/>
                <w:szCs w:val="16"/>
                <w:color w:val="auto"/>
                <w:w w:val="95"/>
              </w:rPr>
              <w:t xml:space="preserve">Corporate </w:t>
            </w:r>
            <w:r>
              <w:rPr>
                <w:rFonts w:ascii="Arial" w:cs="Arial" w:eastAsia="Arial" w:hAnsi="Arial"/>
                <w:sz w:val="21"/>
                <w:szCs w:val="21"/>
                <w:color w:val="auto"/>
                <w:w w:val="95"/>
                <w:vertAlign w:val="superscript"/>
              </w:rPr>
              <w:t>(i)</w:t>
            </w:r>
          </w:p>
        </w:tc>
        <w:tc>
          <w:tcPr>
            <w:tcW w:w="2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r>
      <w:tr>
        <w:trPr>
          <w:trHeight w:val="251"/>
        </w:trPr>
        <w:tc>
          <w:tcPr>
            <w:tcW w:w="860" w:type="dxa"/>
            <w:vAlign w:val="bottom"/>
          </w:tcPr>
          <w:p>
            <w:pPr>
              <w:spacing w:after="0"/>
              <w:rPr>
                <w:sz w:val="20"/>
                <w:szCs w:val="20"/>
                <w:color w:val="auto"/>
              </w:rPr>
            </w:pPr>
            <w:r>
              <w:rPr>
                <w:rFonts w:ascii="Arial" w:cs="Arial" w:eastAsia="Arial" w:hAnsi="Arial"/>
                <w:sz w:val="16"/>
                <w:szCs w:val="16"/>
                <w:color w:val="auto"/>
              </w:rPr>
              <w:t>2025</w:t>
            </w:r>
          </w:p>
        </w:tc>
        <w:tc>
          <w:tcPr>
            <w:tcW w:w="26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21"/>
                <w:szCs w:val="21"/>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34</w:t>
            </w:r>
          </w:p>
        </w:tc>
      </w:tr>
      <w:tr>
        <w:trPr>
          <w:trHeight w:val="49"/>
        </w:trPr>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80"/>
        </w:trPr>
        <w:tc>
          <w:tcPr>
            <w:tcW w:w="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2024</w:t>
            </w:r>
          </w:p>
        </w:tc>
        <w:tc>
          <w:tcPr>
            <w:tcW w:w="2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33</w:t>
            </w:r>
          </w:p>
        </w:tc>
      </w:tr>
      <w:tr>
        <w:trPr>
          <w:trHeight w:val="251"/>
        </w:trPr>
        <w:tc>
          <w:tcPr>
            <w:tcW w:w="860" w:type="dxa"/>
            <w:vAlign w:val="bottom"/>
          </w:tcPr>
          <w:p>
            <w:pPr>
              <w:spacing w:after="0"/>
              <w:rPr>
                <w:sz w:val="20"/>
                <w:szCs w:val="20"/>
                <w:color w:val="auto"/>
              </w:rPr>
            </w:pPr>
            <w:r>
              <w:rPr>
                <w:rFonts w:ascii="Arial" w:cs="Arial" w:eastAsia="Arial" w:hAnsi="Arial"/>
                <w:sz w:val="16"/>
                <w:szCs w:val="16"/>
                <w:color w:val="auto"/>
              </w:rPr>
              <w:t>2023</w:t>
            </w:r>
          </w:p>
        </w:tc>
        <w:tc>
          <w:tcPr>
            <w:tcW w:w="260" w:type="dxa"/>
            <w:vAlign w:val="bottom"/>
          </w:tcPr>
          <w:p>
            <w:pPr>
              <w:spacing w:after="0"/>
              <w:rPr>
                <w:sz w:val="21"/>
                <w:szCs w:val="21"/>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21"/>
                <w:szCs w:val="21"/>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80</w:t>
            </w:r>
          </w:p>
        </w:tc>
      </w:tr>
      <w:tr>
        <w:trPr>
          <w:trHeight w:val="59"/>
        </w:trPr>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220"/>
        </w:trPr>
        <w:tc>
          <w:tcPr>
            <w:tcW w:w="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r>
      <w:tr>
        <w:trPr>
          <w:trHeight w:val="268"/>
        </w:trPr>
        <w:tc>
          <w:tcPr>
            <w:tcW w:w="860" w:type="dxa"/>
            <w:vAlign w:val="bottom"/>
          </w:tcPr>
          <w:p>
            <w:pPr>
              <w:spacing w:after="0"/>
              <w:rPr>
                <w:sz w:val="20"/>
                <w:szCs w:val="20"/>
                <w:color w:val="auto"/>
              </w:rPr>
            </w:pPr>
            <w:r>
              <w:rPr>
                <w:rFonts w:ascii="Arial" w:cs="Arial" w:eastAsia="Arial" w:hAnsi="Arial"/>
                <w:sz w:val="16"/>
                <w:szCs w:val="16"/>
                <w:color w:val="auto"/>
              </w:rPr>
              <w:t>2025</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4,334</w:t>
            </w: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3,285</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1,165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644</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9,428</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9,516</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192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9,708</w:t>
            </w:r>
          </w:p>
        </w:tc>
      </w:tr>
      <w:tr>
        <w:trPr>
          <w:trHeight w:val="77"/>
        </w:trPr>
        <w:tc>
          <w:tcPr>
            <w:tcW w:w="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r>
      <w:tr>
        <w:trPr>
          <w:trHeight w:val="268"/>
        </w:trPr>
        <w:tc>
          <w:tcPr>
            <w:tcW w:w="86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2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4,809</w:t>
            </w:r>
          </w:p>
        </w:tc>
        <w:tc>
          <w:tcPr>
            <w:tcW w:w="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3,066</w:t>
            </w:r>
          </w:p>
        </w:tc>
        <w:tc>
          <w:tcPr>
            <w:tcW w:w="180" w:type="dxa"/>
            <w:vAlign w:val="bottom"/>
            <w:shd w:val="clear" w:color="auto" w:fill="CFF0FC"/>
          </w:tcPr>
          <w:p>
            <w:pPr>
              <w:ind w:left="10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1,167</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606</w:t>
            </w:r>
          </w:p>
        </w:tc>
        <w:tc>
          <w:tcPr>
            <w:tcW w:w="160" w:type="dxa"/>
            <w:vAlign w:val="bottom"/>
            <w:shd w:val="clear" w:color="auto" w:fill="CFF0FC"/>
          </w:tcPr>
          <w:p>
            <w:pPr>
              <w:ind w:left="8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9,648</w:t>
            </w:r>
          </w:p>
        </w:tc>
        <w:tc>
          <w:tcPr>
            <w:tcW w:w="26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9,739</w:t>
            </w:r>
          </w:p>
        </w:tc>
        <w:tc>
          <w:tcPr>
            <w:tcW w:w="180" w:type="dxa"/>
            <w:vAlign w:val="bottom"/>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191</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9,930</w:t>
            </w:r>
          </w:p>
        </w:tc>
      </w:tr>
      <w:tr>
        <w:trPr>
          <w:trHeight w:val="77"/>
        </w:trPr>
        <w:tc>
          <w:tcPr>
            <w:tcW w:w="86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06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70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74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700" w:type="dxa"/>
            <w:vAlign w:val="bottom"/>
            <w:shd w:val="clear" w:color="auto" w:fill="CFF0FC"/>
          </w:tcPr>
          <w:p>
            <w:pPr>
              <w:spacing w:after="0"/>
              <w:rPr>
                <w:sz w:val="6"/>
                <w:szCs w:val="6"/>
                <w:color w:val="auto"/>
              </w:rPr>
            </w:pPr>
          </w:p>
        </w:tc>
      </w:tr>
      <w:tr>
        <w:trPr>
          <w:trHeight w:val="268"/>
        </w:trPr>
        <w:tc>
          <w:tcPr>
            <w:tcW w:w="860" w:type="dxa"/>
            <w:vAlign w:val="bottom"/>
          </w:tcPr>
          <w:p>
            <w:pPr>
              <w:spacing w:after="0"/>
              <w:rPr>
                <w:sz w:val="20"/>
                <w:szCs w:val="20"/>
                <w:color w:val="auto"/>
              </w:rPr>
            </w:pPr>
            <w:r>
              <w:rPr>
                <w:rFonts w:ascii="Arial" w:cs="Arial" w:eastAsia="Arial" w:hAnsi="Arial"/>
                <w:sz w:val="16"/>
                <w:szCs w:val="16"/>
                <w:color w:val="auto"/>
              </w:rPr>
              <w:t>2023</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4,486</w:t>
            </w:r>
          </w:p>
        </w:tc>
        <w:tc>
          <w:tcPr>
            <w:tcW w:w="320" w:type="dxa"/>
            <w:vAlign w:val="bottom"/>
          </w:tcPr>
          <w:p>
            <w:pPr>
              <w:ind w:lef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2,986</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1,159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571</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9,202</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9,304</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179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9,483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-2944495</wp:posOffset>
            </wp:positionV>
            <wp:extent cx="596773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581025</wp:posOffset>
            </wp:positionH>
            <wp:positionV relativeFrom="paragraph">
              <wp:posOffset>-766445</wp:posOffset>
            </wp:positionV>
            <wp:extent cx="5386705"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5">
                      <a:extLst>
                        <a:ext uri="{28A0092B-C50C-407E-A947-70E740481C1C}"/>
                      </a:extLst>
                    </a:blip>
                    <a:srcRect/>
                    <a:stretch>
                      <a:fillRect/>
                    </a:stretch>
                  </pic:blipFill>
                  <pic:spPr bwMode="auto">
                    <a:xfrm>
                      <a:off x="0" y="0"/>
                      <a:ext cx="5386705" cy="6350"/>
                    </a:xfrm>
                    <a:prstGeom prst="rect">
                      <a:avLst/>
                    </a:prstGeom>
                    <a:noFill/>
                  </pic:spPr>
                </pic:pic>
              </a:graphicData>
            </a:graphic>
          </wp:anchor>
        </w:drawing>
        <w:drawing>
          <wp:anchor simplePos="0" relativeHeight="251657728" behindDoc="1" locked="0" layoutInCell="0" allowOverlap="1">
            <wp:simplePos x="0" y="0"/>
            <wp:positionH relativeFrom="column">
              <wp:posOffset>581025</wp:posOffset>
            </wp:positionH>
            <wp:positionV relativeFrom="paragraph">
              <wp:posOffset>-417195</wp:posOffset>
            </wp:positionV>
            <wp:extent cx="5386705" cy="285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6">
                      <a:extLst>
                        <a:ext uri="{28A0092B-C50C-407E-A947-70E740481C1C}"/>
                      </a:extLst>
                    </a:blip>
                    <a:srcRect/>
                    <a:stretch>
                      <a:fillRect/>
                    </a:stretch>
                  </pic:blipFill>
                  <pic:spPr bwMode="auto">
                    <a:xfrm>
                      <a:off x="0" y="0"/>
                      <a:ext cx="5386705" cy="28575"/>
                    </a:xfrm>
                    <a:prstGeom prst="rect">
                      <a:avLst/>
                    </a:prstGeom>
                    <a:noFill/>
                  </pic:spPr>
                </pic:pic>
              </a:graphicData>
            </a:graphic>
          </wp:anchor>
        </w:drawing>
        <w:drawing>
          <wp:anchor simplePos="0" relativeHeight="251657728" behindDoc="1" locked="0" layoutInCell="0" allowOverlap="1">
            <wp:simplePos x="0" y="0"/>
            <wp:positionH relativeFrom="column">
              <wp:posOffset>581025</wp:posOffset>
            </wp:positionH>
            <wp:positionV relativeFrom="paragraph">
              <wp:posOffset>-198120</wp:posOffset>
            </wp:positionV>
            <wp:extent cx="5386705" cy="285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7">
                      <a:extLst>
                        <a:ext uri="{28A0092B-C50C-407E-A947-70E740481C1C}"/>
                      </a:extLst>
                    </a:blip>
                    <a:srcRect/>
                    <a:stretch>
                      <a:fillRect/>
                    </a:stretch>
                  </pic:blipFill>
                  <pic:spPr bwMode="auto">
                    <a:xfrm>
                      <a:off x="0" y="0"/>
                      <a:ext cx="5386705" cy="28575"/>
                    </a:xfrm>
                    <a:prstGeom prst="rect">
                      <a:avLst/>
                    </a:prstGeom>
                    <a:noFill/>
                  </pic:spPr>
                </pic:pic>
              </a:graphicData>
            </a:graphic>
          </wp:anchor>
        </w:drawing>
        <w:drawing>
          <wp:anchor simplePos="0" relativeHeight="251657728" behindDoc="1" locked="0" layoutInCell="0" allowOverlap="1">
            <wp:simplePos x="0" y="0"/>
            <wp:positionH relativeFrom="column">
              <wp:posOffset>581025</wp:posOffset>
            </wp:positionH>
            <wp:positionV relativeFrom="paragraph">
              <wp:posOffset>20320</wp:posOffset>
            </wp:positionV>
            <wp:extent cx="5386705" cy="285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8">
                      <a:extLst>
                        <a:ext uri="{28A0092B-C50C-407E-A947-70E740481C1C}"/>
                      </a:extLst>
                    </a:blip>
                    <a:srcRect/>
                    <a:stretch>
                      <a:fillRect/>
                    </a:stretch>
                  </pic:blipFill>
                  <pic:spPr bwMode="auto">
                    <a:xfrm>
                      <a:off x="0" y="0"/>
                      <a:ext cx="5386705"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277495</wp:posOffset>
            </wp:positionV>
            <wp:extent cx="795655" cy="95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9">
                      <a:extLst>
                        <a:ext uri="{28A0092B-C50C-407E-A947-70E740481C1C}"/>
                      </a:extLst>
                    </a:blip>
                    <a:srcRect/>
                    <a:stretch>
                      <a:fillRect/>
                    </a:stretch>
                  </pic:blipFill>
                  <pic:spPr bwMode="auto">
                    <a:xfrm>
                      <a:off x="0" y="0"/>
                      <a:ext cx="795655" cy="952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226" w:right="80" w:hanging="226"/>
        <w:spacing w:after="0" w:line="464" w:lineRule="auto"/>
        <w:tabs>
          <w:tab w:leader="none" w:pos="226"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Reimbursable expenses and other, as well as Corporate revenue, are excluded from segment revenue, but included in total revenue on the consolidated statements of comprehensive income. Amounts included in Corporate revenue may include eliminations, adjustments to reserves and impacts from hedged revenue transactions.</w:t>
      </w:r>
    </w:p>
    <w:p>
      <w:pPr>
        <w:spacing w:after="0" w:line="112" w:lineRule="exact"/>
        <w:rPr>
          <w:sz w:val="20"/>
          <w:szCs w:val="20"/>
          <w:color w:val="auto"/>
        </w:rPr>
      </w:pPr>
    </w:p>
    <w:p>
      <w:pPr>
        <w:ind w:left="6" w:right="40"/>
        <w:spacing w:after="0" w:line="307" w:lineRule="auto"/>
        <w:rPr>
          <w:sz w:val="20"/>
          <w:szCs w:val="20"/>
          <w:color w:val="auto"/>
        </w:rPr>
      </w:pPr>
      <w:r>
        <w:rPr>
          <w:rFonts w:ascii="Arial" w:cs="Arial" w:eastAsia="Arial" w:hAnsi="Arial"/>
          <w:sz w:val="20"/>
          <w:szCs w:val="20"/>
          <w:color w:val="auto"/>
        </w:rPr>
        <w:t>Interest and other income is included in segment revenue and total revenue, however it has been presented separately in the above tables because it does not arise directly from contracts with customers. The significant components of interest and other income are as follows for the periods presented above:</w:t>
      </w:r>
    </w:p>
    <w:p>
      <w:pPr>
        <w:spacing w:after="0" w:line="332"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20" w:type="dxa"/>
            <w:vAlign w:val="bottom"/>
            <w:gridSpan w:val="5"/>
          </w:tcPr>
          <w:p>
            <w:pPr>
              <w:jc w:val="right"/>
              <w:ind w:right="22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0"/>
        </w:trPr>
        <w:tc>
          <w:tcPr>
            <w:tcW w:w="1300" w:type="dxa"/>
            <w:vAlign w:val="bottom"/>
          </w:tcPr>
          <w:p>
            <w:pPr>
              <w:spacing w:after="0"/>
              <w:rPr>
                <w:sz w:val="21"/>
                <w:szCs w:val="21"/>
                <w:color w:val="auto"/>
              </w:rPr>
            </w:pPr>
          </w:p>
        </w:tc>
        <w:tc>
          <w:tcPr>
            <w:tcW w:w="2660" w:type="dxa"/>
            <w:vAlign w:val="bottom"/>
            <w:gridSpan w:val="3"/>
          </w:tcPr>
          <w:p>
            <w:pPr>
              <w:jc w:val="center"/>
              <w:ind w:left="740"/>
              <w:spacing w:after="0"/>
              <w:rPr>
                <w:sz w:val="20"/>
                <w:szCs w:val="20"/>
                <w:color w:val="auto"/>
              </w:rPr>
            </w:pPr>
            <w:r>
              <w:rPr>
                <w:rFonts w:ascii="Arial" w:cs="Arial" w:eastAsia="Arial" w:hAnsi="Arial"/>
                <w:sz w:val="16"/>
                <w:szCs w:val="16"/>
                <w:b w:val="1"/>
                <w:bCs w:val="1"/>
                <w:color w:val="auto"/>
                <w:w w:val="85"/>
              </w:rPr>
              <w:t>Book-of-business</w:t>
            </w: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40"/>
        </w:trPr>
        <w:tc>
          <w:tcPr>
            <w:tcW w:w="1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5"/>
              </w:rPr>
              <w:t>settlements</w:t>
            </w:r>
          </w:p>
        </w:tc>
        <w:tc>
          <w:tcPr>
            <w:tcW w:w="520" w:type="dxa"/>
            <w:vAlign w:val="bottom"/>
          </w:tcPr>
          <w:p>
            <w:pPr>
              <w:spacing w:after="0"/>
              <w:rPr>
                <w:sz w:val="20"/>
                <w:szCs w:val="20"/>
                <w:color w:val="auto"/>
              </w:rPr>
            </w:pPr>
          </w:p>
        </w:tc>
        <w:tc>
          <w:tcPr>
            <w:tcW w:w="180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Interest income</w:t>
            </w:r>
          </w:p>
        </w:tc>
        <w:tc>
          <w:tcPr>
            <w:tcW w:w="300" w:type="dxa"/>
            <w:vAlign w:val="bottom"/>
          </w:tcPr>
          <w:p>
            <w:pPr>
              <w:spacing w:after="0"/>
              <w:rPr>
                <w:sz w:val="20"/>
                <w:szCs w:val="20"/>
                <w:color w:val="auto"/>
              </w:rPr>
            </w:pPr>
          </w:p>
        </w:tc>
        <w:tc>
          <w:tcPr>
            <w:tcW w:w="1220" w:type="dxa"/>
            <w:vAlign w:val="bottom"/>
            <w:gridSpan w:val="3"/>
          </w:tcPr>
          <w:p>
            <w:pPr>
              <w:ind w:left="140"/>
              <w:spacing w:after="0"/>
              <w:rPr>
                <w:sz w:val="20"/>
                <w:szCs w:val="20"/>
                <w:color w:val="auto"/>
              </w:rPr>
            </w:pPr>
            <w:r>
              <w:rPr>
                <w:rFonts w:ascii="Arial" w:cs="Arial" w:eastAsia="Arial" w:hAnsi="Arial"/>
                <w:sz w:val="16"/>
                <w:szCs w:val="16"/>
                <w:b w:val="1"/>
                <w:bCs w:val="1"/>
                <w:color w:val="auto"/>
              </w:rPr>
              <w:t>Other income</w:t>
            </w: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b w:val="1"/>
                <w:bCs w:val="1"/>
                <w:color w:val="auto"/>
              </w:rPr>
              <w:t>Total</w:t>
            </w:r>
          </w:p>
        </w:tc>
        <w:tc>
          <w:tcPr>
            <w:tcW w:w="620" w:type="dxa"/>
            <w:vAlign w:val="bottom"/>
          </w:tcPr>
          <w:p>
            <w:pPr>
              <w:spacing w:after="0"/>
              <w:rPr>
                <w:sz w:val="20"/>
                <w:szCs w:val="20"/>
                <w:color w:val="auto"/>
              </w:rPr>
            </w:pPr>
          </w:p>
        </w:tc>
      </w:tr>
      <w:tr>
        <w:trPr>
          <w:trHeight w:val="250"/>
        </w:trPr>
        <w:tc>
          <w:tcPr>
            <w:tcW w:w="1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9"/>
              </w:rPr>
              <w:t>2024</w:t>
            </w:r>
          </w:p>
        </w:tc>
        <w:tc>
          <w:tcPr>
            <w:tcW w:w="520" w:type="dxa"/>
            <w:vAlign w:val="bottom"/>
          </w:tcPr>
          <w:p>
            <w:pPr>
              <w:jc w:val="right"/>
              <w:ind w:right="60"/>
              <w:spacing w:after="0"/>
              <w:rPr>
                <w:sz w:val="20"/>
                <w:szCs w:val="20"/>
                <w:color w:val="auto"/>
              </w:rPr>
            </w:pPr>
            <w:r>
              <w:rPr>
                <w:rFonts w:ascii="Arial" w:cs="Arial" w:eastAsia="Arial" w:hAnsi="Arial"/>
                <w:sz w:val="16"/>
                <w:szCs w:val="16"/>
                <w:b w:val="1"/>
                <w:bCs w:val="1"/>
                <w:color w:val="auto"/>
              </w:rPr>
              <w:t>2023</w:t>
            </w:r>
          </w:p>
        </w:tc>
        <w:tc>
          <w:tcPr>
            <w:tcW w:w="600" w:type="dxa"/>
            <w:vAlign w:val="bottom"/>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600" w:type="dxa"/>
            <w:vAlign w:val="bottom"/>
          </w:tcPr>
          <w:p>
            <w:pPr>
              <w:jc w:val="right"/>
              <w:ind w:right="60"/>
              <w:spacing w:after="0"/>
              <w:rPr>
                <w:sz w:val="20"/>
                <w:szCs w:val="20"/>
                <w:color w:val="auto"/>
              </w:rPr>
            </w:pPr>
            <w:r>
              <w:rPr>
                <w:rFonts w:ascii="Arial" w:cs="Arial" w:eastAsia="Arial" w:hAnsi="Arial"/>
                <w:sz w:val="16"/>
                <w:szCs w:val="16"/>
                <w:b w:val="1"/>
                <w:bCs w:val="1"/>
                <w:color w:val="auto"/>
              </w:rPr>
              <w:t>2024</w:t>
            </w:r>
          </w:p>
        </w:tc>
        <w:tc>
          <w:tcPr>
            <w:tcW w:w="600" w:type="dxa"/>
            <w:vAlign w:val="bottom"/>
          </w:tcPr>
          <w:p>
            <w:pPr>
              <w:jc w:val="right"/>
              <w:ind w:right="60"/>
              <w:spacing w:after="0"/>
              <w:rPr>
                <w:sz w:val="20"/>
                <w:szCs w:val="20"/>
                <w:color w:val="auto"/>
              </w:rPr>
            </w:pPr>
            <w:r>
              <w:rPr>
                <w:rFonts w:ascii="Arial" w:cs="Arial" w:eastAsia="Arial" w:hAnsi="Arial"/>
                <w:sz w:val="16"/>
                <w:szCs w:val="16"/>
                <w:b w:val="1"/>
                <w:bCs w:val="1"/>
                <w:color w:val="auto"/>
              </w:rPr>
              <w:t>2023</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2025</w:t>
            </w:r>
          </w:p>
        </w:tc>
        <w:tc>
          <w:tcPr>
            <w:tcW w:w="600" w:type="dxa"/>
            <w:vAlign w:val="bottom"/>
          </w:tcPr>
          <w:p>
            <w:pPr>
              <w:jc w:val="right"/>
              <w:ind w:right="60"/>
              <w:spacing w:after="0"/>
              <w:rPr>
                <w:sz w:val="20"/>
                <w:szCs w:val="20"/>
                <w:color w:val="auto"/>
              </w:rPr>
            </w:pPr>
            <w:r>
              <w:rPr>
                <w:rFonts w:ascii="Arial" w:cs="Arial" w:eastAsia="Arial" w:hAnsi="Arial"/>
                <w:sz w:val="16"/>
                <w:szCs w:val="16"/>
                <w:b w:val="1"/>
                <w:bCs w:val="1"/>
                <w:color w:val="auto"/>
              </w:rPr>
              <w:t>2024</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jc w:val="right"/>
              <w:ind w:right="40"/>
              <w:spacing w:after="0"/>
              <w:rPr>
                <w:sz w:val="20"/>
                <w:szCs w:val="20"/>
                <w:color w:val="auto"/>
              </w:rPr>
            </w:pPr>
            <w:r>
              <w:rPr>
                <w:rFonts w:ascii="Arial" w:cs="Arial" w:eastAsia="Arial" w:hAnsi="Arial"/>
                <w:sz w:val="16"/>
                <w:szCs w:val="16"/>
                <w:b w:val="1"/>
                <w:bCs w:val="1"/>
                <w:color w:val="auto"/>
              </w:rPr>
              <w:t>2025</w:t>
            </w:r>
          </w:p>
        </w:tc>
        <w:tc>
          <w:tcPr>
            <w:tcW w:w="600" w:type="dxa"/>
            <w:vAlign w:val="bottom"/>
          </w:tcPr>
          <w:p>
            <w:pPr>
              <w:jc w:val="right"/>
              <w:ind w:right="60"/>
              <w:spacing w:after="0"/>
              <w:rPr>
                <w:sz w:val="20"/>
                <w:szCs w:val="20"/>
                <w:color w:val="auto"/>
              </w:rPr>
            </w:pPr>
            <w:r>
              <w:rPr>
                <w:rFonts w:ascii="Arial" w:cs="Arial" w:eastAsia="Arial" w:hAnsi="Arial"/>
                <w:sz w:val="16"/>
                <w:szCs w:val="16"/>
                <w:b w:val="1"/>
                <w:bCs w:val="1"/>
                <w:color w:val="auto"/>
              </w:rPr>
              <w:t>2024</w:t>
            </w:r>
          </w:p>
        </w:tc>
        <w:tc>
          <w:tcPr>
            <w:tcW w:w="620" w:type="dxa"/>
            <w:vAlign w:val="bottom"/>
          </w:tcPr>
          <w:p>
            <w:pPr>
              <w:jc w:val="right"/>
              <w:ind w:right="80"/>
              <w:spacing w:after="0"/>
              <w:rPr>
                <w:sz w:val="20"/>
                <w:szCs w:val="20"/>
                <w:color w:val="auto"/>
              </w:rPr>
            </w:pPr>
            <w:r>
              <w:rPr>
                <w:rFonts w:ascii="Arial" w:cs="Arial" w:eastAsia="Arial" w:hAnsi="Arial"/>
                <w:sz w:val="16"/>
                <w:szCs w:val="16"/>
                <w:b w:val="1"/>
                <w:bCs w:val="1"/>
                <w:color w:val="auto"/>
              </w:rPr>
              <w:t>2023</w:t>
            </w:r>
          </w:p>
        </w:tc>
      </w:tr>
      <w:tr>
        <w:trPr>
          <w:trHeight w:val="42"/>
        </w:trPr>
        <w:tc>
          <w:tcPr>
            <w:tcW w:w="1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80"/>
        </w:trPr>
        <w:tc>
          <w:tcPr>
            <w:tcW w:w="1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HWC</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   7</w:t>
            </w:r>
          </w:p>
        </w:tc>
        <w:tc>
          <w:tcPr>
            <w:tcW w:w="7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rPr>
              <w:t>$   8</w:t>
            </w:r>
          </w:p>
        </w:tc>
        <w:tc>
          <w:tcPr>
            <w:tcW w:w="5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   1</w:t>
            </w:r>
          </w:p>
        </w:tc>
        <w:tc>
          <w:tcPr>
            <w:tcW w:w="6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  29</w:t>
            </w:r>
          </w:p>
        </w:tc>
        <w:tc>
          <w:tcPr>
            <w:tcW w:w="6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  32</w:t>
            </w:r>
          </w:p>
        </w:tc>
        <w:tc>
          <w:tcPr>
            <w:tcW w:w="6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  25</w:t>
            </w:r>
          </w:p>
        </w:tc>
        <w:tc>
          <w:tcPr>
            <w:tcW w:w="3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   2</w:t>
            </w:r>
          </w:p>
        </w:tc>
        <w:tc>
          <w:tcPr>
            <w:tcW w:w="3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  37</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  42</w:t>
            </w:r>
          </w:p>
        </w:tc>
        <w:tc>
          <w:tcPr>
            <w:tcW w:w="6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  30</w:t>
            </w:r>
          </w:p>
        </w:tc>
      </w:tr>
      <w:tr>
        <w:trPr>
          <w:trHeight w:val="251"/>
        </w:trPr>
        <w:tc>
          <w:tcPr>
            <w:tcW w:w="1300" w:type="dxa"/>
            <w:vAlign w:val="bottom"/>
          </w:tcPr>
          <w:p>
            <w:pPr>
              <w:spacing w:after="0"/>
              <w:rPr>
                <w:sz w:val="20"/>
                <w:szCs w:val="20"/>
                <w:color w:val="auto"/>
              </w:rPr>
            </w:pPr>
            <w:r>
              <w:rPr>
                <w:rFonts w:ascii="Arial" w:cs="Arial" w:eastAsia="Arial" w:hAnsi="Arial"/>
                <w:sz w:val="16"/>
                <w:szCs w:val="16"/>
                <w:color w:val="auto"/>
              </w:rPr>
              <w:t>R&amp;B</w:t>
            </w:r>
          </w:p>
        </w:tc>
        <w:tc>
          <w:tcPr>
            <w:tcW w:w="1380" w:type="dxa"/>
            <w:vAlign w:val="bottom"/>
          </w:tcPr>
          <w:p>
            <w:pPr>
              <w:jc w:val="right"/>
              <w:spacing w:after="0"/>
              <w:rPr>
                <w:sz w:val="20"/>
                <w:szCs w:val="20"/>
                <w:color w:val="auto"/>
              </w:rPr>
            </w:pPr>
            <w:r>
              <w:rPr>
                <w:rFonts w:ascii="Arial" w:cs="Arial" w:eastAsia="Arial" w:hAnsi="Arial"/>
                <w:sz w:val="16"/>
                <w:szCs w:val="16"/>
                <w:color w:val="auto"/>
              </w:rPr>
              <w:t>21</w:t>
            </w: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79</w:t>
            </w:r>
          </w:p>
        </w:tc>
        <w:tc>
          <w:tcPr>
            <w:tcW w:w="300" w:type="dxa"/>
            <w:vAlign w:val="bottom"/>
          </w:tcPr>
          <w:p>
            <w:pPr>
              <w:spacing w:after="0"/>
              <w:rPr>
                <w:sz w:val="21"/>
                <w:szCs w:val="21"/>
                <w:color w:val="auto"/>
              </w:rPr>
            </w:pPr>
          </w:p>
        </w:tc>
        <w:tc>
          <w:tcPr>
            <w:tcW w:w="320" w:type="dxa"/>
            <w:vAlign w:val="bottom"/>
          </w:tcPr>
          <w:p>
            <w:pPr>
              <w:ind w:left="140"/>
              <w:spacing w:after="0"/>
              <w:rPr>
                <w:sz w:val="20"/>
                <w:szCs w:val="20"/>
                <w:color w:val="auto"/>
              </w:rPr>
            </w:pPr>
            <w:r>
              <w:rPr>
                <w:rFonts w:ascii="Arial" w:cs="Arial" w:eastAsia="Arial" w:hAnsi="Arial"/>
                <w:sz w:val="16"/>
                <w:szCs w:val="16"/>
                <w:color w:val="auto"/>
              </w:rPr>
              <w:t>6</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21"/>
                <w:szCs w:val="21"/>
                <w:color w:val="auto"/>
              </w:rPr>
            </w:pP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580" w:type="dxa"/>
            <w:vAlign w:val="bottom"/>
          </w:tcPr>
          <w:p>
            <w:pPr>
              <w:jc w:val="right"/>
              <w:spacing w:after="0"/>
              <w:rPr>
                <w:sz w:val="20"/>
                <w:szCs w:val="20"/>
                <w:color w:val="auto"/>
              </w:rPr>
            </w:pPr>
            <w:r>
              <w:rPr>
                <w:rFonts w:ascii="Arial" w:cs="Arial" w:eastAsia="Arial" w:hAnsi="Arial"/>
                <w:sz w:val="16"/>
                <w:szCs w:val="16"/>
                <w:color w:val="auto"/>
              </w:rPr>
              <w:t>124</w:t>
            </w:r>
          </w:p>
        </w:tc>
        <w:tc>
          <w:tcPr>
            <w:tcW w:w="600" w:type="dxa"/>
            <w:vAlign w:val="bottom"/>
          </w:tcPr>
          <w:p>
            <w:pPr>
              <w:jc w:val="right"/>
              <w:spacing w:after="0"/>
              <w:rPr>
                <w:sz w:val="20"/>
                <w:szCs w:val="20"/>
                <w:color w:val="auto"/>
              </w:rPr>
            </w:pPr>
            <w:r>
              <w:rPr>
                <w:rFonts w:ascii="Arial" w:cs="Arial" w:eastAsia="Arial" w:hAnsi="Arial"/>
                <w:sz w:val="16"/>
                <w:szCs w:val="16"/>
                <w:color w:val="auto"/>
              </w:rPr>
              <w:t>127</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-825500</wp:posOffset>
            </wp:positionV>
            <wp:extent cx="4534535"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0">
                      <a:extLst>
                        <a:ext uri="{28A0092B-C50C-407E-A947-70E740481C1C}"/>
                      </a:extLst>
                    </a:blip>
                    <a:srcRect/>
                    <a:stretch>
                      <a:fillRect/>
                    </a:stretch>
                  </pic:blipFill>
                  <pic:spPr bwMode="auto">
                    <a:xfrm>
                      <a:off x="0" y="0"/>
                      <a:ext cx="4534535" cy="6350"/>
                    </a:xfrm>
                    <a:prstGeom prst="rect">
                      <a:avLst/>
                    </a:prstGeom>
                    <a:noFill/>
                  </pic:spPr>
                </pic:pic>
              </a:graphicData>
            </a:graphic>
          </wp:anchor>
        </w:drawing>
        <w:drawing>
          <wp:anchor simplePos="0" relativeHeight="251657728" behindDoc="1" locked="0" layoutInCell="0" allowOverlap="1">
            <wp:simplePos x="0" y="0"/>
            <wp:positionH relativeFrom="column">
              <wp:posOffset>1433195</wp:posOffset>
            </wp:positionH>
            <wp:positionV relativeFrom="paragraph">
              <wp:posOffset>-514350</wp:posOffset>
            </wp:positionV>
            <wp:extent cx="4534535"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1">
                      <a:extLst>
                        <a:ext uri="{28A0092B-C50C-407E-A947-70E740481C1C}"/>
                      </a:extLst>
                    </a:blip>
                    <a:srcRect/>
                    <a:stretch>
                      <a:fillRect/>
                    </a:stretch>
                  </pic:blipFill>
                  <pic:spPr bwMode="auto">
                    <a:xfrm>
                      <a:off x="0" y="0"/>
                      <a:ext cx="4534535" cy="6350"/>
                    </a:xfrm>
                    <a:prstGeom prst="rect">
                      <a:avLst/>
                    </a:prstGeom>
                    <a:noFill/>
                  </pic:spPr>
                </pic:pic>
              </a:graphicData>
            </a:graphic>
          </wp:anchor>
        </w:drawing>
        <w:drawing>
          <wp:anchor simplePos="0" relativeHeight="251657728" behindDoc="1" locked="0" layoutInCell="0" allowOverlap="1">
            <wp:simplePos x="0" y="0"/>
            <wp:positionH relativeFrom="column">
              <wp:posOffset>1433195</wp:posOffset>
            </wp:positionH>
            <wp:positionV relativeFrom="paragraph">
              <wp:posOffset>-355600</wp:posOffset>
            </wp:positionV>
            <wp:extent cx="4534535"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2">
                      <a:extLst>
                        <a:ext uri="{28A0092B-C50C-407E-A947-70E740481C1C}"/>
                      </a:extLst>
                    </a:blip>
                    <a:srcRect/>
                    <a:stretch>
                      <a:fillRect/>
                    </a:stretch>
                  </pic:blipFill>
                  <pic:spPr bwMode="auto">
                    <a:xfrm>
                      <a:off x="0" y="0"/>
                      <a:ext cx="4534535" cy="63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28 / 36</w:t>
      </w:r>
    </w:p>
    <w:p>
      <w:pPr>
        <w:sectPr>
          <w:pgSz w:w="11900" w:h="16838" w:orient="portrait"/>
          <w:cols w:equalWidth="0" w:num="1">
            <w:col w:w="9406"/>
          </w:cols>
          <w:pgMar w:left="1254" w:top="1440" w:right="1246" w:bottom="0"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290"/>
        </w:trPr>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Corporate</w:t>
            </w: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30</w:t>
            </w:r>
          </w:p>
        </w:tc>
        <w:tc>
          <w:tcPr>
            <w:tcW w:w="6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22</w:t>
            </w:r>
          </w:p>
        </w:tc>
        <w:tc>
          <w:tcPr>
            <w:tcW w:w="6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41</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6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42</w:t>
            </w:r>
          </w:p>
        </w:tc>
      </w:tr>
      <w:tr>
        <w:trPr>
          <w:trHeight w:val="268"/>
        </w:trPr>
        <w:tc>
          <w:tcPr>
            <w:tcW w:w="2120" w:type="dxa"/>
            <w:vAlign w:val="bottom"/>
          </w:tcPr>
          <w:p>
            <w:pPr>
              <w:spacing w:after="0"/>
              <w:rPr>
                <w:sz w:val="20"/>
                <w:szCs w:val="20"/>
                <w:color w:val="auto"/>
              </w:rPr>
            </w:pPr>
            <w:r>
              <w:rPr>
                <w:rFonts w:ascii="Arial" w:cs="Arial" w:eastAsia="Arial" w:hAnsi="Arial"/>
                <w:sz w:val="16"/>
                <w:szCs w:val="16"/>
                <w:color w:val="auto"/>
                <w:w w:val="95"/>
              </w:rPr>
              <w:t>Total interest and other income</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  28</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  22</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  26</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$ 156</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$ 166</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$ 145</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2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580" w:type="dxa"/>
            <w:vAlign w:val="bottom"/>
          </w:tcPr>
          <w:p>
            <w:pPr>
              <w:jc w:val="right"/>
              <w:spacing w:after="0"/>
              <w:rPr>
                <w:sz w:val="20"/>
                <w:szCs w:val="20"/>
                <w:color w:val="auto"/>
              </w:rPr>
            </w:pPr>
            <w:r>
              <w:rPr>
                <w:rFonts w:ascii="Arial" w:cs="Arial" w:eastAsia="Arial" w:hAnsi="Arial"/>
                <w:sz w:val="16"/>
                <w:szCs w:val="16"/>
                <w:color w:val="auto"/>
              </w:rPr>
              <w:t>$ 192</w:t>
            </w:r>
          </w:p>
        </w:tc>
        <w:tc>
          <w:tcPr>
            <w:tcW w:w="600" w:type="dxa"/>
            <w:vAlign w:val="bottom"/>
          </w:tcPr>
          <w:p>
            <w:pPr>
              <w:jc w:val="right"/>
              <w:spacing w:after="0"/>
              <w:rPr>
                <w:sz w:val="20"/>
                <w:szCs w:val="20"/>
                <w:color w:val="auto"/>
              </w:rPr>
            </w:pPr>
            <w:r>
              <w:rPr>
                <w:rFonts w:ascii="Arial" w:cs="Arial" w:eastAsia="Arial" w:hAnsi="Arial"/>
                <w:sz w:val="16"/>
                <w:szCs w:val="16"/>
                <w:color w:val="auto"/>
              </w:rPr>
              <w:t>$ 191</w:t>
            </w: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$ 179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-175895</wp:posOffset>
            </wp:positionV>
            <wp:extent cx="4534535"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3">
                      <a:extLst>
                        <a:ext uri="{28A0092B-C50C-407E-A947-70E740481C1C}"/>
                      </a:extLst>
                    </a:blip>
                    <a:srcRect/>
                    <a:stretch>
                      <a:fillRect/>
                    </a:stretch>
                  </pic:blipFill>
                  <pic:spPr bwMode="auto">
                    <a:xfrm>
                      <a:off x="0" y="0"/>
                      <a:ext cx="4534535" cy="635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20320</wp:posOffset>
            </wp:positionV>
            <wp:extent cx="4534535" cy="285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4">
                      <a:extLst>
                        <a:ext uri="{28A0092B-C50C-407E-A947-70E740481C1C}"/>
                      </a:extLst>
                    </a:blip>
                    <a:srcRect/>
                    <a:stretch>
                      <a:fillRect/>
                    </a:stretch>
                  </pic:blipFill>
                  <pic:spPr bwMode="auto">
                    <a:xfrm>
                      <a:off x="0" y="0"/>
                      <a:ext cx="4534535" cy="28575"/>
                    </a:xfrm>
                    <a:prstGeom prst="rect">
                      <a:avLst/>
                    </a:prstGeom>
                    <a:noFill/>
                  </pic:spPr>
                </pic:pic>
              </a:graphicData>
            </a:graphic>
          </wp:anchor>
        </w:drawing>
      </w:r>
    </w:p>
    <w:p>
      <w:pPr>
        <w:spacing w:after="0" w:line="336" w:lineRule="exact"/>
        <w:rPr>
          <w:sz w:val="20"/>
          <w:szCs w:val="20"/>
          <w:color w:val="auto"/>
        </w:rPr>
      </w:pPr>
    </w:p>
    <w:p>
      <w:pPr>
        <w:ind w:right="120"/>
        <w:spacing w:after="0" w:line="309" w:lineRule="auto"/>
        <w:rPr>
          <w:sz w:val="20"/>
          <w:szCs w:val="20"/>
          <w:color w:val="auto"/>
        </w:rPr>
      </w:pPr>
      <w:r>
        <w:rPr>
          <w:rFonts w:ascii="Arial" w:cs="Arial" w:eastAsia="Arial" w:hAnsi="Arial"/>
          <w:sz w:val="20"/>
          <w:szCs w:val="20"/>
          <w:color w:val="auto"/>
        </w:rPr>
        <w:t>As a result of the cessation of the co-broking agreement with Gallagher, (see Note 3 — Acquisitions and Divestitures) interest income associated with fiduciary funds is now allocated more directly to the Risk and Broking segment beginning in the third quarter of 2023. These amounts were previously allocated to the Corporate segment following the disposal of Willis 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36</w:t>
      </w:r>
    </w:p>
    <w:p>
      <w:pPr>
        <w:sectPr>
          <w:pgSz w:w="11900" w:h="16838" w:orient="portrait"/>
          <w:cols w:equalWidth="0" w:num="1">
            <w:col w:w="9400"/>
          </w:cols>
          <w:pgMar w:left="1260" w:top="1133" w:right="1246" w:bottom="0" w:gutter="0" w:footer="0" w:header="0"/>
          <w:type w:val="continuous"/>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40"/>
        <w:spacing w:after="0" w:line="330" w:lineRule="auto"/>
        <w:rPr>
          <w:sz w:val="20"/>
          <w:szCs w:val="20"/>
          <w:color w:val="auto"/>
        </w:rPr>
      </w:pPr>
      <w:r>
        <w:rPr>
          <w:rFonts w:ascii="Arial" w:cs="Arial" w:eastAsia="Arial" w:hAnsi="Arial"/>
          <w:sz w:val="19"/>
          <w:szCs w:val="19"/>
          <w:color w:val="auto"/>
        </w:rPr>
        <w:t>The following table presents revenue from service offerings by the geography where our work was performed for the years ended December 31, 2025, 2024 and 2023. The reconciliations to total revenue on our consolidated statements of comprehensive income and to segment revenue is shown in the table above.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ind w:left="300"/>
              <w:spacing w:after="0"/>
              <w:rPr>
                <w:sz w:val="20"/>
                <w:szCs w:val="20"/>
                <w:color w:val="auto"/>
              </w:rPr>
            </w:pPr>
            <w:r>
              <w:rPr>
                <w:rFonts w:ascii="Arial" w:cs="Arial" w:eastAsia="Arial" w:hAnsi="Arial"/>
                <w:sz w:val="16"/>
                <w:szCs w:val="16"/>
                <w:b w:val="1"/>
                <w:bCs w:val="1"/>
                <w:color w:val="auto"/>
              </w:rPr>
              <w:t>Year Ended</w:t>
            </w:r>
          </w:p>
        </w:tc>
        <w:tc>
          <w:tcPr>
            <w:tcW w:w="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ind w:right="320"/>
              <w:spacing w:after="0"/>
              <w:rPr>
                <w:sz w:val="20"/>
                <w:szCs w:val="20"/>
                <w:color w:val="auto"/>
              </w:rPr>
            </w:pPr>
            <w:r>
              <w:rPr>
                <w:rFonts w:ascii="Arial" w:cs="Arial" w:eastAsia="Arial" w:hAnsi="Arial"/>
                <w:sz w:val="16"/>
                <w:szCs w:val="16"/>
                <w:b w:val="1"/>
                <w:bCs w:val="1"/>
                <w:color w:val="auto"/>
                <w:w w:val="95"/>
              </w:rPr>
              <w:t>Total revenue by</w:t>
            </w:r>
          </w:p>
        </w:tc>
      </w:tr>
      <w:tr>
        <w:trPr>
          <w:trHeight w:val="240"/>
        </w:trPr>
        <w:tc>
          <w:tcPr>
            <w:tcW w:w="1420" w:type="dxa"/>
            <w:vAlign w:val="bottom"/>
          </w:tcPr>
          <w:p>
            <w:pPr>
              <w:ind w:left="260"/>
              <w:spacing w:after="0"/>
              <w:rPr>
                <w:sz w:val="20"/>
                <w:szCs w:val="20"/>
                <w:color w:val="auto"/>
              </w:rPr>
            </w:pPr>
            <w:r>
              <w:rPr>
                <w:rFonts w:ascii="Arial" w:cs="Arial" w:eastAsia="Arial" w:hAnsi="Arial"/>
                <w:sz w:val="16"/>
                <w:szCs w:val="16"/>
                <w:b w:val="1"/>
                <w:bCs w:val="1"/>
                <w:color w:val="auto"/>
              </w:rPr>
              <w:t>December 31,</w:t>
            </w:r>
          </w:p>
        </w:tc>
        <w:tc>
          <w:tcPr>
            <w:tcW w:w="420" w:type="dxa"/>
            <w:vAlign w:val="bottom"/>
          </w:tcPr>
          <w:p>
            <w:pPr>
              <w:spacing w:after="0"/>
              <w:rPr>
                <w:sz w:val="20"/>
                <w:szCs w:val="20"/>
                <w:color w:val="auto"/>
              </w:rPr>
            </w:pPr>
          </w:p>
        </w:tc>
        <w:tc>
          <w:tcPr>
            <w:tcW w:w="1640" w:type="dxa"/>
            <w:vAlign w:val="bottom"/>
          </w:tcPr>
          <w:p>
            <w:pPr>
              <w:jc w:val="right"/>
              <w:ind w:right="400"/>
              <w:spacing w:after="0"/>
              <w:rPr>
                <w:sz w:val="20"/>
                <w:szCs w:val="20"/>
                <w:color w:val="auto"/>
              </w:rPr>
            </w:pPr>
            <w:r>
              <w:rPr>
                <w:rFonts w:ascii="Arial" w:cs="Arial" w:eastAsia="Arial" w:hAnsi="Arial"/>
                <w:sz w:val="16"/>
                <w:szCs w:val="16"/>
                <w:b w:val="1"/>
                <w:bCs w:val="1"/>
                <w:color w:val="auto"/>
              </w:rPr>
              <w:t>North America</w:t>
            </w:r>
          </w:p>
        </w:tc>
        <w:tc>
          <w:tcPr>
            <w:tcW w:w="480" w:type="dxa"/>
            <w:vAlign w:val="bottom"/>
          </w:tcPr>
          <w:p>
            <w:pPr>
              <w:spacing w:after="0"/>
              <w:rPr>
                <w:sz w:val="20"/>
                <w:szCs w:val="20"/>
                <w:color w:val="auto"/>
              </w:rPr>
            </w:pPr>
          </w:p>
        </w:tc>
        <w:tc>
          <w:tcPr>
            <w:tcW w:w="1500" w:type="dxa"/>
            <w:vAlign w:val="bottom"/>
          </w:tcPr>
          <w:p>
            <w:pPr>
              <w:jc w:val="right"/>
              <w:ind w:right="660"/>
              <w:spacing w:after="0"/>
              <w:rPr>
                <w:sz w:val="20"/>
                <w:szCs w:val="20"/>
                <w:color w:val="auto"/>
              </w:rPr>
            </w:pPr>
            <w:r>
              <w:rPr>
                <w:rFonts w:ascii="Arial" w:cs="Arial" w:eastAsia="Arial" w:hAnsi="Arial"/>
                <w:sz w:val="16"/>
                <w:szCs w:val="16"/>
                <w:b w:val="1"/>
                <w:bCs w:val="1"/>
                <w:color w:val="auto"/>
              </w:rPr>
              <w:t>Europe</w:t>
            </w:r>
          </w:p>
        </w:tc>
        <w:tc>
          <w:tcPr>
            <w:tcW w:w="380" w:type="dxa"/>
            <w:vAlign w:val="bottom"/>
          </w:tcPr>
          <w:p>
            <w:pPr>
              <w:spacing w:after="0"/>
              <w:rPr>
                <w:sz w:val="20"/>
                <w:szCs w:val="20"/>
                <w:color w:val="auto"/>
              </w:rPr>
            </w:pPr>
          </w:p>
        </w:tc>
        <w:tc>
          <w:tcPr>
            <w:tcW w:w="1620" w:type="dxa"/>
            <w:vAlign w:val="bottom"/>
          </w:tcPr>
          <w:p>
            <w:pPr>
              <w:jc w:val="right"/>
              <w:ind w:right="48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20"/>
                <w:szCs w:val="20"/>
                <w:color w:val="auto"/>
              </w:rPr>
            </w:pPr>
          </w:p>
        </w:tc>
        <w:tc>
          <w:tcPr>
            <w:tcW w:w="1640" w:type="dxa"/>
            <w:vAlign w:val="bottom"/>
          </w:tcPr>
          <w:p>
            <w:pPr>
              <w:jc w:val="right"/>
              <w:ind w:right="520"/>
              <w:spacing w:after="0"/>
              <w:rPr>
                <w:sz w:val="20"/>
                <w:szCs w:val="20"/>
                <w:color w:val="auto"/>
              </w:rPr>
            </w:pPr>
            <w:r>
              <w:rPr>
                <w:rFonts w:ascii="Arial" w:cs="Arial" w:eastAsia="Arial" w:hAnsi="Arial"/>
                <w:sz w:val="16"/>
                <w:szCs w:val="16"/>
                <w:b w:val="1"/>
                <w:bCs w:val="1"/>
                <w:color w:val="auto"/>
              </w:rPr>
              <w:t>geography</w:t>
            </w:r>
          </w:p>
        </w:tc>
      </w:tr>
      <w:tr>
        <w:trPr>
          <w:trHeight w:val="42"/>
        </w:trPr>
        <w:tc>
          <w:tcPr>
            <w:tcW w:w="1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20"/>
        </w:trPr>
        <w:tc>
          <w:tcPr>
            <w:tcW w:w="1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HWC</w:t>
            </w:r>
          </w:p>
        </w:tc>
        <w:tc>
          <w:tcPr>
            <w:tcW w:w="42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r>
      <w:tr>
        <w:trPr>
          <w:trHeight w:val="268"/>
        </w:trPr>
        <w:tc>
          <w:tcPr>
            <w:tcW w:w="1420" w:type="dxa"/>
            <w:vAlign w:val="bottom"/>
          </w:tcPr>
          <w:p>
            <w:pPr>
              <w:ind w:left="20"/>
              <w:spacing w:after="0"/>
              <w:rPr>
                <w:sz w:val="20"/>
                <w:szCs w:val="20"/>
                <w:color w:val="auto"/>
              </w:rPr>
            </w:pPr>
            <w:r>
              <w:rPr>
                <w:rFonts w:ascii="Arial" w:cs="Arial" w:eastAsia="Arial" w:hAnsi="Arial"/>
                <w:sz w:val="16"/>
                <w:szCs w:val="16"/>
                <w:color w:val="auto"/>
              </w:rPr>
              <w:t>2025</w:t>
            </w: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80"/>
              <w:spacing w:after="0"/>
              <w:rPr>
                <w:sz w:val="20"/>
                <w:szCs w:val="20"/>
                <w:color w:val="auto"/>
              </w:rPr>
            </w:pPr>
            <w:r>
              <w:rPr>
                <w:rFonts w:ascii="Arial" w:cs="Arial" w:eastAsia="Arial" w:hAnsi="Arial"/>
                <w:sz w:val="16"/>
                <w:szCs w:val="16"/>
                <w:color w:val="auto"/>
              </w:rPr>
              <w:t>3,054</w:t>
            </w:r>
          </w:p>
        </w:tc>
        <w:tc>
          <w:tcPr>
            <w:tcW w:w="4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1,637</w:t>
            </w:r>
          </w:p>
        </w:tc>
        <w:tc>
          <w:tcPr>
            <w:tcW w:w="3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526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5,217</w:t>
            </w:r>
          </w:p>
        </w:tc>
      </w:tr>
      <w:tr>
        <w:trPr>
          <w:trHeight w:val="32"/>
        </w:trPr>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80"/>
        </w:trPr>
        <w:tc>
          <w:tcPr>
            <w:tcW w:w="1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42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3,780</w:t>
            </w:r>
          </w:p>
        </w:tc>
        <w:tc>
          <w:tcPr>
            <w:tcW w:w="48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1,475</w:t>
            </w:r>
          </w:p>
        </w:tc>
        <w:tc>
          <w:tcPr>
            <w:tcW w:w="38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480</w:t>
            </w:r>
          </w:p>
        </w:tc>
        <w:tc>
          <w:tcPr>
            <w:tcW w:w="30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5,735</w:t>
            </w:r>
          </w:p>
        </w:tc>
      </w:tr>
      <w:tr>
        <w:trPr>
          <w:trHeight w:val="251"/>
        </w:trPr>
        <w:tc>
          <w:tcPr>
            <w:tcW w:w="1420" w:type="dxa"/>
            <w:vAlign w:val="bottom"/>
          </w:tcPr>
          <w:p>
            <w:pPr>
              <w:ind w:left="20"/>
              <w:spacing w:after="0"/>
              <w:rPr>
                <w:sz w:val="20"/>
                <w:szCs w:val="20"/>
                <w:color w:val="auto"/>
              </w:rPr>
            </w:pPr>
            <w:r>
              <w:rPr>
                <w:rFonts w:ascii="Arial" w:cs="Arial" w:eastAsia="Arial" w:hAnsi="Arial"/>
                <w:sz w:val="16"/>
                <w:szCs w:val="16"/>
                <w:color w:val="auto"/>
              </w:rPr>
              <w:t>2023</w:t>
            </w:r>
          </w:p>
        </w:tc>
        <w:tc>
          <w:tcPr>
            <w:tcW w:w="420" w:type="dxa"/>
            <w:vAlign w:val="bottom"/>
          </w:tcPr>
          <w:p>
            <w:pPr>
              <w:spacing w:after="0"/>
              <w:rPr>
                <w:sz w:val="21"/>
                <w:szCs w:val="21"/>
                <w:color w:val="auto"/>
              </w:rPr>
            </w:pPr>
          </w:p>
        </w:tc>
        <w:tc>
          <w:tcPr>
            <w:tcW w:w="1640" w:type="dxa"/>
            <w:vAlign w:val="bottom"/>
          </w:tcPr>
          <w:p>
            <w:pPr>
              <w:jc w:val="right"/>
              <w:ind w:right="80"/>
              <w:spacing w:after="0"/>
              <w:rPr>
                <w:sz w:val="20"/>
                <w:szCs w:val="20"/>
                <w:color w:val="auto"/>
              </w:rPr>
            </w:pPr>
            <w:r>
              <w:rPr>
                <w:rFonts w:ascii="Arial" w:cs="Arial" w:eastAsia="Arial" w:hAnsi="Arial"/>
                <w:sz w:val="16"/>
                <w:szCs w:val="16"/>
                <w:color w:val="auto"/>
              </w:rPr>
              <w:t>3,738</w:t>
            </w:r>
          </w:p>
        </w:tc>
        <w:tc>
          <w:tcPr>
            <w:tcW w:w="480" w:type="dxa"/>
            <w:vAlign w:val="bottom"/>
          </w:tcPr>
          <w:p>
            <w:pPr>
              <w:spacing w:after="0"/>
              <w:rPr>
                <w:sz w:val="21"/>
                <w:szCs w:val="21"/>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1,362</w:t>
            </w:r>
          </w:p>
        </w:tc>
        <w:tc>
          <w:tcPr>
            <w:tcW w:w="380" w:type="dxa"/>
            <w:vAlign w:val="bottom"/>
          </w:tcPr>
          <w:p>
            <w:pPr>
              <w:spacing w:after="0"/>
              <w:rPr>
                <w:sz w:val="21"/>
                <w:szCs w:val="21"/>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452</w:t>
            </w:r>
          </w:p>
        </w:tc>
        <w:tc>
          <w:tcPr>
            <w:tcW w:w="30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5,552</w:t>
            </w:r>
          </w:p>
        </w:tc>
      </w:tr>
      <w:tr>
        <w:trPr>
          <w:trHeight w:val="49"/>
        </w:trPr>
        <w:tc>
          <w:tcPr>
            <w:tcW w:w="1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20"/>
        </w:trPr>
        <w:tc>
          <w:tcPr>
            <w:tcW w:w="1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R&amp;B</w:t>
            </w:r>
          </w:p>
        </w:tc>
        <w:tc>
          <w:tcPr>
            <w:tcW w:w="42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r>
      <w:tr>
        <w:trPr>
          <w:trHeight w:val="251"/>
        </w:trPr>
        <w:tc>
          <w:tcPr>
            <w:tcW w:w="1420" w:type="dxa"/>
            <w:vAlign w:val="bottom"/>
          </w:tcPr>
          <w:p>
            <w:pPr>
              <w:ind w:left="20"/>
              <w:spacing w:after="0"/>
              <w:rPr>
                <w:sz w:val="20"/>
                <w:szCs w:val="20"/>
                <w:color w:val="auto"/>
              </w:rPr>
            </w:pPr>
            <w:r>
              <w:rPr>
                <w:rFonts w:ascii="Arial" w:cs="Arial" w:eastAsia="Arial" w:hAnsi="Arial"/>
                <w:sz w:val="16"/>
                <w:szCs w:val="16"/>
                <w:color w:val="auto"/>
              </w:rPr>
              <w:t>2025</w:t>
            </w:r>
          </w:p>
        </w:tc>
        <w:tc>
          <w:tcPr>
            <w:tcW w:w="420" w:type="dxa"/>
            <w:vAlign w:val="bottom"/>
          </w:tcPr>
          <w:p>
            <w:pPr>
              <w:spacing w:after="0"/>
              <w:rPr>
                <w:sz w:val="21"/>
                <w:szCs w:val="21"/>
                <w:color w:val="auto"/>
              </w:rPr>
            </w:pPr>
          </w:p>
        </w:tc>
        <w:tc>
          <w:tcPr>
            <w:tcW w:w="1640" w:type="dxa"/>
            <w:vAlign w:val="bottom"/>
          </w:tcPr>
          <w:p>
            <w:pPr>
              <w:jc w:val="right"/>
              <w:ind w:right="80"/>
              <w:spacing w:after="0"/>
              <w:rPr>
                <w:sz w:val="20"/>
                <w:szCs w:val="20"/>
                <w:color w:val="auto"/>
              </w:rPr>
            </w:pPr>
            <w:r>
              <w:rPr>
                <w:rFonts w:ascii="Arial" w:cs="Arial" w:eastAsia="Arial" w:hAnsi="Arial"/>
                <w:sz w:val="16"/>
                <w:szCs w:val="16"/>
                <w:color w:val="auto"/>
              </w:rPr>
              <w:t>1,550</w:t>
            </w:r>
          </w:p>
        </w:tc>
        <w:tc>
          <w:tcPr>
            <w:tcW w:w="480" w:type="dxa"/>
            <w:vAlign w:val="bottom"/>
          </w:tcPr>
          <w:p>
            <w:pPr>
              <w:spacing w:after="0"/>
              <w:rPr>
                <w:sz w:val="21"/>
                <w:szCs w:val="21"/>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2,008</w:t>
            </w:r>
          </w:p>
        </w:tc>
        <w:tc>
          <w:tcPr>
            <w:tcW w:w="380" w:type="dxa"/>
            <w:vAlign w:val="bottom"/>
          </w:tcPr>
          <w:p>
            <w:pPr>
              <w:spacing w:after="0"/>
              <w:rPr>
                <w:sz w:val="21"/>
                <w:szCs w:val="21"/>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652</w:t>
            </w:r>
          </w:p>
        </w:tc>
        <w:tc>
          <w:tcPr>
            <w:tcW w:w="30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4,210</w:t>
            </w:r>
          </w:p>
        </w:tc>
      </w:tr>
      <w:tr>
        <w:trPr>
          <w:trHeight w:val="49"/>
        </w:trPr>
        <w:tc>
          <w:tcPr>
            <w:tcW w:w="1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80"/>
        </w:trPr>
        <w:tc>
          <w:tcPr>
            <w:tcW w:w="1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42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1,486</w:t>
            </w:r>
          </w:p>
        </w:tc>
        <w:tc>
          <w:tcPr>
            <w:tcW w:w="48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1,816</w:t>
            </w:r>
          </w:p>
        </w:tc>
        <w:tc>
          <w:tcPr>
            <w:tcW w:w="38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609</w:t>
            </w:r>
          </w:p>
        </w:tc>
        <w:tc>
          <w:tcPr>
            <w:tcW w:w="30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3,911</w:t>
            </w:r>
          </w:p>
        </w:tc>
      </w:tr>
      <w:tr>
        <w:trPr>
          <w:trHeight w:val="251"/>
        </w:trPr>
        <w:tc>
          <w:tcPr>
            <w:tcW w:w="1420" w:type="dxa"/>
            <w:vAlign w:val="bottom"/>
          </w:tcPr>
          <w:p>
            <w:pPr>
              <w:ind w:left="20"/>
              <w:spacing w:after="0"/>
              <w:rPr>
                <w:sz w:val="20"/>
                <w:szCs w:val="20"/>
                <w:color w:val="auto"/>
              </w:rPr>
            </w:pPr>
            <w:r>
              <w:rPr>
                <w:rFonts w:ascii="Arial" w:cs="Arial" w:eastAsia="Arial" w:hAnsi="Arial"/>
                <w:sz w:val="16"/>
                <w:szCs w:val="16"/>
                <w:color w:val="auto"/>
              </w:rPr>
              <w:t>2023</w:t>
            </w:r>
          </w:p>
        </w:tc>
        <w:tc>
          <w:tcPr>
            <w:tcW w:w="420" w:type="dxa"/>
            <w:vAlign w:val="bottom"/>
          </w:tcPr>
          <w:p>
            <w:pPr>
              <w:spacing w:after="0"/>
              <w:rPr>
                <w:sz w:val="21"/>
                <w:szCs w:val="21"/>
                <w:color w:val="auto"/>
              </w:rPr>
            </w:pPr>
          </w:p>
        </w:tc>
        <w:tc>
          <w:tcPr>
            <w:tcW w:w="1640" w:type="dxa"/>
            <w:vAlign w:val="bottom"/>
          </w:tcPr>
          <w:p>
            <w:pPr>
              <w:jc w:val="right"/>
              <w:ind w:right="80"/>
              <w:spacing w:after="0"/>
              <w:rPr>
                <w:sz w:val="20"/>
                <w:szCs w:val="20"/>
                <w:color w:val="auto"/>
              </w:rPr>
            </w:pPr>
            <w:r>
              <w:rPr>
                <w:rFonts w:ascii="Arial" w:cs="Arial" w:eastAsia="Arial" w:hAnsi="Arial"/>
                <w:sz w:val="16"/>
                <w:szCs w:val="16"/>
                <w:color w:val="auto"/>
              </w:rPr>
              <w:t>1,400</w:t>
            </w:r>
          </w:p>
        </w:tc>
        <w:tc>
          <w:tcPr>
            <w:tcW w:w="480" w:type="dxa"/>
            <w:vAlign w:val="bottom"/>
          </w:tcPr>
          <w:p>
            <w:pPr>
              <w:spacing w:after="0"/>
              <w:rPr>
                <w:sz w:val="21"/>
                <w:szCs w:val="21"/>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1,668</w:t>
            </w:r>
          </w:p>
        </w:tc>
        <w:tc>
          <w:tcPr>
            <w:tcW w:w="380" w:type="dxa"/>
            <w:vAlign w:val="bottom"/>
          </w:tcPr>
          <w:p>
            <w:pPr>
              <w:spacing w:after="0"/>
              <w:rPr>
                <w:sz w:val="21"/>
                <w:szCs w:val="21"/>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560</w:t>
            </w:r>
          </w:p>
        </w:tc>
        <w:tc>
          <w:tcPr>
            <w:tcW w:w="30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3,628</w:t>
            </w:r>
          </w:p>
        </w:tc>
      </w:tr>
      <w:tr>
        <w:trPr>
          <w:trHeight w:val="49"/>
        </w:trPr>
        <w:tc>
          <w:tcPr>
            <w:tcW w:w="1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20"/>
        </w:trPr>
        <w:tc>
          <w:tcPr>
            <w:tcW w:w="1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Corporate</w:t>
            </w:r>
          </w:p>
        </w:tc>
        <w:tc>
          <w:tcPr>
            <w:tcW w:w="42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r>
      <w:tr>
        <w:trPr>
          <w:trHeight w:val="251"/>
        </w:trPr>
        <w:tc>
          <w:tcPr>
            <w:tcW w:w="1420" w:type="dxa"/>
            <w:vAlign w:val="bottom"/>
          </w:tcPr>
          <w:p>
            <w:pPr>
              <w:ind w:left="20"/>
              <w:spacing w:after="0"/>
              <w:rPr>
                <w:sz w:val="20"/>
                <w:szCs w:val="20"/>
                <w:color w:val="auto"/>
              </w:rPr>
            </w:pPr>
            <w:r>
              <w:rPr>
                <w:rFonts w:ascii="Arial" w:cs="Arial" w:eastAsia="Arial" w:hAnsi="Arial"/>
                <w:sz w:val="16"/>
                <w:szCs w:val="16"/>
                <w:color w:val="auto"/>
              </w:rPr>
              <w:t>2025</w:t>
            </w:r>
          </w:p>
        </w:tc>
        <w:tc>
          <w:tcPr>
            <w:tcW w:w="420" w:type="dxa"/>
            <w:vAlign w:val="bottom"/>
          </w:tcPr>
          <w:p>
            <w:pPr>
              <w:spacing w:after="0"/>
              <w:rPr>
                <w:sz w:val="21"/>
                <w:szCs w:val="21"/>
                <w:color w:val="auto"/>
              </w:rPr>
            </w:pPr>
          </w:p>
        </w:tc>
        <w:tc>
          <w:tcPr>
            <w:tcW w:w="164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21"/>
                <w:szCs w:val="21"/>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49"/>
        </w:trPr>
        <w:tc>
          <w:tcPr>
            <w:tcW w:w="1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80"/>
        </w:trPr>
        <w:tc>
          <w:tcPr>
            <w:tcW w:w="1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42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2</w:t>
            </w:r>
          </w:p>
        </w:tc>
        <w:tc>
          <w:tcPr>
            <w:tcW w:w="48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r>
      <w:tr>
        <w:trPr>
          <w:trHeight w:val="251"/>
        </w:trPr>
        <w:tc>
          <w:tcPr>
            <w:tcW w:w="1420" w:type="dxa"/>
            <w:vAlign w:val="bottom"/>
          </w:tcPr>
          <w:p>
            <w:pPr>
              <w:ind w:left="20"/>
              <w:spacing w:after="0"/>
              <w:rPr>
                <w:sz w:val="20"/>
                <w:szCs w:val="20"/>
                <w:color w:val="auto"/>
              </w:rPr>
            </w:pPr>
            <w:r>
              <w:rPr>
                <w:rFonts w:ascii="Arial" w:cs="Arial" w:eastAsia="Arial" w:hAnsi="Arial"/>
                <w:sz w:val="16"/>
                <w:szCs w:val="16"/>
                <w:color w:val="auto"/>
              </w:rPr>
              <w:t>2023</w:t>
            </w:r>
          </w:p>
        </w:tc>
        <w:tc>
          <w:tcPr>
            <w:tcW w:w="420" w:type="dxa"/>
            <w:vAlign w:val="bottom"/>
          </w:tcPr>
          <w:p>
            <w:pPr>
              <w:spacing w:after="0"/>
              <w:rPr>
                <w:sz w:val="21"/>
                <w:szCs w:val="21"/>
                <w:color w:val="auto"/>
              </w:rPr>
            </w:pPr>
          </w:p>
        </w:tc>
        <w:tc>
          <w:tcPr>
            <w:tcW w:w="164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480" w:type="dxa"/>
            <w:vAlign w:val="bottom"/>
          </w:tcPr>
          <w:p>
            <w:pPr>
              <w:spacing w:after="0"/>
              <w:rPr>
                <w:sz w:val="21"/>
                <w:szCs w:val="21"/>
                <w:color w:val="auto"/>
              </w:rPr>
            </w:pP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21"/>
                <w:szCs w:val="21"/>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1"/>
                <w:szCs w:val="21"/>
                <w:color w:val="auto"/>
              </w:rPr>
            </w:pP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59"/>
        </w:trPr>
        <w:tc>
          <w:tcPr>
            <w:tcW w:w="1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tcPr>
          <w:p>
            <w:pPr>
              <w:spacing w:after="0"/>
              <w:rPr>
                <w:sz w:val="5"/>
                <w:szCs w:val="5"/>
                <w:color w:val="auto"/>
              </w:rPr>
            </w:pPr>
          </w:p>
        </w:tc>
      </w:tr>
      <w:tr>
        <w:trPr>
          <w:trHeight w:val="220"/>
        </w:trPr>
        <w:tc>
          <w:tcPr>
            <w:tcW w:w="1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shd w:val="clear" w:color="auto" w:fill="CFF0FC"/>
          </w:tcPr>
          <w:p>
            <w:pPr>
              <w:spacing w:after="0"/>
              <w:rPr>
                <w:sz w:val="19"/>
                <w:szCs w:val="19"/>
                <w:color w:val="auto"/>
              </w:rPr>
            </w:pPr>
          </w:p>
        </w:tc>
      </w:tr>
      <w:tr>
        <w:trPr>
          <w:trHeight w:val="268"/>
        </w:trPr>
        <w:tc>
          <w:tcPr>
            <w:tcW w:w="1420" w:type="dxa"/>
            <w:vAlign w:val="bottom"/>
          </w:tcPr>
          <w:p>
            <w:pPr>
              <w:ind w:left="20"/>
              <w:spacing w:after="0"/>
              <w:rPr>
                <w:sz w:val="20"/>
                <w:szCs w:val="20"/>
                <w:color w:val="auto"/>
              </w:rPr>
            </w:pPr>
            <w:r>
              <w:rPr>
                <w:rFonts w:ascii="Arial" w:cs="Arial" w:eastAsia="Arial" w:hAnsi="Arial"/>
                <w:sz w:val="16"/>
                <w:szCs w:val="16"/>
                <w:color w:val="auto"/>
              </w:rPr>
              <w:t>2025</w:t>
            </w: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80"/>
              <w:spacing w:after="0"/>
              <w:rPr>
                <w:sz w:val="20"/>
                <w:szCs w:val="20"/>
                <w:color w:val="auto"/>
              </w:rPr>
            </w:pPr>
            <w:r>
              <w:rPr>
                <w:rFonts w:ascii="Arial" w:cs="Arial" w:eastAsia="Arial" w:hAnsi="Arial"/>
                <w:sz w:val="16"/>
                <w:szCs w:val="16"/>
                <w:color w:val="auto"/>
              </w:rPr>
              <w:t>4,605</w:t>
            </w:r>
          </w:p>
        </w:tc>
        <w:tc>
          <w:tcPr>
            <w:tcW w:w="4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3,645</w:t>
            </w:r>
          </w:p>
        </w:tc>
        <w:tc>
          <w:tcPr>
            <w:tcW w:w="3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1,178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9,428</w:t>
            </w:r>
          </w:p>
        </w:tc>
      </w:tr>
      <w:tr>
        <w:trPr>
          <w:trHeight w:val="77"/>
        </w:trPr>
        <w:tc>
          <w:tcPr>
            <w:tcW w:w="1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tcPr>
          <w:p>
            <w:pPr>
              <w:spacing w:after="0"/>
              <w:rPr>
                <w:sz w:val="6"/>
                <w:szCs w:val="6"/>
                <w:color w:val="auto"/>
              </w:rPr>
            </w:pPr>
          </w:p>
        </w:tc>
      </w:tr>
      <w:tr>
        <w:trPr>
          <w:trHeight w:val="268"/>
        </w:trPr>
        <w:tc>
          <w:tcPr>
            <w:tcW w:w="1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4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5,268</w:t>
            </w:r>
          </w:p>
        </w:tc>
        <w:tc>
          <w:tcPr>
            <w:tcW w:w="480" w:type="dxa"/>
            <w:vAlign w:val="bottom"/>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3,291</w:t>
            </w:r>
          </w:p>
        </w:tc>
        <w:tc>
          <w:tcPr>
            <w:tcW w:w="380" w:type="dxa"/>
            <w:vAlign w:val="bottom"/>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1,089</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9,648</w:t>
            </w:r>
          </w:p>
        </w:tc>
      </w:tr>
      <w:tr>
        <w:trPr>
          <w:trHeight w:val="77"/>
        </w:trPr>
        <w:tc>
          <w:tcPr>
            <w:tcW w:w="1420" w:type="dxa"/>
            <w:vAlign w:val="bottom"/>
            <w:shd w:val="clear" w:color="auto" w:fill="CFF0FC"/>
          </w:tcPr>
          <w:p>
            <w:pPr>
              <w:spacing w:after="0"/>
              <w:rPr>
                <w:sz w:val="6"/>
                <w:szCs w:val="6"/>
                <w:color w:val="auto"/>
              </w:rPr>
            </w:pPr>
          </w:p>
        </w:tc>
        <w:tc>
          <w:tcPr>
            <w:tcW w:w="420" w:type="dxa"/>
            <w:vAlign w:val="bottom"/>
            <w:shd w:val="clear" w:color="auto" w:fill="CFF0FC"/>
          </w:tcPr>
          <w:p>
            <w:pPr>
              <w:spacing w:after="0"/>
              <w:rPr>
                <w:sz w:val="6"/>
                <w:szCs w:val="6"/>
                <w:color w:val="auto"/>
              </w:rPr>
            </w:pPr>
          </w:p>
        </w:tc>
        <w:tc>
          <w:tcPr>
            <w:tcW w:w="164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150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162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640" w:type="dxa"/>
            <w:vAlign w:val="bottom"/>
            <w:shd w:val="clear" w:color="auto" w:fill="CFF0FC"/>
          </w:tcPr>
          <w:p>
            <w:pPr>
              <w:spacing w:after="0"/>
              <w:rPr>
                <w:sz w:val="6"/>
                <w:szCs w:val="6"/>
                <w:color w:val="auto"/>
              </w:rPr>
            </w:pPr>
          </w:p>
        </w:tc>
      </w:tr>
      <w:tr>
        <w:trPr>
          <w:trHeight w:val="268"/>
        </w:trPr>
        <w:tc>
          <w:tcPr>
            <w:tcW w:w="1420" w:type="dxa"/>
            <w:vAlign w:val="bottom"/>
          </w:tcPr>
          <w:p>
            <w:pPr>
              <w:ind w:left="20"/>
              <w:spacing w:after="0"/>
              <w:rPr>
                <w:sz w:val="20"/>
                <w:szCs w:val="20"/>
                <w:color w:val="auto"/>
              </w:rPr>
            </w:pPr>
            <w:r>
              <w:rPr>
                <w:rFonts w:ascii="Arial" w:cs="Arial" w:eastAsia="Arial" w:hAnsi="Arial"/>
                <w:sz w:val="16"/>
                <w:szCs w:val="16"/>
                <w:color w:val="auto"/>
              </w:rPr>
              <w:t>2023</w:t>
            </w: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80"/>
              <w:spacing w:after="0"/>
              <w:rPr>
                <w:sz w:val="20"/>
                <w:szCs w:val="20"/>
                <w:color w:val="auto"/>
              </w:rPr>
            </w:pPr>
            <w:r>
              <w:rPr>
                <w:rFonts w:ascii="Arial" w:cs="Arial" w:eastAsia="Arial" w:hAnsi="Arial"/>
                <w:sz w:val="16"/>
                <w:szCs w:val="16"/>
                <w:color w:val="auto"/>
              </w:rPr>
              <w:t>5,146</w:t>
            </w:r>
          </w:p>
        </w:tc>
        <w:tc>
          <w:tcPr>
            <w:tcW w:w="4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60"/>
              <w:spacing w:after="0"/>
              <w:rPr>
                <w:sz w:val="20"/>
                <w:szCs w:val="20"/>
                <w:color w:val="auto"/>
              </w:rPr>
            </w:pPr>
            <w:r>
              <w:rPr>
                <w:rFonts w:ascii="Arial" w:cs="Arial" w:eastAsia="Arial" w:hAnsi="Arial"/>
                <w:sz w:val="16"/>
                <w:szCs w:val="16"/>
                <w:color w:val="auto"/>
              </w:rPr>
              <w:t>3,042</w:t>
            </w:r>
          </w:p>
        </w:tc>
        <w:tc>
          <w:tcPr>
            <w:tcW w:w="3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1,014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0"/>
              <w:spacing w:after="0"/>
              <w:rPr>
                <w:sz w:val="20"/>
                <w:szCs w:val="20"/>
                <w:color w:val="auto"/>
              </w:rPr>
            </w:pPr>
            <w:r>
              <w:rPr>
                <w:rFonts w:ascii="Arial" w:cs="Arial" w:eastAsia="Arial" w:hAnsi="Arial"/>
                <w:sz w:val="16"/>
                <w:szCs w:val="16"/>
                <w:color w:val="auto"/>
              </w:rPr>
              <w:t>9,202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-2944495</wp:posOffset>
            </wp:positionV>
            <wp:extent cx="596773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6">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-766445</wp:posOffset>
            </wp:positionV>
            <wp:extent cx="4930775"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7">
                      <a:extLst>
                        <a:ext uri="{28A0092B-C50C-407E-A947-70E740481C1C}"/>
                      </a:extLst>
                    </a:blip>
                    <a:srcRect/>
                    <a:stretch>
                      <a:fillRect/>
                    </a:stretch>
                  </pic:blipFill>
                  <pic:spPr bwMode="auto">
                    <a:xfrm>
                      <a:off x="0" y="0"/>
                      <a:ext cx="4930775" cy="6350"/>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-417195</wp:posOffset>
            </wp:positionV>
            <wp:extent cx="4930775" cy="285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8">
                      <a:extLst>
                        <a:ext uri="{28A0092B-C50C-407E-A947-70E740481C1C}"/>
                      </a:extLst>
                    </a:blip>
                    <a:srcRect/>
                    <a:stretch>
                      <a:fillRect/>
                    </a:stretch>
                  </pic:blipFill>
                  <pic:spPr bwMode="auto">
                    <a:xfrm>
                      <a:off x="0" y="0"/>
                      <a:ext cx="4930775" cy="2857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-198120</wp:posOffset>
            </wp:positionV>
            <wp:extent cx="4930775" cy="285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9">
                      <a:extLst>
                        <a:ext uri="{28A0092B-C50C-407E-A947-70E740481C1C}"/>
                      </a:extLst>
                    </a:blip>
                    <a:srcRect/>
                    <a:stretch>
                      <a:fillRect/>
                    </a:stretch>
                  </pic:blipFill>
                  <pic:spPr bwMode="auto">
                    <a:xfrm>
                      <a:off x="0" y="0"/>
                      <a:ext cx="4930775" cy="2857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20320</wp:posOffset>
            </wp:positionV>
            <wp:extent cx="4930775" cy="285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0">
                      <a:extLst>
                        <a:ext uri="{28A0092B-C50C-407E-A947-70E740481C1C}"/>
                      </a:extLst>
                    </a:blip>
                    <a:srcRect/>
                    <a:stretch>
                      <a:fillRect/>
                    </a:stretch>
                  </pic:blipFill>
                  <pic:spPr bwMode="auto">
                    <a:xfrm>
                      <a:off x="0" y="0"/>
                      <a:ext cx="4930775" cy="2857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 Balances</w:t>
      </w:r>
    </w:p>
    <w:p>
      <w:pPr>
        <w:spacing w:after="0" w:line="260" w:lineRule="exact"/>
        <w:rPr>
          <w:sz w:val="20"/>
          <w:szCs w:val="20"/>
          <w:color w:val="auto"/>
        </w:rPr>
      </w:pPr>
    </w:p>
    <w:p>
      <w:pPr>
        <w:ind w:right="40"/>
        <w:spacing w:after="0" w:line="330" w:lineRule="auto"/>
        <w:rPr>
          <w:sz w:val="20"/>
          <w:szCs w:val="20"/>
          <w:color w:val="auto"/>
        </w:rPr>
      </w:pPr>
      <w:r>
        <w:rPr>
          <w:rFonts w:ascii="Arial" w:cs="Arial" w:eastAsia="Arial" w:hAnsi="Arial"/>
          <w:sz w:val="19"/>
          <w:szCs w:val="19"/>
          <w:color w:val="auto"/>
        </w:rPr>
        <w:t>The Company reports accounts receivable, net on the consolidated balance sheets, which includes billed and unbilled receivables and current contract assets. In addition to accounts receivable, net, the Company had the following non-current receivable and deferred revenue balances at December 31, 2025 and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w w:val="98"/>
              </w:rPr>
              <w:t>December 31, 2025</w:t>
            </w: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w w:val="97"/>
              </w:rPr>
              <w:t>December 31, 2024</w:t>
            </w:r>
          </w:p>
        </w:tc>
      </w:tr>
      <w:tr>
        <w:trPr>
          <w:trHeight w:val="42"/>
        </w:trPr>
        <w:tc>
          <w:tcPr>
            <w:tcW w:w="6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74"/>
        </w:trPr>
        <w:tc>
          <w:tcPr>
            <w:tcW w:w="6260" w:type="dxa"/>
            <w:vAlign w:val="bottom"/>
            <w:shd w:val="clear" w:color="auto" w:fill="CFF0FC"/>
          </w:tcPr>
          <w:p>
            <w:pPr>
              <w:spacing w:after="0"/>
              <w:rPr>
                <w:sz w:val="20"/>
                <w:szCs w:val="20"/>
                <w:color w:val="auto"/>
              </w:rPr>
            </w:pPr>
            <w:r>
              <w:rPr>
                <w:rFonts w:ascii="Arial" w:cs="Arial" w:eastAsia="Arial" w:hAnsi="Arial"/>
                <w:sz w:val="20"/>
                <w:szCs w:val="20"/>
                <w:color w:val="auto"/>
                <w:w w:val="93"/>
              </w:rPr>
              <w:t>Billed receivables, net of allowance for doubtful accounts of $30 million and</w:t>
            </w:r>
          </w:p>
        </w:tc>
        <w:tc>
          <w:tcPr>
            <w:tcW w:w="62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940" w:type="dxa"/>
            <w:vAlign w:val="bottom"/>
            <w:shd w:val="clear" w:color="auto" w:fill="CFF0FC"/>
          </w:tcPr>
          <w:p>
            <w:pPr>
              <w:spacing w:after="0"/>
              <w:rPr>
                <w:sz w:val="23"/>
                <w:szCs w:val="23"/>
                <w:color w:val="auto"/>
              </w:rPr>
            </w:pPr>
          </w:p>
        </w:tc>
      </w:tr>
      <w:tr>
        <w:trPr>
          <w:trHeight w:val="300"/>
        </w:trPr>
        <w:tc>
          <w:tcPr>
            <w:tcW w:w="6260" w:type="dxa"/>
            <w:vAlign w:val="bottom"/>
            <w:shd w:val="clear" w:color="auto" w:fill="CFF0FC"/>
          </w:tcPr>
          <w:p>
            <w:pPr>
              <w:spacing w:after="0"/>
              <w:rPr>
                <w:sz w:val="20"/>
                <w:szCs w:val="20"/>
                <w:color w:val="auto"/>
              </w:rPr>
            </w:pPr>
            <w:r>
              <w:rPr>
                <w:rFonts w:ascii="Arial" w:cs="Arial" w:eastAsia="Arial" w:hAnsi="Arial"/>
                <w:sz w:val="20"/>
                <w:szCs w:val="20"/>
                <w:color w:val="auto"/>
              </w:rPr>
              <w:t>$36</w:t>
            </w:r>
          </w:p>
        </w:tc>
        <w:tc>
          <w:tcPr>
            <w:tcW w:w="62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r>
      <w:tr>
        <w:trPr>
          <w:trHeight w:val="321"/>
        </w:trPr>
        <w:tc>
          <w:tcPr>
            <w:tcW w:w="62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million</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1,833</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1,604</w:t>
            </w:r>
          </w:p>
        </w:tc>
      </w:tr>
      <w:tr>
        <w:trPr>
          <w:trHeight w:val="274"/>
        </w:trPr>
        <w:tc>
          <w:tcPr>
            <w:tcW w:w="6260" w:type="dxa"/>
            <w:vAlign w:val="bottom"/>
          </w:tcPr>
          <w:p>
            <w:pPr>
              <w:spacing w:after="0"/>
              <w:rPr>
                <w:sz w:val="20"/>
                <w:szCs w:val="20"/>
                <w:color w:val="auto"/>
              </w:rPr>
            </w:pPr>
            <w:r>
              <w:rPr>
                <w:rFonts w:ascii="Arial" w:cs="Arial" w:eastAsia="Arial" w:hAnsi="Arial"/>
                <w:sz w:val="20"/>
                <w:szCs w:val="20"/>
                <w:color w:val="auto"/>
              </w:rPr>
              <w:t>Unbilled receivables</w:t>
            </w:r>
          </w:p>
        </w:tc>
        <w:tc>
          <w:tcPr>
            <w:tcW w:w="62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543</w:t>
            </w:r>
          </w:p>
        </w:tc>
        <w:tc>
          <w:tcPr>
            <w:tcW w:w="62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569</w:t>
            </w:r>
          </w:p>
        </w:tc>
      </w:tr>
      <w:tr>
        <w:trPr>
          <w:trHeight w:val="41"/>
        </w:trPr>
        <w:tc>
          <w:tcPr>
            <w:tcW w:w="6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304"/>
        </w:trPr>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Current contract assets</w:t>
            </w:r>
          </w:p>
        </w:tc>
        <w:tc>
          <w:tcPr>
            <w:tcW w:w="6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326</w:t>
            </w:r>
          </w:p>
        </w:tc>
        <w:tc>
          <w:tcPr>
            <w:tcW w:w="6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321</w:t>
            </w:r>
          </w:p>
        </w:tc>
      </w:tr>
      <w:tr>
        <w:trPr>
          <w:trHeight w:val="274"/>
        </w:trPr>
        <w:tc>
          <w:tcPr>
            <w:tcW w:w="6260" w:type="dxa"/>
            <w:vAlign w:val="bottom"/>
          </w:tcPr>
          <w:p>
            <w:pPr>
              <w:ind w:left="100"/>
              <w:spacing w:after="0"/>
              <w:rPr>
                <w:sz w:val="20"/>
                <w:szCs w:val="20"/>
                <w:color w:val="auto"/>
              </w:rPr>
            </w:pPr>
            <w:r>
              <w:rPr>
                <w:rFonts w:ascii="Arial" w:cs="Arial" w:eastAsia="Arial" w:hAnsi="Arial"/>
                <w:sz w:val="20"/>
                <w:szCs w:val="20"/>
                <w:color w:val="auto"/>
              </w:rPr>
              <w:t>Accounts receivable, net</w:t>
            </w:r>
          </w:p>
        </w:tc>
        <w:tc>
          <w:tcPr>
            <w:tcW w:w="620" w:type="dxa"/>
            <w:vAlign w:val="bottom"/>
          </w:tcPr>
          <w:p>
            <w:pPr>
              <w:ind w:left="12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2,702</w:t>
            </w:r>
          </w:p>
        </w:tc>
        <w:tc>
          <w:tcPr>
            <w:tcW w:w="620" w:type="dxa"/>
            <w:vAlign w:val="bottom"/>
          </w:tcPr>
          <w:p>
            <w:pPr>
              <w:ind w:left="120"/>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2,494</w:t>
            </w:r>
          </w:p>
        </w:tc>
      </w:tr>
      <w:tr>
        <w:trPr>
          <w:trHeight w:val="86"/>
        </w:trPr>
        <w:tc>
          <w:tcPr>
            <w:tcW w:w="6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304"/>
        </w:trPr>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Non-current accounts receivable, net</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42</w:t>
            </w:r>
          </w:p>
        </w:tc>
        <w:tc>
          <w:tcPr>
            <w:tcW w:w="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18</w:t>
            </w:r>
          </w:p>
        </w:tc>
      </w:tr>
      <w:tr>
        <w:trPr>
          <w:trHeight w:val="274"/>
        </w:trPr>
        <w:tc>
          <w:tcPr>
            <w:tcW w:w="6260" w:type="dxa"/>
            <w:vAlign w:val="bottom"/>
          </w:tcPr>
          <w:p>
            <w:pPr>
              <w:spacing w:after="0"/>
              <w:rPr>
                <w:sz w:val="20"/>
                <w:szCs w:val="20"/>
                <w:color w:val="auto"/>
              </w:rPr>
            </w:pPr>
            <w:r>
              <w:rPr>
                <w:rFonts w:ascii="Arial" w:cs="Arial" w:eastAsia="Arial" w:hAnsi="Arial"/>
                <w:sz w:val="20"/>
                <w:szCs w:val="20"/>
                <w:color w:val="auto"/>
              </w:rPr>
              <w:t>Deferred revenue</w:t>
            </w:r>
          </w:p>
        </w:tc>
        <w:tc>
          <w:tcPr>
            <w:tcW w:w="620" w:type="dxa"/>
            <w:vAlign w:val="bottom"/>
          </w:tcPr>
          <w:p>
            <w:pPr>
              <w:ind w:left="12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0"/>
              <w:spacing w:after="0"/>
              <w:rPr>
                <w:sz w:val="20"/>
                <w:szCs w:val="20"/>
                <w:color w:val="auto"/>
              </w:rPr>
            </w:pPr>
            <w:r>
              <w:rPr>
                <w:rFonts w:ascii="Arial" w:cs="Arial" w:eastAsia="Arial" w:hAnsi="Arial"/>
                <w:sz w:val="20"/>
                <w:szCs w:val="20"/>
                <w:color w:val="auto"/>
              </w:rPr>
              <w:t>700</w:t>
            </w:r>
          </w:p>
        </w:tc>
        <w:tc>
          <w:tcPr>
            <w:tcW w:w="620" w:type="dxa"/>
            <w:vAlign w:val="bottom"/>
          </w:tcPr>
          <w:p>
            <w:pPr>
              <w:ind w:left="120"/>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4057650</wp:posOffset>
            </wp:positionH>
            <wp:positionV relativeFrom="paragraph">
              <wp:posOffset>-1600200</wp:posOffset>
            </wp:positionV>
            <wp:extent cx="190627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1">
                      <a:extLst>
                        <a:ext uri="{28A0092B-C50C-407E-A947-70E740481C1C}"/>
                      </a:extLst>
                    </a:blip>
                    <a:srcRect/>
                    <a:stretch>
                      <a:fillRect/>
                    </a:stretch>
                  </pic:blipFill>
                  <pic:spPr bwMode="auto">
                    <a:xfrm>
                      <a:off x="0" y="0"/>
                      <a:ext cx="1906270" cy="635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-614045</wp:posOffset>
            </wp:positionV>
            <wp:extent cx="190627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2">
                      <a:extLst>
                        <a:ext uri="{28A0092B-C50C-407E-A947-70E740481C1C}"/>
                      </a:extLst>
                    </a:blip>
                    <a:srcRect/>
                    <a:stretch>
                      <a:fillRect/>
                    </a:stretch>
                  </pic:blipFill>
                  <pic:spPr bwMode="auto">
                    <a:xfrm>
                      <a:off x="0" y="0"/>
                      <a:ext cx="1906270" cy="635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-407670</wp:posOffset>
            </wp:positionV>
            <wp:extent cx="1906270" cy="285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3">
                      <a:extLst>
                        <a:ext uri="{28A0092B-C50C-407E-A947-70E740481C1C}"/>
                      </a:extLst>
                    </a:blip>
                    <a:srcRect/>
                    <a:stretch>
                      <a:fillRect/>
                    </a:stretch>
                  </pic:blipFill>
                  <pic:spPr bwMode="auto">
                    <a:xfrm>
                      <a:off x="0" y="0"/>
                      <a:ext cx="1906270" cy="2857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-179705</wp:posOffset>
            </wp:positionV>
            <wp:extent cx="190627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4">
                      <a:extLst>
                        <a:ext uri="{28A0092B-C50C-407E-A947-70E740481C1C}"/>
                      </a:extLst>
                    </a:blip>
                    <a:srcRect/>
                    <a:stretch>
                      <a:fillRect/>
                    </a:stretch>
                  </pic:blipFill>
                  <pic:spPr bwMode="auto">
                    <a:xfrm>
                      <a:off x="0" y="0"/>
                      <a:ext cx="1906270" cy="635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26035</wp:posOffset>
            </wp:positionV>
            <wp:extent cx="190627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5">
                      <a:extLst>
                        <a:ext uri="{28A0092B-C50C-407E-A947-70E740481C1C}"/>
                      </a:extLst>
                    </a:blip>
                    <a:srcRect/>
                    <a:stretch>
                      <a:fillRect/>
                    </a:stretch>
                  </pic:blipFill>
                  <pic:spPr bwMode="auto">
                    <a:xfrm>
                      <a:off x="0" y="0"/>
                      <a:ext cx="1906270" cy="6350"/>
                    </a:xfrm>
                    <a:prstGeom prst="rect">
                      <a:avLst/>
                    </a:prstGeom>
                    <a:noFill/>
                  </pic:spPr>
                </pic:pic>
              </a:graphicData>
            </a:graphic>
          </wp:anchor>
        </w:drawing>
      </w:r>
    </w:p>
    <w:p>
      <w:pPr>
        <w:spacing w:after="0" w:line="370" w:lineRule="exact"/>
        <w:rPr>
          <w:sz w:val="20"/>
          <w:szCs w:val="20"/>
          <w:color w:val="auto"/>
        </w:rPr>
      </w:pPr>
    </w:p>
    <w:p>
      <w:pPr>
        <w:ind w:right="60"/>
        <w:spacing w:after="0" w:line="329" w:lineRule="auto"/>
        <w:rPr>
          <w:sz w:val="20"/>
          <w:szCs w:val="20"/>
          <w:color w:val="auto"/>
        </w:rPr>
      </w:pPr>
      <w:r>
        <w:rPr>
          <w:rFonts w:ascii="Arial" w:cs="Arial" w:eastAsia="Arial" w:hAnsi="Arial"/>
          <w:sz w:val="19"/>
          <w:szCs w:val="19"/>
          <w:color w:val="auto"/>
        </w:rPr>
        <w:t>The Company receives payments from customers based on billing schedules or terms as written in our contracts. Those balances denoted as contract assets relate to situations where we have completed some or all performance under the contract, however our right to consideration is conditional. Contract assets result most materially in our Medicare intermediary businesses. Billed and unbilled receivables are recorded when the right to consideration becomes unconditional. Deferred revenue relates to payments received in advance of performance under the contract and is recognized as revenue as (or when) we perform under the contract.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36</w:t>
      </w:r>
    </w:p>
    <w:p>
      <w:pPr>
        <w:sectPr>
          <w:pgSz w:w="11900" w:h="16838" w:orient="portrait"/>
          <w:cols w:equalWidth="0" w:num="1">
            <w:col w:w="9400"/>
          </w:cols>
          <w:pgMar w:left="1260" w:top="1440" w:right="1246" w:bottom="0" w:gutter="0" w:footer="0" w:header="0"/>
          <w:type w:val="continuous"/>
        </w:sectPr>
      </w:pPr>
    </w:p>
    <w:bookmarkStart w:id="179" w:name="page180"/>
    <w:bookmarkEnd w:id="179"/>
    <w:p>
      <w:pPr>
        <w:spacing w:after="0"/>
        <w:rPr>
          <w:sz w:val="20"/>
          <w:szCs w:val="20"/>
          <w:color w:val="auto"/>
        </w:rPr>
      </w:pPr>
      <w:r>
        <w:rPr>
          <w:rFonts w:ascii="Arial" w:cs="Arial" w:eastAsia="Arial" w:hAnsi="Arial"/>
          <w:sz w:val="20"/>
          <w:szCs w:val="20"/>
          <w:color w:val="auto"/>
        </w:rPr>
        <w:t>During the year ended December 31, 2025, revenue of approximately $580</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million was recognized that was reflected as deferred revenue at December 31, 2024.</w:t>
      </w:r>
    </w:p>
    <w:p>
      <w:pPr>
        <w:spacing w:after="0" w:line="260" w:lineRule="exact"/>
        <w:rPr>
          <w:sz w:val="20"/>
          <w:szCs w:val="20"/>
          <w:color w:val="auto"/>
        </w:rPr>
      </w:pPr>
    </w:p>
    <w:p>
      <w:pPr>
        <w:ind w:right="120"/>
        <w:spacing w:after="0" w:line="302" w:lineRule="auto"/>
        <w:rPr>
          <w:sz w:val="20"/>
          <w:szCs w:val="20"/>
          <w:color w:val="auto"/>
        </w:rPr>
      </w:pPr>
      <w:r>
        <w:rPr>
          <w:rFonts w:ascii="Arial" w:cs="Arial" w:eastAsia="Arial" w:hAnsi="Arial"/>
          <w:sz w:val="20"/>
          <w:szCs w:val="20"/>
          <w:color w:val="auto"/>
        </w:rPr>
        <w:t>During the year ended December 31, 2025, the Company recognized revenue of approximately $5 million related to performance obligations satisfied in a prior period.</w:t>
      </w:r>
    </w:p>
    <w:p>
      <w:pPr>
        <w:spacing w:after="0" w:line="321" w:lineRule="exact"/>
        <w:rPr>
          <w:sz w:val="20"/>
          <w:szCs w:val="20"/>
          <w:color w:val="auto"/>
        </w:rPr>
      </w:pPr>
    </w:p>
    <w:p>
      <w:pPr>
        <w:ind w:right="380"/>
        <w:spacing w:after="0" w:line="331" w:lineRule="auto"/>
        <w:rPr>
          <w:sz w:val="20"/>
          <w:szCs w:val="20"/>
          <w:color w:val="auto"/>
        </w:rPr>
      </w:pPr>
      <w:r>
        <w:rPr>
          <w:rFonts w:ascii="Arial" w:cs="Arial" w:eastAsia="Arial" w:hAnsi="Arial"/>
          <w:sz w:val="19"/>
          <w:szCs w:val="19"/>
          <w:color w:val="auto"/>
        </w:rPr>
        <w:t>Accounts receivable are stated at estimated net realizable values. The following table presents the changes in our allowance for doubtful accounts for the years ended December 31, 2025, 2024 and 2023.</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0" w:type="dxa"/>
            <w:vAlign w:val="bottom"/>
          </w:tcPr>
          <w:p>
            <w:pPr>
              <w:jc w:val="right"/>
              <w:ind w:right="166"/>
              <w:spacing w:after="0"/>
              <w:rPr>
                <w:sz w:val="20"/>
                <w:szCs w:val="20"/>
                <w:color w:val="auto"/>
              </w:rPr>
            </w:pPr>
            <w:r>
              <w:rPr>
                <w:rFonts w:ascii="Arial" w:cs="Arial" w:eastAsia="Arial" w:hAnsi="Arial"/>
                <w:sz w:val="16"/>
                <w:szCs w:val="16"/>
                <w:b w:val="1"/>
                <w:bCs w:val="1"/>
                <w:color w:val="auto"/>
                <w:w w:val="88"/>
              </w:rPr>
              <w:t>December 31,</w:t>
            </w:r>
          </w:p>
        </w:tc>
        <w:tc>
          <w:tcPr>
            <w:tcW w:w="180" w:type="dxa"/>
            <w:vAlign w:val="bottom"/>
          </w:tcPr>
          <w:p>
            <w:pPr>
              <w:spacing w:after="0"/>
              <w:rPr>
                <w:sz w:val="16"/>
                <w:szCs w:val="16"/>
                <w:color w:val="auto"/>
              </w:rPr>
            </w:pPr>
          </w:p>
        </w:tc>
        <w:tc>
          <w:tcPr>
            <w:tcW w:w="1180" w:type="dxa"/>
            <w:vAlign w:val="bottom"/>
          </w:tcPr>
          <w:p>
            <w:pPr>
              <w:jc w:val="right"/>
              <w:ind w:right="166"/>
              <w:spacing w:after="0"/>
              <w:rPr>
                <w:sz w:val="20"/>
                <w:szCs w:val="20"/>
                <w:color w:val="auto"/>
              </w:rPr>
            </w:pPr>
            <w:r>
              <w:rPr>
                <w:rFonts w:ascii="Arial" w:cs="Arial" w:eastAsia="Arial" w:hAnsi="Arial"/>
                <w:sz w:val="16"/>
                <w:szCs w:val="16"/>
                <w:b w:val="1"/>
                <w:bCs w:val="1"/>
                <w:color w:val="auto"/>
                <w:w w:val="86"/>
              </w:rPr>
              <w:t>December 31,</w:t>
            </w:r>
          </w:p>
        </w:tc>
        <w:tc>
          <w:tcPr>
            <w:tcW w:w="180" w:type="dxa"/>
            <w:vAlign w:val="bottom"/>
          </w:tcPr>
          <w:p>
            <w:pPr>
              <w:spacing w:after="0"/>
              <w:rPr>
                <w:sz w:val="16"/>
                <w:szCs w:val="16"/>
                <w:color w:val="auto"/>
              </w:rPr>
            </w:pPr>
          </w:p>
        </w:tc>
        <w:tc>
          <w:tcPr>
            <w:tcW w:w="1140" w:type="dxa"/>
            <w:vAlign w:val="bottom"/>
          </w:tcPr>
          <w:p>
            <w:pPr>
              <w:jc w:val="right"/>
              <w:ind w:right="106"/>
              <w:spacing w:after="0"/>
              <w:rPr>
                <w:sz w:val="20"/>
                <w:szCs w:val="20"/>
                <w:color w:val="auto"/>
              </w:rPr>
            </w:pPr>
            <w:r>
              <w:rPr>
                <w:rFonts w:ascii="Arial" w:cs="Arial" w:eastAsia="Arial" w:hAnsi="Arial"/>
                <w:sz w:val="16"/>
                <w:szCs w:val="16"/>
                <w:b w:val="1"/>
                <w:bCs w:val="1"/>
                <w:color w:val="auto"/>
                <w:w w:val="88"/>
              </w:rPr>
              <w:t>December 31,</w:t>
            </w:r>
          </w:p>
        </w:tc>
      </w:tr>
      <w:tr>
        <w:trPr>
          <w:trHeight w:val="240"/>
        </w:trPr>
        <w:tc>
          <w:tcPr>
            <w:tcW w:w="3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jc w:val="right"/>
              <w:ind w:right="466"/>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0"/>
                <w:szCs w:val="20"/>
                <w:color w:val="auto"/>
              </w:rPr>
            </w:pPr>
          </w:p>
        </w:tc>
        <w:tc>
          <w:tcPr>
            <w:tcW w:w="1180" w:type="dxa"/>
            <w:vAlign w:val="bottom"/>
          </w:tcPr>
          <w:p>
            <w:pPr>
              <w:jc w:val="right"/>
              <w:ind w:right="466"/>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0"/>
                <w:szCs w:val="20"/>
                <w:color w:val="auto"/>
              </w:rPr>
            </w:pPr>
          </w:p>
        </w:tc>
        <w:tc>
          <w:tcPr>
            <w:tcW w:w="1140" w:type="dxa"/>
            <w:vAlign w:val="bottom"/>
          </w:tcPr>
          <w:p>
            <w:pPr>
              <w:jc w:val="right"/>
              <w:ind w:right="426"/>
              <w:spacing w:after="0"/>
              <w:rPr>
                <w:sz w:val="20"/>
                <w:szCs w:val="20"/>
                <w:color w:val="auto"/>
              </w:rPr>
            </w:pPr>
            <w:r>
              <w:rPr>
                <w:rFonts w:ascii="Arial" w:cs="Arial" w:eastAsia="Arial" w:hAnsi="Arial"/>
                <w:sz w:val="16"/>
                <w:szCs w:val="16"/>
                <w:b w:val="1"/>
                <w:bCs w:val="1"/>
                <w:color w:val="auto"/>
              </w:rPr>
              <w:t>2023</w:t>
            </w:r>
          </w:p>
        </w:tc>
      </w:tr>
      <w:tr>
        <w:trPr>
          <w:trHeight w:val="42"/>
        </w:trPr>
        <w:tc>
          <w:tcPr>
            <w:tcW w:w="39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beginning of year</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20"/>
                <w:szCs w:val="20"/>
                <w:color w:val="auto"/>
              </w:rPr>
              <w:t>36</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20"/>
                <w:szCs w:val="20"/>
                <w:color w:val="auto"/>
              </w:rPr>
              <w:t>34</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20"/>
                <w:szCs w:val="20"/>
                <w:color w:val="auto"/>
              </w:rPr>
              <w:t>46</w:t>
            </w:r>
          </w:p>
        </w:tc>
      </w:tr>
      <w:tr>
        <w:trPr>
          <w:trHeight w:val="259"/>
        </w:trPr>
        <w:tc>
          <w:tcPr>
            <w:tcW w:w="3920" w:type="dxa"/>
            <w:vAlign w:val="bottom"/>
          </w:tcPr>
          <w:p>
            <w:pPr>
              <w:spacing w:after="0"/>
              <w:rPr>
                <w:sz w:val="20"/>
                <w:szCs w:val="20"/>
                <w:color w:val="auto"/>
              </w:rPr>
            </w:pPr>
            <w:r>
              <w:rPr>
                <w:rFonts w:ascii="Arial" w:cs="Arial" w:eastAsia="Arial" w:hAnsi="Arial"/>
                <w:sz w:val="20"/>
                <w:szCs w:val="20"/>
                <w:color w:val="auto"/>
              </w:rPr>
              <w:t>Additions charged to costs and expenses</w:t>
            </w:r>
          </w:p>
        </w:tc>
        <w:tc>
          <w:tcPr>
            <w:tcW w:w="1600" w:type="dxa"/>
            <w:vAlign w:val="bottom"/>
          </w:tcPr>
          <w:p>
            <w:pPr>
              <w:spacing w:after="0"/>
              <w:rPr>
                <w:sz w:val="22"/>
                <w:szCs w:val="22"/>
                <w:color w:val="auto"/>
              </w:rPr>
            </w:pPr>
          </w:p>
        </w:tc>
        <w:tc>
          <w:tcPr>
            <w:tcW w:w="1200" w:type="dxa"/>
            <w:vAlign w:val="bottom"/>
          </w:tcPr>
          <w:p>
            <w:pPr>
              <w:jc w:val="right"/>
              <w:ind w:right="66"/>
              <w:spacing w:after="0"/>
              <w:rPr>
                <w:sz w:val="20"/>
                <w:szCs w:val="20"/>
                <w:color w:val="auto"/>
              </w:rPr>
            </w:pPr>
            <w:r>
              <w:rPr>
                <w:rFonts w:ascii="Arial" w:cs="Arial" w:eastAsia="Arial" w:hAnsi="Arial"/>
                <w:sz w:val="20"/>
                <w:szCs w:val="20"/>
                <w:color w:val="auto"/>
              </w:rPr>
              <w:t>6</w:t>
            </w:r>
          </w:p>
        </w:tc>
        <w:tc>
          <w:tcPr>
            <w:tcW w:w="180" w:type="dxa"/>
            <w:vAlign w:val="bottom"/>
          </w:tcPr>
          <w:p>
            <w:pPr>
              <w:spacing w:after="0"/>
              <w:rPr>
                <w:sz w:val="22"/>
                <w:szCs w:val="22"/>
                <w:color w:val="auto"/>
              </w:rPr>
            </w:pPr>
          </w:p>
        </w:tc>
        <w:tc>
          <w:tcPr>
            <w:tcW w:w="1180" w:type="dxa"/>
            <w:vAlign w:val="bottom"/>
          </w:tcPr>
          <w:p>
            <w:pPr>
              <w:jc w:val="right"/>
              <w:ind w:right="46"/>
              <w:spacing w:after="0"/>
              <w:rPr>
                <w:sz w:val="20"/>
                <w:szCs w:val="20"/>
                <w:color w:val="auto"/>
              </w:rPr>
            </w:pPr>
            <w:r>
              <w:rPr>
                <w:rFonts w:ascii="Arial" w:cs="Arial" w:eastAsia="Arial" w:hAnsi="Arial"/>
                <w:sz w:val="20"/>
                <w:szCs w:val="20"/>
                <w:color w:val="auto"/>
              </w:rPr>
              <w:t>13</w:t>
            </w:r>
          </w:p>
        </w:tc>
        <w:tc>
          <w:tcPr>
            <w:tcW w:w="180" w:type="dxa"/>
            <w:vAlign w:val="bottom"/>
          </w:tcPr>
          <w:p>
            <w:pPr>
              <w:spacing w:after="0"/>
              <w:rPr>
                <w:sz w:val="22"/>
                <w:szCs w:val="22"/>
                <w:color w:val="auto"/>
              </w:rPr>
            </w:pPr>
          </w:p>
        </w:tc>
        <w:tc>
          <w:tcPr>
            <w:tcW w:w="1140" w:type="dxa"/>
            <w:vAlign w:val="bottom"/>
          </w:tcPr>
          <w:p>
            <w:pPr>
              <w:jc w:val="right"/>
              <w:ind w:right="6"/>
              <w:spacing w:after="0"/>
              <w:rPr>
                <w:sz w:val="20"/>
                <w:szCs w:val="20"/>
                <w:color w:val="auto"/>
              </w:rPr>
            </w:pPr>
            <w:r>
              <w:rPr>
                <w:rFonts w:ascii="Arial" w:cs="Arial" w:eastAsia="Arial" w:hAnsi="Arial"/>
                <w:sz w:val="20"/>
                <w:szCs w:val="20"/>
                <w:color w:val="auto"/>
              </w:rPr>
              <w:t>6</w:t>
            </w:r>
          </w:p>
        </w:tc>
      </w:tr>
      <w:tr>
        <w:trPr>
          <w:trHeight w:val="41"/>
        </w:trPr>
        <w:tc>
          <w:tcPr>
            <w:tcW w:w="39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Deductions/other movements</w:t>
            </w:r>
          </w:p>
        </w:tc>
        <w:tc>
          <w:tcPr>
            <w:tcW w:w="16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20"/>
                <w:szCs w:val="20"/>
                <w:color w:val="auto"/>
              </w:rPr>
              <w:t>3</w:t>
            </w:r>
          </w:p>
        </w:tc>
        <w:tc>
          <w:tcPr>
            <w:tcW w:w="1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w:t>
            </w:r>
          </w:p>
        </w:tc>
        <w:tc>
          <w:tcPr>
            <w:tcW w:w="1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w:t>
            </w:r>
          </w:p>
        </w:tc>
      </w:tr>
      <w:tr>
        <w:trPr>
          <w:trHeight w:val="259"/>
        </w:trPr>
        <w:tc>
          <w:tcPr>
            <w:tcW w:w="3920" w:type="dxa"/>
            <w:vAlign w:val="bottom"/>
          </w:tcPr>
          <w:p>
            <w:pPr>
              <w:spacing w:after="0"/>
              <w:rPr>
                <w:sz w:val="20"/>
                <w:szCs w:val="20"/>
                <w:color w:val="auto"/>
              </w:rPr>
            </w:pPr>
            <w:r>
              <w:rPr>
                <w:rFonts w:ascii="Arial" w:cs="Arial" w:eastAsia="Arial" w:hAnsi="Arial"/>
                <w:sz w:val="20"/>
                <w:szCs w:val="20"/>
                <w:color w:val="auto"/>
              </w:rPr>
              <w:t>Foreign exchange</w:t>
            </w:r>
          </w:p>
        </w:tc>
        <w:tc>
          <w:tcPr>
            <w:tcW w:w="1600" w:type="dxa"/>
            <w:vAlign w:val="bottom"/>
          </w:tcPr>
          <w:p>
            <w:pPr>
              <w:spacing w:after="0"/>
              <w:rPr>
                <w:sz w:val="22"/>
                <w:szCs w:val="22"/>
                <w:color w:val="auto"/>
              </w:rPr>
            </w:pPr>
          </w:p>
        </w:tc>
        <w:tc>
          <w:tcPr>
            <w:tcW w:w="1200" w:type="dxa"/>
            <w:vAlign w:val="bottom"/>
          </w:tcPr>
          <w:p>
            <w:pPr>
              <w:jc w:val="right"/>
              <w:ind w:right="6"/>
              <w:spacing w:after="0"/>
              <w:rPr>
                <w:sz w:val="20"/>
                <w:szCs w:val="20"/>
                <w:color w:val="auto"/>
              </w:rPr>
            </w:pPr>
            <w:r>
              <w:rPr>
                <w:rFonts w:ascii="Arial" w:cs="Arial" w:eastAsia="Arial" w:hAnsi="Arial"/>
                <w:sz w:val="20"/>
                <w:szCs w:val="20"/>
                <w:color w:val="auto"/>
              </w:rPr>
              <w:t>(15)</w:t>
            </w:r>
          </w:p>
        </w:tc>
        <w:tc>
          <w:tcPr>
            <w:tcW w:w="180" w:type="dxa"/>
            <w:vAlign w:val="bottom"/>
          </w:tcPr>
          <w:p>
            <w:pPr>
              <w:spacing w:after="0"/>
              <w:rPr>
                <w:sz w:val="22"/>
                <w:szCs w:val="22"/>
                <w:color w:val="auto"/>
              </w:rPr>
            </w:pPr>
          </w:p>
        </w:tc>
        <w:tc>
          <w:tcPr>
            <w:tcW w:w="1180" w:type="dxa"/>
            <w:vAlign w:val="bottom"/>
          </w:tcPr>
          <w:p>
            <w:pPr>
              <w:jc w:val="right"/>
              <w:ind w:right="46"/>
              <w:spacing w:after="0"/>
              <w:rPr>
                <w:sz w:val="20"/>
                <w:szCs w:val="20"/>
                <w:color w:val="auto"/>
              </w:rPr>
            </w:pPr>
            <w:r>
              <w:rPr>
                <w:rFonts w:ascii="Arial" w:cs="Arial" w:eastAsia="Arial" w:hAnsi="Arial"/>
                <w:sz w:val="20"/>
                <w:szCs w:val="20"/>
                <w:color w:val="auto"/>
              </w:rPr>
              <w:t>1</w:t>
            </w:r>
          </w:p>
        </w:tc>
        <w:tc>
          <w:tcPr>
            <w:tcW w:w="180" w:type="dxa"/>
            <w:vAlign w:val="bottom"/>
          </w:tcPr>
          <w:p>
            <w:pPr>
              <w:spacing w:after="0"/>
              <w:rPr>
                <w:sz w:val="22"/>
                <w:szCs w:val="22"/>
                <w:color w:val="auto"/>
              </w:rPr>
            </w:pPr>
          </w:p>
        </w:tc>
        <w:tc>
          <w:tcPr>
            <w:tcW w:w="1140" w:type="dxa"/>
            <w:vAlign w:val="bottom"/>
          </w:tcPr>
          <w:p>
            <w:pPr>
              <w:jc w:val="right"/>
              <w:ind w:right="6"/>
              <w:spacing w:after="0"/>
              <w:rPr>
                <w:sz w:val="20"/>
                <w:szCs w:val="20"/>
                <w:color w:val="auto"/>
              </w:rPr>
            </w:pPr>
            <w:r>
              <w:rPr>
                <w:rFonts w:ascii="Arial" w:cs="Arial" w:eastAsia="Arial" w:hAnsi="Arial"/>
                <w:sz w:val="20"/>
                <w:szCs w:val="20"/>
                <w:color w:val="auto"/>
              </w:rPr>
              <w:t>3</w:t>
            </w:r>
          </w:p>
        </w:tc>
      </w:tr>
      <w:tr>
        <w:trPr>
          <w:trHeight w:val="51"/>
        </w:trPr>
        <w:tc>
          <w:tcPr>
            <w:tcW w:w="39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9"/>
        </w:trPr>
        <w:tc>
          <w:tcPr>
            <w:tcW w:w="3920" w:type="dxa"/>
            <w:vAlign w:val="bottom"/>
            <w:shd w:val="clear" w:color="auto" w:fill="CFF0FC"/>
          </w:tcPr>
          <w:p>
            <w:pPr>
              <w:spacing w:after="0"/>
              <w:rPr>
                <w:sz w:val="20"/>
                <w:szCs w:val="20"/>
                <w:color w:val="auto"/>
              </w:rPr>
            </w:pPr>
            <w:r>
              <w:rPr>
                <w:rFonts w:ascii="Arial" w:cs="Arial" w:eastAsia="Arial" w:hAnsi="Arial"/>
                <w:sz w:val="20"/>
                <w:szCs w:val="20"/>
                <w:color w:val="auto"/>
              </w:rPr>
              <w:t>Balance at end of year</w:t>
            </w: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ind w:right="66"/>
              <w:spacing w:after="0"/>
              <w:rPr>
                <w:sz w:val="20"/>
                <w:szCs w:val="20"/>
                <w:color w:val="auto"/>
              </w:rPr>
            </w:pPr>
            <w:r>
              <w:rPr>
                <w:rFonts w:ascii="Arial" w:cs="Arial" w:eastAsia="Arial" w:hAnsi="Arial"/>
                <w:sz w:val="20"/>
                <w:szCs w:val="20"/>
                <w:color w:val="auto"/>
              </w:rPr>
              <w:t>30</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ind w:right="46"/>
              <w:spacing w:after="0"/>
              <w:rPr>
                <w:sz w:val="20"/>
                <w:szCs w:val="20"/>
                <w:color w:val="auto"/>
              </w:rPr>
            </w:pPr>
            <w:r>
              <w:rPr>
                <w:rFonts w:ascii="Arial" w:cs="Arial" w:eastAsia="Arial" w:hAnsi="Arial"/>
                <w:sz w:val="20"/>
                <w:szCs w:val="20"/>
                <w:color w:val="auto"/>
              </w:rPr>
              <w:t>36</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ind w:right="6"/>
              <w:spacing w:after="0"/>
              <w:rPr>
                <w:sz w:val="20"/>
                <w:szCs w:val="20"/>
                <w:color w:val="auto"/>
              </w:rPr>
            </w:pPr>
            <w:r>
              <w:rPr>
                <w:rFonts w:ascii="Arial" w:cs="Arial" w:eastAsia="Arial" w:hAnsi="Arial"/>
                <w:sz w:val="20"/>
                <w:szCs w:val="20"/>
                <w:color w:val="auto"/>
              </w:rPr>
              <w:t>34</w:t>
            </w:r>
          </w:p>
        </w:tc>
      </w:tr>
      <w:tr>
        <w:trPr>
          <w:trHeight w:val="86"/>
        </w:trPr>
        <w:tc>
          <w:tcPr>
            <w:tcW w:w="3920" w:type="dxa"/>
            <w:vAlign w:val="bottom"/>
            <w:shd w:val="clear" w:color="auto" w:fill="CFF0FC"/>
          </w:tcPr>
          <w:p>
            <w:pPr>
              <w:spacing w:after="0"/>
              <w:rPr>
                <w:sz w:val="7"/>
                <w:szCs w:val="7"/>
                <w:color w:val="auto"/>
              </w:rPr>
            </w:pPr>
          </w:p>
        </w:tc>
        <w:tc>
          <w:tcPr>
            <w:tcW w:w="1600" w:type="dxa"/>
            <w:vAlign w:val="bottom"/>
            <w:shd w:val="clear" w:color="auto" w:fill="CFF0FC"/>
          </w:tcPr>
          <w:p>
            <w:pPr>
              <w:spacing w:after="0"/>
              <w:rPr>
                <w:sz w:val="7"/>
                <w:szCs w:val="7"/>
                <w:color w:val="auto"/>
              </w:rPr>
            </w:pPr>
          </w:p>
        </w:tc>
        <w:tc>
          <w:tcPr>
            <w:tcW w:w="120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r>
      <w:tr>
        <w:trPr>
          <w:trHeight w:val="799"/>
        </w:trPr>
        <w:tc>
          <w:tcPr>
            <w:tcW w:w="3920" w:type="dxa"/>
            <w:vAlign w:val="bottom"/>
          </w:tcPr>
          <w:p>
            <w:pPr>
              <w:spacing w:after="0"/>
              <w:rPr>
                <w:sz w:val="24"/>
                <w:szCs w:val="24"/>
                <w:color w:val="auto"/>
              </w:rPr>
            </w:pPr>
          </w:p>
        </w:tc>
        <w:tc>
          <w:tcPr>
            <w:tcW w:w="1600" w:type="dxa"/>
            <w:vAlign w:val="bottom"/>
          </w:tcPr>
          <w:p>
            <w:pPr>
              <w:jc w:val="right"/>
              <w:ind w:right="620"/>
              <w:spacing w:after="0"/>
              <w:rPr>
                <w:sz w:val="20"/>
                <w:szCs w:val="20"/>
                <w:color w:val="auto"/>
              </w:rPr>
            </w:pPr>
            <w:r>
              <w:rPr>
                <w:rFonts w:ascii="Arial" w:cs="Arial" w:eastAsia="Arial" w:hAnsi="Arial"/>
                <w:sz w:val="20"/>
                <w:szCs w:val="20"/>
                <w:color w:val="auto"/>
              </w:rPr>
              <w:t>91</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91"/>
        </w:trPr>
        <w:tc>
          <w:tcPr>
            <w:tcW w:w="392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6">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7">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-2078990</wp:posOffset>
            </wp:positionV>
            <wp:extent cx="2517775"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08">
                      <a:extLst>
                        <a:ext uri="{28A0092B-C50C-407E-A947-70E740481C1C}"/>
                      </a:extLst>
                    </a:blip>
                    <a:srcRect/>
                    <a:stretch>
                      <a:fillRect/>
                    </a:stretch>
                  </pic:blipFill>
                  <pic:spPr bwMode="auto">
                    <a:xfrm>
                      <a:off x="0" y="0"/>
                      <a:ext cx="2517775" cy="635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-1310640</wp:posOffset>
            </wp:positionV>
            <wp:extent cx="2517775"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09">
                      <a:extLst>
                        <a:ext uri="{28A0092B-C50C-407E-A947-70E740481C1C}"/>
                      </a:extLst>
                    </a:blip>
                    <a:srcRect/>
                    <a:stretch>
                      <a:fillRect/>
                    </a:stretch>
                  </pic:blipFill>
                  <pic:spPr bwMode="auto">
                    <a:xfrm>
                      <a:off x="0" y="0"/>
                      <a:ext cx="2517775" cy="6350"/>
                    </a:xfrm>
                    <a:prstGeom prst="rect">
                      <a:avLst/>
                    </a:prstGeom>
                    <a:noFill/>
                  </pic:spPr>
                </pic:pic>
              </a:graphicData>
            </a:graphic>
          </wp:anchor>
        </w:drawing>
        <w:drawing>
          <wp:anchor simplePos="0" relativeHeight="251657728" behindDoc="1" locked="0" layoutInCell="0" allowOverlap="1">
            <wp:simplePos x="0" y="0"/>
            <wp:positionH relativeFrom="column">
              <wp:posOffset>3445510</wp:posOffset>
            </wp:positionH>
            <wp:positionV relativeFrom="paragraph">
              <wp:posOffset>-1113790</wp:posOffset>
            </wp:positionV>
            <wp:extent cx="2517775" cy="285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0">
                      <a:extLst>
                        <a:ext uri="{28A0092B-C50C-407E-A947-70E740481C1C}"/>
                      </a:extLst>
                    </a:blip>
                    <a:srcRect/>
                    <a:stretch>
                      <a:fillRect/>
                    </a:stretch>
                  </pic:blipFill>
                  <pic:spPr bwMode="auto">
                    <a:xfrm>
                      <a:off x="0" y="0"/>
                      <a:ext cx="2517775" cy="28575"/>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36</w:t>
      </w:r>
    </w:p>
    <w:p>
      <w:pPr>
        <w:sectPr>
          <w:pgSz w:w="11900" w:h="16838" w:orient="portrait"/>
          <w:cols w:equalWidth="0" w:num="1">
            <w:col w:w="9400"/>
          </w:cols>
          <w:pgMar w:left="1260" w:top="1163" w:right="1246" w:bottom="0" w:gutter="0" w:footer="0" w:header="0"/>
          <w:type w:val="continuous"/>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Performance Obligations</w:t>
      </w:r>
    </w:p>
    <w:p>
      <w:pPr>
        <w:spacing w:after="0" w:line="260" w:lineRule="exact"/>
        <w:rPr>
          <w:sz w:val="20"/>
          <w:szCs w:val="20"/>
          <w:color w:val="auto"/>
        </w:rPr>
      </w:pPr>
    </w:p>
    <w:p>
      <w:pPr>
        <w:ind w:left="6" w:right="100"/>
        <w:spacing w:after="0" w:line="310" w:lineRule="auto"/>
        <w:rPr>
          <w:sz w:val="20"/>
          <w:szCs w:val="20"/>
          <w:color w:val="auto"/>
        </w:rPr>
      </w:pPr>
      <w:r>
        <w:rPr>
          <w:rFonts w:ascii="Arial" w:cs="Arial" w:eastAsia="Arial" w:hAnsi="Arial"/>
          <w:sz w:val="20"/>
          <w:szCs w:val="20"/>
          <w:color w:val="auto"/>
        </w:rPr>
        <w:t>The Company has contracts for which performance obligations have not been satisfied as of December 31, 2025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95" w:lineRule="exact"/>
        <w:rPr>
          <w:sz w:val="20"/>
          <w:szCs w:val="20"/>
          <w:color w:val="auto"/>
        </w:rPr>
      </w:pPr>
    </w:p>
    <w:p>
      <w:pPr>
        <w:ind w:left="6" w:right="600"/>
        <w:spacing w:after="0" w:line="302" w:lineRule="auto"/>
        <w:rPr>
          <w:sz w:val="20"/>
          <w:szCs w:val="20"/>
          <w:color w:val="auto"/>
        </w:rPr>
      </w:pPr>
      <w:r>
        <w:rPr>
          <w:rFonts w:ascii="Arial" w:cs="Arial" w:eastAsia="Arial" w:hAnsi="Arial"/>
          <w:sz w:val="20"/>
          <w:szCs w:val="20"/>
          <w:color w:val="auto"/>
        </w:rPr>
        <w:t>In addition, in accordance with ASC 606, the Company has elected not to disclose the remaining performance obligations when one or both of the following circumstances apply:</w:t>
      </w:r>
    </w:p>
    <w:p>
      <w:pPr>
        <w:spacing w:after="0" w:line="141" w:lineRule="exact"/>
        <w:rPr>
          <w:sz w:val="20"/>
          <w:szCs w:val="20"/>
          <w:color w:val="auto"/>
        </w:rPr>
      </w:pPr>
    </w:p>
    <w:p>
      <w:pPr>
        <w:ind w:left="626" w:right="220" w:hanging="313"/>
        <w:spacing w:after="0" w:line="302" w:lineRule="auto"/>
        <w:tabs>
          <w:tab w:leader="none" w:pos="626" w:val="left"/>
        </w:tabs>
        <w:numPr>
          <w:ilvl w:val="0"/>
          <w:numId w:val="59"/>
        </w:numPr>
        <w:rPr>
          <w:rFonts w:ascii="Arial" w:cs="Arial" w:eastAsia="Arial" w:hAnsi="Arial"/>
          <w:sz w:val="20"/>
          <w:szCs w:val="20"/>
          <w:color w:val="auto"/>
        </w:rPr>
      </w:pPr>
      <w:r>
        <w:rPr>
          <w:rFonts w:ascii="Arial" w:cs="Arial" w:eastAsia="Arial" w:hAnsi="Arial"/>
          <w:sz w:val="20"/>
          <w:szCs w:val="20"/>
          <w:color w:val="auto"/>
        </w:rPr>
        <w:t>Performance obligations which are part of a contract that has an original expected duration of less than one year, and</w:t>
      </w:r>
    </w:p>
    <w:p>
      <w:pPr>
        <w:spacing w:after="0" w:line="171" w:lineRule="exact"/>
        <w:rPr>
          <w:rFonts w:ascii="Arial" w:cs="Arial" w:eastAsia="Arial" w:hAnsi="Arial"/>
          <w:sz w:val="20"/>
          <w:szCs w:val="20"/>
          <w:color w:val="auto"/>
        </w:rPr>
      </w:pPr>
    </w:p>
    <w:p>
      <w:pPr>
        <w:ind w:left="626" w:hanging="313"/>
        <w:spacing w:after="0"/>
        <w:tabs>
          <w:tab w:leader="none" w:pos="626" w:val="left"/>
        </w:tabs>
        <w:numPr>
          <w:ilvl w:val="0"/>
          <w:numId w:val="59"/>
        </w:numPr>
        <w:rPr>
          <w:rFonts w:ascii="Arial" w:cs="Arial" w:eastAsia="Arial" w:hAnsi="Arial"/>
          <w:sz w:val="20"/>
          <w:szCs w:val="20"/>
          <w:color w:val="auto"/>
        </w:rPr>
      </w:pPr>
      <w:r>
        <w:rPr>
          <w:rFonts w:ascii="Arial" w:cs="Arial" w:eastAsia="Arial" w:hAnsi="Arial"/>
          <w:sz w:val="20"/>
          <w:szCs w:val="20"/>
          <w:color w:val="auto"/>
        </w:rPr>
        <w:t>Performance obligations satisfied in accordance with ASC 606-10-55-18 (‘right to invoice’).</w:t>
      </w:r>
    </w:p>
    <w:p>
      <w:pPr>
        <w:spacing w:after="0" w:line="255"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jc w:val="right"/>
              <w:ind w:right="310"/>
              <w:spacing w:after="0"/>
              <w:rPr>
                <w:sz w:val="20"/>
                <w:szCs w:val="20"/>
                <w:color w:val="auto"/>
              </w:rPr>
            </w:pPr>
            <w:r>
              <w:rPr>
                <w:rFonts w:ascii="Arial" w:cs="Arial" w:eastAsia="Arial" w:hAnsi="Arial"/>
                <w:sz w:val="16"/>
                <w:szCs w:val="16"/>
                <w:b w:val="1"/>
                <w:bCs w:val="1"/>
                <w:color w:val="auto"/>
              </w:rPr>
              <w:t>2026</w:t>
            </w:r>
          </w:p>
        </w:tc>
        <w:tc>
          <w:tcPr>
            <w:tcW w:w="280" w:type="dxa"/>
            <w:vAlign w:val="bottom"/>
          </w:tcPr>
          <w:p>
            <w:pPr>
              <w:spacing w:after="0"/>
              <w:rPr>
                <w:sz w:val="16"/>
                <w:szCs w:val="16"/>
                <w:color w:val="auto"/>
              </w:rPr>
            </w:pPr>
          </w:p>
        </w:tc>
        <w:tc>
          <w:tcPr>
            <w:tcW w:w="800" w:type="dxa"/>
            <w:vAlign w:val="bottom"/>
          </w:tcPr>
          <w:p>
            <w:pPr>
              <w:jc w:val="right"/>
              <w:ind w:right="290"/>
              <w:spacing w:after="0"/>
              <w:rPr>
                <w:sz w:val="20"/>
                <w:szCs w:val="20"/>
                <w:color w:val="auto"/>
              </w:rPr>
            </w:pPr>
            <w:r>
              <w:rPr>
                <w:rFonts w:ascii="Arial" w:cs="Arial" w:eastAsia="Arial" w:hAnsi="Arial"/>
                <w:sz w:val="16"/>
                <w:szCs w:val="16"/>
                <w:b w:val="1"/>
                <w:bCs w:val="1"/>
                <w:color w:val="auto"/>
              </w:rPr>
              <w:t>2027</w:t>
            </w: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w w:val="98"/>
              </w:rPr>
              <w:t>2028 onward</w:t>
            </w:r>
          </w:p>
        </w:tc>
        <w:tc>
          <w:tcPr>
            <w:tcW w:w="280" w:type="dxa"/>
            <w:vAlign w:val="bottom"/>
          </w:tcPr>
          <w:p>
            <w:pPr>
              <w:spacing w:after="0"/>
              <w:rPr>
                <w:sz w:val="16"/>
                <w:szCs w:val="16"/>
                <w:color w:val="auto"/>
              </w:rPr>
            </w:pPr>
          </w:p>
        </w:tc>
        <w:tc>
          <w:tcPr>
            <w:tcW w:w="820" w:type="dxa"/>
            <w:vAlign w:val="bottom"/>
          </w:tcPr>
          <w:p>
            <w:pPr>
              <w:jc w:val="right"/>
              <w:ind w:right="270"/>
              <w:spacing w:after="0"/>
              <w:rPr>
                <w:sz w:val="20"/>
                <w:szCs w:val="20"/>
                <w:color w:val="auto"/>
              </w:rPr>
            </w:pPr>
            <w:r>
              <w:rPr>
                <w:rFonts w:ascii="Arial" w:cs="Arial" w:eastAsia="Arial" w:hAnsi="Arial"/>
                <w:sz w:val="16"/>
                <w:szCs w:val="16"/>
                <w:b w:val="1"/>
                <w:bCs w:val="1"/>
                <w:color w:val="auto"/>
              </w:rPr>
              <w:t>Total</w:t>
            </w:r>
          </w:p>
        </w:tc>
      </w:tr>
      <w:tr>
        <w:trPr>
          <w:trHeight w:val="42"/>
        </w:trPr>
        <w:tc>
          <w:tcPr>
            <w:tcW w:w="4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9"/>
        </w:trPr>
        <w:tc>
          <w:tcPr>
            <w:tcW w:w="4700" w:type="dxa"/>
            <w:vAlign w:val="bottom"/>
            <w:shd w:val="clear" w:color="auto" w:fill="CFF0FC"/>
          </w:tcPr>
          <w:p>
            <w:pPr>
              <w:spacing w:after="0"/>
              <w:rPr>
                <w:sz w:val="20"/>
                <w:szCs w:val="20"/>
                <w:color w:val="auto"/>
              </w:rPr>
            </w:pPr>
            <w:r>
              <w:rPr>
                <w:rFonts w:ascii="Arial" w:cs="Arial" w:eastAsia="Arial" w:hAnsi="Arial"/>
                <w:sz w:val="20"/>
                <w:szCs w:val="20"/>
                <w:color w:val="auto"/>
                <w:w w:val="96"/>
              </w:rPr>
              <w:t>Revenue expected to be recognized on contracts as of</w:t>
            </w:r>
          </w:p>
        </w:tc>
        <w:tc>
          <w:tcPr>
            <w:tcW w:w="6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r>
      <w:tr>
        <w:trPr>
          <w:trHeight w:val="300"/>
        </w:trPr>
        <w:tc>
          <w:tcPr>
            <w:tcW w:w="4700" w:type="dxa"/>
            <w:vAlign w:val="bottom"/>
            <w:shd w:val="clear" w:color="auto" w:fill="CFF0FC"/>
          </w:tcPr>
          <w:p>
            <w:pPr>
              <w:spacing w:after="0"/>
              <w:rPr>
                <w:sz w:val="20"/>
                <w:szCs w:val="20"/>
                <w:color w:val="auto"/>
              </w:rPr>
            </w:pPr>
            <w:r>
              <w:rPr>
                <w:rFonts w:ascii="Arial" w:cs="Arial" w:eastAsia="Arial" w:hAnsi="Arial"/>
                <w:sz w:val="20"/>
                <w:szCs w:val="20"/>
                <w:color w:val="auto"/>
              </w:rPr>
              <w:t>December 31, 2025</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20"/>
                <w:szCs w:val="20"/>
                <w:color w:val="auto"/>
              </w:rPr>
              <w:t>686</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20"/>
                <w:szCs w:val="20"/>
                <w:color w:val="auto"/>
              </w:rPr>
              <w:t>440</w:t>
            </w:r>
          </w:p>
        </w:tc>
        <w:tc>
          <w:tcPr>
            <w:tcW w:w="46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425</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20"/>
                <w:szCs w:val="20"/>
                <w:color w:val="auto"/>
              </w:rPr>
              <w:t>1,551</w:t>
            </w:r>
          </w:p>
        </w:tc>
      </w:tr>
      <w:tr>
        <w:trPr>
          <w:trHeight w:val="41"/>
        </w:trPr>
        <w:tc>
          <w:tcPr>
            <w:tcW w:w="470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-386715</wp:posOffset>
            </wp:positionV>
            <wp:extent cx="271272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1">
                      <a:extLst>
                        <a:ext uri="{28A0092B-C50C-407E-A947-70E740481C1C}"/>
                      </a:extLst>
                    </a:blip>
                    <a:srcRect/>
                    <a:stretch>
                      <a:fillRect/>
                    </a:stretch>
                  </pic:blipFill>
                  <pic:spPr bwMode="auto">
                    <a:xfrm>
                      <a:off x="0" y="0"/>
                      <a:ext cx="2712720" cy="6350"/>
                    </a:xfrm>
                    <a:prstGeom prst="rect">
                      <a:avLst/>
                    </a:prstGeom>
                    <a:noFill/>
                  </pic:spPr>
                </pic:pic>
              </a:graphicData>
            </a:graphic>
          </wp:anchor>
        </w:drawing>
      </w:r>
    </w:p>
    <w:p>
      <w:pPr>
        <w:spacing w:after="0" w:line="179" w:lineRule="exact"/>
        <w:rPr>
          <w:sz w:val="20"/>
          <w:szCs w:val="20"/>
          <w:color w:val="auto"/>
        </w:rPr>
      </w:pPr>
    </w:p>
    <w:p>
      <w:pPr>
        <w:ind w:left="6" w:right="40"/>
        <w:spacing w:after="0" w:line="307" w:lineRule="auto"/>
        <w:rPr>
          <w:sz w:val="20"/>
          <w:szCs w:val="20"/>
          <w:color w:val="auto"/>
        </w:rPr>
      </w:pPr>
      <w:r>
        <w:rPr>
          <w:rFonts w:ascii="Arial" w:cs="Arial" w:eastAsia="Arial" w:hAnsi="Arial"/>
          <w:sz w:val="20"/>
          <w:szCs w:val="20"/>
          <w:color w:val="auto"/>
        </w:rPr>
        <w:t>Since most of the Company’s contracts are cancellable with less than one year’s notice and have no substantive penalty for cancellation, the majority of the Company’s remaining performance obligations as of December 31, 2025 have been excluded from the table above.</w:t>
      </w:r>
    </w:p>
    <w:p>
      <w:pPr>
        <w:spacing w:after="0" w:line="16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Costs to Obtain or Fulfill a Contract</w:t>
      </w:r>
    </w:p>
    <w:p>
      <w:pPr>
        <w:spacing w:after="0" w:line="260" w:lineRule="exact"/>
        <w:rPr>
          <w:sz w:val="20"/>
          <w:szCs w:val="20"/>
          <w:color w:val="auto"/>
        </w:rPr>
      </w:pPr>
    </w:p>
    <w:p>
      <w:pPr>
        <w:ind w:left="6" w:right="20"/>
        <w:spacing w:after="0" w:line="302" w:lineRule="auto"/>
        <w:rPr>
          <w:sz w:val="20"/>
          <w:szCs w:val="20"/>
          <w:color w:val="auto"/>
        </w:rPr>
      </w:pPr>
      <w:r>
        <w:rPr>
          <w:rFonts w:ascii="Arial" w:cs="Arial" w:eastAsia="Arial" w:hAnsi="Arial"/>
          <w:sz w:val="20"/>
          <w:szCs w:val="20"/>
          <w:color w:val="auto"/>
        </w:rPr>
        <w:t>The Company incurs costs to obtain or fulfill contracts which it would not incur if a contract with a customer was not executed.</w:t>
      </w:r>
    </w:p>
    <w:p>
      <w:pPr>
        <w:spacing w:after="0" w:line="201" w:lineRule="exact"/>
        <w:rPr>
          <w:sz w:val="20"/>
          <w:szCs w:val="20"/>
          <w:color w:val="auto"/>
        </w:rPr>
      </w:pPr>
    </w:p>
    <w:p>
      <w:pPr>
        <w:ind w:left="6" w:right="700"/>
        <w:spacing w:after="0" w:line="302" w:lineRule="auto"/>
        <w:rPr>
          <w:sz w:val="20"/>
          <w:szCs w:val="20"/>
          <w:color w:val="auto"/>
        </w:rPr>
      </w:pPr>
      <w:r>
        <w:rPr>
          <w:rFonts w:ascii="Arial" w:cs="Arial" w:eastAsia="Arial" w:hAnsi="Arial"/>
          <w:sz w:val="20"/>
          <w:szCs w:val="20"/>
          <w:color w:val="auto"/>
        </w:rPr>
        <w:t>The following table shows the categories of costs that are capitalized and deferred over the expected life of a contract.</w:t>
      </w:r>
    </w:p>
    <w:p>
      <w:pPr>
        <w:spacing w:after="0" w:line="210" w:lineRule="exact"/>
        <w:rPr>
          <w:sz w:val="20"/>
          <w:szCs w:val="20"/>
          <w:color w:val="auto"/>
        </w:rPr>
      </w:pPr>
    </w:p>
    <w:tbl>
      <w:tblPr>
        <w:tblLayout w:type="fixed"/>
        <w:tblInd w:w="6" w:type="dxa"/>
        <w:tblCellMar>
          <w:top w:w="0" w:type="dxa"/>
          <w:left w:w="0" w:type="dxa"/>
          <w:bottom w:w="0" w:type="dxa"/>
          <w:right w:w="0" w:type="dxa"/>
        </w:tblCellMar>
      </w:tblPr>
      <w:tr>
        <w:trPr>
          <w:trHeight w:val="261"/>
        </w:trPr>
        <w:tc>
          <w:tcPr>
            <w:tcW w:w="2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center"/>
              <w:ind w:right="188"/>
              <w:spacing w:after="0"/>
              <w:rPr>
                <w:sz w:val="20"/>
                <w:szCs w:val="20"/>
                <w:color w:val="auto"/>
              </w:rPr>
            </w:pPr>
            <w:r>
              <w:rPr>
                <w:rFonts w:ascii="Arial" w:cs="Arial" w:eastAsia="Arial" w:hAnsi="Arial"/>
                <w:sz w:val="16"/>
                <w:szCs w:val="16"/>
                <w:b w:val="1"/>
                <w:bCs w:val="1"/>
                <w:color w:val="auto"/>
                <w:w w:val="89"/>
              </w:rPr>
              <w:t>Costs to fulfill</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gridSpan w:val="2"/>
          </w:tcPr>
          <w:p>
            <w:pPr>
              <w:jc w:val="right"/>
              <w:ind w:right="190"/>
              <w:spacing w:after="0"/>
              <w:rPr>
                <w:sz w:val="20"/>
                <w:szCs w:val="20"/>
                <w:color w:val="auto"/>
              </w:rPr>
            </w:pPr>
            <w:r>
              <w:rPr>
                <w:rFonts w:ascii="Arial" w:cs="Arial" w:eastAsia="Arial" w:hAnsi="Arial"/>
                <w:sz w:val="16"/>
                <w:szCs w:val="16"/>
                <w:b w:val="1"/>
                <w:bCs w:val="1"/>
                <w:color w:val="auto"/>
              </w:rPr>
              <w:t xml:space="preserve">Costs to obtain </w:t>
            </w:r>
            <w:r>
              <w:rPr>
                <w:rFonts w:ascii="Arial" w:cs="Arial" w:eastAsia="Arial" w:hAnsi="Arial"/>
                <w:sz w:val="21"/>
                <w:szCs w:val="21"/>
                <w:b w:val="1"/>
                <w:bCs w:val="1"/>
                <w:color w:val="auto"/>
                <w:vertAlign w:val="superscript"/>
              </w:rPr>
              <w:t>(i)</w:t>
            </w:r>
          </w:p>
        </w:tc>
        <w:tc>
          <w:tcPr>
            <w:tcW w:w="400" w:type="dxa"/>
            <w:vAlign w:val="bottom"/>
          </w:tcPr>
          <w:p>
            <w:pPr>
              <w:spacing w:after="0"/>
              <w:rPr>
                <w:sz w:val="22"/>
                <w:szCs w:val="22"/>
                <w:color w:val="auto"/>
              </w:rPr>
            </w:pPr>
          </w:p>
        </w:tc>
      </w:tr>
      <w:tr>
        <w:trPr>
          <w:trHeight w:val="208"/>
        </w:trPr>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206"/>
              <w:spacing w:after="0"/>
              <w:rPr>
                <w:sz w:val="20"/>
                <w:szCs w:val="20"/>
                <w:color w:val="auto"/>
              </w:rPr>
            </w:pPr>
            <w:r>
              <w:rPr>
                <w:rFonts w:ascii="Arial" w:cs="Arial" w:eastAsia="Arial" w:hAnsi="Arial"/>
                <w:sz w:val="16"/>
                <w:szCs w:val="16"/>
                <w:b w:val="1"/>
                <w:bCs w:val="1"/>
                <w:color w:val="auto"/>
                <w:w w:val="88"/>
              </w:rPr>
              <w:t>December 31,</w:t>
            </w:r>
          </w:p>
        </w:tc>
        <w:tc>
          <w:tcPr>
            <w:tcW w:w="180" w:type="dxa"/>
            <w:vAlign w:val="bottom"/>
          </w:tcPr>
          <w:p>
            <w:pPr>
              <w:spacing w:after="0"/>
              <w:rPr>
                <w:sz w:val="18"/>
                <w:szCs w:val="18"/>
                <w:color w:val="auto"/>
              </w:rPr>
            </w:pPr>
          </w:p>
        </w:tc>
        <w:tc>
          <w:tcPr>
            <w:tcW w:w="1240" w:type="dxa"/>
            <w:vAlign w:val="bottom"/>
          </w:tcPr>
          <w:p>
            <w:pPr>
              <w:jc w:val="center"/>
              <w:ind w:right="168"/>
              <w:spacing w:after="0"/>
              <w:rPr>
                <w:sz w:val="20"/>
                <w:szCs w:val="20"/>
                <w:color w:val="auto"/>
              </w:rPr>
            </w:pPr>
            <w:r>
              <w:rPr>
                <w:rFonts w:ascii="Arial" w:cs="Arial" w:eastAsia="Arial" w:hAnsi="Arial"/>
                <w:sz w:val="16"/>
                <w:szCs w:val="16"/>
                <w:b w:val="1"/>
                <w:bCs w:val="1"/>
                <w:color w:val="auto"/>
                <w:w w:val="90"/>
              </w:rPr>
              <w:t>December 31,</w:t>
            </w:r>
          </w:p>
        </w:tc>
        <w:tc>
          <w:tcPr>
            <w:tcW w:w="200" w:type="dxa"/>
            <w:vAlign w:val="bottom"/>
          </w:tcPr>
          <w:p>
            <w:pPr>
              <w:spacing w:after="0"/>
              <w:rPr>
                <w:sz w:val="18"/>
                <w:szCs w:val="18"/>
                <w:color w:val="auto"/>
              </w:rPr>
            </w:pPr>
          </w:p>
        </w:tc>
        <w:tc>
          <w:tcPr>
            <w:tcW w:w="1220" w:type="dxa"/>
            <w:vAlign w:val="bottom"/>
          </w:tcPr>
          <w:p>
            <w:pPr>
              <w:jc w:val="right"/>
              <w:ind w:right="186"/>
              <w:spacing w:after="0"/>
              <w:rPr>
                <w:sz w:val="20"/>
                <w:szCs w:val="20"/>
                <w:color w:val="auto"/>
              </w:rPr>
            </w:pPr>
            <w:r>
              <w:rPr>
                <w:rFonts w:ascii="Arial" w:cs="Arial" w:eastAsia="Arial" w:hAnsi="Arial"/>
                <w:sz w:val="16"/>
                <w:szCs w:val="16"/>
                <w:b w:val="1"/>
                <w:bCs w:val="1"/>
                <w:color w:val="auto"/>
                <w:w w:val="88"/>
              </w:rPr>
              <w:t>December 31,</w:t>
            </w:r>
          </w:p>
        </w:tc>
        <w:tc>
          <w:tcPr>
            <w:tcW w:w="1280" w:type="dxa"/>
            <w:vAlign w:val="bottom"/>
            <w:gridSpan w:val="2"/>
          </w:tcPr>
          <w:p>
            <w:pPr>
              <w:jc w:val="right"/>
              <w:ind w:right="126"/>
              <w:spacing w:after="0"/>
              <w:rPr>
                <w:sz w:val="20"/>
                <w:szCs w:val="20"/>
                <w:color w:val="auto"/>
              </w:rPr>
            </w:pPr>
            <w:r>
              <w:rPr>
                <w:rFonts w:ascii="Arial" w:cs="Arial" w:eastAsia="Arial" w:hAnsi="Arial"/>
                <w:sz w:val="16"/>
                <w:szCs w:val="16"/>
                <w:b w:val="1"/>
                <w:bCs w:val="1"/>
                <w:color w:val="auto"/>
                <w:w w:val="99"/>
              </w:rPr>
              <w:t>December 31,</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9"/>
              </w:rPr>
              <w:t>December 31,</w:t>
            </w:r>
          </w:p>
        </w:tc>
      </w:tr>
      <w:tr>
        <w:trPr>
          <w:trHeight w:val="240"/>
        </w:trPr>
        <w:tc>
          <w:tcPr>
            <w:tcW w:w="2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06"/>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0"/>
                <w:szCs w:val="20"/>
                <w:color w:val="auto"/>
              </w:rPr>
            </w:pPr>
          </w:p>
        </w:tc>
        <w:tc>
          <w:tcPr>
            <w:tcW w:w="1240" w:type="dxa"/>
            <w:vAlign w:val="bottom"/>
          </w:tcPr>
          <w:p>
            <w:pPr>
              <w:jc w:val="center"/>
              <w:ind w:right="188"/>
              <w:spacing w:after="0"/>
              <w:rPr>
                <w:sz w:val="20"/>
                <w:szCs w:val="20"/>
                <w:color w:val="auto"/>
              </w:rPr>
            </w:pPr>
            <w:r>
              <w:rPr>
                <w:rFonts w:ascii="Arial" w:cs="Arial" w:eastAsia="Arial" w:hAnsi="Arial"/>
                <w:sz w:val="16"/>
                <w:szCs w:val="16"/>
                <w:b w:val="1"/>
                <w:bCs w:val="1"/>
                <w:color w:val="auto"/>
                <w:w w:val="89"/>
              </w:rPr>
              <w:t>2024</w:t>
            </w:r>
          </w:p>
        </w:tc>
        <w:tc>
          <w:tcPr>
            <w:tcW w:w="200" w:type="dxa"/>
            <w:vAlign w:val="bottom"/>
          </w:tcPr>
          <w:p>
            <w:pPr>
              <w:spacing w:after="0"/>
              <w:rPr>
                <w:sz w:val="20"/>
                <w:szCs w:val="20"/>
                <w:color w:val="auto"/>
              </w:rPr>
            </w:pPr>
          </w:p>
        </w:tc>
        <w:tc>
          <w:tcPr>
            <w:tcW w:w="1220" w:type="dxa"/>
            <w:vAlign w:val="bottom"/>
          </w:tcPr>
          <w:p>
            <w:pPr>
              <w:jc w:val="right"/>
              <w:ind w:right="486"/>
              <w:spacing w:after="0"/>
              <w:rPr>
                <w:sz w:val="20"/>
                <w:szCs w:val="20"/>
                <w:color w:val="auto"/>
              </w:rPr>
            </w:pPr>
            <w:r>
              <w:rPr>
                <w:rFonts w:ascii="Arial" w:cs="Arial" w:eastAsia="Arial" w:hAnsi="Arial"/>
                <w:sz w:val="16"/>
                <w:szCs w:val="16"/>
                <w:b w:val="1"/>
                <w:bCs w:val="1"/>
                <w:color w:val="auto"/>
              </w:rPr>
              <w:t>2023</w:t>
            </w:r>
          </w:p>
        </w:tc>
        <w:tc>
          <w:tcPr>
            <w:tcW w:w="320" w:type="dxa"/>
            <w:vAlign w:val="bottom"/>
          </w:tcPr>
          <w:p>
            <w:pPr>
              <w:spacing w:after="0"/>
              <w:rPr>
                <w:sz w:val="20"/>
                <w:szCs w:val="20"/>
                <w:color w:val="auto"/>
              </w:rPr>
            </w:pPr>
          </w:p>
        </w:tc>
        <w:tc>
          <w:tcPr>
            <w:tcW w:w="960" w:type="dxa"/>
            <w:vAlign w:val="bottom"/>
          </w:tcPr>
          <w:p>
            <w:pPr>
              <w:jc w:val="right"/>
              <w:ind w:right="426"/>
              <w:spacing w:after="0"/>
              <w:rPr>
                <w:sz w:val="20"/>
                <w:szCs w:val="20"/>
                <w:color w:val="auto"/>
              </w:rPr>
            </w:pPr>
            <w:r>
              <w:rPr>
                <w:rFonts w:ascii="Arial" w:cs="Arial" w:eastAsia="Arial" w:hAnsi="Arial"/>
                <w:sz w:val="16"/>
                <w:szCs w:val="16"/>
                <w:b w:val="1"/>
                <w:bCs w:val="1"/>
                <w:color w:val="auto"/>
              </w:rPr>
              <w:t>2025</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400" w:type="dxa"/>
            <w:vAlign w:val="bottom"/>
          </w:tcPr>
          <w:p>
            <w:pPr>
              <w:spacing w:after="0"/>
              <w:rPr>
                <w:sz w:val="20"/>
                <w:szCs w:val="20"/>
                <w:color w:val="auto"/>
              </w:rPr>
            </w:pPr>
          </w:p>
        </w:tc>
      </w:tr>
      <w:tr>
        <w:trPr>
          <w:trHeight w:val="42"/>
        </w:trPr>
        <w:tc>
          <w:tcPr>
            <w:tcW w:w="2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274"/>
        </w:trPr>
        <w:tc>
          <w:tcPr>
            <w:tcW w:w="248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the</w:t>
            </w:r>
          </w:p>
        </w:tc>
        <w:tc>
          <w:tcPr>
            <w:tcW w:w="34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82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r>
      <w:tr>
        <w:trPr>
          <w:trHeight w:val="321"/>
        </w:trPr>
        <w:tc>
          <w:tcPr>
            <w:tcW w:w="2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year</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ind w:right="86"/>
              <w:spacing w:after="0"/>
              <w:rPr>
                <w:sz w:val="20"/>
                <w:szCs w:val="20"/>
                <w:color w:val="auto"/>
              </w:rPr>
            </w:pPr>
            <w:r>
              <w:rPr>
                <w:rFonts w:ascii="Arial" w:cs="Arial" w:eastAsia="Arial" w:hAnsi="Arial"/>
                <w:sz w:val="20"/>
                <w:szCs w:val="20"/>
                <w:color w:val="auto"/>
              </w:rPr>
              <w:t>238</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ind w:right="68"/>
              <w:spacing w:after="0"/>
              <w:rPr>
                <w:sz w:val="20"/>
                <w:szCs w:val="20"/>
                <w:color w:val="auto"/>
              </w:rPr>
            </w:pPr>
            <w:r>
              <w:rPr>
                <w:rFonts w:ascii="Arial" w:cs="Arial" w:eastAsia="Arial" w:hAnsi="Arial"/>
                <w:sz w:val="20"/>
                <w:szCs w:val="20"/>
                <w:color w:val="auto"/>
              </w:rPr>
              <w:t>218</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20"/>
                <w:szCs w:val="20"/>
                <w:color w:val="auto"/>
              </w:rPr>
              <w:t>197</w:t>
            </w:r>
          </w:p>
        </w:tc>
        <w:tc>
          <w:tcPr>
            <w:tcW w:w="32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20"/>
                <w:szCs w:val="20"/>
                <w:color w:val="auto"/>
              </w:rPr>
              <w:t>2</w:t>
            </w:r>
          </w:p>
        </w:tc>
        <w:tc>
          <w:tcPr>
            <w:tcW w:w="820" w:type="dxa"/>
            <w:vAlign w:val="bottom"/>
            <w:tcBorders>
              <w:bottom w:val="single" w:sz="8" w:color="CFF0FC"/>
            </w:tcBorders>
            <w:shd w:val="clear" w:color="auto" w:fill="CFF0FC"/>
          </w:tcPr>
          <w:p>
            <w:pPr>
              <w:jc w:val="right"/>
              <w:ind w:right="55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74"/>
        </w:trPr>
        <w:tc>
          <w:tcPr>
            <w:tcW w:w="2480" w:type="dxa"/>
            <w:vAlign w:val="bottom"/>
          </w:tcPr>
          <w:p>
            <w:pPr>
              <w:spacing w:after="0"/>
              <w:rPr>
                <w:sz w:val="20"/>
                <w:szCs w:val="20"/>
                <w:color w:val="auto"/>
              </w:rPr>
            </w:pPr>
            <w:r>
              <w:rPr>
                <w:rFonts w:ascii="Arial" w:cs="Arial" w:eastAsia="Arial" w:hAnsi="Arial"/>
                <w:sz w:val="20"/>
                <w:szCs w:val="20"/>
                <w:color w:val="auto"/>
              </w:rPr>
              <w:t>New capitalized costs</w:t>
            </w:r>
          </w:p>
        </w:tc>
        <w:tc>
          <w:tcPr>
            <w:tcW w:w="340" w:type="dxa"/>
            <w:vAlign w:val="bottom"/>
          </w:tcPr>
          <w:p>
            <w:pPr>
              <w:spacing w:after="0"/>
              <w:rPr>
                <w:sz w:val="23"/>
                <w:szCs w:val="23"/>
                <w:color w:val="auto"/>
              </w:rPr>
            </w:pPr>
          </w:p>
        </w:tc>
        <w:tc>
          <w:tcPr>
            <w:tcW w:w="1240" w:type="dxa"/>
            <w:vAlign w:val="bottom"/>
          </w:tcPr>
          <w:p>
            <w:pPr>
              <w:jc w:val="right"/>
              <w:ind w:right="86"/>
              <w:spacing w:after="0"/>
              <w:rPr>
                <w:sz w:val="20"/>
                <w:szCs w:val="20"/>
                <w:color w:val="auto"/>
              </w:rPr>
            </w:pPr>
            <w:r>
              <w:rPr>
                <w:rFonts w:ascii="Arial" w:cs="Arial" w:eastAsia="Arial" w:hAnsi="Arial"/>
                <w:sz w:val="20"/>
                <w:szCs w:val="20"/>
                <w:color w:val="auto"/>
              </w:rPr>
              <w:t>503</w:t>
            </w:r>
          </w:p>
        </w:tc>
        <w:tc>
          <w:tcPr>
            <w:tcW w:w="180" w:type="dxa"/>
            <w:vAlign w:val="bottom"/>
          </w:tcPr>
          <w:p>
            <w:pPr>
              <w:spacing w:after="0"/>
              <w:rPr>
                <w:sz w:val="23"/>
                <w:szCs w:val="23"/>
                <w:color w:val="auto"/>
              </w:rPr>
            </w:pPr>
          </w:p>
        </w:tc>
        <w:tc>
          <w:tcPr>
            <w:tcW w:w="1240" w:type="dxa"/>
            <w:vAlign w:val="bottom"/>
          </w:tcPr>
          <w:p>
            <w:pPr>
              <w:jc w:val="right"/>
              <w:ind w:right="68"/>
              <w:spacing w:after="0"/>
              <w:rPr>
                <w:sz w:val="20"/>
                <w:szCs w:val="20"/>
                <w:color w:val="auto"/>
              </w:rPr>
            </w:pPr>
            <w:r>
              <w:rPr>
                <w:rFonts w:ascii="Arial" w:cs="Arial" w:eastAsia="Arial" w:hAnsi="Arial"/>
                <w:sz w:val="20"/>
                <w:szCs w:val="20"/>
                <w:color w:val="auto"/>
              </w:rPr>
              <w:t>493</w:t>
            </w:r>
          </w:p>
        </w:tc>
        <w:tc>
          <w:tcPr>
            <w:tcW w:w="200" w:type="dxa"/>
            <w:vAlign w:val="bottom"/>
          </w:tcPr>
          <w:p>
            <w:pPr>
              <w:spacing w:after="0"/>
              <w:rPr>
                <w:sz w:val="23"/>
                <w:szCs w:val="23"/>
                <w:color w:val="auto"/>
              </w:rPr>
            </w:pPr>
          </w:p>
        </w:tc>
        <w:tc>
          <w:tcPr>
            <w:tcW w:w="1220" w:type="dxa"/>
            <w:vAlign w:val="bottom"/>
          </w:tcPr>
          <w:p>
            <w:pPr>
              <w:jc w:val="right"/>
              <w:ind w:right="66"/>
              <w:spacing w:after="0"/>
              <w:rPr>
                <w:sz w:val="20"/>
                <w:szCs w:val="20"/>
                <w:color w:val="auto"/>
              </w:rPr>
            </w:pPr>
            <w:r>
              <w:rPr>
                <w:rFonts w:ascii="Arial" w:cs="Arial" w:eastAsia="Arial" w:hAnsi="Arial"/>
                <w:sz w:val="20"/>
                <w:szCs w:val="20"/>
                <w:color w:val="auto"/>
              </w:rPr>
              <w:t>458</w:t>
            </w:r>
          </w:p>
        </w:tc>
        <w:tc>
          <w:tcPr>
            <w:tcW w:w="320" w:type="dxa"/>
            <w:vAlign w:val="bottom"/>
          </w:tcPr>
          <w:p>
            <w:pPr>
              <w:spacing w:after="0"/>
              <w:rPr>
                <w:sz w:val="23"/>
                <w:szCs w:val="23"/>
                <w:color w:val="auto"/>
              </w:rPr>
            </w:pPr>
          </w:p>
        </w:tc>
        <w:tc>
          <w:tcPr>
            <w:tcW w:w="960" w:type="dxa"/>
            <w:vAlign w:val="bottom"/>
          </w:tcPr>
          <w:p>
            <w:pPr>
              <w:jc w:val="right"/>
              <w:ind w:right="66"/>
              <w:spacing w:after="0"/>
              <w:rPr>
                <w:sz w:val="20"/>
                <w:szCs w:val="20"/>
                <w:color w:val="auto"/>
              </w:rPr>
            </w:pPr>
            <w:r>
              <w:rPr>
                <w:rFonts w:ascii="Arial" w:cs="Arial" w:eastAsia="Arial" w:hAnsi="Arial"/>
                <w:sz w:val="20"/>
                <w:szCs w:val="20"/>
                <w:color w:val="auto"/>
              </w:rPr>
              <w:t>12</w:t>
            </w:r>
          </w:p>
        </w:tc>
        <w:tc>
          <w:tcPr>
            <w:tcW w:w="820" w:type="dxa"/>
            <w:vAlign w:val="bottom"/>
          </w:tcPr>
          <w:p>
            <w:pPr>
              <w:spacing w:after="0"/>
              <w:rPr>
                <w:sz w:val="23"/>
                <w:szCs w:val="23"/>
                <w:color w:val="auto"/>
              </w:rPr>
            </w:pPr>
          </w:p>
        </w:tc>
        <w:tc>
          <w:tcPr>
            <w:tcW w:w="400" w:type="dxa"/>
            <w:vAlign w:val="bottom"/>
          </w:tcPr>
          <w:p>
            <w:pPr>
              <w:jc w:val="right"/>
              <w:ind w:right="20"/>
              <w:spacing w:after="0"/>
              <w:rPr>
                <w:sz w:val="20"/>
                <w:szCs w:val="20"/>
                <w:color w:val="auto"/>
              </w:rPr>
            </w:pPr>
            <w:r>
              <w:rPr>
                <w:rFonts w:ascii="Arial" w:cs="Arial" w:eastAsia="Arial" w:hAnsi="Arial"/>
                <w:sz w:val="20"/>
                <w:szCs w:val="20"/>
                <w:color w:val="auto"/>
              </w:rPr>
              <w:t>3</w:t>
            </w:r>
          </w:p>
        </w:tc>
      </w:tr>
      <w:tr>
        <w:trPr>
          <w:trHeight w:val="41"/>
        </w:trPr>
        <w:tc>
          <w:tcPr>
            <w:tcW w:w="2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294"/>
        </w:trPr>
        <w:tc>
          <w:tcPr>
            <w:tcW w:w="2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Amortization</w:t>
            </w:r>
          </w:p>
        </w:tc>
        <w:tc>
          <w:tcPr>
            <w:tcW w:w="3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20"/>
                <w:szCs w:val="20"/>
                <w:color w:val="auto"/>
              </w:rPr>
              <w:t>(495)</w:t>
            </w:r>
          </w:p>
        </w:tc>
        <w:tc>
          <w:tcPr>
            <w:tcW w:w="18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(470)</w:t>
            </w:r>
          </w:p>
        </w:tc>
        <w:tc>
          <w:tcPr>
            <w:tcW w:w="20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(441)</w:t>
            </w:r>
          </w:p>
        </w:tc>
        <w:tc>
          <w:tcPr>
            <w:tcW w:w="3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8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74"/>
        </w:trPr>
        <w:tc>
          <w:tcPr>
            <w:tcW w:w="2480" w:type="dxa"/>
            <w:vAlign w:val="bottom"/>
          </w:tcPr>
          <w:p>
            <w:pPr>
              <w:spacing w:after="0"/>
              <w:rPr>
                <w:sz w:val="20"/>
                <w:szCs w:val="20"/>
                <w:color w:val="auto"/>
              </w:rPr>
            </w:pPr>
            <w:r>
              <w:rPr>
                <w:rFonts w:ascii="Arial" w:cs="Arial" w:eastAsia="Arial" w:hAnsi="Arial"/>
                <w:sz w:val="20"/>
                <w:szCs w:val="20"/>
                <w:color w:val="auto"/>
                <w:w w:val="99"/>
              </w:rPr>
              <w:t>Foreign currency translation</w:t>
            </w:r>
          </w:p>
        </w:tc>
        <w:tc>
          <w:tcPr>
            <w:tcW w:w="340" w:type="dxa"/>
            <w:vAlign w:val="bottom"/>
          </w:tcPr>
          <w:p>
            <w:pPr>
              <w:spacing w:after="0"/>
              <w:rPr>
                <w:sz w:val="23"/>
                <w:szCs w:val="23"/>
                <w:color w:val="auto"/>
              </w:rPr>
            </w:pPr>
          </w:p>
        </w:tc>
        <w:tc>
          <w:tcPr>
            <w:tcW w:w="1240" w:type="dxa"/>
            <w:vAlign w:val="bottom"/>
          </w:tcPr>
          <w:p>
            <w:pPr>
              <w:jc w:val="right"/>
              <w:ind w:right="86"/>
              <w:spacing w:after="0"/>
              <w:rPr>
                <w:sz w:val="20"/>
                <w:szCs w:val="20"/>
                <w:color w:val="auto"/>
              </w:rPr>
            </w:pPr>
            <w:r>
              <w:rPr>
                <w:rFonts w:ascii="Arial" w:cs="Arial" w:eastAsia="Arial" w:hAnsi="Arial"/>
                <w:sz w:val="20"/>
                <w:szCs w:val="20"/>
                <w:color w:val="auto"/>
              </w:rPr>
              <w:t>8</w:t>
            </w: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w:t>
            </w:r>
          </w:p>
        </w:tc>
        <w:tc>
          <w:tcPr>
            <w:tcW w:w="200" w:type="dxa"/>
            <w:vAlign w:val="bottom"/>
          </w:tcPr>
          <w:p>
            <w:pPr>
              <w:spacing w:after="0"/>
              <w:rPr>
                <w:sz w:val="23"/>
                <w:szCs w:val="23"/>
                <w:color w:val="auto"/>
              </w:rPr>
            </w:pPr>
          </w:p>
        </w:tc>
        <w:tc>
          <w:tcPr>
            <w:tcW w:w="1220" w:type="dxa"/>
            <w:vAlign w:val="bottom"/>
          </w:tcPr>
          <w:p>
            <w:pPr>
              <w:jc w:val="right"/>
              <w:ind w:right="66"/>
              <w:spacing w:after="0"/>
              <w:rPr>
                <w:sz w:val="20"/>
                <w:szCs w:val="20"/>
                <w:color w:val="auto"/>
              </w:rPr>
            </w:pPr>
            <w:r>
              <w:rPr>
                <w:rFonts w:ascii="Arial" w:cs="Arial" w:eastAsia="Arial" w:hAnsi="Arial"/>
                <w:sz w:val="20"/>
                <w:szCs w:val="20"/>
                <w:color w:val="auto"/>
              </w:rPr>
              <w:t>4</w:t>
            </w:r>
          </w:p>
        </w:tc>
        <w:tc>
          <w:tcPr>
            <w:tcW w:w="320" w:type="dxa"/>
            <w:vAlign w:val="bottom"/>
          </w:tcPr>
          <w:p>
            <w:pPr>
              <w:spacing w:after="0"/>
              <w:rPr>
                <w:sz w:val="23"/>
                <w:szCs w:val="23"/>
                <w:color w:val="auto"/>
              </w:rPr>
            </w:pPr>
          </w:p>
        </w:tc>
        <w:tc>
          <w:tcPr>
            <w:tcW w:w="960" w:type="dxa"/>
            <w:vAlign w:val="bottom"/>
          </w:tcPr>
          <w:p>
            <w:pPr>
              <w:jc w:val="right"/>
              <w:ind w:right="66"/>
              <w:spacing w:after="0"/>
              <w:rPr>
                <w:sz w:val="20"/>
                <w:szCs w:val="20"/>
                <w:color w:val="auto"/>
              </w:rPr>
            </w:pPr>
            <w:r>
              <w:rPr>
                <w:rFonts w:ascii="Arial" w:cs="Arial" w:eastAsia="Arial" w:hAnsi="Arial"/>
                <w:sz w:val="20"/>
                <w:szCs w:val="20"/>
                <w:color w:val="auto"/>
              </w:rPr>
              <w:t>—</w:t>
            </w:r>
          </w:p>
        </w:tc>
        <w:tc>
          <w:tcPr>
            <w:tcW w:w="820" w:type="dxa"/>
            <w:vAlign w:val="bottom"/>
          </w:tcPr>
          <w:p>
            <w:pPr>
              <w:spacing w:after="0"/>
              <w:rPr>
                <w:sz w:val="23"/>
                <w:szCs w:val="23"/>
                <w:color w:val="auto"/>
              </w:rPr>
            </w:pPr>
          </w:p>
        </w:tc>
        <w:tc>
          <w:tcPr>
            <w:tcW w:w="40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51"/>
        </w:trPr>
        <w:tc>
          <w:tcPr>
            <w:tcW w:w="2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74"/>
        </w:trPr>
        <w:tc>
          <w:tcPr>
            <w:tcW w:w="2480" w:type="dxa"/>
            <w:vAlign w:val="bottom"/>
            <w:shd w:val="clear" w:color="auto" w:fill="CFF0FC"/>
          </w:tcPr>
          <w:p>
            <w:pPr>
              <w:spacing w:after="0"/>
              <w:rPr>
                <w:sz w:val="20"/>
                <w:szCs w:val="20"/>
                <w:color w:val="auto"/>
              </w:rPr>
            </w:pPr>
            <w:r>
              <w:rPr>
                <w:rFonts w:ascii="Arial" w:cs="Arial" w:eastAsia="Arial" w:hAnsi="Arial"/>
                <w:sz w:val="20"/>
                <w:szCs w:val="20"/>
                <w:color w:val="auto"/>
              </w:rPr>
              <w:t>Balance at end of the year</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ind w:right="86"/>
              <w:spacing w:after="0"/>
              <w:rPr>
                <w:sz w:val="20"/>
                <w:szCs w:val="20"/>
                <w:color w:val="auto"/>
              </w:rPr>
            </w:pPr>
            <w:r>
              <w:rPr>
                <w:rFonts w:ascii="Arial" w:cs="Arial" w:eastAsia="Arial" w:hAnsi="Arial"/>
                <w:sz w:val="20"/>
                <w:szCs w:val="20"/>
                <w:color w:val="auto"/>
              </w:rPr>
              <w:t>254</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ind w:right="68"/>
              <w:spacing w:after="0"/>
              <w:rPr>
                <w:sz w:val="20"/>
                <w:szCs w:val="20"/>
                <w:color w:val="auto"/>
              </w:rPr>
            </w:pPr>
            <w:r>
              <w:rPr>
                <w:rFonts w:ascii="Arial" w:cs="Arial" w:eastAsia="Arial" w:hAnsi="Arial"/>
                <w:sz w:val="20"/>
                <w:szCs w:val="20"/>
                <w:color w:val="auto"/>
              </w:rPr>
              <w:t>238</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ind w:right="66"/>
              <w:spacing w:after="0"/>
              <w:rPr>
                <w:sz w:val="20"/>
                <w:szCs w:val="20"/>
                <w:color w:val="auto"/>
              </w:rPr>
            </w:pPr>
            <w:r>
              <w:rPr>
                <w:rFonts w:ascii="Arial" w:cs="Arial" w:eastAsia="Arial" w:hAnsi="Arial"/>
                <w:sz w:val="20"/>
                <w:szCs w:val="20"/>
                <w:color w:val="auto"/>
              </w:rPr>
              <w:t>218</w:t>
            </w:r>
          </w:p>
        </w:tc>
        <w:tc>
          <w:tcPr>
            <w:tcW w:w="320" w:type="dxa"/>
            <w:vAlign w:val="bottom"/>
            <w:shd w:val="clear" w:color="auto" w:fill="CFF0FC"/>
          </w:tcPr>
          <w:p>
            <w:pPr>
              <w:jc w:val="right"/>
              <w:ind w:right="47"/>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ind w:right="66"/>
              <w:spacing w:after="0"/>
              <w:rPr>
                <w:sz w:val="20"/>
                <w:szCs w:val="20"/>
                <w:color w:val="auto"/>
              </w:rPr>
            </w:pPr>
            <w:r>
              <w:rPr>
                <w:rFonts w:ascii="Arial" w:cs="Arial" w:eastAsia="Arial" w:hAnsi="Arial"/>
                <w:sz w:val="20"/>
                <w:szCs w:val="20"/>
                <w:color w:val="auto"/>
              </w:rPr>
              <w:t>13</w:t>
            </w:r>
          </w:p>
        </w:tc>
        <w:tc>
          <w:tcPr>
            <w:tcW w:w="820" w:type="dxa"/>
            <w:vAlign w:val="bottom"/>
            <w:shd w:val="clear" w:color="auto" w:fill="CFF0FC"/>
          </w:tcPr>
          <w:p>
            <w:pPr>
              <w:jc w:val="right"/>
              <w:ind w:right="550"/>
              <w:spacing w:after="0"/>
              <w:rPr>
                <w:sz w:val="20"/>
                <w:szCs w:val="20"/>
                <w:color w:val="auto"/>
              </w:rPr>
            </w:pPr>
            <w:r>
              <w:rPr>
                <w:rFonts w:ascii="Arial" w:cs="Arial" w:eastAsia="Arial" w:hAnsi="Arial"/>
                <w:sz w:val="20"/>
                <w:szCs w:val="20"/>
                <w:color w:val="auto"/>
              </w:rPr>
              <w:t>$</w:t>
            </w:r>
          </w:p>
        </w:tc>
        <w:tc>
          <w:tcPr>
            <w:tcW w:w="4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w:t>
            </w:r>
          </w:p>
        </w:tc>
      </w:tr>
      <w:tr>
        <w:trPr>
          <w:trHeight w:val="86"/>
        </w:trPr>
        <w:tc>
          <w:tcPr>
            <w:tcW w:w="248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2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2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1724660</wp:posOffset>
            </wp:positionH>
            <wp:positionV relativeFrom="paragraph">
              <wp:posOffset>-1549400</wp:posOffset>
            </wp:positionV>
            <wp:extent cx="424307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2">
                      <a:extLst>
                        <a:ext uri="{28A0092B-C50C-407E-A947-70E740481C1C}"/>
                      </a:extLst>
                    </a:blip>
                    <a:srcRect/>
                    <a:stretch>
                      <a:fillRect/>
                    </a:stretch>
                  </pic:blipFill>
                  <pic:spPr bwMode="auto">
                    <a:xfrm>
                      <a:off x="0" y="0"/>
                      <a:ext cx="4243070" cy="6350"/>
                    </a:xfrm>
                    <a:prstGeom prst="rect">
                      <a:avLst/>
                    </a:prstGeom>
                    <a:noFill/>
                  </pic:spPr>
                </pic:pic>
              </a:graphicData>
            </a:graphic>
          </wp:anchor>
        </w:drawing>
        <w:drawing>
          <wp:anchor simplePos="0" relativeHeight="251657728" behindDoc="1" locked="0" layoutInCell="0" allowOverlap="1">
            <wp:simplePos x="0" y="0"/>
            <wp:positionH relativeFrom="column">
              <wp:posOffset>1724660</wp:posOffset>
            </wp:positionH>
            <wp:positionV relativeFrom="paragraph">
              <wp:posOffset>-1229360</wp:posOffset>
            </wp:positionV>
            <wp:extent cx="424307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3">
                      <a:extLst>
                        <a:ext uri="{28A0092B-C50C-407E-A947-70E740481C1C}"/>
                      </a:extLst>
                    </a:blip>
                    <a:srcRect/>
                    <a:stretch>
                      <a:fillRect/>
                    </a:stretch>
                  </pic:blipFill>
                  <pic:spPr bwMode="auto">
                    <a:xfrm>
                      <a:off x="0" y="0"/>
                      <a:ext cx="4243070" cy="6350"/>
                    </a:xfrm>
                    <a:prstGeom prst="rect">
                      <a:avLst/>
                    </a:prstGeom>
                    <a:noFill/>
                  </pic:spPr>
                </pic:pic>
              </a:graphicData>
            </a:graphic>
          </wp:anchor>
        </w:drawing>
        <w:drawing>
          <wp:anchor simplePos="0" relativeHeight="251657728" behindDoc="1" locked="0" layoutInCell="0" allowOverlap="1">
            <wp:simplePos x="0" y="0"/>
            <wp:positionH relativeFrom="column">
              <wp:posOffset>1724660</wp:posOffset>
            </wp:positionH>
            <wp:positionV relativeFrom="paragraph">
              <wp:posOffset>-233680</wp:posOffset>
            </wp:positionV>
            <wp:extent cx="424307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4">
                      <a:extLst>
                        <a:ext uri="{28A0092B-C50C-407E-A947-70E740481C1C}"/>
                      </a:extLst>
                    </a:blip>
                    <a:srcRect/>
                    <a:stretch>
                      <a:fillRect/>
                    </a:stretch>
                  </pic:blipFill>
                  <pic:spPr bwMode="auto">
                    <a:xfrm>
                      <a:off x="0" y="0"/>
                      <a:ext cx="4243070" cy="6350"/>
                    </a:xfrm>
                    <a:prstGeom prst="rect">
                      <a:avLst/>
                    </a:prstGeom>
                    <a:noFill/>
                  </pic:spPr>
                </pic:pic>
              </a:graphicData>
            </a:graphic>
          </wp:anchor>
        </w:drawing>
        <w:drawing>
          <wp:anchor simplePos="0" relativeHeight="251657728" behindDoc="1" locked="0" layoutInCell="0" allowOverlap="1">
            <wp:simplePos x="0" y="0"/>
            <wp:positionH relativeFrom="column">
              <wp:posOffset>1724660</wp:posOffset>
            </wp:positionH>
            <wp:positionV relativeFrom="paragraph">
              <wp:posOffset>-27940</wp:posOffset>
            </wp:positionV>
            <wp:extent cx="4243070" cy="285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5">
                      <a:extLst>
                        <a:ext uri="{28A0092B-C50C-407E-A947-70E740481C1C}"/>
                      </a:extLst>
                    </a:blip>
                    <a:srcRect/>
                    <a:stretch>
                      <a:fillRect/>
                    </a:stretch>
                  </pic:blipFill>
                  <pic:spPr bwMode="auto">
                    <a:xfrm>
                      <a:off x="0" y="0"/>
                      <a:ext cx="424307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228600</wp:posOffset>
            </wp:positionV>
            <wp:extent cx="795655" cy="95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6">
                      <a:extLst>
                        <a:ext uri="{28A0092B-C50C-407E-A947-70E740481C1C}"/>
                      </a:extLst>
                    </a:blip>
                    <a:srcRect/>
                    <a:stretch>
                      <a:fillRect/>
                    </a:stretch>
                  </pic:blipFill>
                  <pic:spPr bwMode="auto">
                    <a:xfrm>
                      <a:off x="0" y="0"/>
                      <a:ext cx="795655" cy="95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26" w:right="280" w:hanging="226"/>
        <w:spacing w:after="0" w:line="381" w:lineRule="auto"/>
        <w:tabs>
          <w:tab w:leader="none" w:pos="226"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Costs to obtain incurred prior to 2024 only related to contracts where the related amortization period was less than one year. As such, these costs were expensed as incurred in accordance with our election of the practical expedient under ASC 606.</w:t>
      </w:r>
    </w:p>
    <w:p>
      <w:pPr>
        <w:spacing w:after="0" w:line="21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32 / 36</w:t>
      </w:r>
    </w:p>
    <w:p>
      <w:pPr>
        <w:sectPr>
          <w:pgSz w:w="11900" w:h="16838" w:orient="portrait"/>
          <w:cols w:equalWidth="0" w:num="1">
            <w:col w:w="9406"/>
          </w:cols>
          <w:pgMar w:left="1254" w:top="1440" w:right="1246" w:bottom="0" w:gutter="0" w:footer="0" w:header="0"/>
          <w:type w:val="continuous"/>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33 / 36</w:t>
      </w:r>
    </w:p>
    <w:p>
      <w:pPr>
        <w:sectPr>
          <w:pgSz w:w="11900" w:h="16838" w:orient="portrait"/>
          <w:cols w:equalWidth="0" w:num="1">
            <w:col w:w="9026"/>
          </w:cols>
          <w:pgMar w:left="1440" w:top="1440" w:right="1440" w:bottom="0" w:gutter="0" w:footer="0" w:header="0"/>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5 — Segment Information</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WTW has two reportable operating segments organized by business areas:</w:t>
      </w:r>
    </w:p>
    <w:p>
      <w:pPr>
        <w:spacing w:after="0" w:line="236" w:lineRule="exact"/>
        <w:rPr>
          <w:sz w:val="20"/>
          <w:szCs w:val="20"/>
          <w:color w:val="auto"/>
        </w:rPr>
      </w:pPr>
    </w:p>
    <w:p>
      <w:pPr>
        <w:ind w:left="626" w:hanging="313"/>
        <w:spacing w:after="0"/>
        <w:tabs>
          <w:tab w:leader="none" w:pos="626" w:val="left"/>
        </w:tabs>
        <w:numPr>
          <w:ilvl w:val="0"/>
          <w:numId w:val="61"/>
        </w:numPr>
        <w:rPr>
          <w:rFonts w:ascii="Arial" w:cs="Arial" w:eastAsia="Arial" w:hAnsi="Arial"/>
          <w:sz w:val="20"/>
          <w:szCs w:val="20"/>
          <w:color w:val="auto"/>
        </w:rPr>
      </w:pPr>
      <w:r>
        <w:rPr>
          <w:rFonts w:ascii="Arial" w:cs="Arial" w:eastAsia="Arial" w:hAnsi="Arial"/>
          <w:sz w:val="20"/>
          <w:szCs w:val="20"/>
          <w:color w:val="auto"/>
        </w:rPr>
        <w:t>Health, Wealth &amp; Career (‘HWC’); and</w:t>
      </w:r>
    </w:p>
    <w:p>
      <w:pPr>
        <w:spacing w:after="0" w:line="250" w:lineRule="exact"/>
        <w:rPr>
          <w:rFonts w:ascii="Arial" w:cs="Arial" w:eastAsia="Arial" w:hAnsi="Arial"/>
          <w:sz w:val="20"/>
          <w:szCs w:val="20"/>
          <w:color w:val="auto"/>
        </w:rPr>
      </w:pPr>
    </w:p>
    <w:p>
      <w:pPr>
        <w:ind w:left="626" w:hanging="313"/>
        <w:spacing w:after="0"/>
        <w:tabs>
          <w:tab w:leader="none" w:pos="626" w:val="left"/>
        </w:tabs>
        <w:numPr>
          <w:ilvl w:val="0"/>
          <w:numId w:val="61"/>
        </w:numPr>
        <w:rPr>
          <w:rFonts w:ascii="Arial" w:cs="Arial" w:eastAsia="Arial" w:hAnsi="Arial"/>
          <w:sz w:val="20"/>
          <w:szCs w:val="20"/>
          <w:color w:val="auto"/>
        </w:rPr>
      </w:pPr>
      <w:r>
        <w:rPr>
          <w:rFonts w:ascii="Arial" w:cs="Arial" w:eastAsia="Arial" w:hAnsi="Arial"/>
          <w:sz w:val="20"/>
          <w:szCs w:val="20"/>
          <w:color w:val="auto"/>
        </w:rPr>
        <w:t>Risk &amp; Broking (‘R&amp;B’).</w:t>
      </w:r>
    </w:p>
    <w:p>
      <w:pPr>
        <w:spacing w:after="0" w:line="274" w:lineRule="exact"/>
        <w:rPr>
          <w:sz w:val="20"/>
          <w:szCs w:val="20"/>
          <w:color w:val="auto"/>
        </w:rPr>
      </w:pPr>
    </w:p>
    <w:p>
      <w:pPr>
        <w:ind w:left="6"/>
        <w:spacing w:after="0" w:line="375" w:lineRule="auto"/>
        <w:rPr>
          <w:sz w:val="20"/>
          <w:szCs w:val="20"/>
          <w:color w:val="auto"/>
        </w:rPr>
      </w:pPr>
      <w:r>
        <w:rPr>
          <w:rFonts w:ascii="Arial" w:cs="Arial" w:eastAsia="Arial" w:hAnsi="Arial"/>
          <w:sz w:val="17"/>
          <w:szCs w:val="17"/>
          <w:color w:val="auto"/>
        </w:rPr>
        <w:t>WTW’s chief operating decision maker (‘CODM’) is its chief executive officer. We determined that the operational data used by the CODM is at the segment level. Management bases strategic goals and decisions for these segments on the data presented below which is used to assess the adequacy of strategic decisions and the methods of achieving these strategies and related financial results. Management evaluates the performance of its segments and allocates resources to them based on net segment operating income performance and prospects on a pre-tax basis.</w:t>
      </w:r>
    </w:p>
    <w:p>
      <w:pPr>
        <w:spacing w:after="0" w:line="153" w:lineRule="exact"/>
        <w:rPr>
          <w:sz w:val="20"/>
          <w:szCs w:val="20"/>
          <w:color w:val="auto"/>
        </w:rPr>
      </w:pPr>
    </w:p>
    <w:p>
      <w:pPr>
        <w:ind w:left="6" w:right="40"/>
        <w:spacing w:after="0" w:line="352" w:lineRule="auto"/>
        <w:rPr>
          <w:sz w:val="20"/>
          <w:szCs w:val="20"/>
          <w:color w:val="auto"/>
        </w:rPr>
      </w:pPr>
      <w:r>
        <w:rPr>
          <w:rFonts w:ascii="Arial" w:cs="Arial" w:eastAsia="Arial" w:hAnsi="Arial"/>
          <w:sz w:val="18"/>
          <w:szCs w:val="18"/>
          <w:color w:val="auto"/>
        </w:rPr>
        <w:t>Under the segment structure and for internal and segment reporting, WTW segment revenue includes commissions and fees, interest and other income. U.S. GAAP revenue also includes amounts that were directly incurred on behalf of our clients and reimbursed by them (reimbursable expenses), which are not included in segment revenue. There is no significant segment revenue derived from transactions between the segments.</w:t>
      </w:r>
    </w:p>
    <w:p>
      <w:pPr>
        <w:spacing w:after="0" w:line="166" w:lineRule="exact"/>
        <w:rPr>
          <w:sz w:val="20"/>
          <w:szCs w:val="20"/>
          <w:color w:val="auto"/>
        </w:rPr>
      </w:pPr>
    </w:p>
    <w:p>
      <w:pPr>
        <w:ind w:left="6" w:right="200"/>
        <w:spacing w:after="0" w:line="307" w:lineRule="auto"/>
        <w:rPr>
          <w:sz w:val="20"/>
          <w:szCs w:val="20"/>
          <w:color w:val="auto"/>
        </w:rPr>
      </w:pPr>
      <w:r>
        <w:rPr>
          <w:rFonts w:ascii="Arial" w:cs="Arial" w:eastAsia="Arial" w:hAnsi="Arial"/>
          <w:sz w:val="20"/>
          <w:szCs w:val="20"/>
          <w:color w:val="auto"/>
        </w:rPr>
        <w:t xml:space="preserve">In accordance with ASU 2023-07, </w:t>
      </w:r>
      <w:r>
        <w:rPr>
          <w:rFonts w:ascii="Arial" w:cs="Arial" w:eastAsia="Arial" w:hAnsi="Arial"/>
          <w:sz w:val="20"/>
          <w:szCs w:val="20"/>
          <w:i w:val="1"/>
          <w:iCs w:val="1"/>
          <w:color w:val="auto"/>
        </w:rPr>
        <w:t>Segment Reporting (Topic 280): Improvements to Reportable Segment</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Disclosures </w:t>
      </w:r>
      <w:r>
        <w:rPr>
          <w:rFonts w:ascii="Arial" w:cs="Arial" w:eastAsia="Arial" w:hAnsi="Arial"/>
          <w:sz w:val="20"/>
          <w:szCs w:val="20"/>
          <w:color w:val="auto"/>
        </w:rPr>
        <w:t>(‘ASC 2023-07’), the Company has not presented any individual significant expense categories due to</w:t>
      </w:r>
      <w:r>
        <w:rPr>
          <w:rFonts w:ascii="Arial" w:cs="Arial" w:eastAsia="Arial" w:hAnsi="Arial"/>
          <w:sz w:val="20"/>
          <w:szCs w:val="20"/>
          <w:i w:val="1"/>
          <w:iCs w:val="1"/>
          <w:color w:val="auto"/>
        </w:rPr>
        <w:t xml:space="preserve"> </w:t>
      </w:r>
      <w:r>
        <w:rPr>
          <w:rFonts w:ascii="Arial" w:cs="Arial" w:eastAsia="Arial" w:hAnsi="Arial"/>
          <w:sz w:val="20"/>
          <w:szCs w:val="20"/>
          <w:color w:val="auto"/>
        </w:rPr>
        <w:t>the following factors:</w:t>
      </w:r>
    </w:p>
    <w:p>
      <w:pPr>
        <w:spacing w:after="0" w:line="223" w:lineRule="exact"/>
        <w:rPr>
          <w:sz w:val="20"/>
          <w:szCs w:val="20"/>
          <w:color w:val="auto"/>
        </w:rPr>
      </w:pPr>
    </w:p>
    <w:p>
      <w:pPr>
        <w:ind w:left="626" w:right="640" w:hanging="313"/>
        <w:spacing w:after="0" w:line="370" w:lineRule="auto"/>
        <w:tabs>
          <w:tab w:leader="none" w:pos="626"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CODM’s review focuses on segment operating income results in total, rather than on individual expenses to arrive at segment operating income. The CODM uses segment operating income to make decisions and allocate resources.</w:t>
      </w:r>
    </w:p>
    <w:p>
      <w:pPr>
        <w:spacing w:after="0" w:line="90" w:lineRule="exact"/>
        <w:rPr>
          <w:rFonts w:ascii="Arial" w:cs="Arial" w:eastAsia="Arial" w:hAnsi="Arial"/>
          <w:sz w:val="20"/>
          <w:szCs w:val="20"/>
          <w:color w:val="auto"/>
        </w:rPr>
      </w:pPr>
    </w:p>
    <w:p>
      <w:pPr>
        <w:ind w:left="626" w:right="240" w:hanging="313"/>
        <w:spacing w:after="0" w:line="309" w:lineRule="auto"/>
        <w:tabs>
          <w:tab w:leader="none" w:pos="626"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CODM does not regularly review any individual significant expense categories at the segment level. Rather, the segment leaders are tasked with achieving the targeted segment operating income and have discretion to determine how to manage their respective expense categories to achieve the targets set by the CODM.</w:t>
      </w:r>
    </w:p>
    <w:p>
      <w:pPr>
        <w:spacing w:after="0" w:line="135" w:lineRule="exact"/>
        <w:rPr>
          <w:rFonts w:ascii="Arial" w:cs="Arial" w:eastAsia="Arial" w:hAnsi="Arial"/>
          <w:sz w:val="20"/>
          <w:szCs w:val="20"/>
          <w:color w:val="auto"/>
        </w:rPr>
      </w:pPr>
    </w:p>
    <w:p>
      <w:pPr>
        <w:ind w:left="626" w:right="980" w:hanging="313"/>
        <w:spacing w:after="0" w:line="302" w:lineRule="auto"/>
        <w:tabs>
          <w:tab w:leader="none" w:pos="626" w:val="left"/>
        </w:tabs>
        <w:numPr>
          <w:ilvl w:val="0"/>
          <w:numId w:val="62"/>
        </w:numPr>
        <w:rPr>
          <w:rFonts w:ascii="Arial" w:cs="Arial" w:eastAsia="Arial" w:hAnsi="Arial"/>
          <w:sz w:val="20"/>
          <w:szCs w:val="20"/>
          <w:color w:val="auto"/>
        </w:rPr>
      </w:pPr>
      <w:r>
        <w:rPr>
          <w:rFonts w:ascii="Arial" w:cs="Arial" w:eastAsia="Arial" w:hAnsi="Arial"/>
          <w:sz w:val="20"/>
          <w:szCs w:val="20"/>
          <w:color w:val="auto"/>
        </w:rPr>
        <w:t>Instead, the CODM routinely reviews budgeted, forecasted and actual expense information at the consolidated level only and not at the individual segment level.</w:t>
      </w:r>
    </w:p>
    <w:p>
      <w:pPr>
        <w:spacing w:after="0" w:line="321" w:lineRule="exact"/>
        <w:rPr>
          <w:sz w:val="20"/>
          <w:szCs w:val="20"/>
          <w:color w:val="auto"/>
        </w:rPr>
      </w:pPr>
    </w:p>
    <w:p>
      <w:pPr>
        <w:ind w:left="6"/>
        <w:spacing w:after="0"/>
        <w:rPr>
          <w:sz w:val="20"/>
          <w:szCs w:val="20"/>
          <w:color w:val="auto"/>
        </w:rPr>
      </w:pPr>
      <w:r>
        <w:rPr>
          <w:rFonts w:ascii="Arial" w:cs="Arial" w:eastAsia="Arial" w:hAnsi="Arial"/>
          <w:sz w:val="18"/>
          <w:szCs w:val="18"/>
          <w:color w:val="auto"/>
        </w:rPr>
        <w:t>Segment operating income excludes certain costs, including (i) amortization of intangibles; (ii) restructuring costs;</w:t>
      </w:r>
    </w:p>
    <w:p>
      <w:pPr>
        <w:spacing w:after="0" w:line="93" w:lineRule="exact"/>
        <w:rPr>
          <w:sz w:val="20"/>
          <w:szCs w:val="20"/>
          <w:color w:val="auto"/>
        </w:rPr>
      </w:pPr>
    </w:p>
    <w:p>
      <w:pPr>
        <w:ind w:left="6" w:hanging="6"/>
        <w:spacing w:after="0" w:line="311" w:lineRule="auto"/>
        <w:tabs>
          <w:tab w:leader="none" w:pos="356" w:val="left"/>
        </w:tabs>
        <w:numPr>
          <w:ilvl w:val="0"/>
          <w:numId w:val="63"/>
        </w:numPr>
        <w:rPr>
          <w:rFonts w:ascii="Arial" w:cs="Arial" w:eastAsia="Arial" w:hAnsi="Arial"/>
          <w:sz w:val="20"/>
          <w:szCs w:val="20"/>
          <w:color w:val="auto"/>
        </w:rPr>
      </w:pPr>
      <w:r>
        <w:rPr>
          <w:rFonts w:ascii="Arial" w:cs="Arial" w:eastAsia="Arial" w:hAnsi="Arial"/>
          <w:sz w:val="20"/>
          <w:szCs w:val="20"/>
          <w:color w:val="auto"/>
        </w:rPr>
        <w:t>certain transaction and transformation expenses; and (iv) to the extent that the actual expense based upon which allocations are made differs from the forecast/budget amount, a reconciling item will be created between internally-allocated expenses and the actual expenses that we report for U.S. GAAP purposes. Although not reviewed individually by the CODM, amounts included in segment expenses may be determined on both a direct and allocated basis and are related to salaries and benefits, depreciation, corporate overhead charges and other operating expenses, including for occupancy, colleague travel costs, legal, marketing, technology, professional fees and professional liability costs.</w:t>
      </w:r>
    </w:p>
    <w:p>
      <w:pPr>
        <w:spacing w:after="0" w:line="194" w:lineRule="exact"/>
        <w:rPr>
          <w:sz w:val="20"/>
          <w:szCs w:val="20"/>
          <w:color w:val="auto"/>
        </w:rPr>
      </w:pPr>
    </w:p>
    <w:p>
      <w:pPr>
        <w:ind w:left="6" w:right="180"/>
        <w:spacing w:after="0" w:line="302" w:lineRule="auto"/>
        <w:rPr>
          <w:sz w:val="20"/>
          <w:szCs w:val="20"/>
          <w:color w:val="auto"/>
        </w:rPr>
      </w:pPr>
      <w:r>
        <w:rPr>
          <w:rFonts w:ascii="Arial" w:cs="Arial" w:eastAsia="Arial" w:hAnsi="Arial"/>
          <w:sz w:val="20"/>
          <w:szCs w:val="20"/>
          <w:color w:val="auto"/>
        </w:rPr>
        <w:t>The following table presents segment revenue, segment expenses and segment operating income for our reportable segments for the years ended December 31, 2025, 2024 and 2023.</w:t>
      </w:r>
    </w:p>
    <w:p>
      <w:pPr>
        <w:spacing w:after="0" w:line="350" w:lineRule="exact"/>
        <w:rPr>
          <w:sz w:val="20"/>
          <w:szCs w:val="20"/>
          <w:color w:val="auto"/>
        </w:rPr>
      </w:pPr>
    </w:p>
    <w:p>
      <w:pPr>
        <w:ind w:left="2886"/>
        <w:spacing w:after="0"/>
        <w:tabs>
          <w:tab w:leader="none" w:pos="5406" w:val="left"/>
          <w:tab w:leader="none" w:pos="7926" w:val="left"/>
        </w:tabs>
        <w:rPr>
          <w:sz w:val="20"/>
          <w:szCs w:val="20"/>
          <w:color w:val="auto"/>
        </w:rPr>
      </w:pPr>
      <w:r>
        <w:rPr>
          <w:rFonts w:ascii="Arial" w:cs="Arial" w:eastAsia="Arial" w:hAnsi="Arial"/>
          <w:sz w:val="16"/>
          <w:szCs w:val="16"/>
          <w:b w:val="1"/>
          <w:bCs w:val="1"/>
          <w:color w:val="auto"/>
        </w:rPr>
        <w:t>HWC</w:t>
      </w:r>
      <w:r>
        <w:rPr>
          <w:sz w:val="20"/>
          <w:szCs w:val="20"/>
          <w:color w:val="auto"/>
        </w:rPr>
        <w:tab/>
      </w:r>
      <w:r>
        <w:rPr>
          <w:rFonts w:ascii="Arial" w:cs="Arial" w:eastAsia="Arial" w:hAnsi="Arial"/>
          <w:sz w:val="16"/>
          <w:szCs w:val="16"/>
          <w:b w:val="1"/>
          <w:bCs w:val="1"/>
          <w:color w:val="auto"/>
        </w:rPr>
        <w:t>R&amp;B</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20320</wp:posOffset>
            </wp:positionV>
            <wp:extent cx="4740275"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18">
                      <a:extLst>
                        <a:ext uri="{28A0092B-C50C-407E-A947-70E740481C1C}"/>
                      </a:extLst>
                    </a:blip>
                    <a:srcRect/>
                    <a:stretch>
                      <a:fillRect/>
                    </a:stretch>
                  </pic:blipFill>
                  <pic:spPr bwMode="auto">
                    <a:xfrm>
                      <a:off x="0" y="0"/>
                      <a:ext cx="4740275" cy="6350"/>
                    </a:xfrm>
                    <a:prstGeom prst="rect">
                      <a:avLst/>
                    </a:prstGeom>
                    <a:noFill/>
                  </pic:spPr>
                </pic:pic>
              </a:graphicData>
            </a:graphic>
          </wp:anchor>
        </w:drawing>
      </w:r>
    </w:p>
    <w:p>
      <w:pPr>
        <w:spacing w:after="0" w:line="60" w:lineRule="exact"/>
        <w:rPr>
          <w:sz w:val="20"/>
          <w:szCs w:val="20"/>
          <w:color w:val="auto"/>
        </w:rPr>
      </w:pPr>
    </w:p>
    <w:p>
      <w:pPr>
        <w:ind w:left="2186"/>
        <w:spacing w:after="0"/>
        <w:tabs>
          <w:tab w:leader="none" w:pos="4686" w:val="left"/>
          <w:tab w:leader="none" w:pos="7206" w:val="left"/>
        </w:tabs>
        <w:rPr>
          <w:sz w:val="20"/>
          <w:szCs w:val="20"/>
          <w:color w:val="auto"/>
        </w:rPr>
      </w:pPr>
      <w:r>
        <w:rPr>
          <w:rFonts w:ascii="Arial" w:cs="Arial" w:eastAsia="Arial" w:hAnsi="Arial"/>
          <w:sz w:val="16"/>
          <w:szCs w:val="16"/>
          <w:b w:val="1"/>
          <w:bCs w:val="1"/>
          <w:color w:val="auto"/>
        </w:rPr>
        <w:t>Years ended December 31,</w:t>
      </w:r>
      <w:r>
        <w:rPr>
          <w:sz w:val="20"/>
          <w:szCs w:val="20"/>
          <w:color w:val="auto"/>
        </w:rPr>
        <w:tab/>
      </w:r>
      <w:r>
        <w:rPr>
          <w:rFonts w:ascii="Arial" w:cs="Arial" w:eastAsia="Arial" w:hAnsi="Arial"/>
          <w:sz w:val="16"/>
          <w:szCs w:val="16"/>
          <w:b w:val="1"/>
          <w:bCs w:val="1"/>
          <w:color w:val="auto"/>
        </w:rPr>
        <w:t>Years ended December 31,</w:t>
      </w:r>
      <w:r>
        <w:rPr>
          <w:sz w:val="20"/>
          <w:szCs w:val="20"/>
          <w:color w:val="auto"/>
        </w:rPr>
        <w:tab/>
      </w: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20320</wp:posOffset>
            </wp:positionV>
            <wp:extent cx="4740275"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9">
                      <a:extLst>
                        <a:ext uri="{28A0092B-C50C-407E-A947-70E740481C1C}"/>
                      </a:extLst>
                    </a:blip>
                    <a:srcRect/>
                    <a:stretch>
                      <a:fillRect/>
                    </a:stretch>
                  </pic:blipFill>
                  <pic:spPr bwMode="auto">
                    <a:xfrm>
                      <a:off x="0" y="0"/>
                      <a:ext cx="4740275" cy="6350"/>
                    </a:xfrm>
                    <a:prstGeom prst="rect">
                      <a:avLst/>
                    </a:prstGeom>
                    <a:noFill/>
                  </pic:spPr>
                </pic:pic>
              </a:graphicData>
            </a:graphic>
          </wp:anchor>
        </w:drawing>
      </w:r>
    </w:p>
    <w:p>
      <w:pPr>
        <w:sectPr>
          <w:pgSz w:w="11900" w:h="16838" w:orient="portrait"/>
          <w:cols w:equalWidth="0" w:num="1">
            <w:col w:w="9366"/>
          </w:cols>
          <w:pgMar w:left="1254" w:top="1440" w:right="1286"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34 / 36</w:t>
      </w:r>
    </w:p>
    <w:p>
      <w:pPr>
        <w:sectPr>
          <w:pgSz w:w="11900" w:h="16838" w:orient="portrait"/>
          <w:cols w:equalWidth="0" w:num="1">
            <w:col w:w="9366"/>
          </w:cols>
          <w:pgMar w:left="1254" w:top="1440" w:right="1286" w:bottom="0" w:gutter="0" w:footer="0" w:header="0"/>
          <w:type w:val="continuous"/>
        </w:sectPr>
      </w:pPr>
    </w:p>
    <w:bookmarkStart w:id="183" w:name="page184"/>
    <w:bookmarkEnd w:id="183"/>
    <w:tbl>
      <w:tblPr>
        <w:tblLayout w:type="fixed"/>
        <w:tblInd w:w="0" w:type="dxa"/>
        <w:tblCellMar>
          <w:top w:w="0" w:type="dxa"/>
          <w:left w:w="0" w:type="dxa"/>
          <w:bottom w:w="0" w:type="dxa"/>
          <w:right w:w="0" w:type="dxa"/>
        </w:tblCellMar>
      </w:tblPr>
      <w:tr>
        <w:trPr>
          <w:trHeight w:val="184"/>
        </w:trPr>
        <w:tc>
          <w:tcPr>
            <w:tcW w:w="184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2025</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2023</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6"/>
                <w:szCs w:val="16"/>
                <w:color w:val="auto"/>
              </w:rPr>
            </w:pPr>
          </w:p>
        </w:tc>
        <w:tc>
          <w:tcPr>
            <w:tcW w:w="600" w:type="dxa"/>
            <w:vAlign w:val="bottom"/>
          </w:tcPr>
          <w:p>
            <w:pPr>
              <w:jc w:val="right"/>
              <w:ind w:right="163"/>
              <w:spacing w:after="0"/>
              <w:rPr>
                <w:sz w:val="20"/>
                <w:szCs w:val="20"/>
                <w:color w:val="auto"/>
              </w:rPr>
            </w:pPr>
            <w:r>
              <w:rPr>
                <w:rFonts w:ascii="Arial" w:cs="Arial" w:eastAsia="Arial" w:hAnsi="Arial"/>
                <w:sz w:val="16"/>
                <w:szCs w:val="16"/>
                <w:b w:val="1"/>
                <w:bCs w:val="1"/>
                <w:color w:val="auto"/>
                <w:w w:val="89"/>
              </w:rPr>
              <w:t>2024</w:t>
            </w:r>
          </w:p>
        </w:tc>
        <w:tc>
          <w:tcPr>
            <w:tcW w:w="240" w:type="dxa"/>
            <w:vAlign w:val="bottom"/>
          </w:tcPr>
          <w:p>
            <w:pPr>
              <w:spacing w:after="0"/>
              <w:rPr>
                <w:sz w:val="16"/>
                <w:szCs w:val="16"/>
                <w:color w:val="auto"/>
              </w:rPr>
            </w:pPr>
          </w:p>
        </w:tc>
        <w:tc>
          <w:tcPr>
            <w:tcW w:w="600" w:type="dxa"/>
            <w:vAlign w:val="bottom"/>
          </w:tcPr>
          <w:p>
            <w:pPr>
              <w:jc w:val="right"/>
              <w:ind w:right="163"/>
              <w:spacing w:after="0"/>
              <w:rPr>
                <w:sz w:val="20"/>
                <w:szCs w:val="20"/>
                <w:color w:val="auto"/>
              </w:rPr>
            </w:pPr>
            <w:r>
              <w:rPr>
                <w:rFonts w:ascii="Arial" w:cs="Arial" w:eastAsia="Arial" w:hAnsi="Arial"/>
                <w:sz w:val="16"/>
                <w:szCs w:val="16"/>
                <w:b w:val="1"/>
                <w:bCs w:val="1"/>
                <w:color w:val="auto"/>
                <w:w w:val="89"/>
              </w:rPr>
              <w:t>2023</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2025</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6"/>
                <w:szCs w:val="16"/>
                <w:color w:val="auto"/>
              </w:rPr>
            </w:pPr>
          </w:p>
        </w:tc>
        <w:tc>
          <w:tcPr>
            <w:tcW w:w="640" w:type="dxa"/>
            <w:vAlign w:val="bottom"/>
          </w:tcPr>
          <w:p>
            <w:pPr>
              <w:jc w:val="right"/>
              <w:ind w:right="183"/>
              <w:spacing w:after="0"/>
              <w:rPr>
                <w:sz w:val="20"/>
                <w:szCs w:val="20"/>
                <w:color w:val="auto"/>
              </w:rPr>
            </w:pPr>
            <w:r>
              <w:rPr>
                <w:rFonts w:ascii="Arial" w:cs="Arial" w:eastAsia="Arial" w:hAnsi="Arial"/>
                <w:sz w:val="16"/>
                <w:szCs w:val="16"/>
                <w:b w:val="1"/>
                <w:bCs w:val="1"/>
                <w:color w:val="auto"/>
                <w:w w:val="95"/>
              </w:rPr>
              <w:t>2023</w:t>
            </w:r>
          </w:p>
        </w:tc>
      </w:tr>
      <w:tr>
        <w:trPr>
          <w:trHeight w:val="42"/>
        </w:trPr>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74"/>
        </w:trPr>
        <w:tc>
          <w:tcPr>
            <w:tcW w:w="1840" w:type="dxa"/>
            <w:vAlign w:val="bottom"/>
            <w:shd w:val="clear" w:color="auto" w:fill="CFF0FC"/>
          </w:tcPr>
          <w:p>
            <w:pPr>
              <w:spacing w:after="0"/>
              <w:rPr>
                <w:sz w:val="20"/>
                <w:szCs w:val="20"/>
                <w:color w:val="auto"/>
              </w:rPr>
            </w:pPr>
            <w:r>
              <w:rPr>
                <w:rFonts w:ascii="Arial" w:cs="Arial" w:eastAsia="Arial" w:hAnsi="Arial"/>
                <w:sz w:val="20"/>
                <w:szCs w:val="20"/>
                <w:color w:val="auto"/>
              </w:rPr>
              <w:t>Segment revenue</w:t>
            </w:r>
          </w:p>
        </w:tc>
        <w:tc>
          <w:tcPr>
            <w:tcW w:w="20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r>
      <w:tr>
        <w:trPr>
          <w:trHeight w:val="300"/>
        </w:trPr>
        <w:tc>
          <w:tcPr>
            <w:tcW w:w="1840" w:type="dxa"/>
            <w:vAlign w:val="bottom"/>
            <w:shd w:val="clear" w:color="auto" w:fill="CFF0FC"/>
          </w:tcPr>
          <w:p>
            <w:pPr>
              <w:spacing w:after="0"/>
              <w:rPr>
                <w:sz w:val="20"/>
                <w:szCs w:val="20"/>
                <w:color w:val="auto"/>
              </w:rPr>
            </w:pPr>
            <w:r>
              <w:rPr>
                <w:rFonts w:ascii="Arial" w:cs="Arial" w:eastAsia="Arial" w:hAnsi="Arial"/>
                <w:sz w:val="20"/>
                <w:szCs w:val="20"/>
                <w:color w:val="auto"/>
              </w:rPr>
              <w:t>excluding interest</w:t>
            </w:r>
          </w:p>
        </w:tc>
        <w:tc>
          <w:tcPr>
            <w:tcW w:w="20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r>
      <w:tr>
        <w:trPr>
          <w:trHeight w:val="321"/>
        </w:trPr>
        <w:tc>
          <w:tcPr>
            <w:tcW w:w="1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income</w:t>
            </w:r>
          </w:p>
        </w:tc>
        <w:tc>
          <w:tcPr>
            <w:tcW w:w="7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$ 5,225</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$ 5,745</w:t>
            </w: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$ 5,557</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$ 4,237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w w:val="95"/>
              </w:rPr>
              <w:t>3,926</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w w:val="95"/>
              </w:rPr>
              <w:t>3,656</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$ 9,462</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$ 9,671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w w:val="99"/>
              </w:rPr>
              <w:t>9,213</w:t>
            </w:r>
          </w:p>
        </w:tc>
      </w:tr>
      <w:tr>
        <w:trPr>
          <w:trHeight w:val="274"/>
        </w:trPr>
        <w:tc>
          <w:tcPr>
            <w:tcW w:w="1840" w:type="dxa"/>
            <w:vAlign w:val="bottom"/>
          </w:tcPr>
          <w:p>
            <w:pPr>
              <w:spacing w:after="0"/>
              <w:rPr>
                <w:sz w:val="20"/>
                <w:szCs w:val="20"/>
                <w:color w:val="auto"/>
              </w:rPr>
            </w:pPr>
            <w:r>
              <w:rPr>
                <w:rFonts w:ascii="Arial" w:cs="Arial" w:eastAsia="Arial" w:hAnsi="Arial"/>
                <w:sz w:val="20"/>
                <w:szCs w:val="20"/>
                <w:color w:val="auto"/>
              </w:rPr>
              <w:t>Interest income</w:t>
            </w: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29</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32</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25</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97</w:t>
            </w:r>
          </w:p>
        </w:tc>
        <w:tc>
          <w:tcPr>
            <w:tcW w:w="240" w:type="dxa"/>
            <w:vAlign w:val="bottom"/>
          </w:tcPr>
          <w:p>
            <w:pPr>
              <w:spacing w:after="0"/>
              <w:rPr>
                <w:sz w:val="23"/>
                <w:szCs w:val="23"/>
                <w:color w:val="auto"/>
              </w:rPr>
            </w:pPr>
          </w:p>
        </w:tc>
        <w:tc>
          <w:tcPr>
            <w:tcW w:w="600" w:type="dxa"/>
            <w:vAlign w:val="bottom"/>
          </w:tcPr>
          <w:p>
            <w:pPr>
              <w:jc w:val="right"/>
              <w:ind w:right="3"/>
              <w:spacing w:after="0"/>
              <w:rPr>
                <w:sz w:val="20"/>
                <w:szCs w:val="20"/>
                <w:color w:val="auto"/>
              </w:rPr>
            </w:pPr>
            <w:r>
              <w:rPr>
                <w:rFonts w:ascii="Arial" w:cs="Arial" w:eastAsia="Arial" w:hAnsi="Arial"/>
                <w:sz w:val="20"/>
                <w:szCs w:val="20"/>
                <w:color w:val="auto"/>
              </w:rPr>
              <w:t>112</w:t>
            </w:r>
          </w:p>
        </w:tc>
        <w:tc>
          <w:tcPr>
            <w:tcW w:w="240" w:type="dxa"/>
            <w:vAlign w:val="bottom"/>
          </w:tcPr>
          <w:p>
            <w:pPr>
              <w:spacing w:after="0"/>
              <w:rPr>
                <w:sz w:val="23"/>
                <w:szCs w:val="23"/>
                <w:color w:val="auto"/>
              </w:rPr>
            </w:pPr>
          </w:p>
        </w:tc>
        <w:tc>
          <w:tcPr>
            <w:tcW w:w="600" w:type="dxa"/>
            <w:vAlign w:val="bottom"/>
          </w:tcPr>
          <w:p>
            <w:pPr>
              <w:jc w:val="right"/>
              <w:ind w:right="3"/>
              <w:spacing w:after="0"/>
              <w:rPr>
                <w:sz w:val="20"/>
                <w:szCs w:val="20"/>
                <w:color w:val="auto"/>
              </w:rPr>
            </w:pPr>
            <w:r>
              <w:rPr>
                <w:rFonts w:ascii="Arial" w:cs="Arial" w:eastAsia="Arial" w:hAnsi="Arial"/>
                <w:sz w:val="20"/>
                <w:szCs w:val="20"/>
                <w:color w:val="auto"/>
              </w:rPr>
              <w:t>79</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126</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144</w:t>
            </w:r>
          </w:p>
        </w:tc>
        <w:tc>
          <w:tcPr>
            <w:tcW w:w="220" w:type="dxa"/>
            <w:vAlign w:val="bottom"/>
          </w:tcPr>
          <w:p>
            <w:pPr>
              <w:spacing w:after="0"/>
              <w:rPr>
                <w:sz w:val="23"/>
                <w:szCs w:val="23"/>
                <w:color w:val="auto"/>
              </w:rPr>
            </w:pPr>
          </w:p>
        </w:tc>
        <w:tc>
          <w:tcPr>
            <w:tcW w:w="640" w:type="dxa"/>
            <w:vAlign w:val="bottom"/>
          </w:tcPr>
          <w:p>
            <w:pPr>
              <w:jc w:val="right"/>
              <w:ind w:right="23"/>
              <w:spacing w:after="0"/>
              <w:rPr>
                <w:sz w:val="20"/>
                <w:szCs w:val="20"/>
                <w:color w:val="auto"/>
              </w:rPr>
            </w:pPr>
            <w:r>
              <w:rPr>
                <w:rFonts w:ascii="Arial" w:cs="Arial" w:eastAsia="Arial" w:hAnsi="Arial"/>
                <w:sz w:val="20"/>
                <w:szCs w:val="20"/>
                <w:color w:val="auto"/>
              </w:rPr>
              <w:t>104</w:t>
            </w:r>
          </w:p>
        </w:tc>
      </w:tr>
      <w:tr>
        <w:trPr>
          <w:trHeight w:val="51"/>
        </w:trPr>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74"/>
        </w:trPr>
        <w:tc>
          <w:tcPr>
            <w:tcW w:w="1840" w:type="dxa"/>
            <w:vAlign w:val="bottom"/>
            <w:shd w:val="clear" w:color="auto" w:fill="CCEEFF"/>
          </w:tcPr>
          <w:p>
            <w:pPr>
              <w:spacing w:after="0"/>
              <w:rPr>
                <w:sz w:val="20"/>
                <w:szCs w:val="20"/>
                <w:color w:val="auto"/>
              </w:rPr>
            </w:pPr>
            <w:r>
              <w:rPr>
                <w:rFonts w:ascii="Arial" w:cs="Arial" w:eastAsia="Arial" w:hAnsi="Arial"/>
                <w:sz w:val="20"/>
                <w:szCs w:val="20"/>
                <w:color w:val="auto"/>
                <w:w w:val="88"/>
                <w:shd w:val="clear" w:color="auto" w:fill="CCEEFF"/>
              </w:rPr>
              <w:t>Total segment revenue</w:t>
            </w:r>
          </w:p>
        </w:tc>
        <w:tc>
          <w:tcPr>
            <w:tcW w:w="200" w:type="dxa"/>
            <w:vAlign w:val="bottom"/>
            <w:shd w:val="clear" w:color="auto" w:fill="CFF0FC"/>
          </w:tcPr>
          <w:p>
            <w:pPr>
              <w:spacing w:after="0"/>
              <w:rPr>
                <w:sz w:val="23"/>
                <w:szCs w:val="2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5,254</w:t>
            </w:r>
          </w:p>
        </w:tc>
        <w:tc>
          <w:tcPr>
            <w:tcW w:w="300" w:type="dxa"/>
            <w:vAlign w:val="bottom"/>
            <w:shd w:val="clear" w:color="auto" w:fill="CFF0FC"/>
          </w:tcPr>
          <w:p>
            <w:pPr>
              <w:spacing w:after="0"/>
              <w:rPr>
                <w:sz w:val="23"/>
                <w:szCs w:val="2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5,777</w:t>
            </w:r>
          </w:p>
        </w:tc>
        <w:tc>
          <w:tcPr>
            <w:tcW w:w="300" w:type="dxa"/>
            <w:vAlign w:val="bottom"/>
            <w:shd w:val="clear" w:color="auto" w:fill="CFF0FC"/>
          </w:tcPr>
          <w:p>
            <w:pPr>
              <w:spacing w:after="0"/>
              <w:rPr>
                <w:sz w:val="23"/>
                <w:szCs w:val="2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5,582</w:t>
            </w: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4,334</w:t>
            </w:r>
          </w:p>
        </w:tc>
        <w:tc>
          <w:tcPr>
            <w:tcW w:w="240" w:type="dxa"/>
            <w:vAlign w:val="bottom"/>
            <w:shd w:val="clear" w:color="auto" w:fill="CFF0FC"/>
          </w:tcPr>
          <w:p>
            <w:pPr>
              <w:spacing w:after="0"/>
              <w:rPr>
                <w:sz w:val="23"/>
                <w:szCs w:val="23"/>
                <w:color w:val="auto"/>
              </w:rPr>
            </w:pPr>
          </w:p>
        </w:tc>
        <w:tc>
          <w:tcPr>
            <w:tcW w:w="600" w:type="dxa"/>
            <w:vAlign w:val="bottom"/>
            <w:shd w:val="clear" w:color="auto" w:fill="CFF0FC"/>
          </w:tcPr>
          <w:p>
            <w:pPr>
              <w:jc w:val="right"/>
              <w:ind w:right="3"/>
              <w:spacing w:after="0"/>
              <w:rPr>
                <w:sz w:val="20"/>
                <w:szCs w:val="20"/>
                <w:color w:val="auto"/>
              </w:rPr>
            </w:pPr>
            <w:r>
              <w:rPr>
                <w:rFonts w:ascii="Arial" w:cs="Arial" w:eastAsia="Arial" w:hAnsi="Arial"/>
                <w:sz w:val="20"/>
                <w:szCs w:val="20"/>
                <w:color w:val="auto"/>
                <w:w w:val="95"/>
              </w:rPr>
              <w:t>4,038</w:t>
            </w:r>
          </w:p>
        </w:tc>
        <w:tc>
          <w:tcPr>
            <w:tcW w:w="240" w:type="dxa"/>
            <w:vAlign w:val="bottom"/>
            <w:shd w:val="clear" w:color="auto" w:fill="CFF0FC"/>
          </w:tcPr>
          <w:p>
            <w:pPr>
              <w:spacing w:after="0"/>
              <w:rPr>
                <w:sz w:val="23"/>
                <w:szCs w:val="23"/>
                <w:color w:val="auto"/>
              </w:rPr>
            </w:pPr>
          </w:p>
        </w:tc>
        <w:tc>
          <w:tcPr>
            <w:tcW w:w="600" w:type="dxa"/>
            <w:vAlign w:val="bottom"/>
            <w:shd w:val="clear" w:color="auto" w:fill="CFF0FC"/>
          </w:tcPr>
          <w:p>
            <w:pPr>
              <w:jc w:val="right"/>
              <w:ind w:right="3"/>
              <w:spacing w:after="0"/>
              <w:rPr>
                <w:sz w:val="20"/>
                <w:szCs w:val="20"/>
                <w:color w:val="auto"/>
              </w:rPr>
            </w:pPr>
            <w:r>
              <w:rPr>
                <w:rFonts w:ascii="Arial" w:cs="Arial" w:eastAsia="Arial" w:hAnsi="Arial"/>
                <w:sz w:val="20"/>
                <w:szCs w:val="20"/>
                <w:color w:val="auto"/>
                <w:w w:val="95"/>
              </w:rPr>
              <w:t>3,735</w:t>
            </w: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9,588</w:t>
            </w: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9,815</w:t>
            </w:r>
          </w:p>
        </w:tc>
        <w:tc>
          <w:tcPr>
            <w:tcW w:w="220" w:type="dxa"/>
            <w:vAlign w:val="bottom"/>
            <w:shd w:val="clear" w:color="auto" w:fill="CFF0FC"/>
          </w:tcPr>
          <w:p>
            <w:pPr>
              <w:spacing w:after="0"/>
              <w:rPr>
                <w:sz w:val="23"/>
                <w:szCs w:val="23"/>
                <w:color w:val="auto"/>
              </w:rPr>
            </w:pPr>
          </w:p>
        </w:tc>
        <w:tc>
          <w:tcPr>
            <w:tcW w:w="640" w:type="dxa"/>
            <w:vAlign w:val="bottom"/>
            <w:shd w:val="clear" w:color="auto" w:fill="CFF0FC"/>
          </w:tcPr>
          <w:p>
            <w:pPr>
              <w:jc w:val="right"/>
              <w:ind w:right="23"/>
              <w:spacing w:after="0"/>
              <w:rPr>
                <w:sz w:val="20"/>
                <w:szCs w:val="20"/>
                <w:color w:val="auto"/>
              </w:rPr>
            </w:pPr>
            <w:r>
              <w:rPr>
                <w:rFonts w:ascii="Arial" w:cs="Arial" w:eastAsia="Arial" w:hAnsi="Arial"/>
                <w:sz w:val="20"/>
                <w:szCs w:val="20"/>
                <w:color w:val="auto"/>
                <w:w w:val="99"/>
              </w:rPr>
              <w:t>9,317</w:t>
            </w:r>
          </w:p>
        </w:tc>
      </w:tr>
      <w:tr>
        <w:trPr>
          <w:trHeight w:val="86"/>
        </w:trPr>
        <w:tc>
          <w:tcPr>
            <w:tcW w:w="1840" w:type="dxa"/>
            <w:vAlign w:val="bottom"/>
            <w:shd w:val="clear" w:color="auto" w:fill="CCEEFF"/>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r>
      <w:tr>
        <w:trPr>
          <w:trHeight w:val="284"/>
        </w:trPr>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4"/>
        </w:trPr>
        <w:tc>
          <w:tcPr>
            <w:tcW w:w="1840" w:type="dxa"/>
            <w:vAlign w:val="bottom"/>
            <w:shd w:val="clear" w:color="auto" w:fill="CFF0FC"/>
          </w:tcPr>
          <w:p>
            <w:pPr>
              <w:spacing w:after="0"/>
              <w:rPr>
                <w:sz w:val="20"/>
                <w:szCs w:val="20"/>
                <w:color w:val="auto"/>
              </w:rPr>
            </w:pPr>
            <w:r>
              <w:rPr>
                <w:rFonts w:ascii="Arial" w:cs="Arial" w:eastAsia="Arial" w:hAnsi="Arial"/>
                <w:sz w:val="20"/>
                <w:szCs w:val="20"/>
                <w:color w:val="auto"/>
              </w:rPr>
              <w:t>Other segment</w:t>
            </w:r>
          </w:p>
        </w:tc>
        <w:tc>
          <w:tcPr>
            <w:tcW w:w="20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r>
      <w:tr>
        <w:trPr>
          <w:trHeight w:val="321"/>
        </w:trPr>
        <w:tc>
          <w:tcPr>
            <w:tcW w:w="1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expenses</w:t>
            </w:r>
          </w:p>
        </w:tc>
        <w:tc>
          <w:tcPr>
            <w:tcW w:w="7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3,443</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3,926</w:t>
            </w: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3,891</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3,221</w:t>
            </w:r>
          </w:p>
        </w:tc>
        <w:tc>
          <w:tcPr>
            <w:tcW w:w="2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w w:val="95"/>
              </w:rPr>
              <w:t>3,035</w:t>
            </w:r>
          </w:p>
        </w:tc>
        <w:tc>
          <w:tcPr>
            <w:tcW w:w="2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w w:val="95"/>
              </w:rPr>
              <w:t>2,874</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6,664</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6,961</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w w:val="99"/>
              </w:rPr>
              <w:t>6,765</w:t>
            </w:r>
          </w:p>
        </w:tc>
      </w:tr>
      <w:tr>
        <w:trPr>
          <w:trHeight w:val="274"/>
        </w:trPr>
        <w:tc>
          <w:tcPr>
            <w:tcW w:w="1840" w:type="dxa"/>
            <w:vAlign w:val="bottom"/>
          </w:tcPr>
          <w:p>
            <w:pPr>
              <w:spacing w:after="0"/>
              <w:rPr>
                <w:sz w:val="20"/>
                <w:szCs w:val="20"/>
                <w:color w:val="auto"/>
              </w:rPr>
            </w:pPr>
            <w:r>
              <w:rPr>
                <w:rFonts w:ascii="Arial" w:cs="Arial" w:eastAsia="Arial" w:hAnsi="Arial"/>
                <w:sz w:val="20"/>
                <w:szCs w:val="20"/>
                <w:color w:val="auto"/>
              </w:rPr>
              <w:t>Depreciation</w:t>
            </w:r>
          </w:p>
        </w:tc>
        <w:tc>
          <w:tcPr>
            <w:tcW w:w="740" w:type="dxa"/>
            <w:vAlign w:val="bottom"/>
            <w:gridSpan w:val="2"/>
          </w:tcPr>
          <w:p>
            <w:pPr>
              <w:jc w:val="right"/>
              <w:spacing w:after="0"/>
              <w:rPr>
                <w:sz w:val="20"/>
                <w:szCs w:val="20"/>
                <w:color w:val="auto"/>
              </w:rPr>
            </w:pPr>
            <w:r>
              <w:rPr>
                <w:rFonts w:ascii="Arial" w:cs="Arial" w:eastAsia="Arial" w:hAnsi="Arial"/>
                <w:sz w:val="20"/>
                <w:szCs w:val="20"/>
                <w:color w:val="auto"/>
              </w:rPr>
              <w:t>130</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134</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126</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41</w:t>
            </w:r>
          </w:p>
        </w:tc>
        <w:tc>
          <w:tcPr>
            <w:tcW w:w="240" w:type="dxa"/>
            <w:vAlign w:val="bottom"/>
          </w:tcPr>
          <w:p>
            <w:pPr>
              <w:spacing w:after="0"/>
              <w:rPr>
                <w:sz w:val="23"/>
                <w:szCs w:val="23"/>
                <w:color w:val="auto"/>
              </w:rPr>
            </w:pPr>
          </w:p>
        </w:tc>
        <w:tc>
          <w:tcPr>
            <w:tcW w:w="600" w:type="dxa"/>
            <w:vAlign w:val="bottom"/>
          </w:tcPr>
          <w:p>
            <w:pPr>
              <w:jc w:val="right"/>
              <w:ind w:right="3"/>
              <w:spacing w:after="0"/>
              <w:rPr>
                <w:sz w:val="20"/>
                <w:szCs w:val="20"/>
                <w:color w:val="auto"/>
              </w:rPr>
            </w:pPr>
            <w:r>
              <w:rPr>
                <w:rFonts w:ascii="Arial" w:cs="Arial" w:eastAsia="Arial" w:hAnsi="Arial"/>
                <w:sz w:val="20"/>
                <w:szCs w:val="20"/>
                <w:color w:val="auto"/>
              </w:rPr>
              <w:t>45</w:t>
            </w:r>
          </w:p>
        </w:tc>
        <w:tc>
          <w:tcPr>
            <w:tcW w:w="240" w:type="dxa"/>
            <w:vAlign w:val="bottom"/>
          </w:tcPr>
          <w:p>
            <w:pPr>
              <w:spacing w:after="0"/>
              <w:rPr>
                <w:sz w:val="23"/>
                <w:szCs w:val="23"/>
                <w:color w:val="auto"/>
              </w:rPr>
            </w:pPr>
          </w:p>
        </w:tc>
        <w:tc>
          <w:tcPr>
            <w:tcW w:w="600" w:type="dxa"/>
            <w:vAlign w:val="bottom"/>
          </w:tcPr>
          <w:p>
            <w:pPr>
              <w:jc w:val="right"/>
              <w:ind w:right="3"/>
              <w:spacing w:after="0"/>
              <w:rPr>
                <w:sz w:val="20"/>
                <w:szCs w:val="20"/>
                <w:color w:val="auto"/>
              </w:rPr>
            </w:pPr>
            <w:r>
              <w:rPr>
                <w:rFonts w:ascii="Arial" w:cs="Arial" w:eastAsia="Arial" w:hAnsi="Arial"/>
                <w:sz w:val="20"/>
                <w:szCs w:val="20"/>
                <w:color w:val="auto"/>
              </w:rPr>
              <w:t>48</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171</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179</w:t>
            </w:r>
          </w:p>
        </w:tc>
        <w:tc>
          <w:tcPr>
            <w:tcW w:w="220" w:type="dxa"/>
            <w:vAlign w:val="bottom"/>
          </w:tcPr>
          <w:p>
            <w:pPr>
              <w:spacing w:after="0"/>
              <w:rPr>
                <w:sz w:val="23"/>
                <w:szCs w:val="23"/>
                <w:color w:val="auto"/>
              </w:rPr>
            </w:pPr>
          </w:p>
        </w:tc>
        <w:tc>
          <w:tcPr>
            <w:tcW w:w="640" w:type="dxa"/>
            <w:vAlign w:val="bottom"/>
          </w:tcPr>
          <w:p>
            <w:pPr>
              <w:jc w:val="right"/>
              <w:ind w:right="23"/>
              <w:spacing w:after="0"/>
              <w:rPr>
                <w:sz w:val="20"/>
                <w:szCs w:val="20"/>
                <w:color w:val="auto"/>
              </w:rPr>
            </w:pPr>
            <w:r>
              <w:rPr>
                <w:rFonts w:ascii="Arial" w:cs="Arial" w:eastAsia="Arial" w:hAnsi="Arial"/>
                <w:sz w:val="20"/>
                <w:szCs w:val="20"/>
                <w:color w:val="auto"/>
              </w:rPr>
              <w:t>174</w:t>
            </w:r>
          </w:p>
        </w:tc>
      </w:tr>
      <w:tr>
        <w:trPr>
          <w:trHeight w:val="51"/>
        </w:trPr>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74"/>
        </w:trPr>
        <w:tc>
          <w:tcPr>
            <w:tcW w:w="1840" w:type="dxa"/>
            <w:vAlign w:val="bottom"/>
            <w:shd w:val="clear" w:color="auto" w:fill="CFF0FC"/>
          </w:tcPr>
          <w:p>
            <w:pPr>
              <w:spacing w:after="0"/>
              <w:rPr>
                <w:sz w:val="20"/>
                <w:szCs w:val="20"/>
                <w:color w:val="auto"/>
              </w:rPr>
            </w:pPr>
            <w:r>
              <w:rPr>
                <w:rFonts w:ascii="Arial" w:cs="Arial" w:eastAsia="Arial" w:hAnsi="Arial"/>
                <w:sz w:val="20"/>
                <w:szCs w:val="20"/>
                <w:color w:val="auto"/>
              </w:rPr>
              <w:t>Total segment</w:t>
            </w:r>
          </w:p>
        </w:tc>
        <w:tc>
          <w:tcPr>
            <w:tcW w:w="20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r>
      <w:tr>
        <w:trPr>
          <w:trHeight w:val="321"/>
        </w:trPr>
        <w:tc>
          <w:tcPr>
            <w:tcW w:w="1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expenses</w:t>
            </w:r>
          </w:p>
        </w:tc>
        <w:tc>
          <w:tcPr>
            <w:tcW w:w="7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3,573</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4,060</w:t>
            </w: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4,017</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3,262</w:t>
            </w:r>
          </w:p>
        </w:tc>
        <w:tc>
          <w:tcPr>
            <w:tcW w:w="2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w w:val="95"/>
              </w:rPr>
              <w:t>3,080</w:t>
            </w:r>
          </w:p>
        </w:tc>
        <w:tc>
          <w:tcPr>
            <w:tcW w:w="2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w w:val="95"/>
              </w:rPr>
              <w:t>2,922</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6,835</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7,140</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w w:val="99"/>
              </w:rPr>
              <w:t>6,939</w:t>
            </w:r>
          </w:p>
        </w:tc>
      </w:tr>
      <w:tr>
        <w:trPr>
          <w:trHeight w:val="294"/>
        </w:trPr>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4"/>
        </w:trPr>
        <w:tc>
          <w:tcPr>
            <w:tcW w:w="1840" w:type="dxa"/>
            <w:vAlign w:val="bottom"/>
            <w:shd w:val="clear" w:color="auto" w:fill="CFF0FC"/>
          </w:tcPr>
          <w:p>
            <w:pPr>
              <w:spacing w:after="0"/>
              <w:rPr>
                <w:sz w:val="20"/>
                <w:szCs w:val="20"/>
                <w:color w:val="auto"/>
              </w:rPr>
            </w:pPr>
            <w:r>
              <w:rPr>
                <w:rFonts w:ascii="Arial" w:cs="Arial" w:eastAsia="Arial" w:hAnsi="Arial"/>
                <w:sz w:val="20"/>
                <w:szCs w:val="20"/>
                <w:color w:val="auto"/>
              </w:rPr>
              <w:t>Segment operating</w:t>
            </w:r>
          </w:p>
        </w:tc>
        <w:tc>
          <w:tcPr>
            <w:tcW w:w="20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6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6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7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640" w:type="dxa"/>
            <w:vAlign w:val="bottom"/>
            <w:shd w:val="clear" w:color="auto" w:fill="CFF0FC"/>
          </w:tcPr>
          <w:p>
            <w:pPr>
              <w:spacing w:after="0"/>
              <w:rPr>
                <w:sz w:val="23"/>
                <w:szCs w:val="23"/>
                <w:color w:val="auto"/>
              </w:rPr>
            </w:pPr>
          </w:p>
        </w:tc>
      </w:tr>
      <w:tr>
        <w:trPr>
          <w:trHeight w:val="321"/>
        </w:trPr>
        <w:tc>
          <w:tcPr>
            <w:tcW w:w="1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income</w:t>
            </w:r>
          </w:p>
        </w:tc>
        <w:tc>
          <w:tcPr>
            <w:tcW w:w="7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$ 1,681</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$ 1,717</w:t>
            </w: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$ 1,565</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$ 1,072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958</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813</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$ 2,753</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$ 2,675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w w:val="99"/>
              </w:rPr>
              <w:t>2,378</w:t>
            </w:r>
          </w:p>
        </w:tc>
      </w:tr>
      <w:tr>
        <w:trPr>
          <w:trHeight w:val="799"/>
        </w:trPr>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20"/>
                <w:szCs w:val="20"/>
                <w:color w:val="auto"/>
              </w:rPr>
              <w:t>93</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891"/>
        </w:trPr>
        <w:tc>
          <w:tcPr>
            <w:tcW w:w="18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-3850640</wp:posOffset>
            </wp:positionV>
            <wp:extent cx="4740275"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2">
                      <a:extLst>
                        <a:ext uri="{28A0092B-C50C-407E-A947-70E740481C1C}"/>
                      </a:extLst>
                    </a:blip>
                    <a:srcRect/>
                    <a:stretch>
                      <a:fillRect/>
                    </a:stretch>
                  </pic:blipFill>
                  <pic:spPr bwMode="auto">
                    <a:xfrm>
                      <a:off x="0" y="0"/>
                      <a:ext cx="4740275" cy="635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-3063875</wp:posOffset>
            </wp:positionV>
            <wp:extent cx="4740275"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3">
                      <a:extLst>
                        <a:ext uri="{28A0092B-C50C-407E-A947-70E740481C1C}"/>
                      </a:extLst>
                    </a:blip>
                    <a:srcRect/>
                    <a:stretch>
                      <a:fillRect/>
                    </a:stretch>
                  </pic:blipFill>
                  <pic:spPr bwMode="auto">
                    <a:xfrm>
                      <a:off x="0" y="0"/>
                      <a:ext cx="4740275" cy="635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-2857500</wp:posOffset>
            </wp:positionV>
            <wp:extent cx="4740275" cy="285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4">
                      <a:extLst>
                        <a:ext uri="{28A0092B-C50C-407E-A947-70E740481C1C}"/>
                      </a:extLst>
                    </a:blip>
                    <a:srcRect/>
                    <a:stretch>
                      <a:fillRect/>
                    </a:stretch>
                  </pic:blipFill>
                  <pic:spPr bwMode="auto">
                    <a:xfrm>
                      <a:off x="0" y="0"/>
                      <a:ext cx="4740275" cy="2857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-2058670</wp:posOffset>
            </wp:positionV>
            <wp:extent cx="4740275"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5">
                      <a:extLst>
                        <a:ext uri="{28A0092B-C50C-407E-A947-70E740481C1C}"/>
                      </a:extLst>
                    </a:blip>
                    <a:srcRect/>
                    <a:stretch>
                      <a:fillRect/>
                    </a:stretch>
                  </pic:blipFill>
                  <pic:spPr bwMode="auto">
                    <a:xfrm>
                      <a:off x="0" y="0"/>
                      <a:ext cx="4740275" cy="635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-1691005</wp:posOffset>
            </wp:positionV>
            <wp:extent cx="4740275" cy="285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6">
                      <a:extLst>
                        <a:ext uri="{28A0092B-C50C-407E-A947-70E740481C1C}"/>
                      </a:extLst>
                    </a:blip>
                    <a:srcRect/>
                    <a:stretch>
                      <a:fillRect/>
                    </a:stretch>
                  </pic:blipFill>
                  <pic:spPr bwMode="auto">
                    <a:xfrm>
                      <a:off x="0" y="0"/>
                      <a:ext cx="4740275" cy="2857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-1481455</wp:posOffset>
            </wp:positionV>
            <wp:extent cx="474027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7">
                      <a:extLst>
                        <a:ext uri="{28A0092B-C50C-407E-A947-70E740481C1C}"/>
                      </a:extLst>
                    </a:blip>
                    <a:srcRect/>
                    <a:stretch>
                      <a:fillRect/>
                    </a:stretch>
                  </pic:blipFill>
                  <pic:spPr bwMode="auto">
                    <a:xfrm>
                      <a:off x="0" y="0"/>
                      <a:ext cx="4740275" cy="635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-1113790</wp:posOffset>
            </wp:positionV>
            <wp:extent cx="4740275" cy="285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28">
                      <a:extLst>
                        <a:ext uri="{28A0092B-C50C-407E-A947-70E740481C1C}"/>
                      </a:extLst>
                    </a:blip>
                    <a:srcRect/>
                    <a:stretch>
                      <a:fillRect/>
                    </a:stretch>
                  </pic:blipFill>
                  <pic:spPr bwMode="auto">
                    <a:xfrm>
                      <a:off x="0" y="0"/>
                      <a:ext cx="4740275" cy="28575"/>
                    </a:xfrm>
                    <a:prstGeom prst="rect">
                      <a:avLst/>
                    </a:prstGeom>
                    <a:noFill/>
                  </pic:spPr>
                </pic:pic>
              </a:graphicData>
            </a:graphic>
          </wp:anchor>
        </w:drawing>
      </w:r>
    </w:p>
    <w:p>
      <w:pPr>
        <w:sectPr>
          <w:pgSz w:w="11900" w:h="16838" w:orient="portrait"/>
          <w:cols w:equalWidth="0" w:num="1">
            <w:col w:w="9400"/>
          </w:cols>
          <w:pgMar w:left="1260" w:top="117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36</w:t>
      </w:r>
    </w:p>
    <w:p>
      <w:pPr>
        <w:sectPr>
          <w:pgSz w:w="11900" w:h="16838" w:orient="portrait"/>
          <w:cols w:equalWidth="0" w:num="1">
            <w:col w:w="9400"/>
          </w:cols>
          <w:pgMar w:left="1260" w:top="1172" w:right="1246" w:bottom="0" w:gutter="0" w:footer="0" w:header="0"/>
          <w:type w:val="continuous"/>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80"/>
        <w:spacing w:after="0" w:line="302" w:lineRule="auto"/>
        <w:rPr>
          <w:sz w:val="20"/>
          <w:szCs w:val="20"/>
          <w:color w:val="auto"/>
        </w:rPr>
      </w:pPr>
      <w:r>
        <w:rPr>
          <w:rFonts w:ascii="Arial" w:cs="Arial" w:eastAsia="Arial" w:hAnsi="Arial"/>
          <w:sz w:val="20"/>
          <w:szCs w:val="20"/>
          <w:color w:val="auto"/>
        </w:rPr>
        <w:t>The following table presents reconciliations of the information reported by segment to the Company’s consolidated amounts reported for the years ended December 31, 2025, 2024 and 2023.</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7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Pr>
          <w:p>
            <w:pPr>
              <w:spacing w:after="0"/>
              <w:rPr>
                <w:sz w:val="16"/>
                <w:szCs w:val="16"/>
                <w:color w:val="auto"/>
              </w:rPr>
            </w:pPr>
          </w:p>
        </w:tc>
      </w:tr>
      <w:tr>
        <w:trPr>
          <w:trHeight w:val="264"/>
        </w:trPr>
        <w:tc>
          <w:tcPr>
            <w:tcW w:w="4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20" w:type="dxa"/>
            <w:vAlign w:val="bottom"/>
          </w:tcPr>
          <w:p>
            <w:pPr>
              <w:jc w:val="right"/>
              <w:ind w:right="463"/>
              <w:spacing w:after="0"/>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22"/>
                <w:szCs w:val="22"/>
                <w:color w:val="auto"/>
              </w:rPr>
            </w:pPr>
          </w:p>
        </w:tc>
        <w:tc>
          <w:tcPr>
            <w:tcW w:w="1040" w:type="dxa"/>
            <w:vAlign w:val="bottom"/>
          </w:tcPr>
          <w:p>
            <w:pPr>
              <w:jc w:val="right"/>
              <w:ind w:right="462"/>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22"/>
                <w:szCs w:val="22"/>
                <w:color w:val="auto"/>
              </w:rPr>
            </w:pPr>
          </w:p>
        </w:tc>
        <w:tc>
          <w:tcPr>
            <w:tcW w:w="980" w:type="dxa"/>
            <w:vAlign w:val="bottom"/>
          </w:tcPr>
          <w:p>
            <w:pPr>
              <w:jc w:val="right"/>
              <w:ind w:right="422"/>
              <w:spacing w:after="0"/>
              <w:rPr>
                <w:sz w:val="20"/>
                <w:szCs w:val="20"/>
                <w:color w:val="auto"/>
              </w:rPr>
            </w:pPr>
            <w:r>
              <w:rPr>
                <w:rFonts w:ascii="Arial" w:cs="Arial" w:eastAsia="Arial" w:hAnsi="Arial"/>
                <w:sz w:val="16"/>
                <w:szCs w:val="16"/>
                <w:b w:val="1"/>
                <w:bCs w:val="1"/>
                <w:color w:val="auto"/>
              </w:rPr>
              <w:t>2023</w:t>
            </w:r>
          </w:p>
        </w:tc>
      </w:tr>
      <w:tr>
        <w:trPr>
          <w:trHeight w:val="42"/>
        </w:trPr>
        <w:tc>
          <w:tcPr>
            <w:tcW w:w="4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Revenue:</w:t>
            </w:r>
          </w:p>
        </w:tc>
        <w:tc>
          <w:tcPr>
            <w:tcW w:w="11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74"/>
        </w:trPr>
        <w:tc>
          <w:tcPr>
            <w:tcW w:w="4540" w:type="dxa"/>
            <w:vAlign w:val="bottom"/>
          </w:tcPr>
          <w:p>
            <w:pPr>
              <w:ind w:left="100"/>
              <w:spacing w:after="0"/>
              <w:rPr>
                <w:sz w:val="20"/>
                <w:szCs w:val="20"/>
                <w:color w:val="auto"/>
              </w:rPr>
            </w:pPr>
            <w:r>
              <w:rPr>
                <w:rFonts w:ascii="Arial" w:cs="Arial" w:eastAsia="Arial" w:hAnsi="Arial"/>
                <w:sz w:val="20"/>
                <w:szCs w:val="20"/>
                <w:color w:val="auto"/>
              </w:rPr>
              <w:t>Total segment revenue</w:t>
            </w:r>
          </w:p>
        </w:tc>
        <w:tc>
          <w:tcPr>
            <w:tcW w:w="11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63"/>
              <w:spacing w:after="0"/>
              <w:rPr>
                <w:sz w:val="20"/>
                <w:szCs w:val="20"/>
                <w:color w:val="auto"/>
              </w:rPr>
            </w:pPr>
            <w:r>
              <w:rPr>
                <w:rFonts w:ascii="Arial" w:cs="Arial" w:eastAsia="Arial" w:hAnsi="Arial"/>
                <w:sz w:val="20"/>
                <w:szCs w:val="20"/>
                <w:color w:val="auto"/>
              </w:rPr>
              <w:t>9,588</w:t>
            </w:r>
          </w:p>
        </w:tc>
        <w:tc>
          <w:tcPr>
            <w:tcW w:w="3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82"/>
              <w:spacing w:after="0"/>
              <w:rPr>
                <w:sz w:val="20"/>
                <w:szCs w:val="20"/>
                <w:color w:val="auto"/>
              </w:rPr>
            </w:pPr>
            <w:r>
              <w:rPr>
                <w:rFonts w:ascii="Arial" w:cs="Arial" w:eastAsia="Arial" w:hAnsi="Arial"/>
                <w:sz w:val="20"/>
                <w:szCs w:val="20"/>
                <w:color w:val="auto"/>
              </w:rPr>
              <w:t>9,815</w:t>
            </w:r>
          </w:p>
        </w:tc>
        <w:tc>
          <w:tcPr>
            <w:tcW w:w="3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2"/>
              <w:spacing w:after="0"/>
              <w:rPr>
                <w:sz w:val="20"/>
                <w:szCs w:val="20"/>
                <w:color w:val="auto"/>
              </w:rPr>
            </w:pPr>
            <w:r>
              <w:rPr>
                <w:rFonts w:ascii="Arial" w:cs="Arial" w:eastAsia="Arial" w:hAnsi="Arial"/>
                <w:sz w:val="20"/>
                <w:szCs w:val="20"/>
                <w:color w:val="auto"/>
              </w:rPr>
              <w:t>9,317</w:t>
            </w:r>
          </w:p>
        </w:tc>
      </w:tr>
      <w:tr>
        <w:trPr>
          <w:trHeight w:val="41"/>
        </w:trPr>
        <w:tc>
          <w:tcPr>
            <w:tcW w:w="4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4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Corporate, reimbursable expenses and other</w:t>
            </w:r>
          </w:p>
        </w:tc>
        <w:tc>
          <w:tcPr>
            <w:tcW w:w="11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63"/>
              <w:spacing w:after="0"/>
              <w:rPr>
                <w:sz w:val="20"/>
                <w:szCs w:val="20"/>
                <w:color w:val="auto"/>
              </w:rPr>
            </w:pPr>
            <w:r>
              <w:rPr>
                <w:rFonts w:ascii="Arial" w:cs="Arial" w:eastAsia="Arial" w:hAnsi="Arial"/>
                <w:sz w:val="20"/>
                <w:szCs w:val="20"/>
                <w:color w:val="auto"/>
              </w:rPr>
              <w:t>120</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82"/>
              <w:spacing w:after="0"/>
              <w:rPr>
                <w:sz w:val="20"/>
                <w:szCs w:val="20"/>
                <w:color w:val="auto"/>
              </w:rPr>
            </w:pPr>
            <w:r>
              <w:rPr>
                <w:rFonts w:ascii="Arial" w:cs="Arial" w:eastAsia="Arial" w:hAnsi="Arial"/>
                <w:sz w:val="20"/>
                <w:szCs w:val="20"/>
                <w:color w:val="auto"/>
              </w:rPr>
              <w:t>115</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20"/>
                <w:szCs w:val="20"/>
                <w:color w:val="auto"/>
              </w:rPr>
              <w:t>166</w:t>
            </w:r>
          </w:p>
        </w:tc>
      </w:tr>
      <w:tr>
        <w:trPr>
          <w:trHeight w:val="274"/>
        </w:trPr>
        <w:tc>
          <w:tcPr>
            <w:tcW w:w="4540" w:type="dxa"/>
            <w:vAlign w:val="bottom"/>
          </w:tcPr>
          <w:p>
            <w:pPr>
              <w:spacing w:after="0"/>
              <w:rPr>
                <w:sz w:val="20"/>
                <w:szCs w:val="20"/>
                <w:color w:val="auto"/>
              </w:rPr>
            </w:pPr>
            <w:r>
              <w:rPr>
                <w:rFonts w:ascii="Arial" w:cs="Arial" w:eastAsia="Arial" w:hAnsi="Arial"/>
                <w:sz w:val="20"/>
                <w:szCs w:val="20"/>
                <w:color w:val="auto"/>
              </w:rPr>
              <w:t>Revenue</w:t>
            </w:r>
          </w:p>
        </w:tc>
        <w:tc>
          <w:tcPr>
            <w:tcW w:w="11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63"/>
              <w:spacing w:after="0"/>
              <w:rPr>
                <w:sz w:val="20"/>
                <w:szCs w:val="20"/>
                <w:color w:val="auto"/>
              </w:rPr>
            </w:pPr>
            <w:r>
              <w:rPr>
                <w:rFonts w:ascii="Arial" w:cs="Arial" w:eastAsia="Arial" w:hAnsi="Arial"/>
                <w:sz w:val="20"/>
                <w:szCs w:val="20"/>
                <w:color w:val="auto"/>
              </w:rPr>
              <w:t>9,708</w:t>
            </w:r>
          </w:p>
        </w:tc>
        <w:tc>
          <w:tcPr>
            <w:tcW w:w="3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82"/>
              <w:spacing w:after="0"/>
              <w:rPr>
                <w:sz w:val="20"/>
                <w:szCs w:val="20"/>
                <w:color w:val="auto"/>
              </w:rPr>
            </w:pPr>
            <w:r>
              <w:rPr>
                <w:rFonts w:ascii="Arial" w:cs="Arial" w:eastAsia="Arial" w:hAnsi="Arial"/>
                <w:sz w:val="20"/>
                <w:szCs w:val="20"/>
                <w:color w:val="auto"/>
              </w:rPr>
              <w:t>9,930</w:t>
            </w:r>
          </w:p>
        </w:tc>
        <w:tc>
          <w:tcPr>
            <w:tcW w:w="3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2"/>
              <w:spacing w:after="0"/>
              <w:rPr>
                <w:sz w:val="20"/>
                <w:szCs w:val="20"/>
                <w:color w:val="auto"/>
              </w:rPr>
            </w:pPr>
            <w:r>
              <w:rPr>
                <w:rFonts w:ascii="Arial" w:cs="Arial" w:eastAsia="Arial" w:hAnsi="Arial"/>
                <w:sz w:val="20"/>
                <w:szCs w:val="20"/>
                <w:color w:val="auto"/>
              </w:rPr>
              <w:t>9,483</w:t>
            </w:r>
          </w:p>
        </w:tc>
      </w:tr>
      <w:tr>
        <w:trPr>
          <w:trHeight w:val="86"/>
        </w:trPr>
        <w:tc>
          <w:tcPr>
            <w:tcW w:w="45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314"/>
        </w:trPr>
        <w:tc>
          <w:tcPr>
            <w:tcW w:w="454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r>
      <w:tr>
        <w:trPr>
          <w:trHeight w:val="274"/>
        </w:trPr>
        <w:tc>
          <w:tcPr>
            <w:tcW w:w="4540" w:type="dxa"/>
            <w:vAlign w:val="bottom"/>
          </w:tcPr>
          <w:p>
            <w:pPr>
              <w:ind w:left="100"/>
              <w:spacing w:after="0"/>
              <w:rPr>
                <w:sz w:val="20"/>
                <w:szCs w:val="20"/>
                <w:color w:val="auto"/>
              </w:rPr>
            </w:pPr>
            <w:r>
              <w:rPr>
                <w:rFonts w:ascii="Arial" w:cs="Arial" w:eastAsia="Arial" w:hAnsi="Arial"/>
                <w:sz w:val="20"/>
                <w:szCs w:val="20"/>
                <w:color w:val="auto"/>
              </w:rPr>
              <w:t>Total segment operating income</w:t>
            </w:r>
          </w:p>
        </w:tc>
        <w:tc>
          <w:tcPr>
            <w:tcW w:w="11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63"/>
              <w:spacing w:after="0"/>
              <w:rPr>
                <w:sz w:val="20"/>
                <w:szCs w:val="20"/>
                <w:color w:val="auto"/>
              </w:rPr>
            </w:pPr>
            <w:r>
              <w:rPr>
                <w:rFonts w:ascii="Arial" w:cs="Arial" w:eastAsia="Arial" w:hAnsi="Arial"/>
                <w:sz w:val="20"/>
                <w:szCs w:val="20"/>
                <w:color w:val="auto"/>
              </w:rPr>
              <w:t>2,753</w:t>
            </w:r>
          </w:p>
        </w:tc>
        <w:tc>
          <w:tcPr>
            <w:tcW w:w="3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82"/>
              <w:spacing w:after="0"/>
              <w:rPr>
                <w:sz w:val="20"/>
                <w:szCs w:val="20"/>
                <w:color w:val="auto"/>
              </w:rPr>
            </w:pPr>
            <w:r>
              <w:rPr>
                <w:rFonts w:ascii="Arial" w:cs="Arial" w:eastAsia="Arial" w:hAnsi="Arial"/>
                <w:sz w:val="20"/>
                <w:szCs w:val="20"/>
                <w:color w:val="auto"/>
              </w:rPr>
              <w:t>2,675</w:t>
            </w:r>
          </w:p>
        </w:tc>
        <w:tc>
          <w:tcPr>
            <w:tcW w:w="3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2"/>
              <w:spacing w:after="0"/>
              <w:rPr>
                <w:sz w:val="20"/>
                <w:szCs w:val="20"/>
                <w:color w:val="auto"/>
              </w:rPr>
            </w:pPr>
            <w:r>
              <w:rPr>
                <w:rFonts w:ascii="Arial" w:cs="Arial" w:eastAsia="Arial" w:hAnsi="Arial"/>
                <w:sz w:val="20"/>
                <w:szCs w:val="20"/>
                <w:color w:val="auto"/>
              </w:rPr>
              <w:t>2,378</w:t>
            </w:r>
          </w:p>
        </w:tc>
      </w:tr>
      <w:tr>
        <w:trPr>
          <w:trHeight w:val="41"/>
        </w:trPr>
        <w:tc>
          <w:tcPr>
            <w:tcW w:w="4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14"/>
        </w:trPr>
        <w:tc>
          <w:tcPr>
            <w:tcW w:w="4540" w:type="dxa"/>
            <w:vAlign w:val="bottom"/>
            <w:shd w:val="clear" w:color="auto" w:fill="CFF0FC"/>
          </w:tcPr>
          <w:p>
            <w:pPr>
              <w:ind w:left="100"/>
              <w:spacing w:after="0"/>
              <w:rPr>
                <w:sz w:val="20"/>
                <w:szCs w:val="20"/>
                <w:color w:val="auto"/>
              </w:rPr>
            </w:pPr>
            <w:r>
              <w:rPr>
                <w:rFonts w:ascii="Arial" w:cs="Arial" w:eastAsia="Arial" w:hAnsi="Arial"/>
                <w:sz w:val="20"/>
                <w:szCs w:val="20"/>
                <w:color w:val="auto"/>
              </w:rPr>
              <w:t xml:space="preserve">Impairment </w:t>
            </w:r>
            <w:r>
              <w:rPr>
                <w:rFonts w:ascii="Arial" w:cs="Arial" w:eastAsia="Arial" w:hAnsi="Arial"/>
                <w:sz w:val="26"/>
                <w:szCs w:val="26"/>
                <w:color w:val="auto"/>
                <w:vertAlign w:val="superscript"/>
              </w:rPr>
              <w:t>(i)</w:t>
            </w:r>
          </w:p>
        </w:tc>
        <w:tc>
          <w:tcPr>
            <w:tcW w:w="118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63"/>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(1,042)</w:t>
            </w:r>
          </w:p>
        </w:tc>
        <w:tc>
          <w:tcPr>
            <w:tcW w:w="32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22"/>
              <w:spacing w:after="0"/>
              <w:rPr>
                <w:sz w:val="20"/>
                <w:szCs w:val="20"/>
                <w:color w:val="auto"/>
              </w:rPr>
            </w:pPr>
            <w:r>
              <w:rPr>
                <w:rFonts w:ascii="Arial" w:cs="Arial" w:eastAsia="Arial" w:hAnsi="Arial"/>
                <w:sz w:val="20"/>
                <w:szCs w:val="20"/>
                <w:color w:val="auto"/>
              </w:rPr>
              <w:t>—</w:t>
            </w:r>
          </w:p>
        </w:tc>
      </w:tr>
      <w:tr>
        <w:trPr>
          <w:trHeight w:val="274"/>
        </w:trPr>
        <w:tc>
          <w:tcPr>
            <w:tcW w:w="4540" w:type="dxa"/>
            <w:vAlign w:val="bottom"/>
          </w:tcPr>
          <w:p>
            <w:pPr>
              <w:ind w:left="100"/>
              <w:spacing w:after="0"/>
              <w:rPr>
                <w:sz w:val="20"/>
                <w:szCs w:val="20"/>
                <w:color w:val="auto"/>
              </w:rPr>
            </w:pPr>
            <w:r>
              <w:rPr>
                <w:rFonts w:ascii="Arial" w:cs="Arial" w:eastAsia="Arial" w:hAnsi="Arial"/>
                <w:sz w:val="20"/>
                <w:szCs w:val="20"/>
                <w:color w:val="auto"/>
              </w:rPr>
              <w:t>Amortization</w:t>
            </w:r>
          </w:p>
        </w:tc>
        <w:tc>
          <w:tcPr>
            <w:tcW w:w="1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(192)</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(226)</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(263)</w:t>
            </w:r>
          </w:p>
        </w:tc>
      </w:tr>
      <w:tr>
        <w:trPr>
          <w:trHeight w:val="41"/>
        </w:trPr>
        <w:tc>
          <w:tcPr>
            <w:tcW w:w="4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Restructuring costs</w:t>
            </w:r>
          </w:p>
        </w:tc>
        <w:tc>
          <w:tcPr>
            <w:tcW w:w="11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63"/>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(61)</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(68)</w:t>
            </w:r>
          </w:p>
        </w:tc>
      </w:tr>
      <w:tr>
        <w:trPr>
          <w:trHeight w:val="274"/>
        </w:trPr>
        <w:tc>
          <w:tcPr>
            <w:tcW w:w="4540" w:type="dxa"/>
            <w:vAlign w:val="bottom"/>
          </w:tcPr>
          <w:p>
            <w:pPr>
              <w:ind w:left="100"/>
              <w:spacing w:after="0"/>
              <w:rPr>
                <w:sz w:val="20"/>
                <w:szCs w:val="20"/>
                <w:color w:val="auto"/>
              </w:rPr>
            </w:pPr>
            <w:r>
              <w:rPr>
                <w:rFonts w:ascii="Arial" w:cs="Arial" w:eastAsia="Arial" w:hAnsi="Arial"/>
                <w:sz w:val="20"/>
                <w:szCs w:val="20"/>
                <w:color w:val="auto"/>
              </w:rPr>
              <w:t>Transaction and transformation</w:t>
            </w:r>
          </w:p>
        </w:tc>
        <w:tc>
          <w:tcPr>
            <w:tcW w:w="1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(23)</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(409)</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(386)</w:t>
            </w:r>
          </w:p>
        </w:tc>
      </w:tr>
      <w:tr>
        <w:trPr>
          <w:trHeight w:val="41"/>
        </w:trPr>
        <w:tc>
          <w:tcPr>
            <w:tcW w:w="4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24"/>
        </w:trPr>
        <w:tc>
          <w:tcPr>
            <w:tcW w:w="4540" w:type="dxa"/>
            <w:vAlign w:val="bottom"/>
            <w:shd w:val="clear" w:color="auto" w:fill="CFF0FC"/>
          </w:tcPr>
          <w:p>
            <w:pPr>
              <w:ind w:left="100"/>
              <w:spacing w:after="0"/>
              <w:rPr>
                <w:sz w:val="20"/>
                <w:szCs w:val="20"/>
                <w:color w:val="auto"/>
              </w:rPr>
            </w:pPr>
            <w:r>
              <w:rPr>
                <w:rFonts w:ascii="Arial" w:cs="Arial" w:eastAsia="Arial" w:hAnsi="Arial"/>
                <w:sz w:val="20"/>
                <w:szCs w:val="20"/>
                <w:color w:val="auto"/>
              </w:rPr>
              <w:t xml:space="preserve">Unallocated, net </w:t>
            </w:r>
            <w:r>
              <w:rPr>
                <w:rFonts w:ascii="Arial" w:cs="Arial" w:eastAsia="Arial" w:hAnsi="Arial"/>
                <w:sz w:val="26"/>
                <w:szCs w:val="26"/>
                <w:color w:val="auto"/>
                <w:vertAlign w:val="superscript"/>
              </w:rPr>
              <w:t>(ii)</w:t>
            </w:r>
          </w:p>
        </w:tc>
        <w:tc>
          <w:tcPr>
            <w:tcW w:w="118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(304)</w:t>
            </w: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(310)</w:t>
            </w:r>
          </w:p>
        </w:tc>
        <w:tc>
          <w:tcPr>
            <w:tcW w:w="32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(296)</w:t>
            </w:r>
          </w:p>
        </w:tc>
      </w:tr>
      <w:tr>
        <w:trPr>
          <w:trHeight w:val="274"/>
        </w:trPr>
        <w:tc>
          <w:tcPr>
            <w:tcW w:w="4540" w:type="dxa"/>
            <w:vAlign w:val="bottom"/>
          </w:tcPr>
          <w:p>
            <w:pPr>
              <w:ind w:left="100"/>
              <w:spacing w:after="0"/>
              <w:rPr>
                <w:sz w:val="20"/>
                <w:szCs w:val="20"/>
                <w:color w:val="auto"/>
              </w:rPr>
            </w:pPr>
            <w:r>
              <w:rPr>
                <w:rFonts w:ascii="Arial" w:cs="Arial" w:eastAsia="Arial" w:hAnsi="Arial"/>
                <w:sz w:val="20"/>
                <w:szCs w:val="20"/>
                <w:color w:val="auto"/>
              </w:rPr>
              <w:t>Income from operations</w:t>
            </w:r>
          </w:p>
        </w:tc>
        <w:tc>
          <w:tcPr>
            <w:tcW w:w="1180" w:type="dxa"/>
            <w:vAlign w:val="bottom"/>
          </w:tcPr>
          <w:p>
            <w:pPr>
              <w:spacing w:after="0"/>
              <w:rPr>
                <w:sz w:val="23"/>
                <w:szCs w:val="23"/>
                <w:color w:val="auto"/>
              </w:rPr>
            </w:pPr>
          </w:p>
        </w:tc>
        <w:tc>
          <w:tcPr>
            <w:tcW w:w="1020" w:type="dxa"/>
            <w:vAlign w:val="bottom"/>
          </w:tcPr>
          <w:p>
            <w:pPr>
              <w:jc w:val="right"/>
              <w:ind w:right="63"/>
              <w:spacing w:after="0"/>
              <w:rPr>
                <w:sz w:val="20"/>
                <w:szCs w:val="20"/>
                <w:color w:val="auto"/>
              </w:rPr>
            </w:pPr>
            <w:r>
              <w:rPr>
                <w:rFonts w:ascii="Arial" w:cs="Arial" w:eastAsia="Arial" w:hAnsi="Arial"/>
                <w:sz w:val="20"/>
                <w:szCs w:val="20"/>
                <w:color w:val="auto"/>
              </w:rPr>
              <w:t>2,234</w:t>
            </w:r>
          </w:p>
        </w:tc>
        <w:tc>
          <w:tcPr>
            <w:tcW w:w="320" w:type="dxa"/>
            <w:vAlign w:val="bottom"/>
          </w:tcPr>
          <w:p>
            <w:pPr>
              <w:spacing w:after="0"/>
              <w:rPr>
                <w:sz w:val="23"/>
                <w:szCs w:val="23"/>
                <w:color w:val="auto"/>
              </w:rPr>
            </w:pPr>
          </w:p>
        </w:tc>
        <w:tc>
          <w:tcPr>
            <w:tcW w:w="1040" w:type="dxa"/>
            <w:vAlign w:val="bottom"/>
          </w:tcPr>
          <w:p>
            <w:pPr>
              <w:jc w:val="right"/>
              <w:ind w:right="82"/>
              <w:spacing w:after="0"/>
              <w:rPr>
                <w:sz w:val="20"/>
                <w:szCs w:val="20"/>
                <w:color w:val="auto"/>
              </w:rPr>
            </w:pPr>
            <w:r>
              <w:rPr>
                <w:rFonts w:ascii="Arial" w:cs="Arial" w:eastAsia="Arial" w:hAnsi="Arial"/>
                <w:sz w:val="20"/>
                <w:szCs w:val="20"/>
                <w:color w:val="auto"/>
              </w:rPr>
              <w:t>627</w:t>
            </w:r>
          </w:p>
        </w:tc>
        <w:tc>
          <w:tcPr>
            <w:tcW w:w="32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20"/>
                <w:szCs w:val="20"/>
                <w:color w:val="auto"/>
              </w:rPr>
              <w:t>1,365</w:t>
            </w:r>
          </w:p>
        </w:tc>
      </w:tr>
      <w:tr>
        <w:trPr>
          <w:trHeight w:val="41"/>
        </w:trPr>
        <w:tc>
          <w:tcPr>
            <w:tcW w:w="4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5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Interest expense</w:t>
            </w:r>
          </w:p>
        </w:tc>
        <w:tc>
          <w:tcPr>
            <w:tcW w:w="11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(260)</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(263)</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(235)</w:t>
            </w:r>
          </w:p>
        </w:tc>
      </w:tr>
      <w:tr>
        <w:trPr>
          <w:trHeight w:val="274"/>
        </w:trPr>
        <w:tc>
          <w:tcPr>
            <w:tcW w:w="4540" w:type="dxa"/>
            <w:vAlign w:val="bottom"/>
          </w:tcPr>
          <w:p>
            <w:pPr>
              <w:ind w:left="100"/>
              <w:spacing w:after="0"/>
              <w:rPr>
                <w:sz w:val="20"/>
                <w:szCs w:val="20"/>
                <w:color w:val="auto"/>
              </w:rPr>
            </w:pPr>
            <w:r>
              <w:rPr>
                <w:rFonts w:ascii="Arial" w:cs="Arial" w:eastAsia="Arial" w:hAnsi="Arial"/>
                <w:sz w:val="20"/>
                <w:szCs w:val="20"/>
                <w:color w:val="auto"/>
              </w:rPr>
              <w:t>Other (loss)/income, net</w:t>
            </w:r>
          </w:p>
        </w:tc>
        <w:tc>
          <w:tcPr>
            <w:tcW w:w="1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-2983865</wp:posOffset>
            </wp:positionV>
            <wp:extent cx="2492375"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29">
                      <a:extLst>
                        <a:ext uri="{28A0092B-C50C-407E-A947-70E740481C1C}"/>
                      </a:extLst>
                    </a:blip>
                    <a:srcRect/>
                    <a:stretch>
                      <a:fillRect/>
                    </a:stretch>
                  </pic:blipFill>
                  <pic:spPr bwMode="auto">
                    <a:xfrm>
                      <a:off x="0" y="0"/>
                      <a:ext cx="2492375" cy="6350"/>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-2816225</wp:posOffset>
            </wp:positionV>
            <wp:extent cx="2492375"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0">
                      <a:extLst>
                        <a:ext uri="{28A0092B-C50C-407E-A947-70E740481C1C}"/>
                      </a:extLst>
                    </a:blip>
                    <a:srcRect/>
                    <a:stretch>
                      <a:fillRect/>
                    </a:stretch>
                  </pic:blipFill>
                  <pic:spPr bwMode="auto">
                    <a:xfrm>
                      <a:off x="0" y="0"/>
                      <a:ext cx="2492375" cy="6350"/>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-2211070</wp:posOffset>
            </wp:positionV>
            <wp:extent cx="2492375"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1">
                      <a:extLst>
                        <a:ext uri="{28A0092B-C50C-407E-A947-70E740481C1C}"/>
                      </a:extLst>
                    </a:blip>
                    <a:srcRect/>
                    <a:stretch>
                      <a:fillRect/>
                    </a:stretch>
                  </pic:blipFill>
                  <pic:spPr bwMode="auto">
                    <a:xfrm>
                      <a:off x="0" y="0"/>
                      <a:ext cx="2492375" cy="6350"/>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-2004695</wp:posOffset>
            </wp:positionV>
            <wp:extent cx="2492375" cy="285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2">
                      <a:extLst>
                        <a:ext uri="{28A0092B-C50C-407E-A947-70E740481C1C}"/>
                      </a:extLst>
                    </a:blip>
                    <a:srcRect/>
                    <a:stretch>
                      <a:fillRect/>
                    </a:stretch>
                  </pic:blipFill>
                  <pic:spPr bwMode="auto">
                    <a:xfrm>
                      <a:off x="0" y="0"/>
                      <a:ext cx="2492375" cy="28575"/>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-579120</wp:posOffset>
            </wp:positionV>
            <wp:extent cx="2492375"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3">
                      <a:extLst>
                        <a:ext uri="{28A0092B-C50C-407E-A947-70E740481C1C}"/>
                      </a:extLst>
                    </a:blip>
                    <a:srcRect/>
                    <a:stretch>
                      <a:fillRect/>
                    </a:stretch>
                  </pic:blipFill>
                  <pic:spPr bwMode="auto">
                    <a:xfrm>
                      <a:off x="0" y="0"/>
                      <a:ext cx="249237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 / 36</w:t>
      </w:r>
    </w:p>
    <w:p>
      <w:pPr>
        <w:sectPr>
          <w:pgSz w:w="11900" w:h="16838" w:orient="portrait"/>
          <w:cols w:equalWidth="0" w:num="1">
            <w:col w:w="9400"/>
          </w:cols>
          <w:pgMar w:left="1260" w:top="1440" w:right="1246" w:bottom="0" w:gutter="0" w:footer="0" w:header="0"/>
          <w:type w:val="continuous"/>
        </w:sectPr>
      </w:pPr>
    </w:p>
    <w:bookmarkStart w:id="185" w:name="page186"/>
    <w:bookmarkEnd w:id="185"/>
    <w:p>
      <w:pPr>
        <w:spacing w:after="0" w:line="14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(262</w:t>
      </w:r>
    </w:p>
    <w:p>
      <w:pPr>
        <w:spacing w:after="0" w:line="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146</w:t>
      </w:r>
    </w:p>
    <w:p>
      <w:pPr>
        <w:spacing w:after="0" w:line="370" w:lineRule="exact"/>
        <w:rPr>
          <w:sz w:val="20"/>
          <w:szCs w:val="20"/>
          <w:color w:val="auto"/>
        </w:rPr>
      </w:pPr>
    </w:p>
    <w:p>
      <w:pPr>
        <w:ind w:left="166"/>
        <w:spacing w:after="0"/>
        <w:rPr>
          <w:sz w:val="20"/>
          <w:szCs w:val="20"/>
          <w:color w:val="auto"/>
        </w:rPr>
      </w:pPr>
      <w:r>
        <w:rPr>
          <w:rFonts w:ascii="Arial" w:cs="Arial" w:eastAsia="Arial" w:hAnsi="Arial"/>
          <w:sz w:val="20"/>
          <w:szCs w:val="20"/>
          <w:color w:val="auto"/>
        </w:rPr>
        <w:t>INCOME FROM OPERATIONS BEFORE INCOME TAXES</w:t>
      </w:r>
    </w:p>
    <w:p>
      <w:pPr>
        <w:spacing w:after="0" w:line="70" w:lineRule="exact"/>
        <w:rPr>
          <w:sz w:val="20"/>
          <w:szCs w:val="20"/>
          <w:color w:val="auto"/>
        </w:rPr>
      </w:pPr>
    </w:p>
    <w:p>
      <w:pPr>
        <w:ind w:left="326"/>
        <w:spacing w:after="0"/>
        <w:rPr>
          <w:sz w:val="20"/>
          <w:szCs w:val="20"/>
          <w:color w:val="auto"/>
        </w:rPr>
      </w:pPr>
      <w:r>
        <w:rPr>
          <w:rFonts w:ascii="Arial" w:cs="Arial" w:eastAsia="Arial" w:hAnsi="Arial"/>
          <w:sz w:val="20"/>
          <w:szCs w:val="20"/>
          <w:color w:val="auto"/>
        </w:rPr>
        <w:t>AND INTEREST IN EARNINGS OF ASSOCIATES</w:t>
      </w:r>
    </w:p>
    <w:p>
      <w:pPr>
        <w:spacing w:after="0" w:line="3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1,953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95655"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4">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6" w:right="300" w:hanging="226"/>
        <w:spacing w:after="0" w:line="459" w:lineRule="auto"/>
        <w:tabs>
          <w:tab w:leader="none" w:pos="226"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the non-cash goodwill impairment associated with our BDO reporting unit related to the sale of our TRANZACT business (see Note 3 — Acquisitions and Divestitures for further information).</w:t>
      </w:r>
    </w:p>
    <w:p>
      <w:pPr>
        <w:spacing w:after="0" w:line="56" w:lineRule="exact"/>
        <w:rPr>
          <w:rFonts w:ascii="Arial" w:cs="Arial" w:eastAsia="Arial" w:hAnsi="Arial"/>
          <w:sz w:val="16"/>
          <w:szCs w:val="16"/>
          <w:color w:val="auto"/>
        </w:rPr>
      </w:pPr>
    </w:p>
    <w:p>
      <w:pPr>
        <w:ind w:left="226" w:right="140" w:hanging="226"/>
        <w:spacing w:after="0" w:line="506" w:lineRule="auto"/>
        <w:tabs>
          <w:tab w:leader="none" w:pos="226"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91" w:lineRule="exact"/>
        <w:rPr>
          <w:sz w:val="20"/>
          <w:szCs w:val="20"/>
          <w:color w:val="auto"/>
        </w:rPr>
      </w:pPr>
    </w:p>
    <w:p>
      <w:pPr>
        <w:ind w:left="6" w:right="260"/>
        <w:spacing w:after="0" w:line="302" w:lineRule="auto"/>
        <w:rPr>
          <w:sz w:val="20"/>
          <w:szCs w:val="20"/>
          <w:color w:val="auto"/>
        </w:rPr>
      </w:pPr>
      <w:r>
        <w:rPr>
          <w:rFonts w:ascii="Arial" w:cs="Arial" w:eastAsia="Arial" w:hAnsi="Arial"/>
          <w:sz w:val="20"/>
          <w:szCs w:val="20"/>
          <w:color w:val="auto"/>
        </w:rPr>
        <w:t>The Company does not currently provide asset information by reportable segment as it does not routinely evaluate the total asset position by segment.</w:t>
      </w:r>
    </w:p>
    <w:p>
      <w:pPr>
        <w:spacing w:after="0" w:line="201" w:lineRule="exact"/>
        <w:rPr>
          <w:sz w:val="20"/>
          <w:szCs w:val="20"/>
          <w:color w:val="auto"/>
        </w:rPr>
      </w:pPr>
    </w:p>
    <w:p>
      <w:pPr>
        <w:ind w:left="6" w:right="400"/>
        <w:spacing w:after="0" w:line="302" w:lineRule="auto"/>
        <w:rPr>
          <w:sz w:val="20"/>
          <w:szCs w:val="20"/>
          <w:color w:val="auto"/>
        </w:rPr>
      </w:pPr>
      <w:r>
        <w:rPr>
          <w:rFonts w:ascii="Arial" w:cs="Arial" w:eastAsia="Arial" w:hAnsi="Arial"/>
          <w:sz w:val="20"/>
          <w:szCs w:val="20"/>
          <w:color w:val="auto"/>
        </w:rPr>
        <w:t>None of the Company’s clients individually represented more than 10% of its consolidated revenue for the years ended December 31, 2025, 2024 and 2023.</w:t>
      </w:r>
    </w:p>
    <w:p>
      <w:pPr>
        <w:spacing w:after="0" w:line="201" w:lineRule="exact"/>
        <w:rPr>
          <w:sz w:val="20"/>
          <w:szCs w:val="20"/>
          <w:color w:val="auto"/>
        </w:rPr>
      </w:pPr>
    </w:p>
    <w:p>
      <w:pPr>
        <w:ind w:left="6" w:right="20"/>
        <w:spacing w:after="0" w:line="307" w:lineRule="auto"/>
        <w:rPr>
          <w:sz w:val="20"/>
          <w:szCs w:val="20"/>
          <w:color w:val="auto"/>
        </w:rPr>
      </w:pPr>
      <w:r>
        <w:rPr>
          <w:rFonts w:ascii="Arial" w:cs="Arial" w:eastAsia="Arial" w:hAnsi="Arial"/>
          <w:sz w:val="20"/>
          <w:szCs w:val="20"/>
          <w:color w:val="auto"/>
        </w:rPr>
        <w:t>Below are our revenue (on the basis of where the work was performed) and tangible long-lived assets for Ireland, our country of domicile, countries with significant concentrations, and all other foreign countries as of and for the years ended as indicated:</w:t>
      </w:r>
    </w:p>
    <w:p>
      <w:pPr>
        <w:spacing w:after="0" w:line="326" w:lineRule="exact"/>
        <w:rPr>
          <w:sz w:val="20"/>
          <w:szCs w:val="20"/>
          <w:color w:val="auto"/>
        </w:rPr>
      </w:pPr>
    </w:p>
    <w:tbl>
      <w:tblPr>
        <w:tblLayout w:type="fixed"/>
        <w:tblInd w:w="6" w:type="dxa"/>
        <w:tblCellMar>
          <w:top w:w="0" w:type="dxa"/>
          <w:left w:w="0" w:type="dxa"/>
          <w:bottom w:w="0" w:type="dxa"/>
          <w:right w:w="0" w:type="dxa"/>
        </w:tblCellMar>
      </w:tblPr>
      <w:tr>
        <w:trPr>
          <w:trHeight w:val="261"/>
        </w:trPr>
        <w:tc>
          <w:tcPr>
            <w:tcW w:w="27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center"/>
              <w:ind w:right="128"/>
              <w:spacing w:after="0"/>
              <w:rPr>
                <w:sz w:val="20"/>
                <w:szCs w:val="20"/>
                <w:color w:val="auto"/>
              </w:rPr>
            </w:pPr>
            <w:r>
              <w:rPr>
                <w:rFonts w:ascii="Arial" w:cs="Arial" w:eastAsia="Arial" w:hAnsi="Arial"/>
                <w:sz w:val="16"/>
                <w:szCs w:val="16"/>
                <w:b w:val="1"/>
                <w:bCs w:val="1"/>
                <w:color w:val="auto"/>
                <w:w w:val="86"/>
              </w:rPr>
              <w:t>Revenue</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40" w:type="dxa"/>
            <w:vAlign w:val="bottom"/>
            <w:gridSpan w:val="3"/>
          </w:tcPr>
          <w:p>
            <w:pPr>
              <w:jc w:val="right"/>
              <w:ind w:right="265"/>
              <w:spacing w:after="0"/>
              <w:rPr>
                <w:sz w:val="20"/>
                <w:szCs w:val="20"/>
                <w:color w:val="auto"/>
              </w:rPr>
            </w:pPr>
            <w:r>
              <w:rPr>
                <w:rFonts w:ascii="Arial" w:cs="Arial" w:eastAsia="Arial" w:hAnsi="Arial"/>
                <w:sz w:val="16"/>
                <w:szCs w:val="16"/>
                <w:b w:val="1"/>
                <w:bCs w:val="1"/>
                <w:color w:val="auto"/>
                <w:w w:val="90"/>
              </w:rPr>
              <w:t xml:space="preserve">Long-Lived Assets </w:t>
            </w:r>
            <w:r>
              <w:rPr>
                <w:rFonts w:ascii="Arial" w:cs="Arial" w:eastAsia="Arial" w:hAnsi="Arial"/>
                <w:sz w:val="21"/>
                <w:szCs w:val="21"/>
                <w:b w:val="1"/>
                <w:bCs w:val="1"/>
                <w:color w:val="auto"/>
                <w:w w:val="90"/>
                <w:vertAlign w:val="superscript"/>
              </w:rPr>
              <w:t>(i)</w:t>
            </w:r>
          </w:p>
        </w:tc>
      </w:tr>
      <w:tr>
        <w:trPr>
          <w:trHeight w:val="208"/>
        </w:trPr>
        <w:tc>
          <w:tcPr>
            <w:tcW w:w="2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80" w:type="dxa"/>
            <w:vAlign w:val="bottom"/>
            <w:gridSpan w:val="5"/>
          </w:tcPr>
          <w:p>
            <w:pPr>
              <w:jc w:val="center"/>
              <w:ind w:right="205"/>
              <w:spacing w:after="0"/>
              <w:rPr>
                <w:sz w:val="20"/>
                <w:szCs w:val="20"/>
                <w:color w:val="auto"/>
              </w:rPr>
            </w:pPr>
            <w:r>
              <w:rPr>
                <w:rFonts w:ascii="Arial" w:cs="Arial" w:eastAsia="Arial" w:hAnsi="Arial"/>
                <w:sz w:val="16"/>
                <w:szCs w:val="16"/>
                <w:b w:val="1"/>
                <w:bCs w:val="1"/>
                <w:color w:val="auto"/>
                <w:w w:val="89"/>
              </w:rPr>
              <w:t>Years ended December 31,</w:t>
            </w:r>
          </w:p>
        </w:tc>
        <w:tc>
          <w:tcPr>
            <w:tcW w:w="280" w:type="dxa"/>
            <w:vAlign w:val="bottom"/>
          </w:tcPr>
          <w:p>
            <w:pPr>
              <w:spacing w:after="0"/>
              <w:rPr>
                <w:sz w:val="18"/>
                <w:szCs w:val="18"/>
                <w:color w:val="auto"/>
              </w:rPr>
            </w:pPr>
          </w:p>
        </w:tc>
        <w:tc>
          <w:tcPr>
            <w:tcW w:w="1840" w:type="dxa"/>
            <w:vAlign w:val="bottom"/>
            <w:gridSpan w:val="3"/>
          </w:tcPr>
          <w:p>
            <w:pPr>
              <w:jc w:val="right"/>
              <w:ind w:right="505"/>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27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760" w:type="dxa"/>
            <w:vAlign w:val="bottom"/>
          </w:tcPr>
          <w:p>
            <w:pPr>
              <w:jc w:val="right"/>
              <w:ind w:right="268"/>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22"/>
                <w:szCs w:val="22"/>
                <w:color w:val="auto"/>
              </w:rPr>
            </w:pPr>
          </w:p>
        </w:tc>
        <w:tc>
          <w:tcPr>
            <w:tcW w:w="840" w:type="dxa"/>
            <w:vAlign w:val="bottom"/>
          </w:tcPr>
          <w:p>
            <w:pPr>
              <w:jc w:val="center"/>
              <w:ind w:right="108"/>
              <w:spacing w:after="0"/>
              <w:rPr>
                <w:sz w:val="20"/>
                <w:szCs w:val="20"/>
                <w:color w:val="auto"/>
              </w:rPr>
            </w:pPr>
            <w:r>
              <w:rPr>
                <w:rFonts w:ascii="Arial" w:cs="Arial" w:eastAsia="Arial" w:hAnsi="Arial"/>
                <w:sz w:val="16"/>
                <w:szCs w:val="16"/>
                <w:b w:val="1"/>
                <w:bCs w:val="1"/>
                <w:color w:val="auto"/>
                <w:w w:val="89"/>
              </w:rPr>
              <w:t>2024</w:t>
            </w:r>
          </w:p>
        </w:tc>
        <w:tc>
          <w:tcPr>
            <w:tcW w:w="300" w:type="dxa"/>
            <w:vAlign w:val="bottom"/>
          </w:tcPr>
          <w:p>
            <w:pPr>
              <w:spacing w:after="0"/>
              <w:rPr>
                <w:sz w:val="22"/>
                <w:szCs w:val="22"/>
                <w:color w:val="auto"/>
              </w:rPr>
            </w:pPr>
          </w:p>
        </w:tc>
        <w:tc>
          <w:tcPr>
            <w:tcW w:w="760" w:type="dxa"/>
            <w:vAlign w:val="bottom"/>
          </w:tcPr>
          <w:p>
            <w:pPr>
              <w:jc w:val="right"/>
              <w:ind w:right="265"/>
              <w:spacing w:after="0"/>
              <w:rPr>
                <w:sz w:val="20"/>
                <w:szCs w:val="20"/>
                <w:color w:val="auto"/>
              </w:rPr>
            </w:pPr>
            <w:r>
              <w:rPr>
                <w:rFonts w:ascii="Arial" w:cs="Arial" w:eastAsia="Arial" w:hAnsi="Arial"/>
                <w:sz w:val="16"/>
                <w:szCs w:val="16"/>
                <w:b w:val="1"/>
                <w:bCs w:val="1"/>
                <w:color w:val="auto"/>
              </w:rPr>
              <w:t>2023</w:t>
            </w:r>
          </w:p>
        </w:tc>
        <w:tc>
          <w:tcPr>
            <w:tcW w:w="280" w:type="dxa"/>
            <w:vAlign w:val="bottom"/>
          </w:tcPr>
          <w:p>
            <w:pPr>
              <w:spacing w:after="0"/>
              <w:rPr>
                <w:sz w:val="22"/>
                <w:szCs w:val="22"/>
                <w:color w:val="auto"/>
              </w:rPr>
            </w:pPr>
          </w:p>
        </w:tc>
        <w:tc>
          <w:tcPr>
            <w:tcW w:w="780" w:type="dxa"/>
            <w:vAlign w:val="bottom"/>
          </w:tcPr>
          <w:p>
            <w:pPr>
              <w:jc w:val="right"/>
              <w:ind w:right="290"/>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22"/>
                <w:szCs w:val="22"/>
                <w:color w:val="auto"/>
              </w:rPr>
            </w:pPr>
          </w:p>
        </w:tc>
        <w:tc>
          <w:tcPr>
            <w:tcW w:w="780" w:type="dxa"/>
            <w:vAlign w:val="bottom"/>
          </w:tcPr>
          <w:p>
            <w:pPr>
              <w:jc w:val="right"/>
              <w:ind w:right="285"/>
              <w:spacing w:after="0"/>
              <w:rPr>
                <w:sz w:val="20"/>
                <w:szCs w:val="20"/>
                <w:color w:val="auto"/>
              </w:rPr>
            </w:pPr>
            <w:r>
              <w:rPr>
                <w:rFonts w:ascii="Arial" w:cs="Arial" w:eastAsia="Arial" w:hAnsi="Arial"/>
                <w:sz w:val="16"/>
                <w:szCs w:val="16"/>
                <w:b w:val="1"/>
                <w:bCs w:val="1"/>
                <w:color w:val="auto"/>
              </w:rPr>
              <w:t>2024</w:t>
            </w:r>
          </w:p>
        </w:tc>
      </w:tr>
      <w:tr>
        <w:trPr>
          <w:trHeight w:val="42"/>
        </w:trPr>
        <w:tc>
          <w:tcPr>
            <w:tcW w:w="27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94"/>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Ireland</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20"/>
                <w:szCs w:val="20"/>
                <w:color w:val="auto"/>
              </w:rPr>
              <w:t>143</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20"/>
                <w:szCs w:val="20"/>
                <w:color w:val="auto"/>
              </w:rPr>
              <w:t>131</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20"/>
                <w:szCs w:val="20"/>
                <w:color w:val="auto"/>
              </w:rPr>
              <w:t>118</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20"/>
                <w:szCs w:val="20"/>
                <w:color w:val="auto"/>
              </w:rPr>
              <w:t>7</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20"/>
                <w:szCs w:val="20"/>
                <w:color w:val="auto"/>
              </w:rPr>
              <w:t>8</w:t>
            </w:r>
          </w:p>
        </w:tc>
      </w:tr>
      <w:tr>
        <w:trPr>
          <w:trHeight w:val="314"/>
        </w:trPr>
        <w:tc>
          <w:tcPr>
            <w:tcW w:w="2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94"/>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United States</w:t>
            </w:r>
          </w:p>
        </w:tc>
        <w:tc>
          <w:tcPr>
            <w:tcW w:w="16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20"/>
                <w:szCs w:val="20"/>
                <w:color w:val="auto"/>
              </w:rPr>
              <w:t>4,504</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20"/>
                <w:szCs w:val="20"/>
                <w:color w:val="auto"/>
              </w:rPr>
              <w:t>5,128</w:t>
            </w:r>
          </w:p>
        </w:tc>
        <w:tc>
          <w:tcPr>
            <w:tcW w:w="30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20"/>
                <w:szCs w:val="20"/>
                <w:color w:val="auto"/>
              </w:rPr>
              <w:t>5,011</w:t>
            </w:r>
          </w:p>
        </w:tc>
        <w:tc>
          <w:tcPr>
            <w:tcW w:w="2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20"/>
                <w:szCs w:val="20"/>
                <w:color w:val="auto"/>
              </w:rPr>
              <w:t>282</w:t>
            </w:r>
          </w:p>
        </w:tc>
        <w:tc>
          <w:tcPr>
            <w:tcW w:w="2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20"/>
                <w:szCs w:val="20"/>
                <w:color w:val="auto"/>
              </w:rPr>
              <w:t>307</w:t>
            </w:r>
          </w:p>
        </w:tc>
      </w:tr>
      <w:tr>
        <w:trPr>
          <w:trHeight w:val="274"/>
        </w:trPr>
        <w:tc>
          <w:tcPr>
            <w:tcW w:w="2780" w:type="dxa"/>
            <w:vAlign w:val="bottom"/>
          </w:tcPr>
          <w:p>
            <w:pPr>
              <w:spacing w:after="0"/>
              <w:rPr>
                <w:sz w:val="20"/>
                <w:szCs w:val="20"/>
                <w:color w:val="auto"/>
              </w:rPr>
            </w:pPr>
            <w:r>
              <w:rPr>
                <w:rFonts w:ascii="Arial" w:cs="Arial" w:eastAsia="Arial" w:hAnsi="Arial"/>
                <w:sz w:val="20"/>
                <w:szCs w:val="20"/>
                <w:color w:val="auto"/>
              </w:rPr>
              <w:t>United Kingdom</w:t>
            </w:r>
          </w:p>
        </w:tc>
        <w:tc>
          <w:tcPr>
            <w:tcW w:w="162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20"/>
                <w:szCs w:val="20"/>
                <w:color w:val="auto"/>
              </w:rPr>
              <w:t>2,065</w:t>
            </w:r>
          </w:p>
        </w:tc>
        <w:tc>
          <w:tcPr>
            <w:tcW w:w="220" w:type="dxa"/>
            <w:vAlign w:val="bottom"/>
          </w:tcPr>
          <w:p>
            <w:pPr>
              <w:spacing w:after="0"/>
              <w:rPr>
                <w:sz w:val="23"/>
                <w:szCs w:val="23"/>
                <w:color w:val="auto"/>
              </w:rPr>
            </w:pPr>
          </w:p>
        </w:tc>
        <w:tc>
          <w:tcPr>
            <w:tcW w:w="840" w:type="dxa"/>
            <w:vAlign w:val="bottom"/>
          </w:tcPr>
          <w:p>
            <w:pPr>
              <w:jc w:val="right"/>
              <w:ind w:right="8"/>
              <w:spacing w:after="0"/>
              <w:rPr>
                <w:sz w:val="20"/>
                <w:szCs w:val="20"/>
                <w:color w:val="auto"/>
              </w:rPr>
            </w:pPr>
            <w:r>
              <w:rPr>
                <w:rFonts w:ascii="Arial" w:cs="Arial" w:eastAsia="Arial" w:hAnsi="Arial"/>
                <w:sz w:val="20"/>
                <w:szCs w:val="20"/>
                <w:color w:val="auto"/>
              </w:rPr>
              <w:t>1,859</w:t>
            </w:r>
          </w:p>
        </w:tc>
        <w:tc>
          <w:tcPr>
            <w:tcW w:w="300" w:type="dxa"/>
            <w:vAlign w:val="bottom"/>
          </w:tcPr>
          <w:p>
            <w:pPr>
              <w:spacing w:after="0"/>
              <w:rPr>
                <w:sz w:val="23"/>
                <w:szCs w:val="23"/>
                <w:color w:val="auto"/>
              </w:rPr>
            </w:pPr>
          </w:p>
        </w:tc>
        <w:tc>
          <w:tcPr>
            <w:tcW w:w="760" w:type="dxa"/>
            <w:vAlign w:val="bottom"/>
          </w:tcPr>
          <w:p>
            <w:pPr>
              <w:jc w:val="right"/>
              <w:ind w:right="5"/>
              <w:spacing w:after="0"/>
              <w:rPr>
                <w:sz w:val="20"/>
                <w:szCs w:val="20"/>
                <w:color w:val="auto"/>
              </w:rPr>
            </w:pPr>
            <w:r>
              <w:rPr>
                <w:rFonts w:ascii="Arial" w:cs="Arial" w:eastAsia="Arial" w:hAnsi="Arial"/>
                <w:sz w:val="20"/>
                <w:szCs w:val="20"/>
                <w:color w:val="auto"/>
              </w:rPr>
              <w:t>1,723</w:t>
            </w:r>
          </w:p>
        </w:tc>
        <w:tc>
          <w:tcPr>
            <w:tcW w:w="28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20"/>
                <w:szCs w:val="20"/>
                <w:color w:val="auto"/>
              </w:rPr>
              <w:t>521</w:t>
            </w:r>
          </w:p>
        </w:tc>
        <w:tc>
          <w:tcPr>
            <w:tcW w:w="280" w:type="dxa"/>
            <w:vAlign w:val="bottom"/>
          </w:tcPr>
          <w:p>
            <w:pPr>
              <w:spacing w:after="0"/>
              <w:rPr>
                <w:sz w:val="23"/>
                <w:szCs w:val="23"/>
                <w:color w:val="auto"/>
              </w:rPr>
            </w:pPr>
          </w:p>
        </w:tc>
        <w:tc>
          <w:tcPr>
            <w:tcW w:w="780" w:type="dxa"/>
            <w:vAlign w:val="bottom"/>
          </w:tcPr>
          <w:p>
            <w:pPr>
              <w:jc w:val="right"/>
              <w:ind w:right="25"/>
              <w:spacing w:after="0"/>
              <w:rPr>
                <w:sz w:val="20"/>
                <w:szCs w:val="20"/>
                <w:color w:val="auto"/>
              </w:rPr>
            </w:pPr>
            <w:r>
              <w:rPr>
                <w:rFonts w:ascii="Arial" w:cs="Arial" w:eastAsia="Arial" w:hAnsi="Arial"/>
                <w:sz w:val="20"/>
                <w:szCs w:val="20"/>
                <w:color w:val="auto"/>
              </w:rPr>
              <w:t>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-1114425</wp:posOffset>
            </wp:positionV>
            <wp:extent cx="3286125"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5">
                      <a:extLst>
                        <a:ext uri="{28A0092B-C50C-407E-A947-70E740481C1C}"/>
                      </a:extLst>
                    </a:blip>
                    <a:srcRect/>
                    <a:stretch>
                      <a:fillRect/>
                    </a:stretch>
                  </pic:blipFill>
                  <pic:spPr bwMode="auto">
                    <a:xfrm>
                      <a:off x="0" y="0"/>
                      <a:ext cx="3286125" cy="635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-946150</wp:posOffset>
            </wp:positionV>
            <wp:extent cx="3286125"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6">
                      <a:extLst>
                        <a:ext uri="{28A0092B-C50C-407E-A947-70E740481C1C}"/>
                      </a:extLst>
                    </a:blip>
                    <a:srcRect/>
                    <a:stretch>
                      <a:fillRect/>
                    </a:stretch>
                  </pic:blipFill>
                  <pic:spPr bwMode="auto">
                    <a:xfrm>
                      <a:off x="0" y="0"/>
                      <a:ext cx="3286125" cy="6350"/>
                    </a:xfrm>
                    <a:prstGeom prst="rect">
                      <a:avLst/>
                    </a:prstGeom>
                    <a:noFill/>
                  </pic:spPr>
                </pic:pic>
              </a:graphicData>
            </a:graphic>
          </wp:anchor>
        </w:drawing>
        <w:drawing>
          <wp:anchor simplePos="0" relativeHeight="251657728" behindDoc="1" locked="0" layoutInCell="0" allowOverlap="1">
            <wp:simplePos x="0" y="0"/>
            <wp:positionH relativeFrom="column">
              <wp:posOffset>2681605</wp:posOffset>
            </wp:positionH>
            <wp:positionV relativeFrom="paragraph">
              <wp:posOffset>-778510</wp:posOffset>
            </wp:positionV>
            <wp:extent cx="328612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7">
                      <a:extLst>
                        <a:ext uri="{28A0092B-C50C-407E-A947-70E740481C1C}"/>
                      </a:extLst>
                    </a:blip>
                    <a:srcRect/>
                    <a:stretch>
                      <a:fillRect/>
                    </a:stretch>
                  </pic:blipFill>
                  <pic:spPr bwMode="auto">
                    <a:xfrm>
                      <a:off x="0" y="0"/>
                      <a:ext cx="3286125" cy="63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 / 15</w:t>
      </w:r>
    </w:p>
    <w:p>
      <w:pPr>
        <w:sectPr>
          <w:pgSz w:w="11900" w:h="16838" w:orient="portrait"/>
          <w:cols w:equalWidth="0" w:num="1">
            <w:col w:w="9406"/>
          </w:cols>
          <w:pgMar w:left="1254" w:top="1440" w:right="1246" w:bottom="0" w:gutter="0" w:footer="0" w:header="0"/>
          <w:type w:val="continuous"/>
        </w:sectPr>
      </w:pPr>
    </w:p>
    <w:bookmarkStart w:id="186" w:name="page187"/>
    <w:bookmarkEnd w:id="186"/>
    <w:tbl>
      <w:tblPr>
        <w:tblLayout w:type="fixed"/>
        <w:tblInd w:w="0" w:type="dxa"/>
        <w:tblCellMar>
          <w:top w:w="0" w:type="dxa"/>
          <w:left w:w="0" w:type="dxa"/>
          <w:bottom w:w="0" w:type="dxa"/>
          <w:right w:w="0" w:type="dxa"/>
        </w:tblCellMar>
      </w:tblPr>
      <w:tr>
        <w:trPr>
          <w:trHeight w:val="304"/>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Rest of World</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2,996</w:t>
            </w:r>
          </w:p>
        </w:tc>
        <w:tc>
          <w:tcPr>
            <w:tcW w:w="3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2,812</w:t>
            </w:r>
          </w:p>
        </w:tc>
        <w:tc>
          <w:tcPr>
            <w:tcW w:w="3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2,631</w:t>
            </w:r>
          </w:p>
        </w:tc>
        <w:tc>
          <w:tcPr>
            <w:tcW w:w="3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372</w:t>
            </w:r>
          </w:p>
        </w:tc>
        <w:tc>
          <w:tcPr>
            <w:tcW w:w="3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341</w:t>
            </w:r>
          </w:p>
        </w:tc>
      </w:tr>
      <w:tr>
        <w:trPr>
          <w:trHeight w:val="274"/>
        </w:trPr>
        <w:tc>
          <w:tcPr>
            <w:tcW w:w="4460" w:type="dxa"/>
            <w:vAlign w:val="bottom"/>
          </w:tcPr>
          <w:p>
            <w:pPr>
              <w:spacing w:after="0"/>
              <w:rPr>
                <w:sz w:val="20"/>
                <w:szCs w:val="20"/>
                <w:color w:val="auto"/>
              </w:rPr>
            </w:pPr>
            <w:r>
              <w:rPr>
                <w:rFonts w:ascii="Arial" w:cs="Arial" w:eastAsia="Arial" w:hAnsi="Arial"/>
                <w:sz w:val="20"/>
                <w:szCs w:val="20"/>
                <w:color w:val="auto"/>
              </w:rPr>
              <w:t>Total Foreign Countries</w:t>
            </w:r>
          </w:p>
        </w:tc>
        <w:tc>
          <w:tcPr>
            <w:tcW w:w="700" w:type="dxa"/>
            <w:vAlign w:val="bottom"/>
          </w:tcPr>
          <w:p>
            <w:pPr>
              <w:jc w:val="right"/>
              <w:spacing w:after="0"/>
              <w:rPr>
                <w:sz w:val="20"/>
                <w:szCs w:val="20"/>
                <w:color w:val="auto"/>
              </w:rPr>
            </w:pPr>
            <w:r>
              <w:rPr>
                <w:rFonts w:ascii="Arial" w:cs="Arial" w:eastAsia="Arial" w:hAnsi="Arial"/>
                <w:sz w:val="20"/>
                <w:szCs w:val="20"/>
                <w:color w:val="auto"/>
              </w:rPr>
              <w:t>9,565</w:t>
            </w: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9,799</w:t>
            </w: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9,365</w:t>
            </w:r>
          </w:p>
        </w:tc>
        <w:tc>
          <w:tcPr>
            <w:tcW w:w="36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20"/>
                <w:szCs w:val="20"/>
                <w:color w:val="auto"/>
              </w:rPr>
              <w:t>1,175</w:t>
            </w:r>
          </w:p>
        </w:tc>
        <w:tc>
          <w:tcPr>
            <w:tcW w:w="34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20"/>
                <w:szCs w:val="20"/>
                <w:color w:val="auto"/>
              </w:rPr>
              <w:t>1,138</w:t>
            </w:r>
          </w:p>
        </w:tc>
      </w:tr>
      <w:tr>
        <w:trPr>
          <w:trHeight w:val="51"/>
        </w:trPr>
        <w:tc>
          <w:tcPr>
            <w:tcW w:w="4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74"/>
        </w:trPr>
        <w:tc>
          <w:tcPr>
            <w:tcW w:w="44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9,708</w:t>
            </w:r>
          </w:p>
        </w:tc>
        <w:tc>
          <w:tcPr>
            <w:tcW w:w="3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9,930</w:t>
            </w:r>
          </w:p>
        </w:tc>
        <w:tc>
          <w:tcPr>
            <w:tcW w:w="3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9,483</w:t>
            </w:r>
          </w:p>
        </w:tc>
        <w:tc>
          <w:tcPr>
            <w:tcW w:w="36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1,182</w:t>
            </w:r>
          </w:p>
        </w:tc>
        <w:tc>
          <w:tcPr>
            <w:tcW w:w="3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1,146</w:t>
            </w:r>
          </w:p>
        </w:tc>
      </w:tr>
      <w:tr>
        <w:trPr>
          <w:trHeight w:val="86"/>
        </w:trPr>
        <w:tc>
          <w:tcPr>
            <w:tcW w:w="446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-440055</wp:posOffset>
            </wp:positionV>
            <wp:extent cx="3286125"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38">
                      <a:extLst>
                        <a:ext uri="{28A0092B-C50C-407E-A947-70E740481C1C}"/>
                      </a:extLst>
                    </a:blip>
                    <a:srcRect/>
                    <a:stretch>
                      <a:fillRect/>
                    </a:stretch>
                  </pic:blipFill>
                  <pic:spPr bwMode="auto">
                    <a:xfrm>
                      <a:off x="0" y="0"/>
                      <a:ext cx="3286125" cy="6350"/>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-233680</wp:posOffset>
            </wp:positionV>
            <wp:extent cx="3286125"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39">
                      <a:extLst>
                        <a:ext uri="{28A0092B-C50C-407E-A947-70E740481C1C}"/>
                      </a:extLst>
                    </a:blip>
                    <a:srcRect/>
                    <a:stretch>
                      <a:fillRect/>
                    </a:stretch>
                  </pic:blipFill>
                  <pic:spPr bwMode="auto">
                    <a:xfrm>
                      <a:off x="0" y="0"/>
                      <a:ext cx="3286125" cy="6350"/>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-27940</wp:posOffset>
            </wp:positionV>
            <wp:extent cx="3286125" cy="285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0">
                      <a:extLst>
                        <a:ext uri="{28A0092B-C50C-407E-A947-70E740481C1C}"/>
                      </a:extLst>
                    </a:blip>
                    <a:srcRect/>
                    <a:stretch>
                      <a:fillRect/>
                    </a:stretch>
                  </pic:blipFill>
                  <pic:spPr bwMode="auto">
                    <a:xfrm>
                      <a:off x="0" y="0"/>
                      <a:ext cx="3286125"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wp:posOffset>
            </wp:positionV>
            <wp:extent cx="795655"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1">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Tangible long-lived assets consist of fixed assets and ROU assets.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15</w:t>
      </w:r>
    </w:p>
    <w:p>
      <w:pPr>
        <w:sectPr>
          <w:pgSz w:w="11900" w:h="16838" w:orient="portrait"/>
          <w:cols w:equalWidth="0" w:num="1">
            <w:col w:w="9400"/>
          </w:cols>
          <w:pgMar w:left="1260" w:top="1133" w:right="1246" w:bottom="0" w:gutter="0" w:footer="0" w:header="0"/>
          <w:type w:val="continuous"/>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Restructuring Costs</w:t>
      </w:r>
    </w:p>
    <w:p>
      <w:pPr>
        <w:spacing w:after="0" w:line="280" w:lineRule="exact"/>
        <w:rPr>
          <w:sz w:val="20"/>
          <w:szCs w:val="20"/>
          <w:color w:val="auto"/>
        </w:rPr>
      </w:pPr>
    </w:p>
    <w:p>
      <w:pPr>
        <w:ind w:right="100"/>
        <w:spacing w:after="0" w:line="310" w:lineRule="auto"/>
        <w:rPr>
          <w:sz w:val="20"/>
          <w:szCs w:val="20"/>
          <w:color w:val="auto"/>
        </w:rPr>
      </w:pPr>
      <w:r>
        <w:rPr>
          <w:rFonts w:ascii="Arial" w:cs="Arial" w:eastAsia="Arial" w:hAnsi="Arial"/>
          <w:sz w:val="20"/>
          <w:szCs w:val="20"/>
          <w:color w:val="auto"/>
        </w:rPr>
        <w:t>In the fourth quarter of 2024, the Company concluded a three-year ‘Transformation program’ designed to enhance operations, optimize technology and align its real estate footprint to its new ways of working. The program incurred cumulative costs of $1.115 billion and capital expenditures of $130 million, resulting in a total investment of $1.245 billion. Although the Transformation program concluded in 2024, additional cash outflows occurred in 2025 as a result of the settlement of accrued costs.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main categories of charges were in the following four areas:</w:t>
      </w:r>
    </w:p>
    <w:p>
      <w:pPr>
        <w:spacing w:after="0" w:line="245" w:lineRule="exact"/>
        <w:rPr>
          <w:sz w:val="20"/>
          <w:szCs w:val="20"/>
          <w:color w:val="auto"/>
        </w:rPr>
      </w:pPr>
    </w:p>
    <w:p>
      <w:pPr>
        <w:ind w:left="620" w:right="120" w:hanging="313"/>
        <w:spacing w:after="0" w:line="472" w:lineRule="auto"/>
        <w:tabs>
          <w:tab w:leader="none" w:pos="6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Real estate rationalization — included costs to align the real estate footprint to the new ways of working (hybrid work) as well as breakage fees and the impairment of ROU assets and other related leasehold assets.</w:t>
      </w:r>
    </w:p>
    <w:p>
      <w:pPr>
        <w:spacing w:after="0" w:line="71" w:lineRule="exact"/>
        <w:rPr>
          <w:rFonts w:ascii="Arial" w:cs="Arial" w:eastAsia="Arial" w:hAnsi="Arial"/>
          <w:sz w:val="17"/>
          <w:szCs w:val="17"/>
          <w:color w:val="auto"/>
        </w:rPr>
      </w:pPr>
    </w:p>
    <w:p>
      <w:pPr>
        <w:ind w:left="620" w:right="100" w:hanging="313"/>
        <w:spacing w:after="0" w:line="372" w:lineRule="auto"/>
        <w:tabs>
          <w:tab w:leader="none" w:pos="6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Technology modernization — these charges were incurred in moving to common platforms and technologies, including migrating certain platforms and applications to the cloud. This category included the impairment of technology assets that were duplicative or no longer revenue-producing, as well as costs for technology investments that did not qualify for capitalization.</w:t>
      </w:r>
    </w:p>
    <w:p>
      <w:pPr>
        <w:spacing w:after="0" w:line="134" w:lineRule="exact"/>
        <w:rPr>
          <w:rFonts w:ascii="Arial" w:cs="Arial" w:eastAsia="Arial" w:hAnsi="Arial"/>
          <w:sz w:val="20"/>
          <w:szCs w:val="20"/>
          <w:color w:val="auto"/>
        </w:rPr>
      </w:pPr>
    </w:p>
    <w:p>
      <w:pPr>
        <w:ind w:left="620" w:right="60" w:hanging="313"/>
        <w:spacing w:after="0" w:line="372" w:lineRule="auto"/>
        <w:tabs>
          <w:tab w:leader="none" w:pos="6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Process optimization — these costs were incurred in the right-shoring strategy and automation of our operations, which included optimizing resource deployment and appropriate colleague alignment. These costs included process and organizational design costs, severance and separation-related costs and temporary retention costs.</w:t>
      </w:r>
    </w:p>
    <w:p>
      <w:pPr>
        <w:spacing w:after="0" w:line="134" w:lineRule="exact"/>
        <w:rPr>
          <w:rFonts w:ascii="Arial" w:cs="Arial" w:eastAsia="Arial" w:hAnsi="Arial"/>
          <w:sz w:val="20"/>
          <w:szCs w:val="20"/>
          <w:color w:val="auto"/>
        </w:rPr>
      </w:pPr>
    </w:p>
    <w:p>
      <w:pPr>
        <w:ind w:left="620" w:right="160" w:hanging="313"/>
        <w:spacing w:after="0" w:line="365" w:lineRule="auto"/>
        <w:tabs>
          <w:tab w:leader="none" w:pos="6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Other — other costs not included above including fees for professional services, other contract terminations not related to the above categories and supplier migration costs.</w:t>
      </w:r>
    </w:p>
    <w:p>
      <w:pPr>
        <w:spacing w:after="0" w:line="95" w:lineRule="exact"/>
        <w:rPr>
          <w:sz w:val="20"/>
          <w:szCs w:val="20"/>
          <w:color w:val="auto"/>
        </w:rPr>
      </w:pPr>
    </w:p>
    <w:p>
      <w:pPr>
        <w:spacing w:after="0" w:line="311" w:lineRule="auto"/>
        <w:rPr>
          <w:sz w:val="20"/>
          <w:szCs w:val="20"/>
          <w:color w:val="auto"/>
        </w:rPr>
      </w:pPr>
      <w:r>
        <w:rPr>
          <w:rFonts w:ascii="Arial" w:cs="Arial" w:eastAsia="Arial" w:hAnsi="Arial"/>
          <w:sz w:val="20"/>
          <w:szCs w:val="20"/>
          <w:color w:val="auto"/>
        </w:rPr>
        <w:t>Certain costs under the Transformation program were accounted for under ASC 420 and are included as restructuring costs in the consolidated statements of comprehensive income. Other costs incurred under the Transformation program are included in transaction and transformation and were $378 million and $347 million for the years ended December 31, 2024 and 2023, respectively. An analysis of total restructuring costs incurred under the Transformation program by category and by segment and corporate functions, from commencement to December 31, 2024,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6"/>
                <w:szCs w:val="16"/>
                <w:b w:val="1"/>
                <w:bCs w:val="1"/>
                <w:color w:val="auto"/>
              </w:rPr>
              <w:t>HWC</w:t>
            </w:r>
          </w:p>
        </w:tc>
        <w:tc>
          <w:tcPr>
            <w:tcW w:w="660" w:type="dxa"/>
            <w:vAlign w:val="bottom"/>
          </w:tcPr>
          <w:p>
            <w:pPr>
              <w:spacing w:after="0"/>
              <w:rPr>
                <w:sz w:val="16"/>
                <w:szCs w:val="16"/>
                <w:color w:val="auto"/>
              </w:rPr>
            </w:pPr>
          </w:p>
        </w:tc>
        <w:tc>
          <w:tcPr>
            <w:tcW w:w="1100" w:type="dxa"/>
            <w:vAlign w:val="bottom"/>
          </w:tcPr>
          <w:p>
            <w:pPr>
              <w:jc w:val="right"/>
              <w:ind w:right="542"/>
              <w:spacing w:after="0"/>
              <w:rPr>
                <w:sz w:val="20"/>
                <w:szCs w:val="20"/>
                <w:color w:val="auto"/>
              </w:rPr>
            </w:pPr>
            <w:r>
              <w:rPr>
                <w:rFonts w:ascii="Arial" w:cs="Arial" w:eastAsia="Arial" w:hAnsi="Arial"/>
                <w:sz w:val="16"/>
                <w:szCs w:val="16"/>
                <w:b w:val="1"/>
                <w:bCs w:val="1"/>
                <w:color w:val="auto"/>
              </w:rPr>
              <w:t>R&amp;B</w:t>
            </w:r>
          </w:p>
        </w:tc>
        <w:tc>
          <w:tcPr>
            <w:tcW w:w="980" w:type="dxa"/>
            <w:vAlign w:val="bottom"/>
          </w:tcPr>
          <w:p>
            <w:pPr>
              <w:jc w:val="right"/>
              <w:ind w:right="162"/>
              <w:spacing w:after="0"/>
              <w:rPr>
                <w:sz w:val="20"/>
                <w:szCs w:val="20"/>
                <w:color w:val="auto"/>
              </w:rPr>
            </w:pPr>
            <w:r>
              <w:rPr>
                <w:rFonts w:ascii="Arial" w:cs="Arial" w:eastAsia="Arial" w:hAnsi="Arial"/>
                <w:sz w:val="16"/>
                <w:szCs w:val="16"/>
                <w:b w:val="1"/>
                <w:bCs w:val="1"/>
                <w:color w:val="auto"/>
                <w:w w:val="91"/>
              </w:rPr>
              <w:t>Corporate</w:t>
            </w:r>
          </w:p>
        </w:tc>
        <w:tc>
          <w:tcPr>
            <w:tcW w:w="300" w:type="dxa"/>
            <w:vAlign w:val="bottom"/>
          </w:tcPr>
          <w:p>
            <w:pPr>
              <w:spacing w:after="0"/>
              <w:rPr>
                <w:sz w:val="16"/>
                <w:szCs w:val="16"/>
                <w:color w:val="auto"/>
              </w:rPr>
            </w:pPr>
          </w:p>
        </w:tc>
        <w:tc>
          <w:tcPr>
            <w:tcW w:w="860" w:type="dxa"/>
            <w:vAlign w:val="bottom"/>
          </w:tcPr>
          <w:p>
            <w:pPr>
              <w:jc w:val="right"/>
              <w:ind w:right="302"/>
              <w:spacing w:after="0"/>
              <w:rPr>
                <w:sz w:val="20"/>
                <w:szCs w:val="20"/>
                <w:color w:val="auto"/>
              </w:rPr>
            </w:pPr>
            <w:r>
              <w:rPr>
                <w:rFonts w:ascii="Arial" w:cs="Arial" w:eastAsia="Arial" w:hAnsi="Arial"/>
                <w:sz w:val="16"/>
                <w:szCs w:val="16"/>
                <w:b w:val="1"/>
                <w:bCs w:val="1"/>
                <w:color w:val="auto"/>
              </w:rPr>
              <w:t>Total</w:t>
            </w:r>
          </w:p>
        </w:tc>
      </w:tr>
      <w:tr>
        <w:trPr>
          <w:trHeight w:val="42"/>
        </w:trPr>
        <w:tc>
          <w:tcPr>
            <w:tcW w:w="35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0"/>
        </w:trPr>
        <w:tc>
          <w:tcPr>
            <w:tcW w:w="3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2021</w:t>
            </w:r>
          </w:p>
        </w:tc>
        <w:tc>
          <w:tcPr>
            <w:tcW w:w="19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r>
      <w:tr>
        <w:trPr>
          <w:trHeight w:val="259"/>
        </w:trPr>
        <w:tc>
          <w:tcPr>
            <w:tcW w:w="3520" w:type="dxa"/>
            <w:vAlign w:val="bottom"/>
          </w:tcPr>
          <w:p>
            <w:pPr>
              <w:ind w:left="80"/>
              <w:spacing w:after="0"/>
              <w:rPr>
                <w:sz w:val="20"/>
                <w:szCs w:val="20"/>
                <w:color w:val="auto"/>
              </w:rPr>
            </w:pPr>
            <w:r>
              <w:rPr>
                <w:rFonts w:ascii="Arial" w:cs="Arial" w:eastAsia="Arial" w:hAnsi="Arial"/>
                <w:sz w:val="20"/>
                <w:szCs w:val="20"/>
                <w:color w:val="auto"/>
              </w:rPr>
              <w:t>Real estate rationalization</w:t>
            </w:r>
          </w:p>
        </w:tc>
        <w:tc>
          <w:tcPr>
            <w:tcW w:w="1980" w:type="dxa"/>
            <w:vAlign w:val="bottom"/>
          </w:tcPr>
          <w:p>
            <w:pPr>
              <w:jc w:val="right"/>
              <w:ind w:right="53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  $</w:t>
            </w:r>
          </w:p>
        </w:tc>
        <w:tc>
          <w:tcPr>
            <w:tcW w:w="1100" w:type="dxa"/>
            <w:vAlign w:val="bottom"/>
          </w:tcPr>
          <w:p>
            <w:pPr>
              <w:jc w:val="right"/>
              <w:spacing w:after="0"/>
              <w:rPr>
                <w:sz w:val="20"/>
                <w:szCs w:val="20"/>
                <w:color w:val="auto"/>
              </w:rPr>
            </w:pPr>
            <w:r>
              <w:rPr>
                <w:rFonts w:ascii="Arial" w:cs="Arial" w:eastAsia="Arial" w:hAnsi="Arial"/>
                <w:sz w:val="20"/>
                <w:szCs w:val="20"/>
                <w:color w:val="auto"/>
              </w:rPr>
              <w:t>—  $</w:t>
            </w:r>
          </w:p>
        </w:tc>
        <w:tc>
          <w:tcPr>
            <w:tcW w:w="980" w:type="dxa"/>
            <w:vAlign w:val="bottom"/>
          </w:tcPr>
          <w:p>
            <w:pPr>
              <w:jc w:val="right"/>
              <w:ind w:right="22"/>
              <w:spacing w:after="0"/>
              <w:rPr>
                <w:sz w:val="20"/>
                <w:szCs w:val="20"/>
                <w:color w:val="auto"/>
              </w:rPr>
            </w:pPr>
            <w:r>
              <w:rPr>
                <w:rFonts w:ascii="Arial" w:cs="Arial" w:eastAsia="Arial" w:hAnsi="Arial"/>
                <w:sz w:val="20"/>
                <w:szCs w:val="20"/>
                <w:color w:val="auto"/>
              </w:rPr>
              <w:t>19</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
              <w:spacing w:after="0"/>
              <w:rPr>
                <w:sz w:val="20"/>
                <w:szCs w:val="20"/>
                <w:color w:val="auto"/>
              </w:rPr>
            </w:pPr>
            <w:r>
              <w:rPr>
                <w:rFonts w:ascii="Arial" w:cs="Arial" w:eastAsia="Arial" w:hAnsi="Arial"/>
                <w:sz w:val="20"/>
                <w:szCs w:val="20"/>
                <w:color w:val="auto"/>
              </w:rPr>
              <w:t>19</w:t>
            </w:r>
          </w:p>
        </w:tc>
      </w:tr>
      <w:tr>
        <w:trPr>
          <w:trHeight w:val="41"/>
        </w:trPr>
        <w:tc>
          <w:tcPr>
            <w:tcW w:w="35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0"/>
        </w:trPr>
        <w:tc>
          <w:tcPr>
            <w:tcW w:w="35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Technology modernization</w:t>
            </w:r>
          </w:p>
        </w:tc>
        <w:tc>
          <w:tcPr>
            <w:tcW w:w="19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ind w:right="242"/>
              <w:spacing w:after="0"/>
              <w:rPr>
                <w:sz w:val="20"/>
                <w:szCs w:val="20"/>
                <w:color w:val="auto"/>
              </w:rPr>
            </w:pPr>
            <w:r>
              <w:rPr>
                <w:rFonts w:ascii="Arial" w:cs="Arial" w:eastAsia="Arial" w:hAnsi="Arial"/>
                <w:sz w:val="20"/>
                <w:szCs w:val="20"/>
                <w:color w:val="auto"/>
              </w:rPr>
              <w:t>5</w:t>
            </w:r>
          </w:p>
        </w:tc>
        <w:tc>
          <w:tcPr>
            <w:tcW w:w="98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5</w:t>
            </w:r>
          </w:p>
        </w:tc>
      </w:tr>
      <w:tr>
        <w:trPr>
          <w:trHeight w:val="259"/>
        </w:trPr>
        <w:tc>
          <w:tcPr>
            <w:tcW w:w="3520" w:type="dxa"/>
            <w:vAlign w:val="bottom"/>
          </w:tcPr>
          <w:p>
            <w:pPr>
              <w:ind w:left="80"/>
              <w:spacing w:after="0"/>
              <w:rPr>
                <w:sz w:val="20"/>
                <w:szCs w:val="20"/>
                <w:color w:val="auto"/>
              </w:rPr>
            </w:pPr>
            <w:r>
              <w:rPr>
                <w:rFonts w:ascii="Arial" w:cs="Arial" w:eastAsia="Arial" w:hAnsi="Arial"/>
                <w:sz w:val="20"/>
                <w:szCs w:val="20"/>
                <w:color w:val="auto"/>
              </w:rPr>
              <w:t>Process optimization</w:t>
            </w:r>
          </w:p>
        </w:tc>
        <w:tc>
          <w:tcPr>
            <w:tcW w:w="1980" w:type="dxa"/>
            <w:vAlign w:val="bottom"/>
          </w:tcPr>
          <w:p>
            <w:pPr>
              <w:spacing w:after="0"/>
              <w:rPr>
                <w:sz w:val="22"/>
                <w:szCs w:val="22"/>
                <w:color w:val="auto"/>
              </w:rPr>
            </w:pPr>
          </w:p>
        </w:tc>
        <w:tc>
          <w:tcPr>
            <w:tcW w:w="660" w:type="dxa"/>
            <w:vAlign w:val="bottom"/>
          </w:tcPr>
          <w:p>
            <w:pPr>
              <w:jc w:val="right"/>
              <w:ind w:right="32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2"/>
                <w:szCs w:val="22"/>
                <w:color w:val="auto"/>
              </w:rPr>
            </w:pPr>
          </w:p>
        </w:tc>
        <w:tc>
          <w:tcPr>
            <w:tcW w:w="860" w:type="dxa"/>
            <w:vAlign w:val="bottom"/>
          </w:tcPr>
          <w:p>
            <w:pPr>
              <w:jc w:val="right"/>
              <w:ind w:right="2"/>
              <w:spacing w:after="0"/>
              <w:rPr>
                <w:sz w:val="20"/>
                <w:szCs w:val="20"/>
                <w:color w:val="auto"/>
              </w:rPr>
            </w:pPr>
            <w:r>
              <w:rPr>
                <w:rFonts w:ascii="Arial" w:cs="Arial" w:eastAsia="Arial" w:hAnsi="Arial"/>
                <w:sz w:val="20"/>
                <w:szCs w:val="20"/>
                <w:color w:val="auto"/>
              </w:rPr>
              <w:t>—</w:t>
            </w:r>
          </w:p>
        </w:tc>
      </w:tr>
      <w:tr>
        <w:trPr>
          <w:trHeight w:val="41"/>
        </w:trPr>
        <w:tc>
          <w:tcPr>
            <w:tcW w:w="35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0"/>
        </w:trPr>
        <w:tc>
          <w:tcPr>
            <w:tcW w:w="35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Other</w:t>
            </w:r>
          </w:p>
        </w:tc>
        <w:tc>
          <w:tcPr>
            <w:tcW w:w="19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ind w:right="242"/>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20"/>
                <w:szCs w:val="20"/>
                <w:color w:val="auto"/>
              </w:rPr>
              <w:t>2</w:t>
            </w:r>
          </w:p>
        </w:tc>
        <w:tc>
          <w:tcPr>
            <w:tcW w:w="3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2</w:t>
            </w:r>
          </w:p>
        </w:tc>
      </w:tr>
      <w:tr>
        <w:trPr>
          <w:trHeight w:val="259"/>
        </w:trPr>
        <w:tc>
          <w:tcPr>
            <w:tcW w:w="3520" w:type="dxa"/>
            <w:vAlign w:val="bottom"/>
          </w:tcPr>
          <w:p>
            <w:pPr>
              <w:spacing w:after="0"/>
              <w:rPr>
                <w:sz w:val="20"/>
                <w:szCs w:val="20"/>
                <w:color w:val="auto"/>
              </w:rPr>
            </w:pPr>
            <w:r>
              <w:rPr>
                <w:rFonts w:ascii="Arial" w:cs="Arial" w:eastAsia="Arial" w:hAnsi="Arial"/>
                <w:sz w:val="20"/>
                <w:szCs w:val="20"/>
                <w:b w:val="1"/>
                <w:bCs w:val="1"/>
                <w:color w:val="auto"/>
              </w:rPr>
              <w:t>2022</w:t>
            </w:r>
          </w:p>
        </w:tc>
        <w:tc>
          <w:tcPr>
            <w:tcW w:w="1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41"/>
        </w:trPr>
        <w:tc>
          <w:tcPr>
            <w:tcW w:w="35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0"/>
        </w:trPr>
        <w:tc>
          <w:tcPr>
            <w:tcW w:w="35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Real estate rationalization</w:t>
            </w:r>
          </w:p>
        </w:tc>
        <w:tc>
          <w:tcPr>
            <w:tcW w:w="19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ind w:right="242"/>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20"/>
                <w:szCs w:val="20"/>
                <w:color w:val="auto"/>
              </w:rPr>
              <w:t>79</w:t>
            </w:r>
          </w:p>
        </w:tc>
        <w:tc>
          <w:tcPr>
            <w:tcW w:w="3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79</w:t>
            </w:r>
          </w:p>
        </w:tc>
      </w:tr>
      <w:tr>
        <w:trPr>
          <w:trHeight w:val="259"/>
        </w:trPr>
        <w:tc>
          <w:tcPr>
            <w:tcW w:w="3520" w:type="dxa"/>
            <w:vAlign w:val="bottom"/>
          </w:tcPr>
          <w:p>
            <w:pPr>
              <w:ind w:left="80"/>
              <w:spacing w:after="0"/>
              <w:rPr>
                <w:sz w:val="20"/>
                <w:szCs w:val="20"/>
                <w:color w:val="auto"/>
              </w:rPr>
            </w:pPr>
            <w:r>
              <w:rPr>
                <w:rFonts w:ascii="Arial" w:cs="Arial" w:eastAsia="Arial" w:hAnsi="Arial"/>
                <w:sz w:val="20"/>
                <w:szCs w:val="20"/>
                <w:color w:val="auto"/>
              </w:rPr>
              <w:t>Technology modernization</w:t>
            </w:r>
          </w:p>
        </w:tc>
        <w:tc>
          <w:tcPr>
            <w:tcW w:w="1980" w:type="dxa"/>
            <w:vAlign w:val="bottom"/>
          </w:tcPr>
          <w:p>
            <w:pPr>
              <w:spacing w:after="0"/>
              <w:rPr>
                <w:sz w:val="22"/>
                <w:szCs w:val="22"/>
                <w:color w:val="auto"/>
              </w:rPr>
            </w:pPr>
          </w:p>
        </w:tc>
        <w:tc>
          <w:tcPr>
            <w:tcW w:w="660" w:type="dxa"/>
            <w:vAlign w:val="bottom"/>
          </w:tcPr>
          <w:p>
            <w:pPr>
              <w:jc w:val="right"/>
              <w:ind w:right="32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42"/>
              <w:spacing w:after="0"/>
              <w:rPr>
                <w:sz w:val="20"/>
                <w:szCs w:val="20"/>
                <w:color w:val="auto"/>
              </w:rPr>
            </w:pPr>
            <w:r>
              <w:rPr>
                <w:rFonts w:ascii="Arial" w:cs="Arial" w:eastAsia="Arial" w:hAnsi="Arial"/>
                <w:sz w:val="20"/>
                <w:szCs w:val="20"/>
                <w:color w:val="auto"/>
              </w:rPr>
              <w:t>3</w:t>
            </w:r>
          </w:p>
        </w:tc>
        <w:tc>
          <w:tcPr>
            <w:tcW w:w="980" w:type="dxa"/>
            <w:vAlign w:val="bottom"/>
          </w:tcPr>
          <w:p>
            <w:pPr>
              <w:jc w:val="right"/>
              <w:ind w:right="22"/>
              <w:spacing w:after="0"/>
              <w:rPr>
                <w:sz w:val="20"/>
                <w:szCs w:val="20"/>
                <w:color w:val="auto"/>
              </w:rPr>
            </w:pPr>
            <w:r>
              <w:rPr>
                <w:rFonts w:ascii="Arial" w:cs="Arial" w:eastAsia="Arial" w:hAnsi="Arial"/>
                <w:sz w:val="20"/>
                <w:szCs w:val="20"/>
                <w:color w:val="auto"/>
              </w:rPr>
              <w:t>16</w:t>
            </w:r>
          </w:p>
        </w:tc>
        <w:tc>
          <w:tcPr>
            <w:tcW w:w="300" w:type="dxa"/>
            <w:vAlign w:val="bottom"/>
          </w:tcPr>
          <w:p>
            <w:pPr>
              <w:spacing w:after="0"/>
              <w:rPr>
                <w:sz w:val="22"/>
                <w:szCs w:val="22"/>
                <w:color w:val="auto"/>
              </w:rPr>
            </w:pPr>
          </w:p>
        </w:tc>
        <w:tc>
          <w:tcPr>
            <w:tcW w:w="860" w:type="dxa"/>
            <w:vAlign w:val="bottom"/>
          </w:tcPr>
          <w:p>
            <w:pPr>
              <w:jc w:val="right"/>
              <w:ind w:right="2"/>
              <w:spacing w:after="0"/>
              <w:rPr>
                <w:sz w:val="20"/>
                <w:szCs w:val="20"/>
                <w:color w:val="auto"/>
              </w:rPr>
            </w:pPr>
            <w:r>
              <w:rPr>
                <w:rFonts w:ascii="Arial" w:cs="Arial" w:eastAsia="Arial" w:hAnsi="Arial"/>
                <w:sz w:val="20"/>
                <w:szCs w:val="20"/>
                <w:color w:val="auto"/>
              </w:rPr>
              <w:t>19</w:t>
            </w:r>
          </w:p>
        </w:tc>
      </w:tr>
      <w:tr>
        <w:trPr>
          <w:trHeight w:val="41"/>
        </w:trPr>
        <w:tc>
          <w:tcPr>
            <w:tcW w:w="35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0"/>
        </w:trPr>
        <w:tc>
          <w:tcPr>
            <w:tcW w:w="35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Process optimization</w:t>
            </w:r>
          </w:p>
        </w:tc>
        <w:tc>
          <w:tcPr>
            <w:tcW w:w="198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20"/>
              <w:spacing w:after="0"/>
              <w:rPr>
                <w:sz w:val="20"/>
                <w:szCs w:val="20"/>
                <w:color w:val="auto"/>
              </w:rPr>
            </w:pPr>
            <w:r>
              <w:rPr>
                <w:rFonts w:ascii="Arial" w:cs="Arial" w:eastAsia="Arial" w:hAnsi="Arial"/>
                <w:sz w:val="20"/>
                <w:szCs w:val="20"/>
                <w:color w:val="auto"/>
              </w:rPr>
              <w:t>1</w:t>
            </w:r>
          </w:p>
        </w:tc>
        <w:tc>
          <w:tcPr>
            <w:tcW w:w="1100" w:type="dxa"/>
            <w:vAlign w:val="bottom"/>
            <w:tcBorders>
              <w:bottom w:val="single" w:sz="8" w:color="CFF0FC"/>
            </w:tcBorders>
            <w:shd w:val="clear" w:color="auto" w:fill="CFF0FC"/>
          </w:tcPr>
          <w:p>
            <w:pPr>
              <w:jc w:val="right"/>
              <w:ind w:right="242"/>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1</w:t>
            </w:r>
          </w:p>
        </w:tc>
      </w:tr>
      <w:tr>
        <w:trPr>
          <w:trHeight w:val="259"/>
        </w:trPr>
        <w:tc>
          <w:tcPr>
            <w:tcW w:w="3520" w:type="dxa"/>
            <w:vAlign w:val="bottom"/>
          </w:tcPr>
          <w:p>
            <w:pPr>
              <w:ind w:left="80"/>
              <w:spacing w:after="0"/>
              <w:rPr>
                <w:sz w:val="20"/>
                <w:szCs w:val="20"/>
                <w:color w:val="auto"/>
              </w:rPr>
            </w:pPr>
            <w:r>
              <w:rPr>
                <w:rFonts w:ascii="Arial" w:cs="Arial" w:eastAsia="Arial" w:hAnsi="Arial"/>
                <w:sz w:val="20"/>
                <w:szCs w:val="20"/>
                <w:color w:val="auto"/>
              </w:rPr>
              <w:t>Other</w:t>
            </w:r>
          </w:p>
        </w:tc>
        <w:tc>
          <w:tcPr>
            <w:tcW w:w="1980" w:type="dxa"/>
            <w:vAlign w:val="bottom"/>
          </w:tcPr>
          <w:p>
            <w:pPr>
              <w:spacing w:after="0"/>
              <w:rPr>
                <w:sz w:val="22"/>
                <w:szCs w:val="22"/>
                <w:color w:val="auto"/>
              </w:rPr>
            </w:pPr>
          </w:p>
        </w:tc>
        <w:tc>
          <w:tcPr>
            <w:tcW w:w="660" w:type="dxa"/>
            <w:vAlign w:val="bottom"/>
          </w:tcPr>
          <w:p>
            <w:pPr>
              <w:jc w:val="right"/>
              <w:ind w:right="32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242"/>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2"/>
                <w:szCs w:val="22"/>
                <w:color w:val="auto"/>
              </w:rPr>
            </w:pPr>
          </w:p>
        </w:tc>
        <w:tc>
          <w:tcPr>
            <w:tcW w:w="860" w:type="dxa"/>
            <w:vAlign w:val="bottom"/>
          </w:tcPr>
          <w:p>
            <w:pPr>
              <w:jc w:val="right"/>
              <w:ind w:right="2"/>
              <w:spacing w:after="0"/>
              <w:rPr>
                <w:sz w:val="20"/>
                <w:szCs w:val="20"/>
                <w:color w:val="auto"/>
              </w:rPr>
            </w:pPr>
            <w:r>
              <w:rPr>
                <w:rFonts w:ascii="Arial" w:cs="Arial" w:eastAsia="Arial" w:hAnsi="Arial"/>
                <w:sz w:val="20"/>
                <w:szCs w:val="20"/>
                <w:color w:val="auto"/>
              </w:rPr>
              <w:t>—</w:t>
            </w:r>
          </w:p>
        </w:tc>
      </w:tr>
      <w:tr>
        <w:trPr>
          <w:trHeight w:val="41"/>
        </w:trPr>
        <w:tc>
          <w:tcPr>
            <w:tcW w:w="35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9"/>
        </w:trPr>
        <w:tc>
          <w:tcPr>
            <w:tcW w:w="35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2023</w:t>
            </w:r>
          </w:p>
        </w:tc>
        <w:tc>
          <w:tcPr>
            <w:tcW w:w="19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r>
      <w:tr>
        <w:trPr>
          <w:trHeight w:val="41"/>
        </w:trPr>
        <w:tc>
          <w:tcPr>
            <w:tcW w:w="3520" w:type="dxa"/>
            <w:vAlign w:val="bottom"/>
            <w:shd w:val="clear" w:color="auto" w:fill="CFF0FC"/>
          </w:tcPr>
          <w:p>
            <w:pPr>
              <w:spacing w:after="0"/>
              <w:rPr>
                <w:sz w:val="3"/>
                <w:szCs w:val="3"/>
                <w:color w:val="auto"/>
              </w:rPr>
            </w:pPr>
          </w:p>
        </w:tc>
        <w:tc>
          <w:tcPr>
            <w:tcW w:w="198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-2101215</wp:posOffset>
            </wp:positionV>
            <wp:extent cx="2928620"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3">
                      <a:extLst>
                        <a:ext uri="{28A0092B-C50C-407E-A947-70E740481C1C}"/>
                      </a:extLst>
                    </a:blip>
                    <a:srcRect/>
                    <a:stretch>
                      <a:fillRect/>
                    </a:stretch>
                  </pic:blipFill>
                  <pic:spPr bwMode="auto">
                    <a:xfrm>
                      <a:off x="0" y="0"/>
                      <a:ext cx="292862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15</w:t>
      </w:r>
    </w:p>
    <w:p>
      <w:pPr>
        <w:sectPr>
          <w:pgSz w:w="11900" w:h="16838" w:orient="portrait"/>
          <w:cols w:equalWidth="0" w:num="1">
            <w:col w:w="9400"/>
          </w:cols>
          <w:pgMar w:left="1260" w:top="1440" w:right="1246" w:bottom="0" w:gutter="0" w:footer="0" w:header="0"/>
          <w:type w:val="continuous"/>
        </w:sectPr>
      </w:pPr>
    </w:p>
    <w:bookmarkStart w:id="188" w:name="page189"/>
    <w:bookmarkEnd w:id="188"/>
    <w:tbl>
      <w:tblPr>
        <w:tblLayout w:type="fixed"/>
        <w:tblInd w:w="0" w:type="dxa"/>
        <w:tblCellMar>
          <w:top w:w="0" w:type="dxa"/>
          <w:left w:w="0" w:type="dxa"/>
          <w:bottom w:w="0" w:type="dxa"/>
          <w:right w:w="0" w:type="dxa"/>
        </w:tblCellMar>
      </w:tblPr>
      <w:tr>
        <w:trPr>
          <w:trHeight w:val="230"/>
        </w:trPr>
        <w:tc>
          <w:tcPr>
            <w:tcW w:w="3420" w:type="dxa"/>
            <w:vAlign w:val="bottom"/>
          </w:tcPr>
          <w:p>
            <w:pPr>
              <w:ind w:left="80"/>
              <w:spacing w:after="0"/>
              <w:rPr>
                <w:sz w:val="20"/>
                <w:szCs w:val="20"/>
                <w:color w:val="auto"/>
              </w:rPr>
            </w:pPr>
            <w:r>
              <w:rPr>
                <w:rFonts w:ascii="Arial" w:cs="Arial" w:eastAsia="Arial" w:hAnsi="Arial"/>
                <w:sz w:val="20"/>
                <w:szCs w:val="20"/>
                <w:color w:val="auto"/>
              </w:rPr>
              <w:t>Real estate rationalization</w:t>
            </w:r>
          </w:p>
        </w:tc>
        <w:tc>
          <w:tcPr>
            <w:tcW w:w="1800" w:type="dxa"/>
            <w:vAlign w:val="bottom"/>
          </w:tcPr>
          <w:p>
            <w:pPr>
              <w:spacing w:after="0"/>
              <w:rPr>
                <w:sz w:val="19"/>
                <w:szCs w:val="19"/>
                <w:color w:val="auto"/>
              </w:rPr>
            </w:pPr>
          </w:p>
        </w:tc>
        <w:tc>
          <w:tcPr>
            <w:tcW w:w="6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19"/>
                <w:szCs w:val="19"/>
                <w:color w:val="auto"/>
              </w:rPr>
            </w:pPr>
          </w:p>
        </w:tc>
        <w:tc>
          <w:tcPr>
            <w:tcW w:w="700" w:type="dxa"/>
            <w:vAlign w:val="bottom"/>
          </w:tcPr>
          <w:p>
            <w:pPr>
              <w:jc w:val="right"/>
              <w:ind w:right="20"/>
              <w:spacing w:after="0"/>
              <w:rPr>
                <w:sz w:val="20"/>
                <w:szCs w:val="20"/>
                <w:color w:val="auto"/>
              </w:rPr>
            </w:pPr>
            <w:r>
              <w:rPr>
                <w:rFonts w:ascii="Arial" w:cs="Arial" w:eastAsia="Arial" w:hAnsi="Arial"/>
                <w:sz w:val="20"/>
                <w:szCs w:val="20"/>
                <w:color w:val="auto"/>
              </w:rPr>
              <w:t>46</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41"/>
        </w:trPr>
        <w:tc>
          <w:tcPr>
            <w:tcW w:w="34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80"/>
        </w:trPr>
        <w:tc>
          <w:tcPr>
            <w:tcW w:w="3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Technology modernization</w:t>
            </w:r>
          </w:p>
        </w:tc>
        <w:tc>
          <w:tcPr>
            <w:tcW w:w="18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w:t>
            </w:r>
          </w:p>
        </w:tc>
        <w:tc>
          <w:tcPr>
            <w:tcW w:w="5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5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15</w:t>
            </w:r>
          </w:p>
        </w:tc>
        <w:tc>
          <w:tcPr>
            <w:tcW w:w="4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w:t>
            </w:r>
          </w:p>
        </w:tc>
      </w:tr>
      <w:tr>
        <w:trPr>
          <w:trHeight w:val="259"/>
        </w:trPr>
        <w:tc>
          <w:tcPr>
            <w:tcW w:w="3420" w:type="dxa"/>
            <w:vAlign w:val="bottom"/>
          </w:tcPr>
          <w:p>
            <w:pPr>
              <w:ind w:left="80"/>
              <w:spacing w:after="0"/>
              <w:rPr>
                <w:sz w:val="20"/>
                <w:szCs w:val="20"/>
                <w:color w:val="auto"/>
              </w:rPr>
            </w:pPr>
            <w:r>
              <w:rPr>
                <w:rFonts w:ascii="Arial" w:cs="Arial" w:eastAsia="Arial" w:hAnsi="Arial"/>
                <w:sz w:val="20"/>
                <w:szCs w:val="20"/>
                <w:color w:val="auto"/>
              </w:rPr>
              <w:t>Process optimization</w:t>
            </w:r>
          </w:p>
        </w:tc>
        <w:tc>
          <w:tcPr>
            <w:tcW w:w="1800" w:type="dxa"/>
            <w:vAlign w:val="bottom"/>
          </w:tcPr>
          <w:p>
            <w:pPr>
              <w:spacing w:after="0"/>
              <w:rPr>
                <w:sz w:val="22"/>
                <w:szCs w:val="22"/>
                <w:color w:val="auto"/>
              </w:rPr>
            </w:pPr>
          </w:p>
        </w:tc>
        <w:tc>
          <w:tcPr>
            <w:tcW w:w="6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1"/>
        </w:trPr>
        <w:tc>
          <w:tcPr>
            <w:tcW w:w="34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80"/>
        </w:trPr>
        <w:tc>
          <w:tcPr>
            <w:tcW w:w="3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Other</w:t>
            </w:r>
          </w:p>
        </w:tc>
        <w:tc>
          <w:tcPr>
            <w:tcW w:w="18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3420" w:type="dxa"/>
            <w:vAlign w:val="bottom"/>
          </w:tcPr>
          <w:p>
            <w:pPr>
              <w:spacing w:after="0"/>
              <w:rPr>
                <w:sz w:val="20"/>
                <w:szCs w:val="20"/>
                <w:color w:val="auto"/>
              </w:rPr>
            </w:pPr>
            <w:r>
              <w:rPr>
                <w:rFonts w:ascii="Arial" w:cs="Arial" w:eastAsia="Arial" w:hAnsi="Arial"/>
                <w:sz w:val="20"/>
                <w:szCs w:val="20"/>
                <w:b w:val="1"/>
                <w:bCs w:val="1"/>
                <w:color w:val="auto"/>
              </w:rPr>
              <w:t>2024</w:t>
            </w:r>
          </w:p>
        </w:tc>
        <w:tc>
          <w:tcPr>
            <w:tcW w:w="1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41"/>
        </w:trPr>
        <w:tc>
          <w:tcPr>
            <w:tcW w:w="34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80"/>
        </w:trPr>
        <w:tc>
          <w:tcPr>
            <w:tcW w:w="3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Real estate rationalization</w:t>
            </w:r>
          </w:p>
        </w:tc>
        <w:tc>
          <w:tcPr>
            <w:tcW w:w="18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52</w:t>
            </w:r>
          </w:p>
        </w:tc>
        <w:tc>
          <w:tcPr>
            <w:tcW w:w="4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52</w:t>
            </w:r>
          </w:p>
        </w:tc>
      </w:tr>
      <w:tr>
        <w:trPr>
          <w:trHeight w:val="259"/>
        </w:trPr>
        <w:tc>
          <w:tcPr>
            <w:tcW w:w="3420" w:type="dxa"/>
            <w:vAlign w:val="bottom"/>
          </w:tcPr>
          <w:p>
            <w:pPr>
              <w:ind w:left="80"/>
              <w:spacing w:after="0"/>
              <w:rPr>
                <w:sz w:val="20"/>
                <w:szCs w:val="20"/>
                <w:color w:val="auto"/>
              </w:rPr>
            </w:pPr>
            <w:r>
              <w:rPr>
                <w:rFonts w:ascii="Arial" w:cs="Arial" w:eastAsia="Arial" w:hAnsi="Arial"/>
                <w:sz w:val="20"/>
                <w:szCs w:val="20"/>
                <w:color w:val="auto"/>
              </w:rPr>
              <w:t>Technology modernization</w:t>
            </w:r>
          </w:p>
        </w:tc>
        <w:tc>
          <w:tcPr>
            <w:tcW w:w="1800" w:type="dxa"/>
            <w:vAlign w:val="bottom"/>
          </w:tcPr>
          <w:p>
            <w:pPr>
              <w:spacing w:after="0"/>
              <w:rPr>
                <w:sz w:val="22"/>
                <w:szCs w:val="22"/>
                <w:color w:val="auto"/>
              </w:rPr>
            </w:pPr>
          </w:p>
        </w:tc>
        <w:tc>
          <w:tcPr>
            <w:tcW w:w="640" w:type="dxa"/>
            <w:vAlign w:val="bottom"/>
          </w:tcPr>
          <w:p>
            <w:pPr>
              <w:jc w:val="right"/>
              <w:ind w:right="20"/>
              <w:spacing w:after="0"/>
              <w:rPr>
                <w:sz w:val="20"/>
                <w:szCs w:val="20"/>
                <w:color w:val="auto"/>
              </w:rPr>
            </w:pPr>
            <w:r>
              <w:rPr>
                <w:rFonts w:ascii="Arial" w:cs="Arial" w:eastAsia="Arial" w:hAnsi="Arial"/>
                <w:sz w:val="20"/>
                <w:szCs w:val="20"/>
                <w:color w:val="auto"/>
              </w:rPr>
              <w:t>2</w:t>
            </w:r>
          </w:p>
        </w:tc>
        <w:tc>
          <w:tcPr>
            <w:tcW w:w="5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3</w:t>
            </w:r>
          </w:p>
        </w:tc>
        <w:tc>
          <w:tcPr>
            <w:tcW w:w="52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20"/>
                <w:szCs w:val="20"/>
                <w:color w:val="auto"/>
              </w:rPr>
              <w:t>4</w:t>
            </w:r>
          </w:p>
        </w:tc>
        <w:tc>
          <w:tcPr>
            <w:tcW w:w="4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41"/>
        </w:trPr>
        <w:tc>
          <w:tcPr>
            <w:tcW w:w="34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80"/>
        </w:trPr>
        <w:tc>
          <w:tcPr>
            <w:tcW w:w="3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Process optimization</w:t>
            </w:r>
          </w:p>
        </w:tc>
        <w:tc>
          <w:tcPr>
            <w:tcW w:w="18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3420" w:type="dxa"/>
            <w:vAlign w:val="bottom"/>
          </w:tcPr>
          <w:p>
            <w:pPr>
              <w:ind w:left="80"/>
              <w:spacing w:after="0"/>
              <w:rPr>
                <w:sz w:val="20"/>
                <w:szCs w:val="20"/>
                <w:color w:val="auto"/>
              </w:rPr>
            </w:pPr>
            <w:r>
              <w:rPr>
                <w:rFonts w:ascii="Arial" w:cs="Arial" w:eastAsia="Arial" w:hAnsi="Arial"/>
                <w:sz w:val="20"/>
                <w:szCs w:val="20"/>
                <w:color w:val="auto"/>
              </w:rPr>
              <w:t>Other</w:t>
            </w:r>
          </w:p>
        </w:tc>
        <w:tc>
          <w:tcPr>
            <w:tcW w:w="1800" w:type="dxa"/>
            <w:vAlign w:val="bottom"/>
          </w:tcPr>
          <w:p>
            <w:pPr>
              <w:spacing w:after="0"/>
              <w:rPr>
                <w:sz w:val="22"/>
                <w:szCs w:val="22"/>
                <w:color w:val="auto"/>
              </w:rPr>
            </w:pPr>
          </w:p>
        </w:tc>
        <w:tc>
          <w:tcPr>
            <w:tcW w:w="6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1"/>
        </w:trPr>
        <w:tc>
          <w:tcPr>
            <w:tcW w:w="34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80"/>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Total</w:t>
            </w:r>
          </w:p>
        </w:tc>
        <w:tc>
          <w:tcPr>
            <w:tcW w:w="18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spacing w:after="0"/>
              <w:rPr>
                <w:sz w:val="24"/>
                <w:szCs w:val="24"/>
                <w:color w:val="auto"/>
              </w:rPr>
            </w:pPr>
          </w:p>
        </w:tc>
      </w:tr>
      <w:tr>
        <w:trPr>
          <w:trHeight w:val="259"/>
        </w:trPr>
        <w:tc>
          <w:tcPr>
            <w:tcW w:w="3420" w:type="dxa"/>
            <w:vAlign w:val="bottom"/>
          </w:tcPr>
          <w:p>
            <w:pPr>
              <w:ind w:left="80"/>
              <w:spacing w:after="0"/>
              <w:rPr>
                <w:sz w:val="20"/>
                <w:szCs w:val="20"/>
                <w:color w:val="auto"/>
              </w:rPr>
            </w:pPr>
            <w:r>
              <w:rPr>
                <w:rFonts w:ascii="Arial" w:cs="Arial" w:eastAsia="Arial" w:hAnsi="Arial"/>
                <w:sz w:val="20"/>
                <w:szCs w:val="20"/>
                <w:color w:val="auto"/>
              </w:rPr>
              <w:t>Real estate rationalization</w:t>
            </w:r>
          </w:p>
        </w:tc>
        <w:tc>
          <w:tcPr>
            <w:tcW w:w="1800" w:type="dxa"/>
            <w:vAlign w:val="bottom"/>
          </w:tcPr>
          <w:p>
            <w:pPr>
              <w:spacing w:after="0"/>
              <w:rPr>
                <w:sz w:val="22"/>
                <w:szCs w:val="22"/>
                <w:color w:val="auto"/>
              </w:rPr>
            </w:pPr>
          </w:p>
        </w:tc>
        <w:tc>
          <w:tcPr>
            <w:tcW w:w="6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20"/>
                <w:szCs w:val="20"/>
                <w:color w:val="auto"/>
              </w:rPr>
              <w:t>196</w:t>
            </w:r>
          </w:p>
        </w:tc>
        <w:tc>
          <w:tcPr>
            <w:tcW w:w="4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196</w:t>
            </w:r>
          </w:p>
        </w:tc>
      </w:tr>
      <w:tr>
        <w:trPr>
          <w:trHeight w:val="41"/>
        </w:trPr>
        <w:tc>
          <w:tcPr>
            <w:tcW w:w="34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80"/>
        </w:trPr>
        <w:tc>
          <w:tcPr>
            <w:tcW w:w="3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Technology modernization</w:t>
            </w:r>
          </w:p>
        </w:tc>
        <w:tc>
          <w:tcPr>
            <w:tcW w:w="18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w:t>
            </w:r>
          </w:p>
        </w:tc>
        <w:tc>
          <w:tcPr>
            <w:tcW w:w="5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w:t>
            </w:r>
          </w:p>
        </w:tc>
        <w:tc>
          <w:tcPr>
            <w:tcW w:w="5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35</w:t>
            </w:r>
          </w:p>
        </w:tc>
        <w:tc>
          <w:tcPr>
            <w:tcW w:w="4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55</w:t>
            </w:r>
          </w:p>
        </w:tc>
      </w:tr>
      <w:tr>
        <w:trPr>
          <w:trHeight w:val="259"/>
        </w:trPr>
        <w:tc>
          <w:tcPr>
            <w:tcW w:w="3420" w:type="dxa"/>
            <w:vAlign w:val="bottom"/>
          </w:tcPr>
          <w:p>
            <w:pPr>
              <w:ind w:left="80"/>
              <w:spacing w:after="0"/>
              <w:rPr>
                <w:sz w:val="20"/>
                <w:szCs w:val="20"/>
                <w:color w:val="auto"/>
              </w:rPr>
            </w:pPr>
            <w:r>
              <w:rPr>
                <w:rFonts w:ascii="Arial" w:cs="Arial" w:eastAsia="Arial" w:hAnsi="Arial"/>
                <w:sz w:val="20"/>
                <w:szCs w:val="20"/>
                <w:color w:val="auto"/>
              </w:rPr>
              <w:t>Process optimization</w:t>
            </w:r>
          </w:p>
        </w:tc>
        <w:tc>
          <w:tcPr>
            <w:tcW w:w="1800" w:type="dxa"/>
            <w:vAlign w:val="bottom"/>
          </w:tcPr>
          <w:p>
            <w:pPr>
              <w:spacing w:after="0"/>
              <w:rPr>
                <w:sz w:val="22"/>
                <w:szCs w:val="22"/>
                <w:color w:val="auto"/>
              </w:rPr>
            </w:pPr>
          </w:p>
        </w:tc>
        <w:tc>
          <w:tcPr>
            <w:tcW w:w="640" w:type="dxa"/>
            <w:vAlign w:val="bottom"/>
          </w:tcPr>
          <w:p>
            <w:pPr>
              <w:jc w:val="right"/>
              <w:ind w:right="20"/>
              <w:spacing w:after="0"/>
              <w:rPr>
                <w:sz w:val="20"/>
                <w:szCs w:val="20"/>
                <w:color w:val="auto"/>
              </w:rPr>
            </w:pPr>
            <w:r>
              <w:rPr>
                <w:rFonts w:ascii="Arial" w:cs="Arial" w:eastAsia="Arial" w:hAnsi="Arial"/>
                <w:sz w:val="20"/>
                <w:szCs w:val="20"/>
                <w:color w:val="auto"/>
              </w:rPr>
              <w:t>1</w:t>
            </w:r>
          </w:p>
        </w:tc>
        <w:tc>
          <w:tcPr>
            <w:tcW w:w="5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1"/>
        </w:trPr>
        <w:tc>
          <w:tcPr>
            <w:tcW w:w="34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90"/>
        </w:trPr>
        <w:tc>
          <w:tcPr>
            <w:tcW w:w="34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Other</w:t>
            </w:r>
          </w:p>
        </w:tc>
        <w:tc>
          <w:tcPr>
            <w:tcW w:w="18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w:t>
            </w:r>
          </w:p>
        </w:tc>
        <w:tc>
          <w:tcPr>
            <w:tcW w:w="4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r>
      <w:tr>
        <w:trPr>
          <w:trHeight w:val="259"/>
        </w:trPr>
        <w:tc>
          <w:tcPr>
            <w:tcW w:w="3420" w:type="dxa"/>
            <w:vAlign w:val="bottom"/>
          </w:tcPr>
          <w:p>
            <w:pPr>
              <w:ind w:left="400"/>
              <w:spacing w:after="0"/>
              <w:rPr>
                <w:sz w:val="20"/>
                <w:szCs w:val="20"/>
                <w:color w:val="auto"/>
              </w:rPr>
            </w:pPr>
            <w:r>
              <w:rPr>
                <w:rFonts w:ascii="Arial" w:cs="Arial" w:eastAsia="Arial" w:hAnsi="Arial"/>
                <w:sz w:val="20"/>
                <w:szCs w:val="20"/>
                <w:color w:val="auto"/>
              </w:rPr>
              <w:t>Total</w:t>
            </w:r>
          </w:p>
        </w:tc>
        <w:tc>
          <w:tcPr>
            <w:tcW w:w="1800" w:type="dxa"/>
            <w:vAlign w:val="bottom"/>
          </w:tcPr>
          <w:p>
            <w:pPr>
              <w:jc w:val="right"/>
              <w:ind w:right="240"/>
              <w:spacing w:after="0"/>
              <w:rPr>
                <w:sz w:val="20"/>
                <w:szCs w:val="20"/>
                <w:color w:val="auto"/>
              </w:rPr>
            </w:pPr>
            <w:r>
              <w:rPr>
                <w:rFonts w:ascii="Arial" w:cs="Arial" w:eastAsia="Arial" w:hAnsi="Arial"/>
                <w:sz w:val="20"/>
                <w:szCs w:val="20"/>
                <w:color w:val="auto"/>
              </w:rPr>
              <w:t>$</w:t>
            </w:r>
          </w:p>
        </w:tc>
        <w:tc>
          <w:tcPr>
            <w:tcW w:w="640" w:type="dxa"/>
            <w:vAlign w:val="bottom"/>
          </w:tcPr>
          <w:p>
            <w:pPr>
              <w:jc w:val="right"/>
              <w:ind w:right="20"/>
              <w:spacing w:after="0"/>
              <w:rPr>
                <w:sz w:val="20"/>
                <w:szCs w:val="20"/>
                <w:color w:val="auto"/>
              </w:rPr>
            </w:pPr>
            <w:r>
              <w:rPr>
                <w:rFonts w:ascii="Arial" w:cs="Arial" w:eastAsia="Arial" w:hAnsi="Arial"/>
                <w:sz w:val="20"/>
                <w:szCs w:val="20"/>
                <w:color w:val="auto"/>
              </w:rPr>
              <w:t>5</w:t>
            </w:r>
          </w:p>
        </w:tc>
        <w:tc>
          <w:tcPr>
            <w:tcW w:w="540" w:type="dxa"/>
            <w:vAlign w:val="bottom"/>
          </w:tcPr>
          <w:p>
            <w:pPr>
              <w:jc w:val="right"/>
              <w:ind w:right="240"/>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16</w:t>
            </w:r>
          </w:p>
        </w:tc>
        <w:tc>
          <w:tcPr>
            <w:tcW w:w="520" w:type="dxa"/>
            <w:vAlign w:val="bottom"/>
          </w:tcPr>
          <w:p>
            <w:pPr>
              <w:jc w:val="right"/>
              <w:ind w:right="200"/>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20"/>
              <w:spacing w:after="0"/>
              <w:rPr>
                <w:sz w:val="20"/>
                <w:szCs w:val="20"/>
                <w:color w:val="auto"/>
              </w:rPr>
            </w:pPr>
            <w:r>
              <w:rPr>
                <w:rFonts w:ascii="Arial" w:cs="Arial" w:eastAsia="Arial" w:hAnsi="Arial"/>
                <w:sz w:val="20"/>
                <w:szCs w:val="20"/>
                <w:color w:val="auto"/>
              </w:rPr>
              <w:t>233</w:t>
            </w:r>
          </w:p>
        </w:tc>
        <w:tc>
          <w:tcPr>
            <w:tcW w:w="480" w:type="dxa"/>
            <w:vAlign w:val="bottom"/>
          </w:tcPr>
          <w:p>
            <w:pPr>
              <w:jc w:val="right"/>
              <w:ind w:right="180"/>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254</w:t>
            </w:r>
          </w:p>
        </w:tc>
      </w:tr>
      <w:tr>
        <w:trPr>
          <w:trHeight w:val="885"/>
        </w:trPr>
        <w:tc>
          <w:tcPr>
            <w:tcW w:w="3420" w:type="dxa"/>
            <w:vAlign w:val="bottom"/>
          </w:tcPr>
          <w:p>
            <w:pPr>
              <w:spacing w:after="0"/>
              <w:rPr>
                <w:sz w:val="24"/>
                <w:szCs w:val="24"/>
                <w:color w:val="auto"/>
              </w:rPr>
            </w:pPr>
          </w:p>
        </w:tc>
        <w:tc>
          <w:tcPr>
            <w:tcW w:w="1800" w:type="dxa"/>
            <w:vAlign w:val="bottom"/>
          </w:tcPr>
          <w:p>
            <w:pPr>
              <w:jc w:val="right"/>
              <w:ind w:right="320"/>
              <w:spacing w:after="0"/>
              <w:rPr>
                <w:sz w:val="20"/>
                <w:szCs w:val="20"/>
                <w:color w:val="auto"/>
              </w:rPr>
            </w:pPr>
            <w:r>
              <w:rPr>
                <w:rFonts w:ascii="Arial" w:cs="Arial" w:eastAsia="Arial" w:hAnsi="Arial"/>
                <w:sz w:val="20"/>
                <w:szCs w:val="20"/>
                <w:color w:val="auto"/>
              </w:rPr>
              <w:t>95</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91"/>
        </w:trPr>
        <w:tc>
          <w:tcPr>
            <w:tcW w:w="3420" w:type="dxa"/>
            <w:vAlign w:val="bottom"/>
            <w:tcBorders>
              <w:bottom w:val="single" w:sz="8" w:color="010101"/>
            </w:tcBorders>
          </w:tcPr>
          <w:p>
            <w:pPr>
              <w:spacing w:after="0"/>
              <w:rPr>
                <w:sz w:val="24"/>
                <w:szCs w:val="24"/>
                <w:color w:val="auto"/>
              </w:rPr>
            </w:pPr>
          </w:p>
        </w:tc>
        <w:tc>
          <w:tcPr>
            <w:tcW w:w="180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4">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5">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-1310640</wp:posOffset>
            </wp:positionV>
            <wp:extent cx="292862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6">
                      <a:extLst>
                        <a:ext uri="{28A0092B-C50C-407E-A947-70E740481C1C}"/>
                      </a:extLst>
                    </a:blip>
                    <a:srcRect/>
                    <a:stretch>
                      <a:fillRect/>
                    </a:stretch>
                  </pic:blipFill>
                  <pic:spPr bwMode="auto">
                    <a:xfrm>
                      <a:off x="0" y="0"/>
                      <a:ext cx="2928620" cy="6350"/>
                    </a:xfrm>
                    <a:prstGeom prst="rect">
                      <a:avLst/>
                    </a:prstGeom>
                    <a:noFill/>
                  </pic:spPr>
                </pic:pic>
              </a:graphicData>
            </a:graphic>
          </wp:anchor>
        </w:drawing>
        <w:drawing>
          <wp:anchor simplePos="0" relativeHeight="251657728" behindDoc="1" locked="0" layoutInCell="0" allowOverlap="1">
            <wp:simplePos x="0" y="0"/>
            <wp:positionH relativeFrom="column">
              <wp:posOffset>3035300</wp:posOffset>
            </wp:positionH>
            <wp:positionV relativeFrom="paragraph">
              <wp:posOffset>-1113790</wp:posOffset>
            </wp:positionV>
            <wp:extent cx="2928620" cy="285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7">
                      <a:extLst>
                        <a:ext uri="{28A0092B-C50C-407E-A947-70E740481C1C}"/>
                      </a:extLst>
                    </a:blip>
                    <a:srcRect/>
                    <a:stretch>
                      <a:fillRect/>
                    </a:stretch>
                  </pic:blipFill>
                  <pic:spPr bwMode="auto">
                    <a:xfrm>
                      <a:off x="0" y="0"/>
                      <a:ext cx="2928620" cy="28575"/>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15</w:t>
      </w:r>
    </w:p>
    <w:p>
      <w:pPr>
        <w:sectPr>
          <w:pgSz w:w="11900" w:h="16838" w:orient="portrait"/>
          <w:cols w:equalWidth="0" w:num="1">
            <w:col w:w="9400"/>
          </w:cols>
          <w:pgMar w:left="1260" w:top="1163" w:right="1246" w:bottom="0" w:gutter="0" w:footer="0" w:header="0"/>
          <w:type w:val="continuous"/>
        </w:sectPr>
      </w:pPr>
    </w:p>
    <w:bookmarkStart w:id="189" w:name="page190"/>
    <w:bookmarkEnd w:id="1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liability associated with cash-based charges related to restructuring costs associated with the</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Transformation program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b w:val="1"/>
                <w:bCs w:val="1"/>
                <w:color w:val="auto"/>
                <w:w w:val="87"/>
              </w:rPr>
              <w:t>Real estate</w:t>
            </w:r>
          </w:p>
        </w:tc>
        <w:tc>
          <w:tcPr>
            <w:tcW w:w="180" w:type="dxa"/>
            <w:vAlign w:val="bottom"/>
          </w:tcPr>
          <w:p>
            <w:pPr>
              <w:spacing w:after="0"/>
              <w:rPr>
                <w:sz w:val="16"/>
                <w:szCs w:val="16"/>
                <w:color w:val="auto"/>
              </w:rPr>
            </w:pPr>
          </w:p>
        </w:tc>
        <w:tc>
          <w:tcPr>
            <w:tcW w:w="1120" w:type="dxa"/>
            <w:vAlign w:val="bottom"/>
          </w:tcPr>
          <w:p>
            <w:pPr>
              <w:jc w:val="right"/>
              <w:ind w:right="221"/>
              <w:spacing w:after="0"/>
              <w:rPr>
                <w:sz w:val="20"/>
                <w:szCs w:val="20"/>
                <w:color w:val="auto"/>
              </w:rPr>
            </w:pPr>
            <w:r>
              <w:rPr>
                <w:rFonts w:ascii="Arial" w:cs="Arial" w:eastAsia="Arial" w:hAnsi="Arial"/>
                <w:sz w:val="16"/>
                <w:szCs w:val="16"/>
                <w:b w:val="1"/>
                <w:bCs w:val="1"/>
                <w:color w:val="auto"/>
                <w:w w:val="86"/>
              </w:rPr>
              <w:t>Technology</w:t>
            </w:r>
          </w:p>
        </w:tc>
        <w:tc>
          <w:tcPr>
            <w:tcW w:w="200" w:type="dxa"/>
            <w:vAlign w:val="bottom"/>
          </w:tcPr>
          <w:p>
            <w:pPr>
              <w:spacing w:after="0"/>
              <w:rPr>
                <w:sz w:val="16"/>
                <w:szCs w:val="16"/>
                <w:color w:val="auto"/>
              </w:rPr>
            </w:pPr>
          </w:p>
        </w:tc>
        <w:tc>
          <w:tcPr>
            <w:tcW w:w="900" w:type="dxa"/>
            <w:vAlign w:val="bottom"/>
          </w:tcPr>
          <w:p>
            <w:pPr>
              <w:jc w:val="right"/>
              <w:ind w:right="241"/>
              <w:spacing w:after="0"/>
              <w:rPr>
                <w:sz w:val="20"/>
                <w:szCs w:val="20"/>
                <w:color w:val="auto"/>
              </w:rPr>
            </w:pPr>
            <w:r>
              <w:rPr>
                <w:rFonts w:ascii="Arial" w:cs="Arial" w:eastAsia="Arial" w:hAnsi="Arial"/>
                <w:sz w:val="16"/>
                <w:szCs w:val="16"/>
                <w:b w:val="1"/>
                <w:bCs w:val="1"/>
                <w:color w:val="auto"/>
                <w:w w:val="86"/>
              </w:rPr>
              <w:t>Process</w:t>
            </w: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40"/>
        </w:trPr>
        <w:tc>
          <w:tcPr>
            <w:tcW w:w="3080" w:type="dxa"/>
            <w:vAlign w:val="bottom"/>
          </w:tcPr>
          <w:p>
            <w:pPr>
              <w:spacing w:after="0"/>
              <w:rPr>
                <w:sz w:val="20"/>
                <w:szCs w:val="20"/>
                <w:color w:val="auto"/>
              </w:rPr>
            </w:pPr>
          </w:p>
        </w:tc>
        <w:tc>
          <w:tcPr>
            <w:tcW w:w="1780" w:type="dxa"/>
            <w:vAlign w:val="bottom"/>
            <w:gridSpan w:val="2"/>
          </w:tcPr>
          <w:p>
            <w:pPr>
              <w:ind w:left="640"/>
              <w:spacing w:after="0"/>
              <w:rPr>
                <w:sz w:val="20"/>
                <w:szCs w:val="20"/>
                <w:color w:val="auto"/>
              </w:rPr>
            </w:pPr>
            <w:r>
              <w:rPr>
                <w:rFonts w:ascii="Arial" w:cs="Arial" w:eastAsia="Arial" w:hAnsi="Arial"/>
                <w:sz w:val="16"/>
                <w:szCs w:val="16"/>
                <w:b w:val="1"/>
                <w:bCs w:val="1"/>
                <w:color w:val="auto"/>
              </w:rPr>
              <w:t>rationalization</w:t>
            </w:r>
          </w:p>
        </w:tc>
        <w:tc>
          <w:tcPr>
            <w:tcW w:w="130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rPr>
              <w:t>modernization</w:t>
            </w: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optimization</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21"/>
              <w:spacing w:after="0"/>
              <w:rPr>
                <w:sz w:val="20"/>
                <w:szCs w:val="20"/>
                <w:color w:val="auto"/>
              </w:rPr>
            </w:pPr>
            <w:r>
              <w:rPr>
                <w:rFonts w:ascii="Arial" w:cs="Arial" w:eastAsia="Arial" w:hAnsi="Arial"/>
                <w:sz w:val="16"/>
                <w:szCs w:val="16"/>
                <w:b w:val="1"/>
                <w:bCs w:val="1"/>
                <w:color w:val="auto"/>
              </w:rPr>
              <w:t>Total</w:t>
            </w:r>
          </w:p>
        </w:tc>
      </w:tr>
      <w:tr>
        <w:trPr>
          <w:trHeight w:val="42"/>
        </w:trPr>
        <w:tc>
          <w:tcPr>
            <w:tcW w:w="3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94"/>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October 1, 2021</w:t>
            </w:r>
          </w:p>
        </w:tc>
        <w:tc>
          <w:tcPr>
            <w:tcW w:w="74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FF0FC"/>
            </w:tcBorders>
            <w:shd w:val="clear" w:color="auto" w:fill="CFF0FC"/>
          </w:tcPr>
          <w:p>
            <w:pPr>
              <w:jc w:val="right"/>
              <w:ind w:right="527"/>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w:t>
            </w:r>
          </w:p>
        </w:tc>
      </w:tr>
      <w:tr>
        <w:trPr>
          <w:trHeight w:val="274"/>
        </w:trPr>
        <w:tc>
          <w:tcPr>
            <w:tcW w:w="3080" w:type="dxa"/>
            <w:vAlign w:val="bottom"/>
          </w:tcPr>
          <w:p>
            <w:pPr>
              <w:spacing w:after="0"/>
              <w:rPr>
                <w:sz w:val="20"/>
                <w:szCs w:val="20"/>
                <w:color w:val="auto"/>
              </w:rPr>
            </w:pPr>
            <w:r>
              <w:rPr>
                <w:rFonts w:ascii="Arial" w:cs="Arial" w:eastAsia="Arial" w:hAnsi="Arial"/>
                <w:sz w:val="20"/>
                <w:szCs w:val="20"/>
                <w:color w:val="auto"/>
              </w:rPr>
              <w:t>Charges incurred</w:t>
            </w:r>
          </w:p>
        </w:tc>
        <w:tc>
          <w:tcPr>
            <w:tcW w:w="74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23"/>
                <w:szCs w:val="23"/>
                <w:color w:val="auto"/>
              </w:rPr>
            </w:pPr>
          </w:p>
        </w:tc>
        <w:tc>
          <w:tcPr>
            <w:tcW w:w="400" w:type="dxa"/>
            <w:vAlign w:val="bottom"/>
          </w:tcPr>
          <w:p>
            <w:pPr>
              <w:jc w:val="right"/>
              <w:ind w:right="60"/>
              <w:spacing w:after="0"/>
              <w:rPr>
                <w:sz w:val="20"/>
                <w:szCs w:val="20"/>
                <w:color w:val="auto"/>
              </w:rPr>
            </w:pPr>
            <w:r>
              <w:rPr>
                <w:rFonts w:ascii="Arial" w:cs="Arial" w:eastAsia="Arial" w:hAnsi="Arial"/>
                <w:sz w:val="20"/>
                <w:szCs w:val="20"/>
                <w:color w:val="auto"/>
              </w:rPr>
              <w:t>2</w:t>
            </w:r>
          </w:p>
        </w:tc>
        <w:tc>
          <w:tcPr>
            <w:tcW w:w="22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20"/>
                <w:szCs w:val="20"/>
                <w:color w:val="auto"/>
              </w:rPr>
              <w:t>2</w:t>
            </w:r>
          </w:p>
        </w:tc>
      </w:tr>
      <w:tr>
        <w:trPr>
          <w:trHeight w:val="41"/>
        </w:trPr>
        <w:tc>
          <w:tcPr>
            <w:tcW w:w="3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304"/>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Cash payments</w:t>
            </w:r>
          </w:p>
        </w:tc>
        <w:tc>
          <w:tcPr>
            <w:tcW w:w="7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2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74"/>
        </w:trPr>
        <w:tc>
          <w:tcPr>
            <w:tcW w:w="3080" w:type="dxa"/>
            <w:vAlign w:val="bottom"/>
          </w:tcPr>
          <w:p>
            <w:pPr>
              <w:spacing w:after="0"/>
              <w:rPr>
                <w:sz w:val="20"/>
                <w:szCs w:val="20"/>
                <w:color w:val="auto"/>
              </w:rPr>
            </w:pPr>
            <w:r>
              <w:rPr>
                <w:rFonts w:ascii="Arial" w:cs="Arial" w:eastAsia="Arial" w:hAnsi="Arial"/>
                <w:sz w:val="20"/>
                <w:szCs w:val="20"/>
                <w:color w:val="auto"/>
              </w:rPr>
              <w:t>Balance at December 31, 2021</w:t>
            </w:r>
          </w:p>
        </w:tc>
        <w:tc>
          <w:tcPr>
            <w:tcW w:w="74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23"/>
                <w:szCs w:val="23"/>
                <w:color w:val="auto"/>
              </w:rPr>
            </w:pPr>
          </w:p>
        </w:tc>
        <w:tc>
          <w:tcPr>
            <w:tcW w:w="400" w:type="dxa"/>
            <w:vAlign w:val="bottom"/>
          </w:tcPr>
          <w:p>
            <w:pPr>
              <w:jc w:val="right"/>
              <w:ind w:right="60"/>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20"/>
                <w:szCs w:val="20"/>
                <w:color w:val="auto"/>
              </w:rPr>
              <w:t>1</w:t>
            </w:r>
          </w:p>
        </w:tc>
      </w:tr>
      <w:tr>
        <w:trPr>
          <w:trHeight w:val="41"/>
        </w:trPr>
        <w:tc>
          <w:tcPr>
            <w:tcW w:w="3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94"/>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Charges incurred</w:t>
            </w:r>
          </w:p>
        </w:tc>
        <w:tc>
          <w:tcPr>
            <w:tcW w:w="7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27</w:t>
            </w:r>
          </w:p>
        </w:tc>
        <w:tc>
          <w:tcPr>
            <w:tcW w:w="1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1</w:t>
            </w:r>
          </w:p>
        </w:tc>
        <w:tc>
          <w:tcPr>
            <w:tcW w:w="7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28</w:t>
            </w:r>
          </w:p>
        </w:tc>
      </w:tr>
      <w:tr>
        <w:trPr>
          <w:trHeight w:val="274"/>
        </w:trPr>
        <w:tc>
          <w:tcPr>
            <w:tcW w:w="3080" w:type="dxa"/>
            <w:vAlign w:val="bottom"/>
          </w:tcPr>
          <w:p>
            <w:pPr>
              <w:spacing w:after="0"/>
              <w:rPr>
                <w:sz w:val="20"/>
                <w:szCs w:val="20"/>
                <w:color w:val="auto"/>
              </w:rPr>
            </w:pPr>
            <w:r>
              <w:rPr>
                <w:rFonts w:ascii="Arial" w:cs="Arial" w:eastAsia="Arial" w:hAnsi="Arial"/>
                <w:sz w:val="20"/>
                <w:szCs w:val="20"/>
                <w:color w:val="auto"/>
              </w:rPr>
              <w:t>Cash payments</w:t>
            </w:r>
          </w:p>
        </w:tc>
        <w:tc>
          <w:tcPr>
            <w:tcW w:w="7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(21)</w:t>
            </w:r>
          </w:p>
        </w:tc>
        <w:tc>
          <w:tcPr>
            <w:tcW w:w="18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51"/>
        </w:trPr>
        <w:tc>
          <w:tcPr>
            <w:tcW w:w="3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94"/>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December 31, 2022</w:t>
            </w:r>
          </w:p>
        </w:tc>
        <w:tc>
          <w:tcPr>
            <w:tcW w:w="7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6</w:t>
            </w:r>
          </w:p>
        </w:tc>
        <w:tc>
          <w:tcPr>
            <w:tcW w:w="1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6</w:t>
            </w:r>
          </w:p>
        </w:tc>
      </w:tr>
      <w:tr>
        <w:trPr>
          <w:trHeight w:val="274"/>
        </w:trPr>
        <w:tc>
          <w:tcPr>
            <w:tcW w:w="3080" w:type="dxa"/>
            <w:vAlign w:val="bottom"/>
          </w:tcPr>
          <w:p>
            <w:pPr>
              <w:spacing w:after="0"/>
              <w:rPr>
                <w:sz w:val="20"/>
                <w:szCs w:val="20"/>
                <w:color w:val="auto"/>
              </w:rPr>
            </w:pPr>
            <w:r>
              <w:rPr>
                <w:rFonts w:ascii="Arial" w:cs="Arial" w:eastAsia="Arial" w:hAnsi="Arial"/>
                <w:sz w:val="20"/>
                <w:szCs w:val="20"/>
                <w:color w:val="auto"/>
              </w:rPr>
              <w:t>Charges incurred</w:t>
            </w:r>
          </w:p>
        </w:tc>
        <w:tc>
          <w:tcPr>
            <w:tcW w:w="74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22</w:t>
            </w:r>
          </w:p>
        </w:tc>
        <w:tc>
          <w:tcPr>
            <w:tcW w:w="18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8</w:t>
            </w:r>
          </w:p>
        </w:tc>
        <w:tc>
          <w:tcPr>
            <w:tcW w:w="20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23"/>
                <w:szCs w:val="23"/>
                <w:color w:val="auto"/>
              </w:rPr>
            </w:pPr>
          </w:p>
        </w:tc>
        <w:tc>
          <w:tcPr>
            <w:tcW w:w="4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20"/>
                <w:szCs w:val="20"/>
                <w:color w:val="auto"/>
              </w:rPr>
              <w:t>30</w:t>
            </w:r>
          </w:p>
        </w:tc>
      </w:tr>
      <w:tr>
        <w:trPr>
          <w:trHeight w:val="41"/>
        </w:trPr>
        <w:tc>
          <w:tcPr>
            <w:tcW w:w="3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304"/>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Cash payments</w:t>
            </w:r>
          </w:p>
        </w:tc>
        <w:tc>
          <w:tcPr>
            <w:tcW w:w="7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w:t>
            </w:r>
          </w:p>
        </w:tc>
        <w:tc>
          <w:tcPr>
            <w:tcW w:w="1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w:t>
            </w:r>
          </w:p>
        </w:tc>
      </w:tr>
      <w:tr>
        <w:trPr>
          <w:trHeight w:val="274"/>
        </w:trPr>
        <w:tc>
          <w:tcPr>
            <w:tcW w:w="3080" w:type="dxa"/>
            <w:vAlign w:val="bottom"/>
          </w:tcPr>
          <w:p>
            <w:pPr>
              <w:spacing w:after="0"/>
              <w:rPr>
                <w:sz w:val="20"/>
                <w:szCs w:val="20"/>
                <w:color w:val="auto"/>
              </w:rPr>
            </w:pPr>
            <w:r>
              <w:rPr>
                <w:rFonts w:ascii="Arial" w:cs="Arial" w:eastAsia="Arial" w:hAnsi="Arial"/>
                <w:sz w:val="20"/>
                <w:szCs w:val="20"/>
                <w:color w:val="auto"/>
              </w:rPr>
              <w:t>Balance at December 31, 2023</w:t>
            </w:r>
          </w:p>
        </w:tc>
        <w:tc>
          <w:tcPr>
            <w:tcW w:w="740" w:type="dxa"/>
            <w:vAlign w:val="bottom"/>
          </w:tcPr>
          <w:p>
            <w:pPr>
              <w:spacing w:after="0"/>
              <w:rPr>
                <w:sz w:val="23"/>
                <w:szCs w:val="23"/>
                <w:color w:val="auto"/>
              </w:rPr>
            </w:pP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3</w:t>
            </w:r>
          </w:p>
        </w:tc>
        <w:tc>
          <w:tcPr>
            <w:tcW w:w="18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8</w:t>
            </w:r>
          </w:p>
        </w:tc>
        <w:tc>
          <w:tcPr>
            <w:tcW w:w="20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23"/>
                <w:szCs w:val="23"/>
                <w:color w:val="auto"/>
              </w:rPr>
            </w:pPr>
          </w:p>
        </w:tc>
        <w:tc>
          <w:tcPr>
            <w:tcW w:w="4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20"/>
                <w:szCs w:val="20"/>
                <w:color w:val="auto"/>
              </w:rPr>
              <w:t>11</w:t>
            </w:r>
          </w:p>
        </w:tc>
      </w:tr>
      <w:tr>
        <w:trPr>
          <w:trHeight w:val="41"/>
        </w:trPr>
        <w:tc>
          <w:tcPr>
            <w:tcW w:w="3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94"/>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Charges incurred</w:t>
            </w:r>
          </w:p>
        </w:tc>
        <w:tc>
          <w:tcPr>
            <w:tcW w:w="7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19</w:t>
            </w:r>
          </w:p>
        </w:tc>
        <w:tc>
          <w:tcPr>
            <w:tcW w:w="1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1</w:t>
            </w:r>
          </w:p>
        </w:tc>
        <w:tc>
          <w:tcPr>
            <w:tcW w:w="2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20</w:t>
            </w:r>
          </w:p>
        </w:tc>
      </w:tr>
      <w:tr>
        <w:trPr>
          <w:trHeight w:val="274"/>
        </w:trPr>
        <w:tc>
          <w:tcPr>
            <w:tcW w:w="3080" w:type="dxa"/>
            <w:vAlign w:val="bottom"/>
          </w:tcPr>
          <w:p>
            <w:pPr>
              <w:spacing w:after="0"/>
              <w:rPr>
                <w:sz w:val="20"/>
                <w:szCs w:val="20"/>
                <w:color w:val="auto"/>
              </w:rPr>
            </w:pPr>
            <w:r>
              <w:rPr>
                <w:rFonts w:ascii="Arial" w:cs="Arial" w:eastAsia="Arial" w:hAnsi="Arial"/>
                <w:sz w:val="20"/>
                <w:szCs w:val="20"/>
                <w:color w:val="auto"/>
              </w:rPr>
              <w:t>Cash payments</w:t>
            </w:r>
          </w:p>
        </w:tc>
        <w:tc>
          <w:tcPr>
            <w:tcW w:w="7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(19)</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w:t>
            </w:r>
          </w:p>
        </w:tc>
        <w:tc>
          <w:tcPr>
            <w:tcW w:w="20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23"/>
                <w:szCs w:val="23"/>
                <w:color w:val="auto"/>
              </w:rPr>
            </w:pPr>
          </w:p>
        </w:tc>
        <w:tc>
          <w:tcPr>
            <w:tcW w:w="4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51"/>
        </w:trPr>
        <w:tc>
          <w:tcPr>
            <w:tcW w:w="3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94"/>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December 31, 2024</w:t>
            </w:r>
          </w:p>
        </w:tc>
        <w:tc>
          <w:tcPr>
            <w:tcW w:w="7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3</w:t>
            </w:r>
          </w:p>
        </w:tc>
        <w:tc>
          <w:tcPr>
            <w:tcW w:w="1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2</w:t>
            </w:r>
          </w:p>
        </w:tc>
        <w:tc>
          <w:tcPr>
            <w:tcW w:w="2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5</w:t>
            </w:r>
          </w:p>
        </w:tc>
      </w:tr>
      <w:tr>
        <w:trPr>
          <w:trHeight w:val="274"/>
        </w:trPr>
        <w:tc>
          <w:tcPr>
            <w:tcW w:w="3080" w:type="dxa"/>
            <w:vAlign w:val="bottom"/>
          </w:tcPr>
          <w:p>
            <w:pPr>
              <w:spacing w:after="0"/>
              <w:rPr>
                <w:sz w:val="20"/>
                <w:szCs w:val="20"/>
                <w:color w:val="auto"/>
              </w:rPr>
            </w:pPr>
            <w:r>
              <w:rPr>
                <w:rFonts w:ascii="Arial" w:cs="Arial" w:eastAsia="Arial" w:hAnsi="Arial"/>
                <w:sz w:val="20"/>
                <w:szCs w:val="20"/>
                <w:color w:val="auto"/>
              </w:rPr>
              <w:t>Cash payments</w:t>
            </w:r>
          </w:p>
        </w:tc>
        <w:tc>
          <w:tcPr>
            <w:tcW w:w="7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780" w:type="dxa"/>
            <w:vAlign w:val="bottom"/>
          </w:tcPr>
          <w:p>
            <w:pPr>
              <w:spacing w:after="0"/>
              <w:rPr>
                <w:sz w:val="23"/>
                <w:szCs w:val="23"/>
                <w:color w:val="auto"/>
              </w:rPr>
            </w:pPr>
          </w:p>
        </w:tc>
        <w:tc>
          <w:tcPr>
            <w:tcW w:w="4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51"/>
        </w:trPr>
        <w:tc>
          <w:tcPr>
            <w:tcW w:w="3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74"/>
        </w:trPr>
        <w:tc>
          <w:tcPr>
            <w:tcW w:w="3080" w:type="dxa"/>
            <w:vAlign w:val="bottom"/>
            <w:shd w:val="clear" w:color="auto" w:fill="CFF0FC"/>
          </w:tcPr>
          <w:p>
            <w:pPr>
              <w:spacing w:after="0"/>
              <w:rPr>
                <w:sz w:val="20"/>
                <w:szCs w:val="20"/>
                <w:color w:val="auto"/>
              </w:rPr>
            </w:pPr>
            <w:r>
              <w:rPr>
                <w:rFonts w:ascii="Arial" w:cs="Arial" w:eastAsia="Arial" w:hAnsi="Arial"/>
                <w:sz w:val="20"/>
                <w:szCs w:val="20"/>
                <w:color w:val="auto"/>
              </w:rPr>
              <w:t>Balance at December 31, 2025</w:t>
            </w:r>
          </w:p>
        </w:tc>
        <w:tc>
          <w:tcPr>
            <w:tcW w:w="740" w:type="dxa"/>
            <w:vAlign w:val="bottom"/>
            <w:shd w:val="clear" w:color="auto" w:fill="CFF0FC"/>
          </w:tcPr>
          <w:p>
            <w:pPr>
              <w:ind w:left="640"/>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200" w:type="dxa"/>
            <w:vAlign w:val="bottom"/>
            <w:shd w:val="clear" w:color="auto" w:fill="CFF0FC"/>
          </w:tcPr>
          <w:p>
            <w:pPr>
              <w:ind w:left="80"/>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527"/>
              <w:spacing w:after="0"/>
              <w:rPr>
                <w:sz w:val="20"/>
                <w:szCs w:val="20"/>
                <w:color w:val="auto"/>
              </w:rPr>
            </w:pPr>
            <w:r>
              <w:rPr>
                <w:rFonts w:ascii="Arial" w:cs="Arial" w:eastAsia="Arial" w:hAnsi="Arial"/>
                <w:sz w:val="20"/>
                <w:szCs w:val="20"/>
                <w:color w:val="auto"/>
              </w:rPr>
              <w:t>$</w:t>
            </w:r>
          </w:p>
        </w:tc>
        <w:tc>
          <w:tcPr>
            <w:tcW w:w="40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w:t>
            </w:r>
          </w:p>
        </w:tc>
      </w:tr>
      <w:tr>
        <w:trPr>
          <w:trHeight w:val="86"/>
        </w:trPr>
        <w:tc>
          <w:tcPr>
            <w:tcW w:w="308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-3060700</wp:posOffset>
            </wp:positionV>
            <wp:extent cx="3601085"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48">
                      <a:extLst>
                        <a:ext uri="{28A0092B-C50C-407E-A947-70E740481C1C}"/>
                      </a:extLst>
                    </a:blip>
                    <a:srcRect/>
                    <a:stretch>
                      <a:fillRect/>
                    </a:stretch>
                  </pic:blipFill>
                  <pic:spPr bwMode="auto">
                    <a:xfrm>
                      <a:off x="0" y="0"/>
                      <a:ext cx="3601085" cy="635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-2455545</wp:posOffset>
            </wp:positionV>
            <wp:extent cx="3601085"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49">
                      <a:extLst>
                        <a:ext uri="{28A0092B-C50C-407E-A947-70E740481C1C}"/>
                      </a:extLst>
                    </a:blip>
                    <a:srcRect/>
                    <a:stretch>
                      <a:fillRect/>
                    </a:stretch>
                  </pic:blipFill>
                  <pic:spPr bwMode="auto">
                    <a:xfrm>
                      <a:off x="0" y="0"/>
                      <a:ext cx="3601085" cy="635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-1850390</wp:posOffset>
            </wp:positionV>
            <wp:extent cx="3601085"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0">
                      <a:extLst>
                        <a:ext uri="{28A0092B-C50C-407E-A947-70E740481C1C}"/>
                      </a:extLst>
                    </a:blip>
                    <a:srcRect/>
                    <a:stretch>
                      <a:fillRect/>
                    </a:stretch>
                  </pic:blipFill>
                  <pic:spPr bwMode="auto">
                    <a:xfrm>
                      <a:off x="0" y="0"/>
                      <a:ext cx="3601085" cy="635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-1244600</wp:posOffset>
            </wp:positionV>
            <wp:extent cx="3601085"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1">
                      <a:extLst>
                        <a:ext uri="{28A0092B-C50C-407E-A947-70E740481C1C}"/>
                      </a:extLst>
                    </a:blip>
                    <a:srcRect/>
                    <a:stretch>
                      <a:fillRect/>
                    </a:stretch>
                  </pic:blipFill>
                  <pic:spPr bwMode="auto">
                    <a:xfrm>
                      <a:off x="0" y="0"/>
                      <a:ext cx="3601085" cy="635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-639445</wp:posOffset>
            </wp:positionV>
            <wp:extent cx="3601085"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2">
                      <a:extLst>
                        <a:ext uri="{28A0092B-C50C-407E-A947-70E740481C1C}"/>
                      </a:extLst>
                    </a:blip>
                    <a:srcRect/>
                    <a:stretch>
                      <a:fillRect/>
                    </a:stretch>
                  </pic:blipFill>
                  <pic:spPr bwMode="auto">
                    <a:xfrm>
                      <a:off x="0" y="0"/>
                      <a:ext cx="3601085" cy="635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-233680</wp:posOffset>
            </wp:positionV>
            <wp:extent cx="3601085"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3">
                      <a:extLst>
                        <a:ext uri="{28A0092B-C50C-407E-A947-70E740481C1C}"/>
                      </a:extLst>
                    </a:blip>
                    <a:srcRect/>
                    <a:stretch>
                      <a:fillRect/>
                    </a:stretch>
                  </pic:blipFill>
                  <pic:spPr bwMode="auto">
                    <a:xfrm>
                      <a:off x="0" y="0"/>
                      <a:ext cx="3601085" cy="6350"/>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-27940</wp:posOffset>
            </wp:positionV>
            <wp:extent cx="3601085" cy="285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4">
                      <a:extLst>
                        <a:ext uri="{28A0092B-C50C-407E-A947-70E740481C1C}"/>
                      </a:extLst>
                    </a:blip>
                    <a:srcRect/>
                    <a:stretch>
                      <a:fillRect/>
                    </a:stretch>
                  </pic:blipFill>
                  <pic:spPr bwMode="auto">
                    <a:xfrm>
                      <a:off x="0" y="0"/>
                      <a:ext cx="3601085" cy="2857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 Income Taxes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 for Income Taxes</w:t>
      </w:r>
    </w:p>
    <w:p>
      <w:pPr>
        <w:spacing w:after="0" w:line="260" w:lineRule="exact"/>
        <w:rPr>
          <w:sz w:val="20"/>
          <w:szCs w:val="20"/>
          <w:color w:val="auto"/>
        </w:rPr>
      </w:pPr>
    </w:p>
    <w:p>
      <w:pPr>
        <w:ind w:right="860"/>
        <w:spacing w:after="0" w:line="302" w:lineRule="auto"/>
        <w:rPr>
          <w:sz w:val="20"/>
          <w:szCs w:val="20"/>
          <w:color w:val="auto"/>
        </w:rPr>
      </w:pPr>
      <w:r>
        <w:rPr>
          <w:rFonts w:ascii="Arial" w:cs="Arial" w:eastAsia="Arial" w:hAnsi="Arial"/>
          <w:sz w:val="20"/>
          <w:szCs w:val="20"/>
          <w:color w:val="auto"/>
        </w:rPr>
        <w:t>An analysis of income from operations before income taxes and interest in earnings of associates by taxing jurisdiction is shown below:</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720" w:type="dxa"/>
            <w:vAlign w:val="bottom"/>
            <w:gridSpan w:val="4"/>
          </w:tcPr>
          <w:p>
            <w:pPr>
              <w:jc w:val="center"/>
              <w:ind w:left="527"/>
              <w:spacing w:after="0"/>
              <w:rPr>
                <w:sz w:val="20"/>
                <w:szCs w:val="20"/>
                <w:color w:val="auto"/>
              </w:rPr>
            </w:pPr>
            <w:r>
              <w:rPr>
                <w:rFonts w:ascii="Arial" w:cs="Arial" w:eastAsia="Arial" w:hAnsi="Arial"/>
                <w:sz w:val="16"/>
                <w:szCs w:val="16"/>
                <w:b w:val="1"/>
                <w:bCs w:val="1"/>
                <w:color w:val="auto"/>
                <w:w w:val="89"/>
              </w:rPr>
              <w:t>Years ended December 31,</w:t>
            </w:r>
          </w:p>
        </w:tc>
        <w:tc>
          <w:tcPr>
            <w:tcW w:w="960" w:type="dxa"/>
            <w:vAlign w:val="bottom"/>
          </w:tcPr>
          <w:p>
            <w:pPr>
              <w:spacing w:after="0"/>
              <w:rPr>
                <w:sz w:val="16"/>
                <w:szCs w:val="16"/>
                <w:color w:val="auto"/>
              </w:rPr>
            </w:pPr>
          </w:p>
        </w:tc>
      </w:tr>
      <w:tr>
        <w:trPr>
          <w:trHeight w:val="250"/>
        </w:trPr>
        <w:tc>
          <w:tcPr>
            <w:tcW w:w="5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jc w:val="right"/>
              <w:ind w:right="427"/>
              <w:spacing w:after="0"/>
              <w:rPr>
                <w:sz w:val="20"/>
                <w:szCs w:val="20"/>
                <w:color w:val="auto"/>
              </w:rPr>
            </w:pPr>
            <w:r>
              <w:rPr>
                <w:rFonts w:ascii="Arial" w:cs="Arial" w:eastAsia="Arial" w:hAnsi="Arial"/>
                <w:sz w:val="16"/>
                <w:szCs w:val="16"/>
                <w:b w:val="1"/>
                <w:bCs w:val="1"/>
                <w:color w:val="auto"/>
              </w:rPr>
              <w:t>2025</w:t>
            </w:r>
          </w:p>
        </w:tc>
        <w:tc>
          <w:tcPr>
            <w:tcW w:w="340" w:type="dxa"/>
            <w:vAlign w:val="bottom"/>
          </w:tcPr>
          <w:p>
            <w:pPr>
              <w:spacing w:after="0"/>
              <w:rPr>
                <w:sz w:val="21"/>
                <w:szCs w:val="21"/>
                <w:color w:val="auto"/>
              </w:rPr>
            </w:pPr>
          </w:p>
        </w:tc>
        <w:tc>
          <w:tcPr>
            <w:tcW w:w="1020" w:type="dxa"/>
            <w:vAlign w:val="bottom"/>
          </w:tcPr>
          <w:p>
            <w:pPr>
              <w:jc w:val="center"/>
              <w:ind w:right="284"/>
              <w:spacing w:after="0"/>
              <w:rPr>
                <w:sz w:val="20"/>
                <w:szCs w:val="20"/>
                <w:color w:val="auto"/>
              </w:rPr>
            </w:pPr>
            <w:r>
              <w:rPr>
                <w:rFonts w:ascii="Arial" w:cs="Arial" w:eastAsia="Arial" w:hAnsi="Arial"/>
                <w:sz w:val="16"/>
                <w:szCs w:val="16"/>
                <w:b w:val="1"/>
                <w:bCs w:val="1"/>
                <w:color w:val="auto"/>
                <w:w w:val="89"/>
              </w:rPr>
              <w:t>2024</w:t>
            </w:r>
          </w:p>
        </w:tc>
        <w:tc>
          <w:tcPr>
            <w:tcW w:w="340" w:type="dxa"/>
            <w:vAlign w:val="bottom"/>
          </w:tcPr>
          <w:p>
            <w:pPr>
              <w:spacing w:after="0"/>
              <w:rPr>
                <w:sz w:val="21"/>
                <w:szCs w:val="21"/>
                <w:color w:val="auto"/>
              </w:rPr>
            </w:pPr>
          </w:p>
        </w:tc>
        <w:tc>
          <w:tcPr>
            <w:tcW w:w="960" w:type="dxa"/>
            <w:vAlign w:val="bottom"/>
          </w:tcPr>
          <w:p>
            <w:pPr>
              <w:jc w:val="right"/>
              <w:ind w:right="404"/>
              <w:spacing w:after="0"/>
              <w:rPr>
                <w:sz w:val="20"/>
                <w:szCs w:val="20"/>
                <w:color w:val="auto"/>
              </w:rPr>
            </w:pPr>
            <w:r>
              <w:rPr>
                <w:rFonts w:ascii="Arial" w:cs="Arial" w:eastAsia="Arial" w:hAnsi="Arial"/>
                <w:sz w:val="16"/>
                <w:szCs w:val="16"/>
                <w:b w:val="1"/>
                <w:bCs w:val="1"/>
                <w:color w:val="auto"/>
              </w:rPr>
              <w:t>2023</w:t>
            </w:r>
          </w:p>
        </w:tc>
      </w:tr>
      <w:tr>
        <w:trPr>
          <w:trHeight w:val="42"/>
        </w:trPr>
        <w:tc>
          <w:tcPr>
            <w:tcW w:w="5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80"/>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Ireland</w:t>
            </w:r>
          </w:p>
        </w:tc>
        <w:tc>
          <w:tcPr>
            <w:tcW w:w="6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20"/>
                <w:szCs w:val="20"/>
                <w:color w:val="auto"/>
              </w:rPr>
              <w:t>23</w:t>
            </w:r>
          </w:p>
        </w:tc>
        <w:tc>
          <w:tcPr>
            <w:tcW w:w="3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20"/>
                <w:szCs w:val="20"/>
                <w:color w:val="auto"/>
              </w:rPr>
              <w:t>22</w:t>
            </w:r>
          </w:p>
        </w:tc>
        <w:tc>
          <w:tcPr>
            <w:tcW w:w="3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14</w:t>
            </w:r>
          </w:p>
        </w:tc>
      </w:tr>
      <w:tr>
        <w:trPr>
          <w:trHeight w:val="259"/>
        </w:trPr>
        <w:tc>
          <w:tcPr>
            <w:tcW w:w="5100" w:type="dxa"/>
            <w:vAlign w:val="bottom"/>
          </w:tcPr>
          <w:p>
            <w:pPr>
              <w:spacing w:after="0"/>
              <w:rPr>
                <w:sz w:val="20"/>
                <w:szCs w:val="20"/>
                <w:color w:val="auto"/>
              </w:rPr>
            </w:pPr>
            <w:r>
              <w:rPr>
                <w:rFonts w:ascii="Arial" w:cs="Arial" w:eastAsia="Arial" w:hAnsi="Arial"/>
                <w:sz w:val="20"/>
                <w:szCs w:val="20"/>
                <w:color w:val="auto"/>
              </w:rPr>
              <w:t>U.S.</w:t>
            </w:r>
          </w:p>
        </w:tc>
        <w:tc>
          <w:tcPr>
            <w:tcW w:w="620" w:type="dxa"/>
            <w:vAlign w:val="bottom"/>
          </w:tcPr>
          <w:p>
            <w:pPr>
              <w:spacing w:after="0"/>
              <w:rPr>
                <w:sz w:val="22"/>
                <w:szCs w:val="22"/>
                <w:color w:val="auto"/>
              </w:rPr>
            </w:pPr>
          </w:p>
        </w:tc>
        <w:tc>
          <w:tcPr>
            <w:tcW w:w="1020" w:type="dxa"/>
            <w:vAlign w:val="bottom"/>
          </w:tcPr>
          <w:p>
            <w:pPr>
              <w:jc w:val="right"/>
              <w:ind w:right="47"/>
              <w:spacing w:after="0"/>
              <w:rPr>
                <w:sz w:val="20"/>
                <w:szCs w:val="20"/>
                <w:color w:val="auto"/>
              </w:rPr>
            </w:pPr>
            <w:r>
              <w:rPr>
                <w:rFonts w:ascii="Arial" w:cs="Arial" w:eastAsia="Arial" w:hAnsi="Arial"/>
                <w:sz w:val="20"/>
                <w:szCs w:val="20"/>
                <w:color w:val="auto"/>
              </w:rPr>
              <w:t>457</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(1,469)</w:t>
            </w:r>
          </w:p>
        </w:tc>
        <w:tc>
          <w:tcPr>
            <w:tcW w:w="34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348</w:t>
            </w:r>
          </w:p>
        </w:tc>
      </w:tr>
      <w:tr>
        <w:trPr>
          <w:trHeight w:val="41"/>
        </w:trPr>
        <w:tc>
          <w:tcPr>
            <w:tcW w:w="5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80"/>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U.K.</w:t>
            </w:r>
          </w:p>
        </w:tc>
        <w:tc>
          <w:tcPr>
            <w:tcW w:w="6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20"/>
                <w:szCs w:val="20"/>
                <w:color w:val="auto"/>
              </w:rPr>
              <w:t>203</w:t>
            </w: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20"/>
                <w:szCs w:val="20"/>
                <w:color w:val="auto"/>
              </w:rPr>
              <w:t>384</w:t>
            </w:r>
          </w:p>
        </w:tc>
        <w:tc>
          <w:tcPr>
            <w:tcW w:w="3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(93)</w:t>
            </w:r>
          </w:p>
        </w:tc>
      </w:tr>
      <w:tr>
        <w:trPr>
          <w:trHeight w:val="259"/>
        </w:trPr>
        <w:tc>
          <w:tcPr>
            <w:tcW w:w="5100" w:type="dxa"/>
            <w:vAlign w:val="bottom"/>
          </w:tcPr>
          <w:p>
            <w:pPr>
              <w:spacing w:after="0"/>
              <w:rPr>
                <w:sz w:val="20"/>
                <w:szCs w:val="20"/>
                <w:color w:val="auto"/>
              </w:rPr>
            </w:pPr>
            <w:r>
              <w:rPr>
                <w:rFonts w:ascii="Arial" w:cs="Arial" w:eastAsia="Arial" w:hAnsi="Arial"/>
                <w:sz w:val="20"/>
                <w:szCs w:val="20"/>
                <w:color w:val="auto"/>
              </w:rPr>
              <w:t>Rest of World</w:t>
            </w:r>
          </w:p>
        </w:tc>
        <w:tc>
          <w:tcPr>
            <w:tcW w:w="620" w:type="dxa"/>
            <w:vAlign w:val="bottom"/>
          </w:tcPr>
          <w:p>
            <w:pPr>
              <w:spacing w:after="0"/>
              <w:rPr>
                <w:sz w:val="22"/>
                <w:szCs w:val="22"/>
                <w:color w:val="auto"/>
              </w:rPr>
            </w:pPr>
          </w:p>
        </w:tc>
        <w:tc>
          <w:tcPr>
            <w:tcW w:w="1020" w:type="dxa"/>
            <w:vAlign w:val="bottom"/>
          </w:tcPr>
          <w:p>
            <w:pPr>
              <w:jc w:val="right"/>
              <w:ind w:right="47"/>
              <w:spacing w:after="0"/>
              <w:rPr>
                <w:sz w:val="20"/>
                <w:szCs w:val="20"/>
                <w:color w:val="auto"/>
              </w:rPr>
            </w:pPr>
            <w:r>
              <w:rPr>
                <w:rFonts w:ascii="Arial" w:cs="Arial" w:eastAsia="Arial" w:hAnsi="Arial"/>
                <w:sz w:val="20"/>
                <w:szCs w:val="20"/>
                <w:color w:val="auto"/>
              </w:rPr>
              <w:t>1,270</w:t>
            </w:r>
          </w:p>
        </w:tc>
        <w:tc>
          <w:tcPr>
            <w:tcW w:w="340" w:type="dxa"/>
            <w:vAlign w:val="bottom"/>
          </w:tcPr>
          <w:p>
            <w:pPr>
              <w:spacing w:after="0"/>
              <w:rPr>
                <w:sz w:val="22"/>
                <w:szCs w:val="22"/>
                <w:color w:val="auto"/>
              </w:rPr>
            </w:pPr>
          </w:p>
        </w:tc>
        <w:tc>
          <w:tcPr>
            <w:tcW w:w="1020" w:type="dxa"/>
            <w:vAlign w:val="bottom"/>
          </w:tcPr>
          <w:p>
            <w:pPr>
              <w:jc w:val="right"/>
              <w:ind w:right="44"/>
              <w:spacing w:after="0"/>
              <w:rPr>
                <w:sz w:val="20"/>
                <w:szCs w:val="20"/>
                <w:color w:val="auto"/>
              </w:rPr>
            </w:pPr>
            <w:r>
              <w:rPr>
                <w:rFonts w:ascii="Arial" w:cs="Arial" w:eastAsia="Arial" w:hAnsi="Arial"/>
                <w:sz w:val="20"/>
                <w:szCs w:val="20"/>
                <w:color w:val="auto"/>
              </w:rPr>
              <w:t>1,165</w:t>
            </w:r>
          </w:p>
        </w:tc>
        <w:tc>
          <w:tcPr>
            <w:tcW w:w="34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1,007</w:t>
            </w:r>
          </w:p>
        </w:tc>
      </w:tr>
      <w:tr>
        <w:trPr>
          <w:trHeight w:val="51"/>
        </w:trPr>
        <w:tc>
          <w:tcPr>
            <w:tcW w:w="5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9"/>
        </w:trPr>
        <w:tc>
          <w:tcPr>
            <w:tcW w:w="5100" w:type="dxa"/>
            <w:vAlign w:val="bottom"/>
            <w:shd w:val="clear" w:color="auto" w:fill="CFF0FC"/>
          </w:tcPr>
          <w:p>
            <w:pPr>
              <w:spacing w:after="0"/>
              <w:rPr>
                <w:sz w:val="20"/>
                <w:szCs w:val="20"/>
                <w:color w:val="auto"/>
              </w:rPr>
            </w:pPr>
            <w:r>
              <w:rPr>
                <w:rFonts w:ascii="Arial" w:cs="Arial" w:eastAsia="Arial" w:hAnsi="Arial"/>
                <w:sz w:val="20"/>
                <w:szCs w:val="20"/>
                <w:color w:val="auto"/>
              </w:rPr>
              <w:t>Total</w:t>
            </w:r>
          </w:p>
        </w:tc>
        <w:tc>
          <w:tcPr>
            <w:tcW w:w="6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ind w:right="47"/>
              <w:spacing w:after="0"/>
              <w:rPr>
                <w:sz w:val="20"/>
                <w:szCs w:val="20"/>
                <w:color w:val="auto"/>
              </w:rPr>
            </w:pPr>
            <w:r>
              <w:rPr>
                <w:rFonts w:ascii="Arial" w:cs="Arial" w:eastAsia="Arial" w:hAnsi="Arial"/>
                <w:sz w:val="20"/>
                <w:szCs w:val="20"/>
                <w:color w:val="auto"/>
              </w:rPr>
              <w:t>1,953</w:t>
            </w:r>
          </w:p>
        </w:tc>
        <w:tc>
          <w:tcPr>
            <w:tcW w:w="3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ind w:right="44"/>
              <w:spacing w:after="0"/>
              <w:rPr>
                <w:sz w:val="20"/>
                <w:szCs w:val="20"/>
                <w:color w:val="auto"/>
              </w:rPr>
            </w:pPr>
            <w:r>
              <w:rPr>
                <w:rFonts w:ascii="Arial" w:cs="Arial" w:eastAsia="Arial" w:hAnsi="Arial"/>
                <w:sz w:val="20"/>
                <w:szCs w:val="20"/>
                <w:color w:val="auto"/>
              </w:rPr>
              <w:t>102</w:t>
            </w:r>
          </w:p>
        </w:tc>
        <w:tc>
          <w:tcPr>
            <w:tcW w:w="34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ind w:right="4"/>
              <w:spacing w:after="0"/>
              <w:rPr>
                <w:sz w:val="20"/>
                <w:szCs w:val="20"/>
                <w:color w:val="auto"/>
              </w:rPr>
            </w:pPr>
            <w:r>
              <w:rPr>
                <w:rFonts w:ascii="Arial" w:cs="Arial" w:eastAsia="Arial" w:hAnsi="Arial"/>
                <w:sz w:val="20"/>
                <w:szCs w:val="20"/>
                <w:color w:val="auto"/>
              </w:rPr>
              <w:t>1,276</w:t>
            </w:r>
          </w:p>
        </w:tc>
      </w:tr>
      <w:tr>
        <w:trPr>
          <w:trHeight w:val="86"/>
        </w:trPr>
        <w:tc>
          <w:tcPr>
            <w:tcW w:w="510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r>
      <w:tr>
        <w:trPr>
          <w:trHeight w:val="559"/>
        </w:trPr>
        <w:tc>
          <w:tcPr>
            <w:tcW w:w="5100" w:type="dxa"/>
            <w:vAlign w:val="bottom"/>
          </w:tcPr>
          <w:p>
            <w:pPr>
              <w:spacing w:after="0"/>
              <w:rPr>
                <w:sz w:val="20"/>
                <w:szCs w:val="20"/>
                <w:color w:val="auto"/>
              </w:rPr>
            </w:pPr>
            <w:r>
              <w:rPr>
                <w:rFonts w:ascii="Arial" w:cs="Arial" w:eastAsia="Arial" w:hAnsi="Arial"/>
                <w:sz w:val="20"/>
                <w:szCs w:val="20"/>
                <w:color w:val="auto"/>
                <w:w w:val="98"/>
              </w:rPr>
              <w:t>The components of the provision for income taxes include:</w:t>
            </w: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93"/>
        </w:trPr>
        <w:tc>
          <w:tcPr>
            <w:tcW w:w="5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20" w:type="dxa"/>
            <w:vAlign w:val="bottom"/>
            <w:gridSpan w:val="4"/>
          </w:tcPr>
          <w:p>
            <w:pPr>
              <w:jc w:val="center"/>
              <w:ind w:left="487"/>
              <w:spacing w:after="0"/>
              <w:rPr>
                <w:sz w:val="20"/>
                <w:szCs w:val="20"/>
                <w:color w:val="auto"/>
              </w:rPr>
            </w:pPr>
            <w:r>
              <w:rPr>
                <w:rFonts w:ascii="Arial" w:cs="Arial" w:eastAsia="Arial" w:hAnsi="Arial"/>
                <w:sz w:val="16"/>
                <w:szCs w:val="16"/>
                <w:b w:val="1"/>
                <w:bCs w:val="1"/>
                <w:color w:val="auto"/>
                <w:w w:val="89"/>
              </w:rPr>
              <w:t>Years ended December 31,</w:t>
            </w:r>
          </w:p>
        </w:tc>
        <w:tc>
          <w:tcPr>
            <w:tcW w:w="960" w:type="dxa"/>
            <w:vAlign w:val="bottom"/>
          </w:tcPr>
          <w:p>
            <w:pPr>
              <w:spacing w:after="0"/>
              <w:rPr>
                <w:sz w:val="24"/>
                <w:szCs w:val="24"/>
                <w:color w:val="auto"/>
              </w:rPr>
            </w:pPr>
          </w:p>
        </w:tc>
      </w:tr>
      <w:tr>
        <w:trPr>
          <w:trHeight w:val="264"/>
        </w:trPr>
        <w:tc>
          <w:tcPr>
            <w:tcW w:w="5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ind w:right="467"/>
              <w:spacing w:after="0"/>
              <w:rPr>
                <w:sz w:val="20"/>
                <w:szCs w:val="20"/>
                <w:color w:val="auto"/>
              </w:rPr>
            </w:pPr>
            <w:r>
              <w:rPr>
                <w:rFonts w:ascii="Arial" w:cs="Arial" w:eastAsia="Arial" w:hAnsi="Arial"/>
                <w:sz w:val="16"/>
                <w:szCs w:val="16"/>
                <w:b w:val="1"/>
                <w:bCs w:val="1"/>
                <w:color w:val="auto"/>
              </w:rPr>
              <w:t>2025</w:t>
            </w:r>
          </w:p>
        </w:tc>
        <w:tc>
          <w:tcPr>
            <w:tcW w:w="340" w:type="dxa"/>
            <w:vAlign w:val="bottom"/>
          </w:tcPr>
          <w:p>
            <w:pPr>
              <w:spacing w:after="0"/>
              <w:rPr>
                <w:sz w:val="22"/>
                <w:szCs w:val="22"/>
                <w:color w:val="auto"/>
              </w:rPr>
            </w:pPr>
          </w:p>
        </w:tc>
        <w:tc>
          <w:tcPr>
            <w:tcW w:w="1020" w:type="dxa"/>
            <w:vAlign w:val="bottom"/>
          </w:tcPr>
          <w:p>
            <w:pPr>
              <w:jc w:val="center"/>
              <w:ind w:right="324"/>
              <w:spacing w:after="0"/>
              <w:rPr>
                <w:sz w:val="20"/>
                <w:szCs w:val="20"/>
                <w:color w:val="auto"/>
              </w:rPr>
            </w:pPr>
            <w:r>
              <w:rPr>
                <w:rFonts w:ascii="Arial" w:cs="Arial" w:eastAsia="Arial" w:hAnsi="Arial"/>
                <w:sz w:val="16"/>
                <w:szCs w:val="16"/>
                <w:b w:val="1"/>
                <w:bCs w:val="1"/>
                <w:color w:val="auto"/>
                <w:w w:val="89"/>
              </w:rPr>
              <w:t>2024</w:t>
            </w:r>
          </w:p>
        </w:tc>
        <w:tc>
          <w:tcPr>
            <w:tcW w:w="340" w:type="dxa"/>
            <w:vAlign w:val="bottom"/>
          </w:tcPr>
          <w:p>
            <w:pPr>
              <w:spacing w:after="0"/>
              <w:rPr>
                <w:sz w:val="22"/>
                <w:szCs w:val="22"/>
                <w:color w:val="auto"/>
              </w:rPr>
            </w:pPr>
          </w:p>
        </w:tc>
        <w:tc>
          <w:tcPr>
            <w:tcW w:w="960" w:type="dxa"/>
            <w:vAlign w:val="bottom"/>
          </w:tcPr>
          <w:p>
            <w:pPr>
              <w:jc w:val="right"/>
              <w:ind w:right="424"/>
              <w:spacing w:after="0"/>
              <w:rPr>
                <w:sz w:val="20"/>
                <w:szCs w:val="20"/>
                <w:color w:val="auto"/>
              </w:rPr>
            </w:pPr>
            <w:r>
              <w:rPr>
                <w:rFonts w:ascii="Arial" w:cs="Arial" w:eastAsia="Arial" w:hAnsi="Arial"/>
                <w:sz w:val="16"/>
                <w:szCs w:val="16"/>
                <w:b w:val="1"/>
                <w:bCs w:val="1"/>
                <w:color w:val="auto"/>
              </w:rPr>
              <w:t>2023</w:t>
            </w:r>
          </w:p>
        </w:tc>
      </w:tr>
      <w:tr>
        <w:trPr>
          <w:trHeight w:val="42"/>
        </w:trPr>
        <w:tc>
          <w:tcPr>
            <w:tcW w:w="5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Current tax expense:</w:t>
            </w:r>
          </w:p>
        </w:tc>
        <w:tc>
          <w:tcPr>
            <w:tcW w:w="6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r>
      <w:tr>
        <w:trPr>
          <w:trHeight w:val="274"/>
        </w:trPr>
        <w:tc>
          <w:tcPr>
            <w:tcW w:w="5100" w:type="dxa"/>
            <w:vAlign w:val="bottom"/>
          </w:tcPr>
          <w:p>
            <w:pPr>
              <w:ind w:left="100"/>
              <w:spacing w:after="0"/>
              <w:rPr>
                <w:sz w:val="20"/>
                <w:szCs w:val="20"/>
                <w:color w:val="auto"/>
              </w:rPr>
            </w:pPr>
            <w:r>
              <w:rPr>
                <w:rFonts w:ascii="Arial" w:cs="Arial" w:eastAsia="Arial" w:hAnsi="Arial"/>
                <w:sz w:val="20"/>
                <w:szCs w:val="20"/>
                <w:color w:val="auto"/>
              </w:rPr>
              <w:t>Ireland</w:t>
            </w:r>
          </w:p>
        </w:tc>
        <w:tc>
          <w:tcPr>
            <w:tcW w:w="62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67"/>
              <w:spacing w:after="0"/>
              <w:rPr>
                <w:sz w:val="20"/>
                <w:szCs w:val="20"/>
                <w:color w:val="auto"/>
              </w:rPr>
            </w:pPr>
            <w:r>
              <w:rPr>
                <w:rFonts w:ascii="Arial" w:cs="Arial" w:eastAsia="Arial" w:hAnsi="Arial"/>
                <w:sz w:val="20"/>
                <w:szCs w:val="20"/>
                <w:color w:val="auto"/>
              </w:rPr>
              <w:t>62</w:t>
            </w:r>
          </w:p>
        </w:tc>
        <w:tc>
          <w:tcPr>
            <w:tcW w:w="3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(74)</w:t>
            </w:r>
          </w:p>
        </w:tc>
        <w:tc>
          <w:tcPr>
            <w:tcW w:w="3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(6)</w:t>
            </w:r>
          </w:p>
        </w:tc>
      </w:tr>
      <w:tr>
        <w:trPr>
          <w:trHeight w:val="41"/>
        </w:trPr>
        <w:tc>
          <w:tcPr>
            <w:tcW w:w="5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51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U.S. federal taxes</w:t>
            </w:r>
          </w:p>
        </w:tc>
        <w:tc>
          <w:tcPr>
            <w:tcW w:w="6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67"/>
              <w:spacing w:after="0"/>
              <w:rPr>
                <w:sz w:val="20"/>
                <w:szCs w:val="20"/>
                <w:color w:val="auto"/>
              </w:rPr>
            </w:pPr>
            <w:r>
              <w:rPr>
                <w:rFonts w:ascii="Arial" w:cs="Arial" w:eastAsia="Arial" w:hAnsi="Arial"/>
                <w:sz w:val="20"/>
                <w:szCs w:val="20"/>
                <w:color w:val="auto"/>
              </w:rPr>
              <w:t>52</w:t>
            </w:r>
          </w:p>
        </w:tc>
        <w:tc>
          <w:tcPr>
            <w:tcW w:w="3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(86)</w:t>
            </w:r>
          </w:p>
        </w:tc>
        <w:tc>
          <w:tcPr>
            <w:tcW w:w="3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(106)</w:t>
            </w:r>
          </w:p>
        </w:tc>
      </w:tr>
      <w:tr>
        <w:trPr>
          <w:trHeight w:val="274"/>
        </w:trPr>
        <w:tc>
          <w:tcPr>
            <w:tcW w:w="5100" w:type="dxa"/>
            <w:vAlign w:val="bottom"/>
          </w:tcPr>
          <w:p>
            <w:pPr>
              <w:ind w:left="100"/>
              <w:spacing w:after="0"/>
              <w:rPr>
                <w:sz w:val="20"/>
                <w:szCs w:val="20"/>
                <w:color w:val="auto"/>
              </w:rPr>
            </w:pPr>
            <w:r>
              <w:rPr>
                <w:rFonts w:ascii="Arial" w:cs="Arial" w:eastAsia="Arial" w:hAnsi="Arial"/>
                <w:sz w:val="20"/>
                <w:szCs w:val="20"/>
                <w:color w:val="auto"/>
              </w:rPr>
              <w:t>U.S. state and local taxes</w:t>
            </w:r>
          </w:p>
        </w:tc>
        <w:tc>
          <w:tcPr>
            <w:tcW w:w="6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(32)</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(18)</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-2851150</wp:posOffset>
            </wp:positionV>
            <wp:extent cx="2475865"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5">
                      <a:extLst>
                        <a:ext uri="{28A0092B-C50C-407E-A947-70E740481C1C}"/>
                      </a:extLst>
                    </a:blip>
                    <a:srcRect/>
                    <a:stretch>
                      <a:fillRect/>
                    </a:stretch>
                  </pic:blipFill>
                  <pic:spPr bwMode="auto">
                    <a:xfrm>
                      <a:off x="0" y="0"/>
                      <a:ext cx="2475865" cy="6350"/>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-2692400</wp:posOffset>
            </wp:positionV>
            <wp:extent cx="2475865"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6">
                      <a:extLst>
                        <a:ext uri="{28A0092B-C50C-407E-A947-70E740481C1C}"/>
                      </a:extLst>
                    </a:blip>
                    <a:srcRect/>
                    <a:stretch>
                      <a:fillRect/>
                    </a:stretch>
                  </pic:blipFill>
                  <pic:spPr bwMode="auto">
                    <a:xfrm>
                      <a:off x="0" y="0"/>
                      <a:ext cx="2475865" cy="6350"/>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-1924050</wp:posOffset>
            </wp:positionV>
            <wp:extent cx="2475865"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7">
                      <a:extLst>
                        <a:ext uri="{28A0092B-C50C-407E-A947-70E740481C1C}"/>
                      </a:extLst>
                    </a:blip>
                    <a:srcRect/>
                    <a:stretch>
                      <a:fillRect/>
                    </a:stretch>
                  </pic:blipFill>
                  <pic:spPr bwMode="auto">
                    <a:xfrm>
                      <a:off x="0" y="0"/>
                      <a:ext cx="2475865" cy="6350"/>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-1727200</wp:posOffset>
            </wp:positionV>
            <wp:extent cx="2475865" cy="285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58">
                      <a:extLst>
                        <a:ext uri="{28A0092B-C50C-407E-A947-70E740481C1C}"/>
                      </a:extLst>
                    </a:blip>
                    <a:srcRect/>
                    <a:stretch>
                      <a:fillRect/>
                    </a:stretch>
                  </pic:blipFill>
                  <pic:spPr bwMode="auto">
                    <a:xfrm>
                      <a:off x="0" y="0"/>
                      <a:ext cx="2475865" cy="28575"/>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-946150</wp:posOffset>
            </wp:positionV>
            <wp:extent cx="2491740"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59">
                      <a:extLst>
                        <a:ext uri="{28A0092B-C50C-407E-A947-70E740481C1C}"/>
                      </a:extLst>
                    </a:blip>
                    <a:srcRect/>
                    <a:stretch>
                      <a:fillRect/>
                    </a:stretch>
                  </pic:blipFill>
                  <pic:spPr bwMode="auto">
                    <a:xfrm>
                      <a:off x="0" y="0"/>
                      <a:ext cx="2491740" cy="6350"/>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-778510</wp:posOffset>
            </wp:positionV>
            <wp:extent cx="249174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0">
                      <a:extLst>
                        <a:ext uri="{28A0092B-C50C-407E-A947-70E740481C1C}"/>
                      </a:extLst>
                    </a:blip>
                    <a:srcRect/>
                    <a:stretch>
                      <a:fillRect/>
                    </a:stretch>
                  </pic:blipFill>
                  <pic:spPr bwMode="auto">
                    <a:xfrm>
                      <a:off x="0" y="0"/>
                      <a:ext cx="249174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15</w:t>
      </w:r>
    </w:p>
    <w:p>
      <w:pPr>
        <w:sectPr>
          <w:pgSz w:w="11900" w:h="16838" w:orient="portrait"/>
          <w:cols w:equalWidth="0" w:num="1">
            <w:col w:w="9400"/>
          </w:cols>
          <w:pgMar w:left="1260" w:top="1440" w:right="1246" w:bottom="0" w:gutter="0" w:footer="0" w:header="0"/>
          <w:type w:val="continuous"/>
        </w:sectPr>
      </w:pPr>
    </w:p>
    <w:bookmarkStart w:id="190" w:name="page191"/>
    <w:bookmarkEnd w:id="190"/>
    <w:tbl>
      <w:tblPr>
        <w:tblLayout w:type="fixed"/>
        <w:tblInd w:w="0" w:type="dxa"/>
        <w:tblCellMar>
          <w:top w:w="0" w:type="dxa"/>
          <w:left w:w="0" w:type="dxa"/>
          <w:bottom w:w="0" w:type="dxa"/>
          <w:right w:w="0" w:type="dxa"/>
        </w:tblCellMar>
      </w:tblPr>
      <w:tr>
        <w:trPr>
          <w:trHeight w:val="294"/>
        </w:trPr>
        <w:tc>
          <w:tcPr>
            <w:tcW w:w="37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U.K. corporation tax</w:t>
            </w:r>
          </w:p>
        </w:tc>
        <w:tc>
          <w:tcPr>
            <w:tcW w:w="2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(121)</w:t>
            </w:r>
          </w:p>
        </w:tc>
        <w:tc>
          <w:tcPr>
            <w:tcW w:w="5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(68)</w:t>
            </w:r>
          </w:p>
        </w:tc>
        <w:tc>
          <w:tcPr>
            <w:tcW w:w="5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(40)</w:t>
            </w:r>
          </w:p>
        </w:tc>
      </w:tr>
      <w:tr>
        <w:trPr>
          <w:trHeight w:val="274"/>
        </w:trPr>
        <w:tc>
          <w:tcPr>
            <w:tcW w:w="3720" w:type="dxa"/>
            <w:vAlign w:val="bottom"/>
          </w:tcPr>
          <w:p>
            <w:pPr>
              <w:ind w:left="100"/>
              <w:spacing w:after="0"/>
              <w:rPr>
                <w:sz w:val="20"/>
                <w:szCs w:val="20"/>
                <w:color w:val="auto"/>
              </w:rPr>
            </w:pPr>
            <w:r>
              <w:rPr>
                <w:rFonts w:ascii="Arial" w:cs="Arial" w:eastAsia="Arial" w:hAnsi="Arial"/>
                <w:sz w:val="20"/>
                <w:szCs w:val="20"/>
                <w:color w:val="auto"/>
              </w:rPr>
              <w:t>Other jurisdictions</w:t>
            </w:r>
          </w:p>
        </w:tc>
        <w:tc>
          <w:tcPr>
            <w:tcW w:w="2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(224)</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(159)</w:t>
            </w:r>
          </w:p>
        </w:tc>
        <w:tc>
          <w:tcPr>
            <w:tcW w:w="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(131)</w:t>
            </w:r>
          </w:p>
        </w:tc>
      </w:tr>
      <w:tr>
        <w:trPr>
          <w:trHeight w:val="51"/>
        </w:trPr>
        <w:tc>
          <w:tcPr>
            <w:tcW w:w="37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4"/>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current tax expense</w:t>
            </w:r>
          </w:p>
        </w:tc>
        <w:tc>
          <w:tcPr>
            <w:tcW w:w="2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(263)</w:t>
            </w:r>
          </w:p>
        </w:tc>
        <w:tc>
          <w:tcPr>
            <w:tcW w:w="5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(405)</w:t>
            </w:r>
          </w:p>
        </w:tc>
        <w:tc>
          <w:tcPr>
            <w:tcW w:w="5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(324)</w:t>
            </w:r>
          </w:p>
        </w:tc>
      </w:tr>
      <w:tr>
        <w:trPr>
          <w:trHeight w:val="274"/>
        </w:trPr>
        <w:tc>
          <w:tcPr>
            <w:tcW w:w="3720" w:type="dxa"/>
            <w:vAlign w:val="bottom"/>
          </w:tcPr>
          <w:p>
            <w:pPr>
              <w:spacing w:after="0"/>
              <w:rPr>
                <w:sz w:val="20"/>
                <w:szCs w:val="20"/>
                <w:color w:val="auto"/>
              </w:rPr>
            </w:pPr>
            <w:r>
              <w:rPr>
                <w:rFonts w:ascii="Arial" w:cs="Arial" w:eastAsia="Arial" w:hAnsi="Arial"/>
                <w:sz w:val="20"/>
                <w:szCs w:val="20"/>
                <w:color w:val="auto"/>
              </w:rPr>
              <w:t>Deferred tax (expense)/benefit:</w:t>
            </w:r>
          </w:p>
        </w:tc>
        <w:tc>
          <w:tcPr>
            <w:tcW w:w="2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41"/>
        </w:trPr>
        <w:tc>
          <w:tcPr>
            <w:tcW w:w="37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37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Ireland</w:t>
            </w:r>
          </w:p>
        </w:tc>
        <w:tc>
          <w:tcPr>
            <w:tcW w:w="2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5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5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74"/>
        </w:trPr>
        <w:tc>
          <w:tcPr>
            <w:tcW w:w="3720" w:type="dxa"/>
            <w:vAlign w:val="bottom"/>
          </w:tcPr>
          <w:p>
            <w:pPr>
              <w:ind w:left="100"/>
              <w:spacing w:after="0"/>
              <w:rPr>
                <w:sz w:val="20"/>
                <w:szCs w:val="20"/>
                <w:color w:val="auto"/>
              </w:rPr>
            </w:pPr>
            <w:r>
              <w:rPr>
                <w:rFonts w:ascii="Arial" w:cs="Arial" w:eastAsia="Arial" w:hAnsi="Arial"/>
                <w:sz w:val="20"/>
                <w:szCs w:val="20"/>
                <w:color w:val="auto"/>
              </w:rPr>
              <w:t>U.S. federal taxes</w:t>
            </w:r>
          </w:p>
        </w:tc>
        <w:tc>
          <w:tcPr>
            <w:tcW w:w="2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(107)</w:t>
            </w:r>
          </w:p>
        </w:tc>
        <w:tc>
          <w:tcPr>
            <w:tcW w:w="50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20"/>
                <w:szCs w:val="20"/>
                <w:color w:val="auto"/>
              </w:rPr>
              <w:t>166</w:t>
            </w:r>
          </w:p>
        </w:tc>
        <w:tc>
          <w:tcPr>
            <w:tcW w:w="5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20"/>
                <w:szCs w:val="20"/>
                <w:color w:val="auto"/>
              </w:rPr>
              <w:t>20</w:t>
            </w:r>
          </w:p>
        </w:tc>
      </w:tr>
      <w:tr>
        <w:trPr>
          <w:trHeight w:val="41"/>
        </w:trPr>
        <w:tc>
          <w:tcPr>
            <w:tcW w:w="37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94"/>
        </w:trPr>
        <w:tc>
          <w:tcPr>
            <w:tcW w:w="37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U.S. state and local taxes</w:t>
            </w:r>
          </w:p>
        </w:tc>
        <w:tc>
          <w:tcPr>
            <w:tcW w:w="2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w:t>
            </w:r>
          </w:p>
        </w:tc>
        <w:tc>
          <w:tcPr>
            <w:tcW w:w="5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16</w:t>
            </w:r>
          </w:p>
        </w:tc>
        <w:tc>
          <w:tcPr>
            <w:tcW w:w="5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15</w:t>
            </w:r>
          </w:p>
        </w:tc>
      </w:tr>
      <w:tr>
        <w:trPr>
          <w:trHeight w:val="274"/>
        </w:trPr>
        <w:tc>
          <w:tcPr>
            <w:tcW w:w="3720" w:type="dxa"/>
            <w:vAlign w:val="bottom"/>
          </w:tcPr>
          <w:p>
            <w:pPr>
              <w:ind w:left="100"/>
              <w:spacing w:after="0"/>
              <w:rPr>
                <w:sz w:val="20"/>
                <w:szCs w:val="20"/>
                <w:color w:val="auto"/>
              </w:rPr>
            </w:pPr>
            <w:r>
              <w:rPr>
                <w:rFonts w:ascii="Arial" w:cs="Arial" w:eastAsia="Arial" w:hAnsi="Arial"/>
                <w:sz w:val="20"/>
                <w:szCs w:val="20"/>
                <w:color w:val="auto"/>
              </w:rPr>
              <w:t>U.K. corporation tax</w:t>
            </w:r>
          </w:p>
        </w:tc>
        <w:tc>
          <w:tcPr>
            <w:tcW w:w="216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20"/>
                <w:szCs w:val="20"/>
                <w:color w:val="auto"/>
              </w:rPr>
              <w:t>49</w:t>
            </w:r>
          </w:p>
        </w:tc>
        <w:tc>
          <w:tcPr>
            <w:tcW w:w="50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20"/>
                <w:szCs w:val="20"/>
                <w:color w:val="auto"/>
              </w:rPr>
              <w:t>26</w:t>
            </w:r>
          </w:p>
        </w:tc>
        <w:tc>
          <w:tcPr>
            <w:tcW w:w="5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20"/>
                <w:szCs w:val="20"/>
                <w:color w:val="auto"/>
              </w:rPr>
              <w:t>63</w:t>
            </w:r>
          </w:p>
        </w:tc>
      </w:tr>
      <w:tr>
        <w:trPr>
          <w:trHeight w:val="41"/>
        </w:trPr>
        <w:tc>
          <w:tcPr>
            <w:tcW w:w="37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304"/>
        </w:trPr>
        <w:tc>
          <w:tcPr>
            <w:tcW w:w="37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Other jurisdictions</w:t>
            </w:r>
          </w:p>
        </w:tc>
        <w:tc>
          <w:tcPr>
            <w:tcW w:w="21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11</w:t>
            </w:r>
          </w:p>
        </w:tc>
        <w:tc>
          <w:tcPr>
            <w:tcW w:w="5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6</w:t>
            </w:r>
          </w:p>
        </w:tc>
        <w:tc>
          <w:tcPr>
            <w:tcW w:w="5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w:t>
            </w:r>
          </w:p>
        </w:tc>
      </w:tr>
      <w:tr>
        <w:trPr>
          <w:trHeight w:val="274"/>
        </w:trPr>
        <w:tc>
          <w:tcPr>
            <w:tcW w:w="3720" w:type="dxa"/>
            <w:vAlign w:val="bottom"/>
          </w:tcPr>
          <w:p>
            <w:pPr>
              <w:spacing w:after="0"/>
              <w:rPr>
                <w:sz w:val="20"/>
                <w:szCs w:val="20"/>
                <w:color w:val="auto"/>
              </w:rPr>
            </w:pPr>
            <w:r>
              <w:rPr>
                <w:rFonts w:ascii="Arial" w:cs="Arial" w:eastAsia="Arial" w:hAnsi="Arial"/>
                <w:sz w:val="20"/>
                <w:szCs w:val="20"/>
                <w:color w:val="auto"/>
              </w:rPr>
              <w:t>Total deferred tax (expense)/benefit</w:t>
            </w:r>
          </w:p>
        </w:tc>
        <w:tc>
          <w:tcPr>
            <w:tcW w:w="2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(55)</w:t>
            </w:r>
          </w:p>
        </w:tc>
        <w:tc>
          <w:tcPr>
            <w:tcW w:w="50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20"/>
                <w:szCs w:val="20"/>
                <w:color w:val="auto"/>
              </w:rPr>
              <w:t>213</w:t>
            </w:r>
          </w:p>
        </w:tc>
        <w:tc>
          <w:tcPr>
            <w:tcW w:w="5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20"/>
                <w:szCs w:val="20"/>
                <w:color w:val="auto"/>
              </w:rPr>
              <w:t>109</w:t>
            </w:r>
          </w:p>
        </w:tc>
      </w:tr>
      <w:tr>
        <w:trPr>
          <w:trHeight w:val="51"/>
        </w:trPr>
        <w:tc>
          <w:tcPr>
            <w:tcW w:w="37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74"/>
        </w:trPr>
        <w:tc>
          <w:tcPr>
            <w:tcW w:w="3720" w:type="dxa"/>
            <w:vAlign w:val="bottom"/>
            <w:shd w:val="clear" w:color="auto" w:fill="CFF0FC"/>
          </w:tcPr>
          <w:p>
            <w:pPr>
              <w:spacing w:after="0"/>
              <w:rPr>
                <w:sz w:val="20"/>
                <w:szCs w:val="20"/>
                <w:color w:val="auto"/>
              </w:rPr>
            </w:pPr>
            <w:r>
              <w:rPr>
                <w:rFonts w:ascii="Arial" w:cs="Arial" w:eastAsia="Arial" w:hAnsi="Arial"/>
                <w:sz w:val="20"/>
                <w:szCs w:val="20"/>
                <w:color w:val="auto"/>
              </w:rPr>
              <w:t>Total provision for income taxes</w:t>
            </w:r>
          </w:p>
        </w:tc>
        <w:tc>
          <w:tcPr>
            <w:tcW w:w="2160" w:type="dxa"/>
            <w:vAlign w:val="bottom"/>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(318)</w:t>
            </w:r>
          </w:p>
        </w:tc>
        <w:tc>
          <w:tcPr>
            <w:tcW w:w="500" w:type="dxa"/>
            <w:vAlign w:val="bottom"/>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(192)</w:t>
            </w:r>
          </w:p>
        </w:tc>
        <w:tc>
          <w:tcPr>
            <w:tcW w:w="500" w:type="dxa"/>
            <w:vAlign w:val="bottom"/>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(215)</w:t>
            </w:r>
          </w:p>
        </w:tc>
      </w:tr>
      <w:tr>
        <w:trPr>
          <w:trHeight w:val="86"/>
        </w:trPr>
        <w:tc>
          <w:tcPr>
            <w:tcW w:w="3720" w:type="dxa"/>
            <w:vAlign w:val="bottom"/>
            <w:shd w:val="clear" w:color="auto" w:fill="CFF0FC"/>
          </w:tcPr>
          <w:p>
            <w:pPr>
              <w:spacing w:after="0"/>
              <w:rPr>
                <w:sz w:val="7"/>
                <w:szCs w:val="7"/>
                <w:color w:val="auto"/>
              </w:rPr>
            </w:pPr>
          </w:p>
        </w:tc>
        <w:tc>
          <w:tcPr>
            <w:tcW w:w="216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r>
      <w:tr>
        <w:trPr>
          <w:trHeight w:val="799"/>
        </w:trPr>
        <w:tc>
          <w:tcPr>
            <w:tcW w:w="3720" w:type="dxa"/>
            <w:vAlign w:val="bottom"/>
          </w:tcPr>
          <w:p>
            <w:pPr>
              <w:spacing w:after="0"/>
              <w:rPr>
                <w:sz w:val="24"/>
                <w:szCs w:val="24"/>
                <w:color w:val="auto"/>
              </w:rPr>
            </w:pPr>
          </w:p>
        </w:tc>
        <w:tc>
          <w:tcPr>
            <w:tcW w:w="2160" w:type="dxa"/>
            <w:vAlign w:val="bottom"/>
          </w:tcPr>
          <w:p>
            <w:pPr>
              <w:jc w:val="right"/>
              <w:ind w:right="980"/>
              <w:spacing w:after="0"/>
              <w:rPr>
                <w:sz w:val="20"/>
                <w:szCs w:val="20"/>
                <w:color w:val="auto"/>
              </w:rPr>
            </w:pPr>
            <w:r>
              <w:rPr>
                <w:rFonts w:ascii="Arial" w:cs="Arial" w:eastAsia="Arial" w:hAnsi="Arial"/>
                <w:sz w:val="20"/>
                <w:szCs w:val="20"/>
                <w:color w:val="auto"/>
              </w:rPr>
              <w:t>96</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91"/>
        </w:trPr>
        <w:tc>
          <w:tcPr>
            <w:tcW w:w="3720" w:type="dxa"/>
            <w:vAlign w:val="bottom"/>
            <w:tcBorders>
              <w:bottom w:val="single" w:sz="8" w:color="010101"/>
            </w:tcBorders>
          </w:tcPr>
          <w:p>
            <w:pPr>
              <w:spacing w:after="0"/>
              <w:rPr>
                <w:sz w:val="24"/>
                <w:szCs w:val="24"/>
                <w:color w:val="auto"/>
              </w:rPr>
            </w:pPr>
          </w:p>
        </w:tc>
        <w:tc>
          <w:tcPr>
            <w:tcW w:w="216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2">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-2936240</wp:posOffset>
            </wp:positionV>
            <wp:extent cx="2491740"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3">
                      <a:extLst>
                        <a:ext uri="{28A0092B-C50C-407E-A947-70E740481C1C}"/>
                      </a:extLst>
                    </a:blip>
                    <a:srcRect/>
                    <a:stretch>
                      <a:fillRect/>
                    </a:stretch>
                  </pic:blipFill>
                  <pic:spPr bwMode="auto">
                    <a:xfrm>
                      <a:off x="0" y="0"/>
                      <a:ext cx="2491740" cy="6350"/>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-2729865</wp:posOffset>
            </wp:positionV>
            <wp:extent cx="249174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4">
                      <a:extLst>
                        <a:ext uri="{28A0092B-C50C-407E-A947-70E740481C1C}"/>
                      </a:extLst>
                    </a:blip>
                    <a:srcRect/>
                    <a:stretch>
                      <a:fillRect/>
                    </a:stretch>
                  </pic:blipFill>
                  <pic:spPr bwMode="auto">
                    <a:xfrm>
                      <a:off x="0" y="0"/>
                      <a:ext cx="2491740" cy="6350"/>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-1525905</wp:posOffset>
            </wp:positionV>
            <wp:extent cx="249174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5">
                      <a:extLst>
                        <a:ext uri="{28A0092B-C50C-407E-A947-70E740481C1C}"/>
                      </a:extLst>
                    </a:blip>
                    <a:srcRect/>
                    <a:stretch>
                      <a:fillRect/>
                    </a:stretch>
                  </pic:blipFill>
                  <pic:spPr bwMode="auto">
                    <a:xfrm>
                      <a:off x="0" y="0"/>
                      <a:ext cx="2491740" cy="6350"/>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-1319530</wp:posOffset>
            </wp:positionV>
            <wp:extent cx="249174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6">
                      <a:extLst>
                        <a:ext uri="{28A0092B-C50C-407E-A947-70E740481C1C}"/>
                      </a:extLst>
                    </a:blip>
                    <a:srcRect/>
                    <a:stretch>
                      <a:fillRect/>
                    </a:stretch>
                  </pic:blipFill>
                  <pic:spPr bwMode="auto">
                    <a:xfrm>
                      <a:off x="0" y="0"/>
                      <a:ext cx="2491740" cy="6350"/>
                    </a:xfrm>
                    <a:prstGeom prst="rect">
                      <a:avLst/>
                    </a:prstGeom>
                    <a:noFill/>
                  </pic:spPr>
                </pic:pic>
              </a:graphicData>
            </a:graphic>
          </wp:anchor>
        </w:drawing>
        <w:drawing>
          <wp:anchor simplePos="0" relativeHeight="251657728" behindDoc="1" locked="0" layoutInCell="0" allowOverlap="1">
            <wp:simplePos x="0" y="0"/>
            <wp:positionH relativeFrom="column">
              <wp:posOffset>3472180</wp:posOffset>
            </wp:positionH>
            <wp:positionV relativeFrom="paragraph">
              <wp:posOffset>-1113790</wp:posOffset>
            </wp:positionV>
            <wp:extent cx="2491740" cy="285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7">
                      <a:extLst>
                        <a:ext uri="{28A0092B-C50C-407E-A947-70E740481C1C}"/>
                      </a:extLst>
                    </a:blip>
                    <a:srcRect/>
                    <a:stretch>
                      <a:fillRect/>
                    </a:stretch>
                  </pic:blipFill>
                  <pic:spPr bwMode="auto">
                    <a:xfrm>
                      <a:off x="0" y="0"/>
                      <a:ext cx="2491740" cy="28575"/>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15</w:t>
      </w:r>
    </w:p>
    <w:p>
      <w:pPr>
        <w:sectPr>
          <w:pgSz w:w="11900" w:h="16838" w:orient="portrait"/>
          <w:cols w:equalWidth="0" w:num="1">
            <w:col w:w="9400"/>
          </w:cols>
          <w:pgMar w:left="1260" w:top="1133" w:right="1246" w:bottom="0" w:gutter="0" w:footer="0" w:header="0"/>
          <w:type w:val="continuous"/>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Tax Rate Reconciliation</w:t>
      </w:r>
    </w:p>
    <w:p>
      <w:pPr>
        <w:spacing w:after="0" w:line="260" w:lineRule="exact"/>
        <w:rPr>
          <w:sz w:val="20"/>
          <w:szCs w:val="20"/>
          <w:color w:val="auto"/>
        </w:rPr>
      </w:pPr>
    </w:p>
    <w:p>
      <w:pPr>
        <w:ind w:right="180"/>
        <w:spacing w:after="0" w:line="307" w:lineRule="auto"/>
        <w:rPr>
          <w:sz w:val="20"/>
          <w:szCs w:val="20"/>
          <w:color w:val="auto"/>
        </w:rPr>
      </w:pPr>
      <w:r>
        <w:rPr>
          <w:rFonts w:ascii="Arial" w:cs="Arial" w:eastAsia="Arial" w:hAnsi="Arial"/>
          <w:sz w:val="20"/>
          <w:szCs w:val="20"/>
          <w:color w:val="auto"/>
        </w:rPr>
        <w:t>The table below provides the updated requirements of ASU 2023-09 for 2025. See Note 2 — Basis of Presentation, Significant Accounting Policies and Recent Accounting Pronouncements for additional details on the adoption of this ASU.</w:t>
      </w:r>
    </w:p>
    <w:p>
      <w:pPr>
        <w:spacing w:after="0" w:line="197" w:lineRule="exact"/>
        <w:rPr>
          <w:sz w:val="20"/>
          <w:szCs w:val="20"/>
          <w:color w:val="auto"/>
        </w:rPr>
      </w:pPr>
    </w:p>
    <w:p>
      <w:pPr>
        <w:ind w:right="100"/>
        <w:spacing w:after="0" w:line="351" w:lineRule="auto"/>
        <w:rPr>
          <w:sz w:val="20"/>
          <w:szCs w:val="20"/>
          <w:color w:val="auto"/>
        </w:rPr>
      </w:pPr>
      <w:r>
        <w:rPr>
          <w:rFonts w:ascii="Arial" w:cs="Arial" w:eastAsia="Arial" w:hAnsi="Arial"/>
          <w:sz w:val="18"/>
          <w:szCs w:val="18"/>
          <w:color w:val="auto"/>
        </w:rPr>
        <w:t>Willis Towers Watson plc is a non-trading holding company tax resident in Ireland where it is taxed at the statutory corporate rate of 25%. The reported provision for income taxes differs from the amounts that would have resulted had the reported income from operations before income taxes and interest in earnings of associates been taxed at the Irish statutory corporate tax rate. The principal reasons for the differences between the amounts provided and those that would have resulted from the application of the Irish statutory corporate tax rate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b w:val="1"/>
                <w:bCs w:val="1"/>
                <w:color w:val="auto"/>
              </w:rPr>
              <w:t>Year ended</w:t>
            </w:r>
          </w:p>
        </w:tc>
        <w:tc>
          <w:tcPr>
            <w:tcW w:w="1000" w:type="dxa"/>
            <w:vAlign w:val="bottom"/>
          </w:tcPr>
          <w:p>
            <w:pPr>
              <w:spacing w:after="0"/>
              <w:rPr>
                <w:sz w:val="16"/>
                <w:szCs w:val="16"/>
                <w:color w:val="auto"/>
              </w:rPr>
            </w:pPr>
          </w:p>
        </w:tc>
      </w:tr>
      <w:tr>
        <w:trPr>
          <w:trHeight w:val="240"/>
        </w:trPr>
        <w:tc>
          <w:tcPr>
            <w:tcW w:w="6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0" w:type="dxa"/>
            <w:vAlign w:val="bottom"/>
            <w:gridSpan w:val="2"/>
          </w:tcPr>
          <w:p>
            <w:pPr>
              <w:jc w:val="right"/>
              <w:ind w:right="721"/>
              <w:spacing w:after="0"/>
              <w:rPr>
                <w:sz w:val="20"/>
                <w:szCs w:val="20"/>
                <w:color w:val="auto"/>
              </w:rPr>
            </w:pPr>
            <w:r>
              <w:rPr>
                <w:rFonts w:ascii="Arial" w:cs="Arial" w:eastAsia="Arial" w:hAnsi="Arial"/>
                <w:sz w:val="16"/>
                <w:szCs w:val="16"/>
                <w:b w:val="1"/>
                <w:bCs w:val="1"/>
                <w:color w:val="auto"/>
              </w:rPr>
              <w:t>December 31, 2025</w:t>
            </w:r>
          </w:p>
        </w:tc>
      </w:tr>
      <w:tr>
        <w:trPr>
          <w:trHeight w:val="264"/>
        </w:trPr>
        <w:tc>
          <w:tcPr>
            <w:tcW w:w="60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0" w:type="dxa"/>
            <w:vAlign w:val="bottom"/>
          </w:tcPr>
          <w:p>
            <w:pPr>
              <w:jc w:val="right"/>
              <w:ind w:right="583"/>
              <w:spacing w:after="0"/>
              <w:rPr>
                <w:sz w:val="20"/>
                <w:szCs w:val="20"/>
                <w:color w:val="auto"/>
              </w:rPr>
            </w:pPr>
            <w:r>
              <w:rPr>
                <w:rFonts w:ascii="Arial" w:cs="Arial" w:eastAsia="Arial" w:hAnsi="Arial"/>
                <w:sz w:val="16"/>
                <w:szCs w:val="16"/>
                <w:b w:val="1"/>
                <w:bCs w:val="1"/>
                <w:color w:val="auto"/>
              </w:rPr>
              <w:t>Amount</w:t>
            </w:r>
          </w:p>
        </w:tc>
        <w:tc>
          <w:tcPr>
            <w:tcW w:w="1000" w:type="dxa"/>
            <w:vAlign w:val="bottom"/>
          </w:tcPr>
          <w:p>
            <w:pPr>
              <w:jc w:val="right"/>
              <w:ind w:right="281"/>
              <w:spacing w:after="0"/>
              <w:rPr>
                <w:sz w:val="20"/>
                <w:szCs w:val="20"/>
                <w:color w:val="auto"/>
              </w:rPr>
            </w:pPr>
            <w:r>
              <w:rPr>
                <w:rFonts w:ascii="Arial" w:cs="Arial" w:eastAsia="Arial" w:hAnsi="Arial"/>
                <w:sz w:val="16"/>
                <w:szCs w:val="16"/>
                <w:b w:val="1"/>
                <w:bCs w:val="1"/>
                <w:color w:val="auto"/>
              </w:rPr>
              <w:t>ETR %</w:t>
            </w:r>
          </w:p>
        </w:tc>
      </w:tr>
      <w:tr>
        <w:trPr>
          <w:trHeight w:val="42"/>
        </w:trPr>
        <w:tc>
          <w:tcPr>
            <w:tcW w:w="6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4"/>
        </w:trPr>
        <w:tc>
          <w:tcPr>
            <w:tcW w:w="6020" w:type="dxa"/>
            <w:vAlign w:val="bottom"/>
            <w:shd w:val="clear" w:color="auto" w:fill="CFF0FC"/>
          </w:tcPr>
          <w:p>
            <w:pPr>
              <w:spacing w:after="0"/>
              <w:rPr>
                <w:sz w:val="20"/>
                <w:szCs w:val="20"/>
                <w:color w:val="auto"/>
              </w:rPr>
            </w:pPr>
            <w:r>
              <w:rPr>
                <w:rFonts w:ascii="Arial" w:cs="Arial" w:eastAsia="Arial" w:hAnsi="Arial"/>
                <w:sz w:val="20"/>
                <w:szCs w:val="20"/>
                <w:color w:val="auto"/>
              </w:rPr>
              <w:t>INCOME FROM OPERATIONS BEFORE INCOME TAXES</w:t>
            </w:r>
          </w:p>
        </w:tc>
        <w:tc>
          <w:tcPr>
            <w:tcW w:w="980" w:type="dxa"/>
            <w:vAlign w:val="bottom"/>
            <w:shd w:val="clear" w:color="auto" w:fill="CFF0FC"/>
          </w:tcPr>
          <w:p>
            <w:pPr>
              <w:spacing w:after="0"/>
              <w:rPr>
                <w:sz w:val="23"/>
                <w:szCs w:val="23"/>
                <w:color w:val="auto"/>
              </w:rPr>
            </w:pPr>
          </w:p>
        </w:tc>
        <w:tc>
          <w:tcPr>
            <w:tcW w:w="1400" w:type="dxa"/>
            <w:vAlign w:val="bottom"/>
            <w:shd w:val="clear" w:color="auto" w:fill="CFF0FC"/>
          </w:tcPr>
          <w:p>
            <w:pPr>
              <w:spacing w:after="0"/>
              <w:rPr>
                <w:sz w:val="23"/>
                <w:szCs w:val="23"/>
                <w:color w:val="auto"/>
              </w:rPr>
            </w:pPr>
          </w:p>
        </w:tc>
        <w:tc>
          <w:tcPr>
            <w:tcW w:w="1000" w:type="dxa"/>
            <w:vAlign w:val="bottom"/>
            <w:shd w:val="clear" w:color="auto" w:fill="CFF0FC"/>
          </w:tcPr>
          <w:p>
            <w:pPr>
              <w:spacing w:after="0"/>
              <w:rPr>
                <w:sz w:val="23"/>
                <w:szCs w:val="23"/>
                <w:color w:val="auto"/>
              </w:rPr>
            </w:pPr>
          </w:p>
        </w:tc>
      </w:tr>
      <w:tr>
        <w:trPr>
          <w:trHeight w:val="321"/>
        </w:trPr>
        <w:tc>
          <w:tcPr>
            <w:tcW w:w="60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AND INTEREST IN EARNINGS OF ASSOCIATES</w:t>
            </w:r>
          </w:p>
        </w:tc>
        <w:tc>
          <w:tcPr>
            <w:tcW w:w="9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CFF0FC"/>
            </w:tcBorders>
            <w:shd w:val="clear" w:color="auto" w:fill="CFF0FC"/>
          </w:tcPr>
          <w:p>
            <w:pPr>
              <w:jc w:val="right"/>
              <w:ind w:right="183"/>
              <w:spacing w:after="0"/>
              <w:rPr>
                <w:sz w:val="20"/>
                <w:szCs w:val="20"/>
                <w:color w:val="auto"/>
              </w:rPr>
            </w:pPr>
            <w:r>
              <w:rPr>
                <w:rFonts w:ascii="Arial" w:cs="Arial" w:eastAsia="Arial" w:hAnsi="Arial"/>
                <w:sz w:val="20"/>
                <w:szCs w:val="20"/>
                <w:color w:val="auto"/>
              </w:rPr>
              <w:t>1,953</w:t>
            </w:r>
          </w:p>
        </w:tc>
        <w:tc>
          <w:tcPr>
            <w:tcW w:w="1000" w:type="dxa"/>
            <w:vAlign w:val="bottom"/>
            <w:tcBorders>
              <w:bottom w:val="single" w:sz="8" w:color="CFF0FC"/>
            </w:tcBorders>
            <w:shd w:val="clear" w:color="auto" w:fill="CFF0FC"/>
          </w:tcPr>
          <w:p>
            <w:pPr>
              <w:spacing w:after="0"/>
              <w:rPr>
                <w:sz w:val="24"/>
                <w:szCs w:val="24"/>
                <w:color w:val="auto"/>
              </w:rPr>
            </w:pPr>
          </w:p>
        </w:tc>
      </w:tr>
      <w:tr>
        <w:trPr>
          <w:trHeight w:val="274"/>
        </w:trPr>
        <w:tc>
          <w:tcPr>
            <w:tcW w:w="6020" w:type="dxa"/>
            <w:vAlign w:val="bottom"/>
          </w:tcPr>
          <w:p>
            <w:pPr>
              <w:spacing w:after="0"/>
              <w:rPr>
                <w:sz w:val="20"/>
                <w:szCs w:val="20"/>
                <w:color w:val="auto"/>
              </w:rPr>
            </w:pPr>
            <w:r>
              <w:rPr>
                <w:rFonts w:ascii="Arial" w:cs="Arial" w:eastAsia="Arial" w:hAnsi="Arial"/>
                <w:sz w:val="20"/>
                <w:szCs w:val="20"/>
                <w:color w:val="auto"/>
              </w:rPr>
              <w:t>Irish statutory corporate tax rate</w:t>
            </w:r>
          </w:p>
        </w:tc>
        <w:tc>
          <w:tcPr>
            <w:tcW w:w="980" w:type="dxa"/>
            <w:vAlign w:val="bottom"/>
          </w:tcPr>
          <w:p>
            <w:pPr>
              <w:spacing w:after="0"/>
              <w:rPr>
                <w:sz w:val="23"/>
                <w:szCs w:val="23"/>
                <w:color w:val="auto"/>
              </w:rPr>
            </w:pPr>
          </w:p>
        </w:tc>
        <w:tc>
          <w:tcPr>
            <w:tcW w:w="1400" w:type="dxa"/>
            <w:vAlign w:val="bottom"/>
          </w:tcPr>
          <w:p>
            <w:pPr>
              <w:jc w:val="right"/>
              <w:ind w:right="103"/>
              <w:spacing w:after="0"/>
              <w:rPr>
                <w:sz w:val="20"/>
                <w:szCs w:val="20"/>
                <w:color w:val="auto"/>
              </w:rPr>
            </w:pPr>
            <w:r>
              <w:rPr>
                <w:rFonts w:ascii="Arial" w:cs="Arial" w:eastAsia="Arial" w:hAnsi="Arial"/>
                <w:sz w:val="20"/>
                <w:szCs w:val="20"/>
                <w:color w:val="auto"/>
              </w:rPr>
              <w:t>(488)</w:t>
            </w:r>
          </w:p>
        </w:tc>
        <w:tc>
          <w:tcPr>
            <w:tcW w:w="1000" w:type="dxa"/>
            <w:vAlign w:val="bottom"/>
          </w:tcPr>
          <w:p>
            <w:pPr>
              <w:jc w:val="right"/>
              <w:spacing w:after="0"/>
              <w:rPr>
                <w:sz w:val="20"/>
                <w:szCs w:val="20"/>
                <w:color w:val="auto"/>
              </w:rPr>
            </w:pPr>
            <w:r>
              <w:rPr>
                <w:rFonts w:ascii="Arial" w:cs="Arial" w:eastAsia="Arial" w:hAnsi="Arial"/>
                <w:sz w:val="20"/>
                <w:szCs w:val="20"/>
                <w:color w:val="auto"/>
              </w:rPr>
              <w:t>(25.0)%</w:t>
            </w:r>
          </w:p>
        </w:tc>
      </w:tr>
      <w:tr>
        <w:trPr>
          <w:trHeight w:val="41"/>
        </w:trPr>
        <w:tc>
          <w:tcPr>
            <w:tcW w:w="6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Foreign tax effects:</w:t>
            </w:r>
          </w:p>
        </w:tc>
        <w:tc>
          <w:tcPr>
            <w:tcW w:w="98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r>
        <w:trPr>
          <w:trHeight w:val="274"/>
        </w:trPr>
        <w:tc>
          <w:tcPr>
            <w:tcW w:w="6020" w:type="dxa"/>
            <w:vAlign w:val="bottom"/>
          </w:tcPr>
          <w:p>
            <w:pPr>
              <w:ind w:left="120"/>
              <w:spacing w:after="0"/>
              <w:rPr>
                <w:sz w:val="20"/>
                <w:szCs w:val="20"/>
                <w:color w:val="auto"/>
              </w:rPr>
            </w:pPr>
            <w:r>
              <w:rPr>
                <w:rFonts w:ascii="Arial" w:cs="Arial" w:eastAsia="Arial" w:hAnsi="Arial"/>
                <w:sz w:val="20"/>
                <w:szCs w:val="20"/>
                <w:b w:val="1"/>
                <w:bCs w:val="1"/>
                <w:color w:val="auto"/>
              </w:rPr>
              <w:t>United States</w:t>
            </w:r>
          </w:p>
        </w:tc>
        <w:tc>
          <w:tcPr>
            <w:tcW w:w="9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41"/>
        </w:trPr>
        <w:tc>
          <w:tcPr>
            <w:tcW w:w="6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60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Statutory tax rate difference between United States and Ireland</w:t>
            </w:r>
          </w:p>
        </w:tc>
        <w:tc>
          <w:tcPr>
            <w:tcW w:w="98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jc w:val="right"/>
              <w:ind w:right="183"/>
              <w:spacing w:after="0"/>
              <w:rPr>
                <w:sz w:val="20"/>
                <w:szCs w:val="20"/>
                <w:color w:val="auto"/>
              </w:rPr>
            </w:pPr>
            <w:r>
              <w:rPr>
                <w:rFonts w:ascii="Arial" w:cs="Arial" w:eastAsia="Arial" w:hAnsi="Arial"/>
                <w:sz w:val="20"/>
                <w:szCs w:val="20"/>
                <w:color w:val="auto"/>
              </w:rPr>
              <w:t>18</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0.9%</w:t>
            </w:r>
          </w:p>
        </w:tc>
      </w:tr>
      <w:tr>
        <w:trPr>
          <w:trHeight w:val="274"/>
        </w:trPr>
        <w:tc>
          <w:tcPr>
            <w:tcW w:w="6020" w:type="dxa"/>
            <w:vAlign w:val="bottom"/>
          </w:tcPr>
          <w:p>
            <w:pPr>
              <w:ind w:left="280"/>
              <w:spacing w:after="0"/>
              <w:rPr>
                <w:sz w:val="20"/>
                <w:szCs w:val="20"/>
                <w:color w:val="auto"/>
              </w:rPr>
            </w:pPr>
            <w:r>
              <w:rPr>
                <w:rFonts w:ascii="Arial" w:cs="Arial" w:eastAsia="Arial" w:hAnsi="Arial"/>
                <w:sz w:val="20"/>
                <w:szCs w:val="20"/>
                <w:color w:val="auto"/>
              </w:rPr>
              <w:t>Impact of U.S. state and local taxes (net of federal taxes)</w:t>
            </w:r>
          </w:p>
        </w:tc>
        <w:tc>
          <w:tcPr>
            <w:tcW w:w="980" w:type="dxa"/>
            <w:vAlign w:val="bottom"/>
          </w:tcPr>
          <w:p>
            <w:pPr>
              <w:spacing w:after="0"/>
              <w:rPr>
                <w:sz w:val="23"/>
                <w:szCs w:val="23"/>
                <w:color w:val="auto"/>
              </w:rPr>
            </w:pPr>
          </w:p>
        </w:tc>
        <w:tc>
          <w:tcPr>
            <w:tcW w:w="1400" w:type="dxa"/>
            <w:vAlign w:val="bottom"/>
          </w:tcPr>
          <w:p>
            <w:pPr>
              <w:jc w:val="right"/>
              <w:ind w:right="103"/>
              <w:spacing w:after="0"/>
              <w:rPr>
                <w:sz w:val="20"/>
                <w:szCs w:val="20"/>
                <w:color w:val="auto"/>
              </w:rPr>
            </w:pPr>
            <w:r>
              <w:rPr>
                <w:rFonts w:ascii="Arial" w:cs="Arial" w:eastAsia="Arial" w:hAnsi="Arial"/>
                <w:sz w:val="20"/>
                <w:szCs w:val="20"/>
                <w:color w:val="auto"/>
              </w:rPr>
              <w:t>(26)</w:t>
            </w:r>
          </w:p>
        </w:tc>
        <w:tc>
          <w:tcPr>
            <w:tcW w:w="100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41"/>
        </w:trPr>
        <w:tc>
          <w:tcPr>
            <w:tcW w:w="6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60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Other adjustments</w:t>
            </w:r>
          </w:p>
        </w:tc>
        <w:tc>
          <w:tcPr>
            <w:tcW w:w="98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jc w:val="right"/>
              <w:ind w:right="103"/>
              <w:spacing w:after="0"/>
              <w:rPr>
                <w:sz w:val="20"/>
                <w:szCs w:val="20"/>
                <w:color w:val="auto"/>
              </w:rPr>
            </w:pPr>
            <w:r>
              <w:rPr>
                <w:rFonts w:ascii="Arial" w:cs="Arial" w:eastAsia="Arial" w:hAnsi="Arial"/>
                <w:sz w:val="20"/>
                <w:szCs w:val="20"/>
                <w:color w:val="auto"/>
              </w:rPr>
              <w:t>(5)</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(0.3)%</w:t>
            </w:r>
          </w:p>
        </w:tc>
      </w:tr>
      <w:tr>
        <w:trPr>
          <w:trHeight w:val="274"/>
        </w:trPr>
        <w:tc>
          <w:tcPr>
            <w:tcW w:w="6020" w:type="dxa"/>
            <w:vAlign w:val="bottom"/>
          </w:tcPr>
          <w:p>
            <w:pPr>
              <w:ind w:left="120"/>
              <w:spacing w:after="0"/>
              <w:rPr>
                <w:sz w:val="20"/>
                <w:szCs w:val="20"/>
                <w:color w:val="auto"/>
              </w:rPr>
            </w:pPr>
            <w:r>
              <w:rPr>
                <w:rFonts w:ascii="Arial" w:cs="Arial" w:eastAsia="Arial" w:hAnsi="Arial"/>
                <w:sz w:val="20"/>
                <w:szCs w:val="20"/>
                <w:b w:val="1"/>
                <w:bCs w:val="1"/>
                <w:color w:val="auto"/>
              </w:rPr>
              <w:t>United Kingdom</w:t>
            </w:r>
          </w:p>
        </w:tc>
        <w:tc>
          <w:tcPr>
            <w:tcW w:w="9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41"/>
        </w:trPr>
        <w:tc>
          <w:tcPr>
            <w:tcW w:w="6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60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Effect of cross-border tax laws</w:t>
            </w:r>
          </w:p>
        </w:tc>
        <w:tc>
          <w:tcPr>
            <w:tcW w:w="98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jc w:val="right"/>
              <w:ind w:right="103"/>
              <w:spacing w:after="0"/>
              <w:rPr>
                <w:sz w:val="20"/>
                <w:szCs w:val="20"/>
                <w:color w:val="auto"/>
              </w:rPr>
            </w:pPr>
            <w:r>
              <w:rPr>
                <w:rFonts w:ascii="Arial" w:cs="Arial" w:eastAsia="Arial" w:hAnsi="Arial"/>
                <w:sz w:val="20"/>
                <w:szCs w:val="20"/>
                <w:color w:val="auto"/>
              </w:rPr>
              <w:t>(44)</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(2.3)%</w:t>
            </w:r>
          </w:p>
        </w:tc>
      </w:tr>
      <w:tr>
        <w:trPr>
          <w:trHeight w:val="274"/>
        </w:trPr>
        <w:tc>
          <w:tcPr>
            <w:tcW w:w="6020" w:type="dxa"/>
            <w:vAlign w:val="bottom"/>
          </w:tcPr>
          <w:p>
            <w:pPr>
              <w:ind w:left="280"/>
              <w:spacing w:after="0"/>
              <w:rPr>
                <w:sz w:val="20"/>
                <w:szCs w:val="20"/>
                <w:color w:val="auto"/>
              </w:rPr>
            </w:pPr>
            <w:r>
              <w:rPr>
                <w:rFonts w:ascii="Arial" w:cs="Arial" w:eastAsia="Arial" w:hAnsi="Arial"/>
                <w:sz w:val="20"/>
                <w:szCs w:val="20"/>
                <w:color w:val="auto"/>
              </w:rPr>
              <w:t>Other adjustments</w:t>
            </w:r>
          </w:p>
        </w:tc>
        <w:tc>
          <w:tcPr>
            <w:tcW w:w="980" w:type="dxa"/>
            <w:vAlign w:val="bottom"/>
          </w:tcPr>
          <w:p>
            <w:pPr>
              <w:spacing w:after="0"/>
              <w:rPr>
                <w:sz w:val="23"/>
                <w:szCs w:val="23"/>
                <w:color w:val="auto"/>
              </w:rPr>
            </w:pPr>
          </w:p>
        </w:tc>
        <w:tc>
          <w:tcPr>
            <w:tcW w:w="1400" w:type="dxa"/>
            <w:vAlign w:val="bottom"/>
          </w:tcPr>
          <w:p>
            <w:pPr>
              <w:jc w:val="right"/>
              <w:ind w:right="183"/>
              <w:spacing w:after="0"/>
              <w:rPr>
                <w:sz w:val="20"/>
                <w:szCs w:val="20"/>
                <w:color w:val="auto"/>
              </w:rPr>
            </w:pPr>
            <w:r>
              <w:rPr>
                <w:rFonts w:ascii="Arial" w:cs="Arial" w:eastAsia="Arial" w:hAnsi="Arial"/>
                <w:sz w:val="20"/>
                <w:szCs w:val="20"/>
                <w:color w:val="auto"/>
              </w:rPr>
              <w:t>47</w:t>
            </w:r>
          </w:p>
        </w:tc>
        <w:tc>
          <w:tcPr>
            <w:tcW w:w="100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41"/>
        </w:trPr>
        <w:tc>
          <w:tcPr>
            <w:tcW w:w="6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6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b w:val="1"/>
                <w:bCs w:val="1"/>
                <w:color w:val="auto"/>
              </w:rPr>
              <w:t>Bermuda</w:t>
            </w:r>
          </w:p>
        </w:tc>
        <w:tc>
          <w:tcPr>
            <w:tcW w:w="98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r>
        <w:trPr>
          <w:trHeight w:val="274"/>
        </w:trPr>
        <w:tc>
          <w:tcPr>
            <w:tcW w:w="6020" w:type="dxa"/>
            <w:vAlign w:val="bottom"/>
          </w:tcPr>
          <w:p>
            <w:pPr>
              <w:ind w:left="280"/>
              <w:spacing w:after="0"/>
              <w:rPr>
                <w:sz w:val="20"/>
                <w:szCs w:val="20"/>
                <w:color w:val="auto"/>
              </w:rPr>
            </w:pPr>
            <w:r>
              <w:rPr>
                <w:rFonts w:ascii="Arial" w:cs="Arial" w:eastAsia="Arial" w:hAnsi="Arial"/>
                <w:sz w:val="20"/>
                <w:szCs w:val="20"/>
                <w:color w:val="auto"/>
              </w:rPr>
              <w:t>Statutory tax rate difference between Bermuda and Ireland</w:t>
            </w:r>
          </w:p>
        </w:tc>
        <w:tc>
          <w:tcPr>
            <w:tcW w:w="980" w:type="dxa"/>
            <w:vAlign w:val="bottom"/>
          </w:tcPr>
          <w:p>
            <w:pPr>
              <w:spacing w:after="0"/>
              <w:rPr>
                <w:sz w:val="23"/>
                <w:szCs w:val="23"/>
                <w:color w:val="auto"/>
              </w:rPr>
            </w:pPr>
          </w:p>
        </w:tc>
        <w:tc>
          <w:tcPr>
            <w:tcW w:w="1400" w:type="dxa"/>
            <w:vAlign w:val="bottom"/>
          </w:tcPr>
          <w:p>
            <w:pPr>
              <w:jc w:val="right"/>
              <w:ind w:right="183"/>
              <w:spacing w:after="0"/>
              <w:rPr>
                <w:sz w:val="20"/>
                <w:szCs w:val="20"/>
                <w:color w:val="auto"/>
              </w:rPr>
            </w:pPr>
            <w:r>
              <w:rPr>
                <w:rFonts w:ascii="Arial" w:cs="Arial" w:eastAsia="Arial" w:hAnsi="Arial"/>
                <w:sz w:val="20"/>
                <w:szCs w:val="20"/>
                <w:color w:val="auto"/>
              </w:rPr>
              <w:t>70</w:t>
            </w:r>
          </w:p>
        </w:tc>
        <w:tc>
          <w:tcPr>
            <w:tcW w:w="10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1"/>
        </w:trPr>
        <w:tc>
          <w:tcPr>
            <w:tcW w:w="6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60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20"/>
                <w:szCs w:val="20"/>
                <w:color w:val="auto"/>
              </w:rPr>
              <w:t>Foreign tax credits</w:t>
            </w:r>
          </w:p>
        </w:tc>
        <w:tc>
          <w:tcPr>
            <w:tcW w:w="98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jc w:val="right"/>
              <w:ind w:right="183"/>
              <w:spacing w:after="0"/>
              <w:rPr>
                <w:sz w:val="20"/>
                <w:szCs w:val="20"/>
                <w:color w:val="auto"/>
              </w:rPr>
            </w:pPr>
            <w:r>
              <w:rPr>
                <w:rFonts w:ascii="Arial" w:cs="Arial" w:eastAsia="Arial" w:hAnsi="Arial"/>
                <w:sz w:val="20"/>
                <w:szCs w:val="20"/>
                <w:color w:val="auto"/>
              </w:rPr>
              <w:t>116</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6.0%</w:t>
            </w:r>
          </w:p>
        </w:tc>
      </w:tr>
      <w:tr>
        <w:trPr>
          <w:trHeight w:val="274"/>
        </w:trPr>
        <w:tc>
          <w:tcPr>
            <w:tcW w:w="6020" w:type="dxa"/>
            <w:vAlign w:val="bottom"/>
          </w:tcPr>
          <w:p>
            <w:pPr>
              <w:ind w:left="280"/>
              <w:spacing w:after="0"/>
              <w:rPr>
                <w:sz w:val="20"/>
                <w:szCs w:val="20"/>
                <w:color w:val="auto"/>
              </w:rPr>
            </w:pPr>
            <w:r>
              <w:rPr>
                <w:rFonts w:ascii="Arial" w:cs="Arial" w:eastAsia="Arial" w:hAnsi="Arial"/>
                <w:sz w:val="20"/>
                <w:szCs w:val="20"/>
                <w:color w:val="auto"/>
              </w:rPr>
              <w:t>Changes in valuation allowances</w:t>
            </w:r>
          </w:p>
        </w:tc>
        <w:tc>
          <w:tcPr>
            <w:tcW w:w="980" w:type="dxa"/>
            <w:vAlign w:val="bottom"/>
          </w:tcPr>
          <w:p>
            <w:pPr>
              <w:spacing w:after="0"/>
              <w:rPr>
                <w:sz w:val="23"/>
                <w:szCs w:val="23"/>
                <w:color w:val="auto"/>
              </w:rPr>
            </w:pPr>
          </w:p>
        </w:tc>
        <w:tc>
          <w:tcPr>
            <w:tcW w:w="1400" w:type="dxa"/>
            <w:vAlign w:val="bottom"/>
          </w:tcPr>
          <w:p>
            <w:pPr>
              <w:jc w:val="right"/>
              <w:ind w:right="103"/>
              <w:spacing w:after="0"/>
              <w:rPr>
                <w:sz w:val="20"/>
                <w:szCs w:val="20"/>
                <w:color w:val="auto"/>
              </w:rPr>
            </w:pPr>
            <w:r>
              <w:rPr>
                <w:rFonts w:ascii="Arial" w:cs="Arial" w:eastAsia="Arial" w:hAnsi="Arial"/>
                <w:sz w:val="20"/>
                <w:szCs w:val="20"/>
                <w:color w:val="auto"/>
              </w:rPr>
              <w:t>(15)</w:t>
            </w:r>
          </w:p>
        </w:tc>
        <w:tc>
          <w:tcPr>
            <w:tcW w:w="1000" w:type="dxa"/>
            <w:vAlign w:val="bottom"/>
          </w:tcPr>
          <w:p>
            <w:pPr>
              <w:jc w:val="right"/>
              <w:spacing w:after="0"/>
              <w:rPr>
                <w:sz w:val="20"/>
                <w:szCs w:val="20"/>
                <w:color w:val="auto"/>
              </w:rPr>
            </w:pPr>
            <w:r>
              <w:rPr>
                <w:rFonts w:ascii="Arial" w:cs="Arial" w:eastAsia="Arial" w:hAnsi="Arial"/>
                <w:sz w:val="20"/>
                <w:szCs w:val="20"/>
                <w:color w:val="auto"/>
              </w:rPr>
              <w:t>(0.8)%</w:t>
            </w:r>
          </w:p>
        </w:tc>
      </w:tr>
      <w:tr>
        <w:trPr>
          <w:trHeight w:val="41"/>
        </w:trPr>
        <w:tc>
          <w:tcPr>
            <w:tcW w:w="6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60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b w:val="1"/>
                <w:bCs w:val="1"/>
                <w:color w:val="auto"/>
              </w:rPr>
              <w:t>Other Foreign Jurisdictions</w:t>
            </w:r>
          </w:p>
        </w:tc>
        <w:tc>
          <w:tcPr>
            <w:tcW w:w="98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jc w:val="right"/>
              <w:ind w:right="103"/>
              <w:spacing w:after="0"/>
              <w:rPr>
                <w:sz w:val="20"/>
                <w:szCs w:val="20"/>
                <w:color w:val="auto"/>
              </w:rPr>
            </w:pPr>
            <w:r>
              <w:rPr>
                <w:rFonts w:ascii="Arial" w:cs="Arial" w:eastAsia="Arial" w:hAnsi="Arial"/>
                <w:sz w:val="20"/>
                <w:szCs w:val="20"/>
                <w:color w:val="auto"/>
              </w:rPr>
              <w:t>(52)</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w:t>
            </w:r>
          </w:p>
        </w:tc>
      </w:tr>
      <w:tr>
        <w:trPr>
          <w:trHeight w:val="274"/>
        </w:trPr>
        <w:tc>
          <w:tcPr>
            <w:tcW w:w="6020" w:type="dxa"/>
            <w:vAlign w:val="bottom"/>
          </w:tcPr>
          <w:p>
            <w:pPr>
              <w:spacing w:after="0"/>
              <w:rPr>
                <w:sz w:val="20"/>
                <w:szCs w:val="20"/>
                <w:color w:val="auto"/>
              </w:rPr>
            </w:pPr>
            <w:r>
              <w:rPr>
                <w:rFonts w:ascii="Arial" w:cs="Arial" w:eastAsia="Arial" w:hAnsi="Arial"/>
                <w:sz w:val="20"/>
                <w:szCs w:val="20"/>
                <w:color w:val="auto"/>
              </w:rPr>
              <w:t>Effect of cross-border tax laws</w:t>
            </w:r>
          </w:p>
        </w:tc>
        <w:tc>
          <w:tcPr>
            <w:tcW w:w="980" w:type="dxa"/>
            <w:vAlign w:val="bottom"/>
          </w:tcPr>
          <w:p>
            <w:pPr>
              <w:spacing w:after="0"/>
              <w:rPr>
                <w:sz w:val="23"/>
                <w:szCs w:val="23"/>
                <w:color w:val="auto"/>
              </w:rPr>
            </w:pPr>
          </w:p>
        </w:tc>
        <w:tc>
          <w:tcPr>
            <w:tcW w:w="1400" w:type="dxa"/>
            <w:vAlign w:val="bottom"/>
          </w:tcPr>
          <w:p>
            <w:pPr>
              <w:jc w:val="right"/>
              <w:ind w:right="103"/>
              <w:spacing w:after="0"/>
              <w:rPr>
                <w:sz w:val="20"/>
                <w:szCs w:val="20"/>
                <w:color w:val="auto"/>
              </w:rPr>
            </w:pPr>
            <w:r>
              <w:rPr>
                <w:rFonts w:ascii="Arial" w:cs="Arial" w:eastAsia="Arial" w:hAnsi="Arial"/>
                <w:sz w:val="20"/>
                <w:szCs w:val="20"/>
                <w:color w:val="auto"/>
              </w:rPr>
              <w:t>(2)</w:t>
            </w:r>
          </w:p>
        </w:tc>
        <w:tc>
          <w:tcPr>
            <w:tcW w:w="1000" w:type="dxa"/>
            <w:vAlign w:val="bottom"/>
          </w:tcPr>
          <w:p>
            <w:pPr>
              <w:jc w:val="right"/>
              <w:spacing w:after="0"/>
              <w:rPr>
                <w:sz w:val="20"/>
                <w:szCs w:val="20"/>
                <w:color w:val="auto"/>
              </w:rPr>
            </w:pPr>
            <w:r>
              <w:rPr>
                <w:rFonts w:ascii="Arial" w:cs="Arial" w:eastAsia="Arial" w:hAnsi="Arial"/>
                <w:sz w:val="20"/>
                <w:szCs w:val="20"/>
                <w:color w:val="auto"/>
              </w:rPr>
              <w:t>(0.1)%</w:t>
            </w:r>
          </w:p>
        </w:tc>
      </w:tr>
      <w:tr>
        <w:trPr>
          <w:trHeight w:val="41"/>
        </w:trPr>
        <w:tc>
          <w:tcPr>
            <w:tcW w:w="6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4"/>
        </w:trPr>
        <w:tc>
          <w:tcPr>
            <w:tcW w:w="6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Changes in unrecognized tax benefits</w:t>
            </w:r>
          </w:p>
        </w:tc>
        <w:tc>
          <w:tcPr>
            <w:tcW w:w="98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jc w:val="right"/>
              <w:ind w:right="183"/>
              <w:spacing w:after="0"/>
              <w:rPr>
                <w:sz w:val="20"/>
                <w:szCs w:val="20"/>
                <w:color w:val="auto"/>
              </w:rPr>
            </w:pPr>
            <w:r>
              <w:rPr>
                <w:rFonts w:ascii="Arial" w:cs="Arial" w:eastAsia="Arial" w:hAnsi="Arial"/>
                <w:sz w:val="20"/>
                <w:szCs w:val="20"/>
                <w:color w:val="auto"/>
              </w:rPr>
              <w:t>62</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6020" w:type="dxa"/>
            <w:vAlign w:val="bottom"/>
          </w:tcPr>
          <w:p>
            <w:pPr>
              <w:spacing w:after="0"/>
              <w:rPr>
                <w:sz w:val="20"/>
                <w:szCs w:val="20"/>
                <w:color w:val="auto"/>
              </w:rPr>
            </w:pPr>
            <w:r>
              <w:rPr>
                <w:rFonts w:ascii="Arial" w:cs="Arial" w:eastAsia="Arial" w:hAnsi="Arial"/>
                <w:sz w:val="20"/>
                <w:szCs w:val="20"/>
                <w:color w:val="auto"/>
              </w:rPr>
              <w:t>Other adjustments</w:t>
            </w:r>
          </w:p>
        </w:tc>
        <w:tc>
          <w:tcPr>
            <w:tcW w:w="980" w:type="dxa"/>
            <w:vAlign w:val="bottom"/>
          </w:tcPr>
          <w:p>
            <w:pPr>
              <w:spacing w:after="0"/>
              <w:rPr>
                <w:sz w:val="24"/>
                <w:szCs w:val="24"/>
                <w:color w:val="auto"/>
              </w:rPr>
            </w:pPr>
          </w:p>
        </w:tc>
        <w:tc>
          <w:tcPr>
            <w:tcW w:w="1400" w:type="dxa"/>
            <w:vAlign w:val="bottom"/>
          </w:tcPr>
          <w:p>
            <w:pPr>
              <w:jc w:val="right"/>
              <w:ind w:right="183"/>
              <w:spacing w:after="0"/>
              <w:rPr>
                <w:sz w:val="20"/>
                <w:szCs w:val="20"/>
                <w:color w:val="auto"/>
              </w:rPr>
            </w:pPr>
            <w:r>
              <w:rPr>
                <w:rFonts w:ascii="Arial" w:cs="Arial" w:eastAsia="Arial" w:hAnsi="Arial"/>
                <w:sz w:val="20"/>
                <w:szCs w:val="20"/>
                <w:color w:val="auto"/>
              </w:rPr>
              <w:t>1</w:t>
            </w:r>
          </w:p>
        </w:tc>
        <w:tc>
          <w:tcPr>
            <w:tcW w:w="1000" w:type="dxa"/>
            <w:vAlign w:val="bottom"/>
          </w:tcPr>
          <w:p>
            <w:pPr>
              <w:jc w:val="right"/>
              <w:spacing w:after="0"/>
              <w:rPr>
                <w:sz w:val="20"/>
                <w:szCs w:val="20"/>
                <w:color w:val="auto"/>
              </w:rPr>
            </w:pPr>
            <w:r>
              <w:rPr>
                <w:rFonts w:ascii="Arial" w:cs="Arial" w:eastAsia="Arial" w:hAnsi="Arial"/>
                <w:sz w:val="20"/>
                <w:szCs w:val="20"/>
                <w:color w:val="auto"/>
              </w:rPr>
              <w:t>0.0%</w:t>
            </w:r>
          </w:p>
        </w:tc>
      </w:tr>
      <w:tr>
        <w:trPr>
          <w:trHeight w:val="41"/>
        </w:trPr>
        <w:tc>
          <w:tcPr>
            <w:tcW w:w="6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319"/>
        </w:trPr>
        <w:tc>
          <w:tcPr>
            <w:tcW w:w="6020" w:type="dxa"/>
            <w:vAlign w:val="bottom"/>
            <w:shd w:val="clear" w:color="auto" w:fill="CFF0FC"/>
          </w:tcPr>
          <w:p>
            <w:pPr>
              <w:spacing w:after="0"/>
              <w:rPr>
                <w:sz w:val="20"/>
                <w:szCs w:val="20"/>
                <w:color w:val="auto"/>
              </w:rPr>
            </w:pPr>
            <w:r>
              <w:rPr>
                <w:rFonts w:ascii="Arial" w:cs="Arial" w:eastAsia="Arial" w:hAnsi="Arial"/>
                <w:sz w:val="20"/>
                <w:szCs w:val="20"/>
                <w:color w:val="auto"/>
              </w:rPr>
              <w:t>Provision for income taxes</w:t>
            </w:r>
          </w:p>
        </w:tc>
        <w:tc>
          <w:tcPr>
            <w:tcW w:w="98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400" w:type="dxa"/>
            <w:vAlign w:val="bottom"/>
            <w:shd w:val="clear" w:color="auto" w:fill="CFF0FC"/>
          </w:tcPr>
          <w:p>
            <w:pPr>
              <w:jc w:val="right"/>
              <w:ind w:right="103"/>
              <w:spacing w:after="0"/>
              <w:rPr>
                <w:sz w:val="20"/>
                <w:szCs w:val="20"/>
                <w:color w:val="auto"/>
              </w:rPr>
            </w:pPr>
            <w:r>
              <w:rPr>
                <w:rFonts w:ascii="Arial" w:cs="Arial" w:eastAsia="Arial" w:hAnsi="Arial"/>
                <w:sz w:val="20"/>
                <w:szCs w:val="20"/>
                <w:color w:val="auto"/>
              </w:rPr>
              <w:t>(318)</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(16.3)%</w:t>
            </w:r>
          </w:p>
        </w:tc>
      </w:tr>
      <w:tr>
        <w:trPr>
          <w:trHeight w:val="41"/>
        </w:trPr>
        <w:tc>
          <w:tcPr>
            <w:tcW w:w="602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140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-4192270</wp:posOffset>
            </wp:positionV>
            <wp:extent cx="168529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68">
                      <a:extLst>
                        <a:ext uri="{28A0092B-C50C-407E-A947-70E740481C1C}"/>
                      </a:extLst>
                    </a:blip>
                    <a:srcRect/>
                    <a:stretch>
                      <a:fillRect/>
                    </a:stretch>
                  </pic:blipFill>
                  <pic:spPr bwMode="auto">
                    <a:xfrm>
                      <a:off x="0" y="0"/>
                      <a:ext cx="1685290" cy="635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-4024630</wp:posOffset>
            </wp:positionV>
            <wp:extent cx="168529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69">
                      <a:extLst>
                        <a:ext uri="{28A0092B-C50C-407E-A947-70E740481C1C}"/>
                      </a:extLst>
                    </a:blip>
                    <a:srcRect/>
                    <a:stretch>
                      <a:fillRect/>
                    </a:stretch>
                  </pic:blipFill>
                  <pic:spPr bwMode="auto">
                    <a:xfrm>
                      <a:off x="0" y="0"/>
                      <a:ext cx="1685290" cy="635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-233680</wp:posOffset>
            </wp:positionV>
            <wp:extent cx="95123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0">
                      <a:extLst>
                        <a:ext uri="{28A0092B-C50C-407E-A947-70E740481C1C}"/>
                      </a:extLst>
                    </a:blip>
                    <a:srcRect/>
                    <a:stretch>
                      <a:fillRect/>
                    </a:stretch>
                  </pic:blipFill>
                  <pic:spPr bwMode="auto">
                    <a:xfrm>
                      <a:off x="0" y="0"/>
                      <a:ext cx="951230" cy="6350"/>
                    </a:xfrm>
                    <a:prstGeom prst="rect">
                      <a:avLst/>
                    </a:prstGeom>
                    <a:noFill/>
                  </pic:spPr>
                </pic:pic>
              </a:graphicData>
            </a:graphic>
          </wp:anchor>
        </w:drawing>
        <w:drawing>
          <wp:anchor simplePos="0" relativeHeight="251657728" behindDoc="1" locked="0" layoutInCell="0" allowOverlap="1">
            <wp:simplePos x="0" y="0"/>
            <wp:positionH relativeFrom="column">
              <wp:posOffset>4278630</wp:posOffset>
            </wp:positionH>
            <wp:positionV relativeFrom="paragraph">
              <wp:posOffset>-27940</wp:posOffset>
            </wp:positionV>
            <wp:extent cx="1032510" cy="285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1">
                      <a:extLst>
                        <a:ext uri="{28A0092B-C50C-407E-A947-70E740481C1C}"/>
                      </a:extLst>
                    </a:blip>
                    <a:srcRect/>
                    <a:stretch>
                      <a:fillRect/>
                    </a:stretch>
                  </pic:blipFill>
                  <pic:spPr bwMode="auto">
                    <a:xfrm>
                      <a:off x="0" y="0"/>
                      <a:ext cx="1032510" cy="28575"/>
                    </a:xfrm>
                    <a:prstGeom prst="rect">
                      <a:avLst/>
                    </a:prstGeom>
                    <a:noFill/>
                  </pic:spPr>
                </pic:pic>
              </a:graphicData>
            </a:graphic>
          </wp:anchor>
        </w:drawing>
      </w:r>
    </w:p>
    <w:p>
      <w:pPr>
        <w:spacing w:after="0" w:line="199" w:lineRule="exact"/>
        <w:rPr>
          <w:sz w:val="20"/>
          <w:szCs w:val="20"/>
          <w:color w:val="auto"/>
        </w:rPr>
      </w:pPr>
    </w:p>
    <w:p>
      <w:pPr>
        <w:ind w:right="120"/>
        <w:spacing w:after="0" w:line="331" w:lineRule="auto"/>
        <w:rPr>
          <w:sz w:val="20"/>
          <w:szCs w:val="20"/>
          <w:color w:val="auto"/>
        </w:rPr>
      </w:pPr>
      <w:r>
        <w:rPr>
          <w:rFonts w:ascii="Arial" w:cs="Arial" w:eastAsia="Arial" w:hAnsi="Arial"/>
          <w:sz w:val="19"/>
          <w:szCs w:val="19"/>
          <w:color w:val="auto"/>
        </w:rPr>
        <w:t>The effective tax rate for the year ended December 31, 2025 includes a $79 million tax benefit adjustment related to both the final allocation of the Willis Re earnout received and a change in uncertain tax positions.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15</w:t>
      </w:r>
    </w:p>
    <w:p>
      <w:pPr>
        <w:sectPr>
          <w:pgSz w:w="11900" w:h="16838" w:orient="portrait"/>
          <w:cols w:equalWidth="0" w:num="1">
            <w:col w:w="9400"/>
          </w:cols>
          <w:pgMar w:left="1260" w:top="1440" w:right="1246" w:bottom="0" w:gutter="0" w:footer="0" w:header="0"/>
          <w:type w:val="continuous"/>
        </w:sectPr>
      </w:pPr>
    </w:p>
    <w:bookmarkStart w:id="192" w:name="page193"/>
    <w:bookmarkEnd w:id="1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spacing w:after="0" w:line="310" w:lineRule="auto"/>
        <w:rPr>
          <w:sz w:val="20"/>
          <w:szCs w:val="20"/>
          <w:color w:val="auto"/>
        </w:rPr>
      </w:pPr>
      <w:r>
        <w:rPr>
          <w:rFonts w:ascii="Arial" w:cs="Arial" w:eastAsia="Arial" w:hAnsi="Arial"/>
          <w:sz w:val="20"/>
          <w:szCs w:val="20"/>
          <w:color w:val="auto"/>
        </w:rPr>
        <w:t>Prior to the adoption of ASU No. 2023-09, the Company disclosure of the provision for income taxes differed from the amounts that would have resulted had the reported income from operations before income taxes and interest in earnings of associates been taxed at the U.S. federal statutory rate. The principal reasons for the differences between the amounts provided and those that would have resulted from the application of the U.S. federal statutory tax rate are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06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Years ended December 31,</w:t>
            </w:r>
          </w:p>
        </w:tc>
        <w:tc>
          <w:tcPr>
            <w:tcW w:w="680" w:type="dxa"/>
            <w:vAlign w:val="bottom"/>
          </w:tcPr>
          <w:p>
            <w:pPr>
              <w:spacing w:after="0"/>
              <w:rPr>
                <w:sz w:val="16"/>
                <w:szCs w:val="16"/>
                <w:color w:val="auto"/>
              </w:rPr>
            </w:pPr>
          </w:p>
        </w:tc>
      </w:tr>
      <w:tr>
        <w:trPr>
          <w:trHeight w:val="264"/>
        </w:trPr>
        <w:tc>
          <w:tcPr>
            <w:tcW w:w="56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7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Pr>
          <w:p>
            <w:pPr>
              <w:spacing w:after="0"/>
              <w:rPr>
                <w:sz w:val="22"/>
                <w:szCs w:val="22"/>
                <w:color w:val="auto"/>
              </w:rPr>
            </w:pPr>
          </w:p>
        </w:tc>
      </w:tr>
      <w:tr>
        <w:trPr>
          <w:trHeight w:val="42"/>
        </w:trPr>
        <w:tc>
          <w:tcPr>
            <w:tcW w:w="56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74"/>
        </w:trPr>
        <w:tc>
          <w:tcPr>
            <w:tcW w:w="5660" w:type="dxa"/>
            <w:vAlign w:val="bottom"/>
            <w:shd w:val="clear" w:color="auto" w:fill="CFF0FC"/>
          </w:tcPr>
          <w:p>
            <w:pPr>
              <w:spacing w:after="0"/>
              <w:rPr>
                <w:sz w:val="20"/>
                <w:szCs w:val="20"/>
                <w:color w:val="auto"/>
              </w:rPr>
            </w:pPr>
            <w:r>
              <w:rPr>
                <w:rFonts w:ascii="Arial" w:cs="Arial" w:eastAsia="Arial" w:hAnsi="Arial"/>
                <w:sz w:val="20"/>
                <w:szCs w:val="20"/>
                <w:color w:val="auto"/>
              </w:rPr>
              <w:t>INCOME FROM OPERATIONS BEFORE INCOME TAXES</w:t>
            </w:r>
          </w:p>
        </w:tc>
        <w:tc>
          <w:tcPr>
            <w:tcW w:w="146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90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r>
      <w:tr>
        <w:trPr>
          <w:trHeight w:val="321"/>
        </w:trPr>
        <w:tc>
          <w:tcPr>
            <w:tcW w:w="5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AND INTEREST IN EARNINGS OF ASSOCIATES</w:t>
            </w:r>
          </w:p>
        </w:tc>
        <w:tc>
          <w:tcPr>
            <w:tcW w:w="1460" w:type="dxa"/>
            <w:vAlign w:val="bottom"/>
            <w:tcBorders>
              <w:bottom w:val="single" w:sz="8" w:color="CFF0FC"/>
            </w:tcBorders>
            <w:shd w:val="clear" w:color="auto" w:fill="CFF0FC"/>
          </w:tcPr>
          <w:p>
            <w:pPr>
              <w:jc w:val="right"/>
              <w:ind w:right="670"/>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102</w:t>
            </w:r>
          </w:p>
        </w:tc>
        <w:tc>
          <w:tcPr>
            <w:tcW w:w="900" w:type="dxa"/>
            <w:vAlign w:val="bottom"/>
            <w:tcBorders>
              <w:bottom w:val="single" w:sz="8" w:color="CFF0FC"/>
            </w:tcBorders>
            <w:shd w:val="clear" w:color="auto" w:fill="CFF0FC"/>
          </w:tcPr>
          <w:p>
            <w:pPr>
              <w:jc w:val="right"/>
              <w:ind w:right="627"/>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w w:val="91"/>
              </w:rPr>
              <w:t>1,276</w:t>
            </w:r>
          </w:p>
        </w:tc>
      </w:tr>
      <w:tr>
        <w:trPr>
          <w:trHeight w:val="274"/>
        </w:trPr>
        <w:tc>
          <w:tcPr>
            <w:tcW w:w="5660" w:type="dxa"/>
            <w:vAlign w:val="bottom"/>
          </w:tcPr>
          <w:p>
            <w:pPr>
              <w:spacing w:after="0"/>
              <w:rPr>
                <w:sz w:val="20"/>
                <w:szCs w:val="20"/>
                <w:color w:val="auto"/>
              </w:rPr>
            </w:pPr>
            <w:r>
              <w:rPr>
                <w:rFonts w:ascii="Arial" w:cs="Arial" w:eastAsia="Arial" w:hAnsi="Arial"/>
                <w:sz w:val="20"/>
                <w:szCs w:val="20"/>
                <w:color w:val="auto"/>
              </w:rPr>
              <w:t>U.S. federal statutory income tax rate</w:t>
            </w:r>
          </w:p>
        </w:tc>
        <w:tc>
          <w:tcPr>
            <w:tcW w:w="14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21.0%</w:t>
            </w:r>
          </w:p>
        </w:tc>
        <w:tc>
          <w:tcPr>
            <w:tcW w:w="9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21.0%</w:t>
            </w:r>
          </w:p>
        </w:tc>
      </w:tr>
      <w:tr>
        <w:trPr>
          <w:trHeight w:val="41"/>
        </w:trPr>
        <w:tc>
          <w:tcPr>
            <w:tcW w:w="56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94"/>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Income tax expense at U.S. federal tax rate</w:t>
            </w:r>
          </w:p>
        </w:tc>
        <w:tc>
          <w:tcPr>
            <w:tcW w:w="14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(21)</w:t>
            </w:r>
          </w:p>
        </w:tc>
        <w:tc>
          <w:tcPr>
            <w:tcW w:w="9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(268)</w:t>
            </w:r>
          </w:p>
        </w:tc>
      </w:tr>
      <w:tr>
        <w:trPr>
          <w:trHeight w:val="274"/>
        </w:trPr>
        <w:tc>
          <w:tcPr>
            <w:tcW w:w="5660" w:type="dxa"/>
            <w:vAlign w:val="bottom"/>
          </w:tcPr>
          <w:p>
            <w:pPr>
              <w:spacing w:after="0"/>
              <w:rPr>
                <w:sz w:val="20"/>
                <w:szCs w:val="20"/>
                <w:color w:val="auto"/>
              </w:rPr>
            </w:pPr>
            <w:r>
              <w:rPr>
                <w:rFonts w:ascii="Arial" w:cs="Arial" w:eastAsia="Arial" w:hAnsi="Arial"/>
                <w:sz w:val="20"/>
                <w:szCs w:val="20"/>
                <w:color w:val="auto"/>
              </w:rPr>
              <w:t>Adjustments to derive effective tax rate:</w:t>
            </w:r>
          </w:p>
        </w:tc>
        <w:tc>
          <w:tcPr>
            <w:tcW w:w="1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41"/>
        </w:trPr>
        <w:tc>
          <w:tcPr>
            <w:tcW w:w="56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94"/>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Non-deductible expenses and dividends</w:t>
            </w:r>
          </w:p>
        </w:tc>
        <w:tc>
          <w:tcPr>
            <w:tcW w:w="14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(17)</w:t>
            </w:r>
          </w:p>
        </w:tc>
        <w:tc>
          <w:tcPr>
            <w:tcW w:w="9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(24)</w:t>
            </w:r>
          </w:p>
        </w:tc>
      </w:tr>
      <w:tr>
        <w:trPr>
          <w:trHeight w:val="274"/>
        </w:trPr>
        <w:tc>
          <w:tcPr>
            <w:tcW w:w="5660" w:type="dxa"/>
            <w:vAlign w:val="bottom"/>
          </w:tcPr>
          <w:p>
            <w:pPr>
              <w:spacing w:after="0"/>
              <w:rPr>
                <w:sz w:val="20"/>
                <w:szCs w:val="20"/>
                <w:color w:val="auto"/>
              </w:rPr>
            </w:pPr>
            <w:r>
              <w:rPr>
                <w:rFonts w:ascii="Arial" w:cs="Arial" w:eastAsia="Arial" w:hAnsi="Arial"/>
                <w:sz w:val="20"/>
                <w:szCs w:val="20"/>
                <w:color w:val="auto"/>
              </w:rPr>
              <w:t>Net adjustments on acquisition costs</w:t>
            </w:r>
          </w:p>
        </w:tc>
        <w:tc>
          <w:tcPr>
            <w:tcW w:w="1460" w:type="dxa"/>
            <w:vAlign w:val="bottom"/>
          </w:tcPr>
          <w:p>
            <w:pPr>
              <w:spacing w:after="0"/>
              <w:rPr>
                <w:sz w:val="23"/>
                <w:szCs w:val="23"/>
                <w:color w:val="auto"/>
              </w:rPr>
            </w:pPr>
          </w:p>
        </w:tc>
        <w:tc>
          <w:tcPr>
            <w:tcW w:w="70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90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20"/>
                <w:szCs w:val="20"/>
                <w:color w:val="auto"/>
              </w:rPr>
              <w:t>(1)</w:t>
            </w:r>
          </w:p>
        </w:tc>
      </w:tr>
      <w:tr>
        <w:trPr>
          <w:trHeight w:val="41"/>
        </w:trPr>
        <w:tc>
          <w:tcPr>
            <w:tcW w:w="56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94"/>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Impact of change in rate on deferred tax balances</w:t>
            </w:r>
          </w:p>
        </w:tc>
        <w:tc>
          <w:tcPr>
            <w:tcW w:w="14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10</w:t>
            </w:r>
          </w:p>
        </w:tc>
      </w:tr>
      <w:tr>
        <w:trPr>
          <w:trHeight w:val="274"/>
        </w:trPr>
        <w:tc>
          <w:tcPr>
            <w:tcW w:w="5660" w:type="dxa"/>
            <w:vAlign w:val="bottom"/>
          </w:tcPr>
          <w:p>
            <w:pPr>
              <w:spacing w:after="0"/>
              <w:rPr>
                <w:sz w:val="20"/>
                <w:szCs w:val="20"/>
                <w:color w:val="auto"/>
              </w:rPr>
            </w:pPr>
            <w:r>
              <w:rPr>
                <w:rFonts w:ascii="Arial" w:cs="Arial" w:eastAsia="Arial" w:hAnsi="Arial"/>
                <w:sz w:val="20"/>
                <w:szCs w:val="20"/>
                <w:color w:val="auto"/>
              </w:rPr>
              <w:t>Effect of foreign exchange and other differences</w:t>
            </w:r>
          </w:p>
        </w:tc>
        <w:tc>
          <w:tcPr>
            <w:tcW w:w="1460" w:type="dxa"/>
            <w:vAlign w:val="bottom"/>
          </w:tcPr>
          <w:p>
            <w:pPr>
              <w:spacing w:after="0"/>
              <w:rPr>
                <w:sz w:val="23"/>
                <w:szCs w:val="23"/>
                <w:color w:val="auto"/>
              </w:rPr>
            </w:pPr>
          </w:p>
        </w:tc>
        <w:tc>
          <w:tcPr>
            <w:tcW w:w="700" w:type="dxa"/>
            <w:vAlign w:val="bottom"/>
          </w:tcPr>
          <w:p>
            <w:pPr>
              <w:jc w:val="right"/>
              <w:ind w:right="160"/>
              <w:spacing w:after="0"/>
              <w:rPr>
                <w:sz w:val="20"/>
                <w:szCs w:val="20"/>
                <w:color w:val="auto"/>
              </w:rPr>
            </w:pPr>
            <w:r>
              <w:rPr>
                <w:rFonts w:ascii="Arial" w:cs="Arial" w:eastAsia="Arial" w:hAnsi="Arial"/>
                <w:sz w:val="20"/>
                <w:szCs w:val="20"/>
                <w:color w:val="auto"/>
              </w:rPr>
              <w:t>1</w:t>
            </w:r>
          </w:p>
        </w:tc>
        <w:tc>
          <w:tcPr>
            <w:tcW w:w="900" w:type="dxa"/>
            <w:vAlign w:val="bottom"/>
          </w:tcPr>
          <w:p>
            <w:pPr>
              <w:spacing w:after="0"/>
              <w:rPr>
                <w:sz w:val="23"/>
                <w:szCs w:val="23"/>
                <w:color w:val="auto"/>
              </w:rPr>
            </w:pPr>
          </w:p>
        </w:tc>
        <w:tc>
          <w:tcPr>
            <w:tcW w:w="680" w:type="dxa"/>
            <w:vAlign w:val="bottom"/>
          </w:tcPr>
          <w:p>
            <w:pPr>
              <w:jc w:val="right"/>
              <w:ind w:right="100"/>
              <w:spacing w:after="0"/>
              <w:rPr>
                <w:sz w:val="20"/>
                <w:szCs w:val="20"/>
                <w:color w:val="auto"/>
              </w:rPr>
            </w:pPr>
            <w:r>
              <w:rPr>
                <w:rFonts w:ascii="Arial" w:cs="Arial" w:eastAsia="Arial" w:hAnsi="Arial"/>
                <w:sz w:val="20"/>
                <w:szCs w:val="20"/>
                <w:color w:val="auto"/>
              </w:rPr>
              <w:t>1</w:t>
            </w:r>
          </w:p>
        </w:tc>
      </w:tr>
      <w:tr>
        <w:trPr>
          <w:trHeight w:val="41"/>
        </w:trPr>
        <w:tc>
          <w:tcPr>
            <w:tcW w:w="56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94"/>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Changes in valuation allowances</w:t>
            </w:r>
          </w:p>
        </w:tc>
        <w:tc>
          <w:tcPr>
            <w:tcW w:w="14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3</w:t>
            </w:r>
          </w:p>
        </w:tc>
        <w:tc>
          <w:tcPr>
            <w:tcW w:w="9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w:t>
            </w:r>
          </w:p>
        </w:tc>
      </w:tr>
      <w:tr>
        <w:trPr>
          <w:trHeight w:val="274"/>
        </w:trPr>
        <w:tc>
          <w:tcPr>
            <w:tcW w:w="5660" w:type="dxa"/>
            <w:vAlign w:val="bottom"/>
          </w:tcPr>
          <w:p>
            <w:pPr>
              <w:spacing w:after="0"/>
              <w:rPr>
                <w:sz w:val="20"/>
                <w:szCs w:val="20"/>
                <w:color w:val="auto"/>
              </w:rPr>
            </w:pPr>
            <w:r>
              <w:rPr>
                <w:rFonts w:ascii="Arial" w:cs="Arial" w:eastAsia="Arial" w:hAnsi="Arial"/>
                <w:sz w:val="20"/>
                <w:szCs w:val="20"/>
                <w:color w:val="auto"/>
              </w:rPr>
              <w:t>Net tax effect on intra-group items</w:t>
            </w:r>
          </w:p>
        </w:tc>
        <w:tc>
          <w:tcPr>
            <w:tcW w:w="1460" w:type="dxa"/>
            <w:vAlign w:val="bottom"/>
          </w:tcPr>
          <w:p>
            <w:pPr>
              <w:spacing w:after="0"/>
              <w:rPr>
                <w:sz w:val="23"/>
                <w:szCs w:val="23"/>
                <w:color w:val="auto"/>
              </w:rPr>
            </w:pPr>
          </w:p>
        </w:tc>
        <w:tc>
          <w:tcPr>
            <w:tcW w:w="700" w:type="dxa"/>
            <w:vAlign w:val="bottom"/>
          </w:tcPr>
          <w:p>
            <w:pPr>
              <w:jc w:val="right"/>
              <w:ind w:right="160"/>
              <w:spacing w:after="0"/>
              <w:rPr>
                <w:sz w:val="20"/>
                <w:szCs w:val="20"/>
                <w:color w:val="auto"/>
              </w:rPr>
            </w:pPr>
            <w:r>
              <w:rPr>
                <w:rFonts w:ascii="Arial" w:cs="Arial" w:eastAsia="Arial" w:hAnsi="Arial"/>
                <w:sz w:val="20"/>
                <w:szCs w:val="20"/>
                <w:color w:val="auto"/>
              </w:rPr>
              <w:t>91</w:t>
            </w:r>
          </w:p>
        </w:tc>
        <w:tc>
          <w:tcPr>
            <w:tcW w:w="900" w:type="dxa"/>
            <w:vAlign w:val="bottom"/>
          </w:tcPr>
          <w:p>
            <w:pPr>
              <w:spacing w:after="0"/>
              <w:rPr>
                <w:sz w:val="23"/>
                <w:szCs w:val="23"/>
                <w:color w:val="auto"/>
              </w:rPr>
            </w:pPr>
          </w:p>
        </w:tc>
        <w:tc>
          <w:tcPr>
            <w:tcW w:w="680" w:type="dxa"/>
            <w:vAlign w:val="bottom"/>
          </w:tcPr>
          <w:p>
            <w:pPr>
              <w:jc w:val="right"/>
              <w:ind w:right="100"/>
              <w:spacing w:after="0"/>
              <w:rPr>
                <w:sz w:val="20"/>
                <w:szCs w:val="20"/>
                <w:color w:val="auto"/>
              </w:rPr>
            </w:pPr>
            <w:r>
              <w:rPr>
                <w:rFonts w:ascii="Arial" w:cs="Arial" w:eastAsia="Arial" w:hAnsi="Arial"/>
                <w:sz w:val="20"/>
                <w:szCs w:val="20"/>
                <w:color w:val="auto"/>
              </w:rPr>
              <w:t>94</w:t>
            </w:r>
          </w:p>
        </w:tc>
      </w:tr>
      <w:tr>
        <w:trPr>
          <w:trHeight w:val="41"/>
        </w:trPr>
        <w:tc>
          <w:tcPr>
            <w:tcW w:w="56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94"/>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tax effect on disposal of operations</w:t>
            </w:r>
          </w:p>
        </w:tc>
        <w:tc>
          <w:tcPr>
            <w:tcW w:w="14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(187)</w:t>
            </w:r>
          </w:p>
        </w:tc>
        <w:tc>
          <w:tcPr>
            <w:tcW w:w="9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6</w:t>
            </w:r>
          </w:p>
        </w:tc>
      </w:tr>
      <w:tr>
        <w:trPr>
          <w:trHeight w:val="274"/>
        </w:trPr>
        <w:tc>
          <w:tcPr>
            <w:tcW w:w="5660" w:type="dxa"/>
            <w:vAlign w:val="bottom"/>
          </w:tcPr>
          <w:p>
            <w:pPr>
              <w:spacing w:after="0"/>
              <w:rPr>
                <w:sz w:val="20"/>
                <w:szCs w:val="20"/>
                <w:color w:val="auto"/>
              </w:rPr>
            </w:pPr>
            <w:r>
              <w:rPr>
                <w:rFonts w:ascii="Arial" w:cs="Arial" w:eastAsia="Arial" w:hAnsi="Arial"/>
                <w:sz w:val="20"/>
                <w:szCs w:val="20"/>
                <w:color w:val="auto"/>
              </w:rPr>
              <w:t>Tax differentials of non-U.S. jurisdictions</w:t>
            </w:r>
          </w:p>
        </w:tc>
        <w:tc>
          <w:tcPr>
            <w:tcW w:w="146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20"/>
                <w:szCs w:val="20"/>
                <w:color w:val="auto"/>
              </w:rPr>
              <w:t>(18)</w:t>
            </w:r>
          </w:p>
        </w:tc>
        <w:tc>
          <w:tcPr>
            <w:tcW w:w="900" w:type="dxa"/>
            <w:vAlign w:val="bottom"/>
          </w:tcPr>
          <w:p>
            <w:pPr>
              <w:spacing w:after="0"/>
              <w:rPr>
                <w:sz w:val="23"/>
                <w:szCs w:val="23"/>
                <w:color w:val="auto"/>
              </w:rPr>
            </w:pPr>
          </w:p>
        </w:tc>
        <w:tc>
          <w:tcPr>
            <w:tcW w:w="680" w:type="dxa"/>
            <w:vAlign w:val="bottom"/>
          </w:tcPr>
          <w:p>
            <w:pPr>
              <w:jc w:val="right"/>
              <w:ind w:right="100"/>
              <w:spacing w:after="0"/>
              <w:rPr>
                <w:sz w:val="20"/>
                <w:szCs w:val="20"/>
                <w:color w:val="auto"/>
              </w:rPr>
            </w:pPr>
            <w:r>
              <w:rPr>
                <w:rFonts w:ascii="Arial" w:cs="Arial" w:eastAsia="Arial" w:hAnsi="Arial"/>
                <w:sz w:val="20"/>
                <w:szCs w:val="20"/>
                <w:color w:val="auto"/>
              </w:rPr>
              <w:t>7</w:t>
            </w:r>
          </w:p>
        </w:tc>
      </w:tr>
      <w:tr>
        <w:trPr>
          <w:trHeight w:val="41"/>
        </w:trPr>
        <w:tc>
          <w:tcPr>
            <w:tcW w:w="56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94"/>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Impact of U.S. state and local taxes</w:t>
            </w:r>
          </w:p>
        </w:tc>
        <w:tc>
          <w:tcPr>
            <w:tcW w:w="14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w:t>
            </w:r>
          </w:p>
        </w:tc>
        <w:tc>
          <w:tcPr>
            <w:tcW w:w="9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(26)</w:t>
            </w:r>
          </w:p>
        </w:tc>
      </w:tr>
      <w:tr>
        <w:trPr>
          <w:trHeight w:val="274"/>
        </w:trPr>
        <w:tc>
          <w:tcPr>
            <w:tcW w:w="5660" w:type="dxa"/>
            <w:vAlign w:val="bottom"/>
          </w:tcPr>
          <w:p>
            <w:pPr>
              <w:spacing w:after="0"/>
              <w:rPr>
                <w:sz w:val="20"/>
                <w:szCs w:val="20"/>
                <w:color w:val="auto"/>
              </w:rPr>
            </w:pPr>
            <w:r>
              <w:rPr>
                <w:rFonts w:ascii="Arial" w:cs="Arial" w:eastAsia="Arial" w:hAnsi="Arial"/>
                <w:sz w:val="20"/>
                <w:szCs w:val="20"/>
                <w:color w:val="auto"/>
              </w:rPr>
              <w:t>Global Intangible Low-Taxed Income (GILTI)</w:t>
            </w:r>
          </w:p>
        </w:tc>
        <w:tc>
          <w:tcPr>
            <w:tcW w:w="146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20"/>
                <w:szCs w:val="20"/>
                <w:color w:val="auto"/>
              </w:rPr>
              <w:t>(4)</w:t>
            </w:r>
          </w:p>
        </w:tc>
        <w:tc>
          <w:tcPr>
            <w:tcW w:w="90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20"/>
                <w:szCs w:val="20"/>
                <w:color w:val="auto"/>
              </w:rPr>
              <w:t>(9)</w:t>
            </w:r>
          </w:p>
        </w:tc>
      </w:tr>
      <w:tr>
        <w:trPr>
          <w:trHeight w:val="41"/>
        </w:trPr>
        <w:tc>
          <w:tcPr>
            <w:tcW w:w="56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94"/>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Subpart F income</w:t>
            </w:r>
          </w:p>
        </w:tc>
        <w:tc>
          <w:tcPr>
            <w:tcW w:w="14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w:t>
            </w:r>
          </w:p>
        </w:tc>
      </w:tr>
      <w:tr>
        <w:trPr>
          <w:trHeight w:val="274"/>
        </w:trPr>
        <w:tc>
          <w:tcPr>
            <w:tcW w:w="5660" w:type="dxa"/>
            <w:vAlign w:val="bottom"/>
          </w:tcPr>
          <w:p>
            <w:pPr>
              <w:spacing w:after="0"/>
              <w:rPr>
                <w:sz w:val="20"/>
                <w:szCs w:val="20"/>
                <w:color w:val="auto"/>
              </w:rPr>
            </w:pPr>
            <w:r>
              <w:rPr>
                <w:rFonts w:ascii="Arial" w:cs="Arial" w:eastAsia="Arial" w:hAnsi="Arial"/>
                <w:sz w:val="20"/>
                <w:szCs w:val="20"/>
                <w:color w:val="auto"/>
              </w:rPr>
              <w:t>Base Erosion Anti-Abuse Tax (BEAT)</w:t>
            </w:r>
          </w:p>
        </w:tc>
        <w:tc>
          <w:tcPr>
            <w:tcW w:w="146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20"/>
                <w:szCs w:val="20"/>
                <w:color w:val="auto"/>
              </w:rPr>
              <w:t>(1)</w:t>
            </w:r>
          </w:p>
        </w:tc>
        <w:tc>
          <w:tcPr>
            <w:tcW w:w="900" w:type="dxa"/>
            <w:vAlign w:val="bottom"/>
          </w:tcPr>
          <w:p>
            <w:pPr>
              <w:spacing w:after="0"/>
              <w:rPr>
                <w:sz w:val="23"/>
                <w:szCs w:val="23"/>
                <w:color w:val="auto"/>
              </w:rPr>
            </w:pPr>
          </w:p>
        </w:tc>
        <w:tc>
          <w:tcPr>
            <w:tcW w:w="680" w:type="dxa"/>
            <w:vAlign w:val="bottom"/>
          </w:tcPr>
          <w:p>
            <w:pPr>
              <w:jc w:val="right"/>
              <w:ind w:right="100"/>
              <w:spacing w:after="0"/>
              <w:rPr>
                <w:sz w:val="20"/>
                <w:szCs w:val="20"/>
                <w:color w:val="auto"/>
              </w:rPr>
            </w:pPr>
            <w:r>
              <w:rPr>
                <w:rFonts w:ascii="Arial" w:cs="Arial" w:eastAsia="Arial" w:hAnsi="Arial"/>
                <w:sz w:val="20"/>
                <w:szCs w:val="20"/>
                <w:color w:val="auto"/>
              </w:rPr>
              <w:t>13</w:t>
            </w:r>
          </w:p>
        </w:tc>
      </w:tr>
      <w:tr>
        <w:trPr>
          <w:trHeight w:val="41"/>
        </w:trPr>
        <w:tc>
          <w:tcPr>
            <w:tcW w:w="56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94"/>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Tax on unremitted earnings</w:t>
            </w:r>
          </w:p>
        </w:tc>
        <w:tc>
          <w:tcPr>
            <w:tcW w:w="14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(5)</w:t>
            </w:r>
          </w:p>
        </w:tc>
        <w:tc>
          <w:tcPr>
            <w:tcW w:w="9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w:t>
            </w:r>
          </w:p>
        </w:tc>
      </w:tr>
      <w:tr>
        <w:trPr>
          <w:trHeight w:val="274"/>
        </w:trPr>
        <w:tc>
          <w:tcPr>
            <w:tcW w:w="5660" w:type="dxa"/>
            <w:vAlign w:val="bottom"/>
          </w:tcPr>
          <w:p>
            <w:pPr>
              <w:spacing w:after="0"/>
              <w:rPr>
                <w:sz w:val="20"/>
                <w:szCs w:val="20"/>
                <w:color w:val="auto"/>
              </w:rPr>
            </w:pPr>
            <w:r>
              <w:rPr>
                <w:rFonts w:ascii="Arial" w:cs="Arial" w:eastAsia="Arial" w:hAnsi="Arial"/>
                <w:sz w:val="20"/>
                <w:szCs w:val="20"/>
                <w:color w:val="auto"/>
              </w:rPr>
              <w:t>Changes in uncertain tax positions</w:t>
            </w:r>
          </w:p>
        </w:tc>
        <w:tc>
          <w:tcPr>
            <w:tcW w:w="146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20"/>
                <w:szCs w:val="20"/>
                <w:color w:val="auto"/>
              </w:rPr>
              <w:t>(34)</w:t>
            </w:r>
          </w:p>
        </w:tc>
        <w:tc>
          <w:tcPr>
            <w:tcW w:w="90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20"/>
                <w:szCs w:val="20"/>
                <w:color w:val="auto"/>
              </w:rPr>
              <w:t>(6)</w:t>
            </w:r>
          </w:p>
        </w:tc>
      </w:tr>
      <w:tr>
        <w:trPr>
          <w:trHeight w:val="41"/>
        </w:trPr>
        <w:tc>
          <w:tcPr>
            <w:tcW w:w="56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304"/>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 items, net</w:t>
            </w:r>
          </w:p>
        </w:tc>
        <w:tc>
          <w:tcPr>
            <w:tcW w:w="14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2</w:t>
            </w:r>
          </w:p>
        </w:tc>
        <w:tc>
          <w:tcPr>
            <w:tcW w:w="9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7</w:t>
            </w:r>
          </w:p>
        </w:tc>
      </w:tr>
      <w:tr>
        <w:trPr>
          <w:trHeight w:val="274"/>
        </w:trPr>
        <w:tc>
          <w:tcPr>
            <w:tcW w:w="5660" w:type="dxa"/>
            <w:vAlign w:val="bottom"/>
          </w:tcPr>
          <w:p>
            <w:pPr>
              <w:spacing w:after="0"/>
              <w:rPr>
                <w:sz w:val="20"/>
                <w:szCs w:val="20"/>
                <w:color w:val="auto"/>
              </w:rPr>
            </w:pPr>
            <w:r>
              <w:rPr>
                <w:rFonts w:ascii="Arial" w:cs="Arial" w:eastAsia="Arial" w:hAnsi="Arial"/>
                <w:sz w:val="20"/>
                <w:szCs w:val="20"/>
                <w:color w:val="auto"/>
              </w:rPr>
              <w:t>Provision for income taxes</w:t>
            </w:r>
          </w:p>
        </w:tc>
        <w:tc>
          <w:tcPr>
            <w:tcW w:w="1460" w:type="dxa"/>
            <w:vAlign w:val="bottom"/>
          </w:tcPr>
          <w:p>
            <w:pPr>
              <w:jc w:val="right"/>
              <w:ind w:right="670"/>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80"/>
              <w:spacing w:after="0"/>
              <w:rPr>
                <w:sz w:val="20"/>
                <w:szCs w:val="20"/>
                <w:color w:val="auto"/>
              </w:rPr>
            </w:pPr>
            <w:r>
              <w:rPr>
                <w:rFonts w:ascii="Arial" w:cs="Arial" w:eastAsia="Arial" w:hAnsi="Arial"/>
                <w:sz w:val="20"/>
                <w:szCs w:val="20"/>
                <w:color w:val="auto"/>
              </w:rPr>
              <w:t>(192)</w:t>
            </w:r>
          </w:p>
        </w:tc>
        <w:tc>
          <w:tcPr>
            <w:tcW w:w="900" w:type="dxa"/>
            <w:vAlign w:val="bottom"/>
          </w:tcPr>
          <w:p>
            <w:pPr>
              <w:jc w:val="right"/>
              <w:ind w:right="627"/>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20"/>
              <w:spacing w:after="0"/>
              <w:rPr>
                <w:sz w:val="20"/>
                <w:szCs w:val="20"/>
                <w:color w:val="auto"/>
              </w:rPr>
            </w:pPr>
            <w:r>
              <w:rPr>
                <w:rFonts w:ascii="Arial" w:cs="Arial" w:eastAsia="Arial" w:hAnsi="Arial"/>
                <w:sz w:val="20"/>
                <w:szCs w:val="20"/>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3979545</wp:posOffset>
            </wp:positionH>
            <wp:positionV relativeFrom="paragraph">
              <wp:posOffset>-4337685</wp:posOffset>
            </wp:positionV>
            <wp:extent cx="1984375"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3">
                      <a:extLst>
                        <a:ext uri="{28A0092B-C50C-407E-A947-70E740481C1C}"/>
                      </a:extLst>
                    </a:blip>
                    <a:srcRect/>
                    <a:stretch>
                      <a:fillRect/>
                    </a:stretch>
                  </pic:blipFill>
                  <pic:spPr bwMode="auto">
                    <a:xfrm>
                      <a:off x="0" y="0"/>
                      <a:ext cx="1984375" cy="6350"/>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-4169410</wp:posOffset>
            </wp:positionV>
            <wp:extent cx="1984375"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4">
                      <a:extLst>
                        <a:ext uri="{28A0092B-C50C-407E-A947-70E740481C1C}"/>
                      </a:extLst>
                    </a:blip>
                    <a:srcRect/>
                    <a:stretch>
                      <a:fillRect/>
                    </a:stretch>
                  </pic:blipFill>
                  <pic:spPr bwMode="auto">
                    <a:xfrm>
                      <a:off x="0" y="0"/>
                      <a:ext cx="1984375" cy="6350"/>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-179705</wp:posOffset>
            </wp:positionV>
            <wp:extent cx="1984375"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5">
                      <a:extLst>
                        <a:ext uri="{28A0092B-C50C-407E-A947-70E740481C1C}"/>
                      </a:extLst>
                    </a:blip>
                    <a:srcRect/>
                    <a:stretch>
                      <a:fillRect/>
                    </a:stretch>
                  </pic:blipFill>
                  <pic:spPr bwMode="auto">
                    <a:xfrm>
                      <a:off x="0" y="0"/>
                      <a:ext cx="1984375" cy="6350"/>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26035</wp:posOffset>
            </wp:positionV>
            <wp:extent cx="1984375" cy="285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6">
                      <a:extLst>
                        <a:ext uri="{28A0092B-C50C-407E-A947-70E740481C1C}"/>
                      </a:extLst>
                    </a:blip>
                    <a:srcRect/>
                    <a:stretch>
                      <a:fillRect/>
                    </a:stretch>
                  </pic:blipFill>
                  <pic:spPr bwMode="auto">
                    <a:xfrm>
                      <a:off x="0" y="0"/>
                      <a:ext cx="1984375" cy="28575"/>
                    </a:xfrm>
                    <a:prstGeom prst="rect">
                      <a:avLst/>
                    </a:prstGeom>
                    <a:noFill/>
                  </pic:spPr>
                </pic:pic>
              </a:graphicData>
            </a:graphic>
          </wp:anchor>
        </w:drawing>
      </w:r>
    </w:p>
    <w:p>
      <w:pPr>
        <w:spacing w:after="0" w:line="285" w:lineRule="exact"/>
        <w:rPr>
          <w:sz w:val="20"/>
          <w:szCs w:val="20"/>
          <w:color w:val="auto"/>
        </w:rPr>
      </w:pPr>
    </w:p>
    <w:p>
      <w:pPr>
        <w:ind w:right="160"/>
        <w:spacing w:after="0" w:line="329" w:lineRule="auto"/>
        <w:rPr>
          <w:sz w:val="20"/>
          <w:szCs w:val="20"/>
          <w:color w:val="auto"/>
        </w:rPr>
      </w:pPr>
      <w:r>
        <w:rPr>
          <w:rFonts w:ascii="Arial" w:cs="Arial" w:eastAsia="Arial" w:hAnsi="Arial"/>
          <w:sz w:val="19"/>
          <w:szCs w:val="19"/>
          <w:color w:val="auto"/>
        </w:rPr>
        <w:t>The effective tax rate for the year ended December 31, 2024 includes a $187 million tax expense on disposal of operations. Included in the $187 million are three main components: a tax expense on the BDO goodwill impairment; a tax benefit from the capital loss incurred on the sale of TRANZACT; and a tax benefit on the Willis Re earnout in certain jurisdictions with statutory tax rates less than 21.0%. The effective tax rate for the year ended December 31, 2023 includes a $20 million tax benefit related to changes in state apportionment and a $10 million deferred tax benefit related to the remeasurement of deferred tax assets and liabilities associated with the enactment of the Bermuda corporate income tax law.</w:t>
      </w:r>
    </w:p>
    <w:p>
      <w:pPr>
        <w:spacing w:after="0" w:line="183" w:lineRule="exact"/>
        <w:rPr>
          <w:sz w:val="20"/>
          <w:szCs w:val="20"/>
          <w:color w:val="auto"/>
        </w:rPr>
      </w:pPr>
    </w:p>
    <w:p>
      <w:pPr>
        <w:ind w:right="140"/>
        <w:spacing w:after="0" w:line="302" w:lineRule="auto"/>
        <w:rPr>
          <w:sz w:val="20"/>
          <w:szCs w:val="20"/>
          <w:color w:val="auto"/>
        </w:rPr>
      </w:pPr>
      <w:r>
        <w:rPr>
          <w:rFonts w:ascii="Arial" w:cs="Arial" w:eastAsia="Arial" w:hAnsi="Arial"/>
          <w:sz w:val="20"/>
          <w:szCs w:val="20"/>
          <w:color w:val="auto"/>
        </w:rPr>
        <w:t>The provisions for income tax on operations for prior years have been reconciled above to the U.S. federal statutory tax rate of 21.0% due to significant operations in the U.S.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Income Taxes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15</w:t>
      </w:r>
    </w:p>
    <w:p>
      <w:pPr>
        <w:sectPr>
          <w:pgSz w:w="11900" w:h="16838" w:orient="portrait"/>
          <w:cols w:equalWidth="0" w:num="1">
            <w:col w:w="9400"/>
          </w:cols>
          <w:pgMar w:left="1260" w:top="1440" w:right="1246" w:bottom="0" w:gutter="0" w:footer="0" w:header="0"/>
          <w:type w:val="continuous"/>
        </w:sectPr>
      </w:pPr>
    </w:p>
    <w:bookmarkStart w:id="193" w:name="page194"/>
    <w:bookmarkEnd w:id="193"/>
    <w:p>
      <w:pPr>
        <w:spacing w:after="0" w:line="307" w:lineRule="auto"/>
        <w:rPr>
          <w:sz w:val="20"/>
          <w:szCs w:val="20"/>
          <w:color w:val="auto"/>
        </w:rPr>
      </w:pPr>
      <w:r>
        <w:rPr>
          <w:rFonts w:ascii="Arial" w:cs="Arial" w:eastAsia="Arial" w:hAnsi="Arial"/>
          <w:sz w:val="20"/>
          <w:szCs w:val="20"/>
          <w:color w:val="auto"/>
        </w:rPr>
        <w:t>Deferred income tax assets and liabilities reflect the effect of temporary differences between the assets and liabilities recognized for financial reporting purposes and the amounts recognized for income tax purposes. We recognize deferred tax assets if it is more likely than not that a benefit will be realized.</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7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 / 15</w:t>
      </w:r>
    </w:p>
    <w:p>
      <w:pPr>
        <w:sectPr>
          <w:pgSz w:w="11900" w:h="16838" w:orient="portrait"/>
          <w:cols w:equalWidth="0" w:num="1">
            <w:col w:w="9340"/>
          </w:cols>
          <w:pgMar w:left="1260" w:top="1173" w:right="1306" w:bottom="0" w:gutter="0" w:footer="0" w:header="0"/>
          <w:type w:val="continuous"/>
        </w:sectPr>
      </w:pPr>
    </w:p>
    <w:bookmarkStart w:id="194" w:name="page195"/>
    <w:bookmarkEnd w:id="1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40"/>
        <w:spacing w:after="0" w:line="302" w:lineRule="auto"/>
        <w:rPr>
          <w:sz w:val="20"/>
          <w:szCs w:val="20"/>
          <w:color w:val="auto"/>
        </w:rPr>
      </w:pPr>
      <w:r>
        <w:rPr>
          <w:rFonts w:ascii="Arial" w:cs="Arial" w:eastAsia="Arial" w:hAnsi="Arial"/>
          <w:sz w:val="20"/>
          <w:szCs w:val="20"/>
          <w:color w:val="auto"/>
        </w:rPr>
        <w:t>Deferred income tax assets and liabilities included in the consolidated balance sheets at December 31, 2025 and 2024 are comprised of the following:</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December 31,</w:t>
            </w:r>
          </w:p>
        </w:tc>
        <w:tc>
          <w:tcPr>
            <w:tcW w:w="1000" w:type="dxa"/>
            <w:vAlign w:val="bottom"/>
          </w:tcPr>
          <w:p>
            <w:pPr>
              <w:spacing w:after="0"/>
              <w:rPr>
                <w:sz w:val="16"/>
                <w:szCs w:val="16"/>
                <w:color w:val="auto"/>
              </w:rPr>
            </w:pPr>
          </w:p>
        </w:tc>
      </w:tr>
      <w:tr>
        <w:trPr>
          <w:trHeight w:val="250"/>
        </w:trPr>
        <w:tc>
          <w:tcPr>
            <w:tcW w:w="53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ind w:right="501"/>
              <w:spacing w:after="0"/>
              <w:rPr>
                <w:sz w:val="20"/>
                <w:szCs w:val="20"/>
                <w:color w:val="auto"/>
              </w:rPr>
            </w:pPr>
            <w:r>
              <w:rPr>
                <w:rFonts w:ascii="Arial" w:cs="Arial" w:eastAsia="Arial" w:hAnsi="Arial"/>
                <w:sz w:val="16"/>
                <w:szCs w:val="16"/>
                <w:b w:val="1"/>
                <w:bCs w:val="1"/>
                <w:color w:val="auto"/>
              </w:rPr>
              <w:t>2024</w:t>
            </w:r>
          </w:p>
        </w:tc>
      </w:tr>
      <w:tr>
        <w:trPr>
          <w:trHeight w:val="42"/>
        </w:trPr>
        <w:tc>
          <w:tcPr>
            <w:tcW w:w="53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Deferred tax assets:</w:t>
            </w:r>
          </w:p>
        </w:tc>
        <w:tc>
          <w:tcPr>
            <w:tcW w:w="19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r>
        <w:trPr>
          <w:trHeight w:val="259"/>
        </w:trPr>
        <w:tc>
          <w:tcPr>
            <w:tcW w:w="5340" w:type="dxa"/>
            <w:vAlign w:val="bottom"/>
          </w:tcPr>
          <w:p>
            <w:pPr>
              <w:ind w:left="100"/>
              <w:spacing w:after="0"/>
              <w:rPr>
                <w:sz w:val="20"/>
                <w:szCs w:val="20"/>
                <w:color w:val="auto"/>
              </w:rPr>
            </w:pPr>
            <w:r>
              <w:rPr>
                <w:rFonts w:ascii="Arial" w:cs="Arial" w:eastAsia="Arial" w:hAnsi="Arial"/>
                <w:sz w:val="20"/>
                <w:szCs w:val="20"/>
                <w:color w:val="auto"/>
              </w:rPr>
              <w:t>Accrued expenses not currently deductible</w:t>
            </w:r>
          </w:p>
        </w:tc>
        <w:tc>
          <w:tcPr>
            <w:tcW w:w="1960" w:type="dxa"/>
            <w:vAlign w:val="bottom"/>
          </w:tcPr>
          <w:p>
            <w:pPr>
              <w:jc w:val="right"/>
              <w:ind w:right="683"/>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color w:val="auto"/>
              </w:rPr>
              <w:t>65</w:t>
            </w:r>
          </w:p>
        </w:tc>
        <w:tc>
          <w:tcPr>
            <w:tcW w:w="500" w:type="dxa"/>
            <w:vAlign w:val="bottom"/>
          </w:tcPr>
          <w:p>
            <w:pPr>
              <w:jc w:val="right"/>
              <w:ind w:right="22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67</w:t>
            </w:r>
          </w:p>
        </w:tc>
      </w:tr>
      <w:tr>
        <w:trPr>
          <w:trHeight w:val="41"/>
        </w:trPr>
        <w:tc>
          <w:tcPr>
            <w:tcW w:w="53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53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Interest carryforwards</w:t>
            </w:r>
          </w:p>
        </w:tc>
        <w:tc>
          <w:tcPr>
            <w:tcW w:w="19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368</w:t>
            </w:r>
          </w:p>
        </w:tc>
        <w:tc>
          <w:tcPr>
            <w:tcW w:w="5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334</w:t>
            </w:r>
          </w:p>
        </w:tc>
      </w:tr>
      <w:tr>
        <w:trPr>
          <w:trHeight w:val="259"/>
        </w:trPr>
        <w:tc>
          <w:tcPr>
            <w:tcW w:w="5340" w:type="dxa"/>
            <w:vAlign w:val="bottom"/>
          </w:tcPr>
          <w:p>
            <w:pPr>
              <w:ind w:left="100"/>
              <w:spacing w:after="0"/>
              <w:rPr>
                <w:sz w:val="20"/>
                <w:szCs w:val="20"/>
                <w:color w:val="auto"/>
              </w:rPr>
            </w:pPr>
            <w:r>
              <w:rPr>
                <w:rFonts w:ascii="Arial" w:cs="Arial" w:eastAsia="Arial" w:hAnsi="Arial"/>
                <w:sz w:val="20"/>
                <w:szCs w:val="20"/>
                <w:color w:val="auto"/>
              </w:rPr>
              <w:t>Net operating losses</w:t>
            </w:r>
          </w:p>
        </w:tc>
        <w:tc>
          <w:tcPr>
            <w:tcW w:w="1960" w:type="dxa"/>
            <w:vAlign w:val="bottom"/>
          </w:tcPr>
          <w:p>
            <w:pPr>
              <w:spacing w:after="0"/>
              <w:rPr>
                <w:sz w:val="22"/>
                <w:szCs w:val="22"/>
                <w:color w:val="auto"/>
              </w:rPr>
            </w:pPr>
          </w:p>
        </w:tc>
        <w:tc>
          <w:tcPr>
            <w:tcW w:w="600" w:type="dxa"/>
            <w:vAlign w:val="bottom"/>
          </w:tcPr>
          <w:p>
            <w:pPr>
              <w:jc w:val="right"/>
              <w:ind w:right="81"/>
              <w:spacing w:after="0"/>
              <w:rPr>
                <w:sz w:val="20"/>
                <w:szCs w:val="20"/>
                <w:color w:val="auto"/>
              </w:rPr>
            </w:pPr>
            <w:r>
              <w:rPr>
                <w:rFonts w:ascii="Arial" w:cs="Arial" w:eastAsia="Arial" w:hAnsi="Arial"/>
                <w:sz w:val="20"/>
                <w:szCs w:val="20"/>
                <w:color w:val="auto"/>
              </w:rPr>
              <w:t>37</w:t>
            </w:r>
          </w:p>
        </w:tc>
        <w:tc>
          <w:tcPr>
            <w:tcW w:w="50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27</w:t>
            </w:r>
          </w:p>
        </w:tc>
      </w:tr>
      <w:tr>
        <w:trPr>
          <w:trHeight w:val="41"/>
        </w:trPr>
        <w:tc>
          <w:tcPr>
            <w:tcW w:w="53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53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Capital loss carryforwards</w:t>
            </w:r>
          </w:p>
        </w:tc>
        <w:tc>
          <w:tcPr>
            <w:tcW w:w="19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8</w:t>
            </w:r>
          </w:p>
        </w:tc>
        <w:tc>
          <w:tcPr>
            <w:tcW w:w="5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119</w:t>
            </w:r>
          </w:p>
        </w:tc>
      </w:tr>
      <w:tr>
        <w:trPr>
          <w:trHeight w:val="259"/>
        </w:trPr>
        <w:tc>
          <w:tcPr>
            <w:tcW w:w="5340" w:type="dxa"/>
            <w:vAlign w:val="bottom"/>
          </w:tcPr>
          <w:p>
            <w:pPr>
              <w:ind w:left="100"/>
              <w:spacing w:after="0"/>
              <w:rPr>
                <w:sz w:val="20"/>
                <w:szCs w:val="20"/>
                <w:color w:val="auto"/>
              </w:rPr>
            </w:pPr>
            <w:r>
              <w:rPr>
                <w:rFonts w:ascii="Arial" w:cs="Arial" w:eastAsia="Arial" w:hAnsi="Arial"/>
                <w:sz w:val="20"/>
                <w:szCs w:val="20"/>
                <w:color w:val="auto"/>
              </w:rPr>
              <w:t>Accrued retirement benefits</w:t>
            </w:r>
          </w:p>
        </w:tc>
        <w:tc>
          <w:tcPr>
            <w:tcW w:w="1960" w:type="dxa"/>
            <w:vAlign w:val="bottom"/>
          </w:tcPr>
          <w:p>
            <w:pPr>
              <w:spacing w:after="0"/>
              <w:rPr>
                <w:sz w:val="22"/>
                <w:szCs w:val="22"/>
                <w:color w:val="auto"/>
              </w:rPr>
            </w:pPr>
          </w:p>
        </w:tc>
        <w:tc>
          <w:tcPr>
            <w:tcW w:w="600" w:type="dxa"/>
            <w:vAlign w:val="bottom"/>
          </w:tcPr>
          <w:p>
            <w:pPr>
              <w:jc w:val="right"/>
              <w:ind w:right="81"/>
              <w:spacing w:after="0"/>
              <w:rPr>
                <w:sz w:val="20"/>
                <w:szCs w:val="20"/>
                <w:color w:val="auto"/>
              </w:rPr>
            </w:pPr>
            <w:r>
              <w:rPr>
                <w:rFonts w:ascii="Arial" w:cs="Arial" w:eastAsia="Arial" w:hAnsi="Arial"/>
                <w:sz w:val="20"/>
                <w:szCs w:val="20"/>
                <w:color w:val="auto"/>
              </w:rPr>
              <w:t>160</w:t>
            </w:r>
          </w:p>
        </w:tc>
        <w:tc>
          <w:tcPr>
            <w:tcW w:w="50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156</w:t>
            </w:r>
          </w:p>
        </w:tc>
      </w:tr>
      <w:tr>
        <w:trPr>
          <w:trHeight w:val="41"/>
        </w:trPr>
        <w:tc>
          <w:tcPr>
            <w:tcW w:w="53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53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Operating lease liabilities</w:t>
            </w:r>
          </w:p>
        </w:tc>
        <w:tc>
          <w:tcPr>
            <w:tcW w:w="19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82</w:t>
            </w:r>
          </w:p>
        </w:tc>
        <w:tc>
          <w:tcPr>
            <w:tcW w:w="5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99</w:t>
            </w:r>
          </w:p>
        </w:tc>
      </w:tr>
      <w:tr>
        <w:trPr>
          <w:trHeight w:val="259"/>
        </w:trPr>
        <w:tc>
          <w:tcPr>
            <w:tcW w:w="5340" w:type="dxa"/>
            <w:vAlign w:val="bottom"/>
          </w:tcPr>
          <w:p>
            <w:pPr>
              <w:ind w:left="100"/>
              <w:spacing w:after="0"/>
              <w:rPr>
                <w:sz w:val="20"/>
                <w:szCs w:val="20"/>
                <w:color w:val="auto"/>
              </w:rPr>
            </w:pPr>
            <w:r>
              <w:rPr>
                <w:rFonts w:ascii="Arial" w:cs="Arial" w:eastAsia="Arial" w:hAnsi="Arial"/>
                <w:sz w:val="20"/>
                <w:szCs w:val="20"/>
                <w:color w:val="auto"/>
              </w:rPr>
              <w:t>Deferred compensation</w:t>
            </w:r>
          </w:p>
        </w:tc>
        <w:tc>
          <w:tcPr>
            <w:tcW w:w="1960" w:type="dxa"/>
            <w:vAlign w:val="bottom"/>
          </w:tcPr>
          <w:p>
            <w:pPr>
              <w:spacing w:after="0"/>
              <w:rPr>
                <w:sz w:val="22"/>
                <w:szCs w:val="22"/>
                <w:color w:val="auto"/>
              </w:rPr>
            </w:pPr>
          </w:p>
        </w:tc>
        <w:tc>
          <w:tcPr>
            <w:tcW w:w="600" w:type="dxa"/>
            <w:vAlign w:val="bottom"/>
          </w:tcPr>
          <w:p>
            <w:pPr>
              <w:jc w:val="right"/>
              <w:ind w:right="81"/>
              <w:spacing w:after="0"/>
              <w:rPr>
                <w:sz w:val="20"/>
                <w:szCs w:val="20"/>
                <w:color w:val="auto"/>
              </w:rPr>
            </w:pPr>
            <w:r>
              <w:rPr>
                <w:rFonts w:ascii="Arial" w:cs="Arial" w:eastAsia="Arial" w:hAnsi="Arial"/>
                <w:sz w:val="20"/>
                <w:szCs w:val="20"/>
                <w:color w:val="auto"/>
              </w:rPr>
              <w:t>86</w:t>
            </w:r>
          </w:p>
        </w:tc>
        <w:tc>
          <w:tcPr>
            <w:tcW w:w="50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90</w:t>
            </w:r>
          </w:p>
        </w:tc>
      </w:tr>
      <w:tr>
        <w:trPr>
          <w:trHeight w:val="41"/>
        </w:trPr>
        <w:tc>
          <w:tcPr>
            <w:tcW w:w="53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53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Share-based compensation</w:t>
            </w:r>
          </w:p>
        </w:tc>
        <w:tc>
          <w:tcPr>
            <w:tcW w:w="19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32</w:t>
            </w:r>
          </w:p>
        </w:tc>
        <w:tc>
          <w:tcPr>
            <w:tcW w:w="5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22</w:t>
            </w:r>
          </w:p>
        </w:tc>
      </w:tr>
      <w:tr>
        <w:trPr>
          <w:trHeight w:val="259"/>
        </w:trPr>
        <w:tc>
          <w:tcPr>
            <w:tcW w:w="5340" w:type="dxa"/>
            <w:vAlign w:val="bottom"/>
          </w:tcPr>
          <w:p>
            <w:pPr>
              <w:ind w:left="100"/>
              <w:spacing w:after="0"/>
              <w:rPr>
                <w:sz w:val="20"/>
                <w:szCs w:val="20"/>
                <w:color w:val="auto"/>
              </w:rPr>
            </w:pPr>
            <w:r>
              <w:rPr>
                <w:rFonts w:ascii="Arial" w:cs="Arial" w:eastAsia="Arial" w:hAnsi="Arial"/>
                <w:sz w:val="20"/>
                <w:szCs w:val="20"/>
                <w:color w:val="auto"/>
              </w:rPr>
              <w:t>Financial derivative transactions</w:t>
            </w:r>
          </w:p>
        </w:tc>
        <w:tc>
          <w:tcPr>
            <w:tcW w:w="1960" w:type="dxa"/>
            <w:vAlign w:val="bottom"/>
          </w:tcPr>
          <w:p>
            <w:pPr>
              <w:spacing w:after="0"/>
              <w:rPr>
                <w:sz w:val="22"/>
                <w:szCs w:val="22"/>
                <w:color w:val="auto"/>
              </w:rPr>
            </w:pPr>
          </w:p>
        </w:tc>
        <w:tc>
          <w:tcPr>
            <w:tcW w:w="600" w:type="dxa"/>
            <w:vAlign w:val="bottom"/>
          </w:tcPr>
          <w:p>
            <w:pPr>
              <w:jc w:val="right"/>
              <w:ind w:right="81"/>
              <w:spacing w:after="0"/>
              <w:rPr>
                <w:sz w:val="20"/>
                <w:szCs w:val="20"/>
                <w:color w:val="auto"/>
              </w:rPr>
            </w:pPr>
            <w:r>
              <w:rPr>
                <w:rFonts w:ascii="Arial" w:cs="Arial" w:eastAsia="Arial" w:hAnsi="Arial"/>
                <w:sz w:val="20"/>
                <w:szCs w:val="20"/>
                <w:color w:val="auto"/>
              </w:rPr>
              <w:t>2</w:t>
            </w:r>
          </w:p>
        </w:tc>
        <w:tc>
          <w:tcPr>
            <w:tcW w:w="500" w:type="dxa"/>
            <w:vAlign w:val="bottom"/>
          </w:tcPr>
          <w:p>
            <w:pPr>
              <w:spacing w:after="0"/>
              <w:rPr>
                <w:sz w:val="22"/>
                <w:szCs w:val="22"/>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3</w:t>
            </w:r>
          </w:p>
        </w:tc>
      </w:tr>
      <w:tr>
        <w:trPr>
          <w:trHeight w:val="51"/>
        </w:trPr>
        <w:tc>
          <w:tcPr>
            <w:tcW w:w="53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80"/>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Gross deferred tax assets</w:t>
            </w:r>
          </w:p>
        </w:tc>
        <w:tc>
          <w:tcPr>
            <w:tcW w:w="19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840</w:t>
            </w:r>
          </w:p>
        </w:tc>
        <w:tc>
          <w:tcPr>
            <w:tcW w:w="5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917</w:t>
            </w:r>
          </w:p>
        </w:tc>
      </w:tr>
      <w:tr>
        <w:trPr>
          <w:trHeight w:val="259"/>
        </w:trPr>
        <w:tc>
          <w:tcPr>
            <w:tcW w:w="5340" w:type="dxa"/>
            <w:vAlign w:val="bottom"/>
          </w:tcPr>
          <w:p>
            <w:pPr>
              <w:spacing w:after="0"/>
              <w:rPr>
                <w:sz w:val="20"/>
                <w:szCs w:val="20"/>
                <w:color w:val="auto"/>
              </w:rPr>
            </w:pPr>
            <w:r>
              <w:rPr>
                <w:rFonts w:ascii="Arial" w:cs="Arial" w:eastAsia="Arial" w:hAnsi="Arial"/>
                <w:sz w:val="20"/>
                <w:szCs w:val="20"/>
                <w:color w:val="auto"/>
              </w:rPr>
              <w:t>Less: valuation allowance</w:t>
            </w:r>
          </w:p>
        </w:tc>
        <w:tc>
          <w:tcPr>
            <w:tcW w:w="196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(39)</w:t>
            </w: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51"/>
        </w:trPr>
        <w:tc>
          <w:tcPr>
            <w:tcW w:w="53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90"/>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deferred tax assets</w:t>
            </w:r>
          </w:p>
        </w:tc>
        <w:tc>
          <w:tcPr>
            <w:tcW w:w="1960" w:type="dxa"/>
            <w:vAlign w:val="bottom"/>
            <w:tcBorders>
              <w:bottom w:val="single" w:sz="8" w:color="CFF0FC"/>
            </w:tcBorders>
            <w:shd w:val="clear" w:color="auto" w:fill="CFF0FC"/>
          </w:tcPr>
          <w:p>
            <w:pPr>
              <w:jc w:val="right"/>
              <w:ind w:right="683"/>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801</w:t>
            </w:r>
          </w:p>
        </w:tc>
        <w:tc>
          <w:tcPr>
            <w:tcW w:w="50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889</w:t>
            </w:r>
          </w:p>
        </w:tc>
      </w:tr>
      <w:tr>
        <w:trPr>
          <w:trHeight w:val="259"/>
        </w:trPr>
        <w:tc>
          <w:tcPr>
            <w:tcW w:w="534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1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41"/>
        </w:trPr>
        <w:tc>
          <w:tcPr>
            <w:tcW w:w="53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53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Cost of intangible assets, net of related amortization</w:t>
            </w:r>
          </w:p>
        </w:tc>
        <w:tc>
          <w:tcPr>
            <w:tcW w:w="1960" w:type="dxa"/>
            <w:vAlign w:val="bottom"/>
            <w:tcBorders>
              <w:bottom w:val="single" w:sz="8" w:color="CFF0FC"/>
            </w:tcBorders>
            <w:shd w:val="clear" w:color="auto" w:fill="CFF0FC"/>
          </w:tcPr>
          <w:p>
            <w:pPr>
              <w:jc w:val="right"/>
              <w:ind w:right="683"/>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(402)</w:t>
            </w:r>
          </w:p>
        </w:tc>
        <w:tc>
          <w:tcPr>
            <w:tcW w:w="50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(426)</w:t>
            </w:r>
          </w:p>
        </w:tc>
      </w:tr>
      <w:tr>
        <w:trPr>
          <w:trHeight w:val="259"/>
        </w:trPr>
        <w:tc>
          <w:tcPr>
            <w:tcW w:w="5340" w:type="dxa"/>
            <w:vAlign w:val="bottom"/>
          </w:tcPr>
          <w:p>
            <w:pPr>
              <w:ind w:left="100"/>
              <w:spacing w:after="0"/>
              <w:rPr>
                <w:sz w:val="20"/>
                <w:szCs w:val="20"/>
                <w:color w:val="auto"/>
              </w:rPr>
            </w:pPr>
            <w:r>
              <w:rPr>
                <w:rFonts w:ascii="Arial" w:cs="Arial" w:eastAsia="Arial" w:hAnsi="Arial"/>
                <w:sz w:val="20"/>
                <w:szCs w:val="20"/>
                <w:color w:val="auto"/>
              </w:rPr>
              <w:t>Operating lease right-of-use assets</w:t>
            </w:r>
          </w:p>
        </w:tc>
        <w:tc>
          <w:tcPr>
            <w:tcW w:w="196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(74)</w:t>
            </w: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41"/>
        </w:trPr>
        <w:tc>
          <w:tcPr>
            <w:tcW w:w="53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53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Cost of tangible assets, net of related depreciation</w:t>
            </w:r>
          </w:p>
        </w:tc>
        <w:tc>
          <w:tcPr>
            <w:tcW w:w="19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(32)</w:t>
            </w:r>
          </w:p>
        </w:tc>
        <w:tc>
          <w:tcPr>
            <w:tcW w:w="5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w:t>
            </w:r>
          </w:p>
        </w:tc>
      </w:tr>
      <w:tr>
        <w:trPr>
          <w:trHeight w:val="259"/>
        </w:trPr>
        <w:tc>
          <w:tcPr>
            <w:tcW w:w="5340" w:type="dxa"/>
            <w:vAlign w:val="bottom"/>
          </w:tcPr>
          <w:p>
            <w:pPr>
              <w:ind w:left="100"/>
              <w:spacing w:after="0"/>
              <w:rPr>
                <w:sz w:val="20"/>
                <w:szCs w:val="20"/>
                <w:color w:val="auto"/>
              </w:rPr>
            </w:pPr>
            <w:r>
              <w:rPr>
                <w:rFonts w:ascii="Arial" w:cs="Arial" w:eastAsia="Arial" w:hAnsi="Arial"/>
                <w:sz w:val="20"/>
                <w:szCs w:val="20"/>
                <w:color w:val="auto"/>
              </w:rPr>
              <w:t>Prepaid retirement benefits</w:t>
            </w:r>
          </w:p>
        </w:tc>
        <w:tc>
          <w:tcPr>
            <w:tcW w:w="196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(95)</w:t>
            </w: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41"/>
        </w:trPr>
        <w:tc>
          <w:tcPr>
            <w:tcW w:w="53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53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Accrued revenue not currently taxable</w:t>
            </w:r>
          </w:p>
        </w:tc>
        <w:tc>
          <w:tcPr>
            <w:tcW w:w="19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(40)</w:t>
            </w:r>
          </w:p>
        </w:tc>
        <w:tc>
          <w:tcPr>
            <w:tcW w:w="5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(48)</w:t>
            </w:r>
          </w:p>
        </w:tc>
      </w:tr>
      <w:tr>
        <w:trPr>
          <w:trHeight w:val="259"/>
        </w:trPr>
        <w:tc>
          <w:tcPr>
            <w:tcW w:w="5340" w:type="dxa"/>
            <w:vAlign w:val="bottom"/>
          </w:tcPr>
          <w:p>
            <w:pPr>
              <w:ind w:left="100"/>
              <w:spacing w:after="0"/>
              <w:rPr>
                <w:sz w:val="20"/>
                <w:szCs w:val="20"/>
                <w:color w:val="auto"/>
              </w:rPr>
            </w:pPr>
            <w:r>
              <w:rPr>
                <w:rFonts w:ascii="Arial" w:cs="Arial" w:eastAsia="Arial" w:hAnsi="Arial"/>
                <w:sz w:val="20"/>
                <w:szCs w:val="20"/>
                <w:color w:val="auto"/>
              </w:rPr>
              <w:t>Unremitted earnings</w:t>
            </w:r>
          </w:p>
        </w:tc>
        <w:tc>
          <w:tcPr>
            <w:tcW w:w="1960" w:type="dxa"/>
            <w:vAlign w:val="bottom"/>
          </w:tcPr>
          <w:p>
            <w:pPr>
              <w:spacing w:after="0"/>
              <w:rPr>
                <w:sz w:val="22"/>
                <w:szCs w:val="22"/>
                <w:color w:val="auto"/>
              </w:rPr>
            </w:pPr>
          </w:p>
        </w:tc>
        <w:tc>
          <w:tcPr>
            <w:tcW w:w="600" w:type="dxa"/>
            <w:vAlign w:val="bottom"/>
          </w:tcPr>
          <w:p>
            <w:pPr>
              <w:jc w:val="right"/>
              <w:ind w:right="1"/>
              <w:spacing w:after="0"/>
              <w:rPr>
                <w:sz w:val="20"/>
                <w:szCs w:val="20"/>
                <w:color w:val="auto"/>
              </w:rPr>
            </w:pPr>
            <w:r>
              <w:rPr>
                <w:rFonts w:ascii="Arial" w:cs="Arial" w:eastAsia="Arial" w:hAnsi="Arial"/>
                <w:sz w:val="20"/>
                <w:szCs w:val="20"/>
                <w:color w:val="auto"/>
              </w:rPr>
              <w:t>(32)</w:t>
            </w: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51"/>
        </w:trPr>
        <w:tc>
          <w:tcPr>
            <w:tcW w:w="53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90"/>
        </w:trPr>
        <w:tc>
          <w:tcPr>
            <w:tcW w:w="53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Deferred tax liabilities</w:t>
            </w:r>
          </w:p>
        </w:tc>
        <w:tc>
          <w:tcPr>
            <w:tcW w:w="1960" w:type="dxa"/>
            <w:vAlign w:val="bottom"/>
            <w:tcBorders>
              <w:bottom w:val="single" w:sz="8" w:color="CFF0FC"/>
            </w:tcBorders>
            <w:shd w:val="clear" w:color="auto" w:fill="CFF0FC"/>
          </w:tcPr>
          <w:p>
            <w:pPr>
              <w:jc w:val="right"/>
              <w:ind w:right="683"/>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(675)</w:t>
            </w:r>
          </w:p>
        </w:tc>
        <w:tc>
          <w:tcPr>
            <w:tcW w:w="50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(696)</w:t>
            </w:r>
          </w:p>
        </w:tc>
      </w:tr>
      <w:tr>
        <w:trPr>
          <w:trHeight w:val="259"/>
        </w:trPr>
        <w:tc>
          <w:tcPr>
            <w:tcW w:w="5340" w:type="dxa"/>
            <w:vAlign w:val="bottom"/>
          </w:tcPr>
          <w:p>
            <w:pPr>
              <w:spacing w:after="0"/>
              <w:rPr>
                <w:sz w:val="20"/>
                <w:szCs w:val="20"/>
                <w:color w:val="auto"/>
              </w:rPr>
            </w:pPr>
            <w:r>
              <w:rPr>
                <w:rFonts w:ascii="Arial" w:cs="Arial" w:eastAsia="Arial" w:hAnsi="Arial"/>
                <w:sz w:val="20"/>
                <w:szCs w:val="20"/>
                <w:color w:val="auto"/>
              </w:rPr>
              <w:t>Net deferred tax assets</w:t>
            </w:r>
          </w:p>
        </w:tc>
        <w:tc>
          <w:tcPr>
            <w:tcW w:w="1960" w:type="dxa"/>
            <w:vAlign w:val="bottom"/>
          </w:tcPr>
          <w:p>
            <w:pPr>
              <w:jc w:val="right"/>
              <w:ind w:right="683"/>
              <w:spacing w:after="0"/>
              <w:rPr>
                <w:sz w:val="20"/>
                <w:szCs w:val="20"/>
                <w:color w:val="auto"/>
              </w:rPr>
            </w:pPr>
            <w:r>
              <w:rPr>
                <w:rFonts w:ascii="Arial" w:cs="Arial" w:eastAsia="Arial" w:hAnsi="Arial"/>
                <w:sz w:val="20"/>
                <w:szCs w:val="20"/>
                <w:color w:val="auto"/>
              </w:rPr>
              <w:t>$</w:t>
            </w:r>
          </w:p>
        </w:tc>
        <w:tc>
          <w:tcPr>
            <w:tcW w:w="600" w:type="dxa"/>
            <w:vAlign w:val="bottom"/>
          </w:tcPr>
          <w:p>
            <w:pPr>
              <w:jc w:val="right"/>
              <w:ind w:right="81"/>
              <w:spacing w:after="0"/>
              <w:rPr>
                <w:sz w:val="20"/>
                <w:szCs w:val="20"/>
                <w:color w:val="auto"/>
              </w:rPr>
            </w:pPr>
            <w:r>
              <w:rPr>
                <w:rFonts w:ascii="Arial" w:cs="Arial" w:eastAsia="Arial" w:hAnsi="Arial"/>
                <w:sz w:val="20"/>
                <w:szCs w:val="20"/>
                <w:color w:val="auto"/>
              </w:rPr>
              <w:t>126</w:t>
            </w:r>
          </w:p>
        </w:tc>
        <w:tc>
          <w:tcPr>
            <w:tcW w:w="500" w:type="dxa"/>
            <w:vAlign w:val="bottom"/>
          </w:tcPr>
          <w:p>
            <w:pPr>
              <w:jc w:val="right"/>
              <w:ind w:right="22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4074795</wp:posOffset>
            </wp:positionH>
            <wp:positionV relativeFrom="paragraph">
              <wp:posOffset>-4361180</wp:posOffset>
            </wp:positionV>
            <wp:extent cx="1889125"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78">
                      <a:extLst>
                        <a:ext uri="{28A0092B-C50C-407E-A947-70E740481C1C}"/>
                      </a:extLst>
                    </a:blip>
                    <a:srcRect/>
                    <a:stretch>
                      <a:fillRect/>
                    </a:stretch>
                  </pic:blipFill>
                  <pic:spPr bwMode="auto">
                    <a:xfrm>
                      <a:off x="0" y="0"/>
                      <a:ext cx="1889125" cy="63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-4202430</wp:posOffset>
            </wp:positionV>
            <wp:extent cx="1889125"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79">
                      <a:extLst>
                        <a:ext uri="{28A0092B-C50C-407E-A947-70E740481C1C}"/>
                      </a:extLst>
                    </a:blip>
                    <a:srcRect/>
                    <a:stretch>
                      <a:fillRect/>
                    </a:stretch>
                  </pic:blipFill>
                  <pic:spPr bwMode="auto">
                    <a:xfrm>
                      <a:off x="0" y="0"/>
                      <a:ext cx="1889125" cy="63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-2291080</wp:posOffset>
            </wp:positionV>
            <wp:extent cx="1889125" cy="6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0">
                      <a:extLst>
                        <a:ext uri="{28A0092B-C50C-407E-A947-70E740481C1C}"/>
                      </a:extLst>
                    </a:blip>
                    <a:srcRect/>
                    <a:stretch>
                      <a:fillRect/>
                    </a:stretch>
                  </pic:blipFill>
                  <pic:spPr bwMode="auto">
                    <a:xfrm>
                      <a:off x="0" y="0"/>
                      <a:ext cx="1889125" cy="63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-1903730</wp:posOffset>
            </wp:positionV>
            <wp:extent cx="1889125"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1">
                      <a:extLst>
                        <a:ext uri="{28A0092B-C50C-407E-A947-70E740481C1C}"/>
                      </a:extLst>
                    </a:blip>
                    <a:srcRect/>
                    <a:stretch>
                      <a:fillRect/>
                    </a:stretch>
                  </pic:blipFill>
                  <pic:spPr bwMode="auto">
                    <a:xfrm>
                      <a:off x="0" y="0"/>
                      <a:ext cx="1889125" cy="63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-1706880</wp:posOffset>
            </wp:positionV>
            <wp:extent cx="1889125"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2">
                      <a:extLst>
                        <a:ext uri="{28A0092B-C50C-407E-A947-70E740481C1C}"/>
                      </a:extLst>
                    </a:blip>
                    <a:srcRect/>
                    <a:stretch>
                      <a:fillRect/>
                    </a:stretch>
                  </pic:blipFill>
                  <pic:spPr bwMode="auto">
                    <a:xfrm>
                      <a:off x="0" y="0"/>
                      <a:ext cx="1889125" cy="63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-367030</wp:posOffset>
            </wp:positionV>
            <wp:extent cx="1889125"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3">
                      <a:extLst>
                        <a:ext uri="{28A0092B-C50C-407E-A947-70E740481C1C}"/>
                      </a:extLst>
                    </a:blip>
                    <a:srcRect/>
                    <a:stretch>
                      <a:fillRect/>
                    </a:stretch>
                  </pic:blipFill>
                  <pic:spPr bwMode="auto">
                    <a:xfrm>
                      <a:off x="0" y="0"/>
                      <a:ext cx="1889125" cy="63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-170180</wp:posOffset>
            </wp:positionV>
            <wp:extent cx="1889125"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4">
                      <a:extLst>
                        <a:ext uri="{28A0092B-C50C-407E-A947-70E740481C1C}"/>
                      </a:extLst>
                    </a:blip>
                    <a:srcRect/>
                    <a:stretch>
                      <a:fillRect/>
                    </a:stretch>
                  </pic:blipFill>
                  <pic:spPr bwMode="auto">
                    <a:xfrm>
                      <a:off x="0" y="0"/>
                      <a:ext cx="1889125" cy="63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26035</wp:posOffset>
            </wp:positionV>
            <wp:extent cx="1889125" cy="2857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5">
                      <a:extLst>
                        <a:ext uri="{28A0092B-C50C-407E-A947-70E740481C1C}"/>
                      </a:extLst>
                    </a:blip>
                    <a:srcRect/>
                    <a:stretch>
                      <a:fillRect/>
                    </a:stretch>
                  </pic:blipFill>
                  <pic:spPr bwMode="auto">
                    <a:xfrm>
                      <a:off x="0" y="0"/>
                      <a:ext cx="1889125" cy="2857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right="20"/>
        <w:spacing w:after="0" w:line="311" w:lineRule="auto"/>
        <w:rPr>
          <w:sz w:val="20"/>
          <w:szCs w:val="20"/>
          <w:color w:val="auto"/>
        </w:rPr>
      </w:pPr>
      <w:r>
        <w:rPr>
          <w:rFonts w:ascii="Arial" w:cs="Arial" w:eastAsia="Arial" w:hAnsi="Arial"/>
          <w:sz w:val="20"/>
          <w:szCs w:val="20"/>
          <w:color w:val="auto"/>
        </w:rPr>
        <w:t>The net deferred income tax assets are included in Other non-current assets and the net deferred tax liabilities are included in Other non-current liabilities in our consolidated balance sheets. At December 31, 2025, the Company had a net deferred tax asset of $126 million compared to a net deferred tax asset of $193 million at December 31, 2024. The net change of $67 million is primarily related to the 2025 federal and state capital loss carryback of the 2024 capital loss generated on the sale of TRANZACT. The loss carryback was approximately $115 million on a tax-effected basis.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December 31,</w:t>
            </w:r>
          </w:p>
        </w:tc>
        <w:tc>
          <w:tcPr>
            <w:tcW w:w="1000" w:type="dxa"/>
            <w:vAlign w:val="bottom"/>
          </w:tcPr>
          <w:p>
            <w:pPr>
              <w:spacing w:after="0"/>
              <w:rPr>
                <w:sz w:val="16"/>
                <w:szCs w:val="16"/>
                <w:color w:val="auto"/>
              </w:rPr>
            </w:pPr>
          </w:p>
        </w:tc>
      </w:tr>
      <w:tr>
        <w:trPr>
          <w:trHeight w:val="250"/>
        </w:trPr>
        <w:tc>
          <w:tcPr>
            <w:tcW w:w="438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505"/>
              <w:spacing w:after="0"/>
              <w:rPr>
                <w:sz w:val="20"/>
                <w:szCs w:val="20"/>
                <w:color w:val="auto"/>
              </w:rPr>
            </w:pPr>
            <w:r>
              <w:rPr>
                <w:rFonts w:ascii="Arial" w:cs="Arial" w:eastAsia="Arial" w:hAnsi="Arial"/>
                <w:sz w:val="16"/>
                <w:szCs w:val="16"/>
                <w:b w:val="1"/>
                <w:bCs w:val="1"/>
                <w:color w:val="auto"/>
              </w:rPr>
              <w:t>2024</w:t>
            </w:r>
          </w:p>
        </w:tc>
      </w:tr>
      <w:tr>
        <w:trPr>
          <w:trHeight w:val="42"/>
        </w:trPr>
        <w:tc>
          <w:tcPr>
            <w:tcW w:w="43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sheet classifications:</w:t>
            </w:r>
          </w:p>
        </w:tc>
        <w:tc>
          <w:tcPr>
            <w:tcW w:w="29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r>
      <w:tr>
        <w:trPr>
          <w:trHeight w:val="259"/>
        </w:trPr>
        <w:tc>
          <w:tcPr>
            <w:tcW w:w="4380" w:type="dxa"/>
            <w:vAlign w:val="bottom"/>
          </w:tcPr>
          <w:p>
            <w:pPr>
              <w:ind w:left="100"/>
              <w:spacing w:after="0"/>
              <w:rPr>
                <w:sz w:val="20"/>
                <w:szCs w:val="20"/>
                <w:color w:val="auto"/>
              </w:rPr>
            </w:pPr>
            <w:r>
              <w:rPr>
                <w:rFonts w:ascii="Arial" w:cs="Arial" w:eastAsia="Arial" w:hAnsi="Arial"/>
                <w:sz w:val="20"/>
                <w:szCs w:val="20"/>
                <w:color w:val="auto"/>
              </w:rPr>
              <w:t>Other non-current assets</w:t>
            </w:r>
          </w:p>
        </w:tc>
        <w:tc>
          <w:tcPr>
            <w:tcW w:w="2920" w:type="dxa"/>
            <w:vAlign w:val="bottom"/>
          </w:tcPr>
          <w:p>
            <w:pPr>
              <w:jc w:val="right"/>
              <w:ind w:right="687"/>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65"/>
              <w:spacing w:after="0"/>
              <w:rPr>
                <w:sz w:val="20"/>
                <w:szCs w:val="20"/>
                <w:color w:val="auto"/>
              </w:rPr>
            </w:pPr>
            <w:r>
              <w:rPr>
                <w:rFonts w:ascii="Arial" w:cs="Arial" w:eastAsia="Arial" w:hAnsi="Arial"/>
                <w:sz w:val="20"/>
                <w:szCs w:val="20"/>
                <w:color w:val="auto"/>
              </w:rPr>
              <w:t>167</w:t>
            </w:r>
          </w:p>
        </w:tc>
        <w:tc>
          <w:tcPr>
            <w:tcW w:w="520" w:type="dxa"/>
            <w:vAlign w:val="bottom"/>
          </w:tcPr>
          <w:p>
            <w:pPr>
              <w:jc w:val="right"/>
              <w:ind w:right="22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5"/>
              <w:spacing w:after="0"/>
              <w:rPr>
                <w:sz w:val="20"/>
                <w:szCs w:val="20"/>
                <w:color w:val="auto"/>
              </w:rPr>
            </w:pPr>
            <w:r>
              <w:rPr>
                <w:rFonts w:ascii="Arial" w:cs="Arial" w:eastAsia="Arial" w:hAnsi="Arial"/>
                <w:sz w:val="20"/>
                <w:szCs w:val="20"/>
                <w:color w:val="auto"/>
              </w:rPr>
              <w:t>238</w:t>
            </w:r>
          </w:p>
        </w:tc>
      </w:tr>
      <w:tr>
        <w:trPr>
          <w:trHeight w:val="41"/>
        </w:trPr>
        <w:tc>
          <w:tcPr>
            <w:tcW w:w="43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0"/>
        </w:trPr>
        <w:tc>
          <w:tcPr>
            <w:tcW w:w="43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Other non-current liabilities</w:t>
            </w:r>
          </w:p>
        </w:tc>
        <w:tc>
          <w:tcPr>
            <w:tcW w:w="292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(41)</w:t>
            </w:r>
          </w:p>
        </w:tc>
        <w:tc>
          <w:tcPr>
            <w:tcW w:w="5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(45)</w:t>
            </w:r>
          </w:p>
        </w:tc>
      </w:tr>
      <w:tr>
        <w:trPr>
          <w:trHeight w:val="259"/>
        </w:trPr>
        <w:tc>
          <w:tcPr>
            <w:tcW w:w="4380" w:type="dxa"/>
            <w:vAlign w:val="bottom"/>
          </w:tcPr>
          <w:p>
            <w:pPr>
              <w:ind w:left="100"/>
              <w:spacing w:after="0"/>
              <w:rPr>
                <w:sz w:val="20"/>
                <w:szCs w:val="20"/>
                <w:color w:val="auto"/>
              </w:rPr>
            </w:pPr>
            <w:r>
              <w:rPr>
                <w:rFonts w:ascii="Arial" w:cs="Arial" w:eastAsia="Arial" w:hAnsi="Arial"/>
                <w:sz w:val="20"/>
                <w:szCs w:val="20"/>
                <w:color w:val="auto"/>
              </w:rPr>
              <w:t>Net deferred tax asset</w:t>
            </w:r>
          </w:p>
        </w:tc>
        <w:tc>
          <w:tcPr>
            <w:tcW w:w="2920" w:type="dxa"/>
            <w:vAlign w:val="bottom"/>
          </w:tcPr>
          <w:p>
            <w:pPr>
              <w:jc w:val="right"/>
              <w:ind w:right="687"/>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65"/>
              <w:spacing w:after="0"/>
              <w:rPr>
                <w:sz w:val="20"/>
                <w:szCs w:val="20"/>
                <w:color w:val="auto"/>
              </w:rPr>
            </w:pPr>
            <w:r>
              <w:rPr>
                <w:rFonts w:ascii="Arial" w:cs="Arial" w:eastAsia="Arial" w:hAnsi="Arial"/>
                <w:sz w:val="20"/>
                <w:szCs w:val="20"/>
                <w:color w:val="auto"/>
              </w:rPr>
              <w:t>126</w:t>
            </w:r>
          </w:p>
        </w:tc>
        <w:tc>
          <w:tcPr>
            <w:tcW w:w="520" w:type="dxa"/>
            <w:vAlign w:val="bottom"/>
          </w:tcPr>
          <w:p>
            <w:pPr>
              <w:jc w:val="right"/>
              <w:ind w:right="22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5"/>
              <w:spacing w:after="0"/>
              <w:rPr>
                <w:sz w:val="20"/>
                <w:szCs w:val="20"/>
                <w:color w:val="auto"/>
              </w:rPr>
            </w:pPr>
            <w:r>
              <w:rPr>
                <w:rFonts w:ascii="Arial" w:cs="Arial" w:eastAsia="Arial" w:hAnsi="Arial"/>
                <w:sz w:val="20"/>
                <w:szCs w:val="20"/>
                <w:color w:val="auto"/>
              </w:rPr>
              <w:t>193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4072255</wp:posOffset>
            </wp:positionH>
            <wp:positionV relativeFrom="paragraph">
              <wp:posOffset>-906780</wp:posOffset>
            </wp:positionV>
            <wp:extent cx="189103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6">
                      <a:extLst>
                        <a:ext uri="{28A0092B-C50C-407E-A947-70E740481C1C}"/>
                      </a:extLst>
                    </a:blip>
                    <a:srcRect/>
                    <a:stretch>
                      <a:fillRect/>
                    </a:stretch>
                  </pic:blipFill>
                  <pic:spPr bwMode="auto">
                    <a:xfrm>
                      <a:off x="0" y="0"/>
                      <a:ext cx="1891030" cy="6350"/>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-748030</wp:posOffset>
            </wp:positionV>
            <wp:extent cx="189103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7">
                      <a:extLst>
                        <a:ext uri="{28A0092B-C50C-407E-A947-70E740481C1C}"/>
                      </a:extLst>
                    </a:blip>
                    <a:srcRect/>
                    <a:stretch>
                      <a:fillRect/>
                    </a:stretch>
                  </pic:blipFill>
                  <pic:spPr bwMode="auto">
                    <a:xfrm>
                      <a:off x="0" y="0"/>
                      <a:ext cx="1891030" cy="6350"/>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-170180</wp:posOffset>
            </wp:positionV>
            <wp:extent cx="189103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88">
                      <a:extLst>
                        <a:ext uri="{28A0092B-C50C-407E-A947-70E740481C1C}"/>
                      </a:extLst>
                    </a:blip>
                    <a:srcRect/>
                    <a:stretch>
                      <a:fillRect/>
                    </a:stretch>
                  </pic:blipFill>
                  <pic:spPr bwMode="auto">
                    <a:xfrm>
                      <a:off x="0" y="0"/>
                      <a:ext cx="1891030" cy="6350"/>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26035</wp:posOffset>
            </wp:positionV>
            <wp:extent cx="1891030" cy="285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89">
                      <a:extLst>
                        <a:ext uri="{28A0092B-C50C-407E-A947-70E740481C1C}"/>
                      </a:extLst>
                    </a:blip>
                    <a:srcRect/>
                    <a:stretch>
                      <a:fillRect/>
                    </a:stretch>
                  </pic:blipFill>
                  <pic:spPr bwMode="auto">
                    <a:xfrm>
                      <a:off x="0" y="0"/>
                      <a:ext cx="189103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15</w:t>
      </w:r>
    </w:p>
    <w:p>
      <w:pPr>
        <w:sectPr>
          <w:pgSz w:w="11900" w:h="16838" w:orient="portrait"/>
          <w:cols w:equalWidth="0" w:num="1">
            <w:col w:w="9400"/>
          </w:cols>
          <w:pgMar w:left="1260" w:top="1440" w:right="1246" w:bottom="0" w:gutter="0" w:footer="0" w:header="0"/>
          <w:type w:val="continuous"/>
        </w:sectPr>
      </w:pPr>
    </w:p>
    <w:bookmarkStart w:id="195" w:name="page196"/>
    <w:bookmarkEnd w:id="195"/>
    <w:p>
      <w:pPr>
        <w:spacing w:after="0" w:line="330" w:lineRule="auto"/>
        <w:rPr>
          <w:sz w:val="20"/>
          <w:szCs w:val="20"/>
          <w:color w:val="auto"/>
        </w:rPr>
      </w:pPr>
      <w:r>
        <w:rPr>
          <w:rFonts w:ascii="Arial" w:cs="Arial" w:eastAsia="Arial" w:hAnsi="Arial"/>
          <w:sz w:val="19"/>
          <w:szCs w:val="19"/>
          <w:color w:val="auto"/>
        </w:rPr>
        <w:t>At December 31, 2025, we had U.S. federal and non-U.S. net operating loss carryforwards amounting to $186 million of which $159 million can be indefinitely carried forward under local statutes. The remaining $27 million of net operating loss carryforwards will expire, if unused, in varying amounts from 2026 through 2045. In addition, we had U.S. state net operating loss carryforwards of $70 million, of which $22 million can be indefinitely carried forward, while the remaining $48 million will expire in varying amounts from 2026 to 2045.</w:t>
      </w:r>
    </w:p>
    <w:p>
      <w:pPr>
        <w:spacing w:after="0" w:line="178" w:lineRule="exact"/>
        <w:rPr>
          <w:sz w:val="20"/>
          <w:szCs w:val="20"/>
          <w:color w:val="auto"/>
        </w:rPr>
      </w:pPr>
    </w:p>
    <w:p>
      <w:pPr>
        <w:ind w:right="40"/>
        <w:spacing w:after="0" w:line="311" w:lineRule="auto"/>
        <w:rPr>
          <w:sz w:val="20"/>
          <w:szCs w:val="20"/>
          <w:color w:val="auto"/>
        </w:rPr>
      </w:pPr>
      <w:r>
        <w:rPr>
          <w:rFonts w:ascii="Arial" w:cs="Arial" w:eastAsia="Arial" w:hAnsi="Arial"/>
          <w:sz w:val="20"/>
          <w:szCs w:val="20"/>
          <w:color w:val="auto"/>
        </w:rPr>
        <w:t>Management believes, based on the evaluation of positive and negative evidence, including the future reversal of existing taxable temporary differences, it is more likely than not that the Company will realize the benefits of net deferred tax assets of $801 million, net of the valuation allowance. During 2025, the Company increased its valuation allowance by $11 million, primarily related to non-U.S. net operating losses. During 2024, the Company decreased its valuation allowance by $7 million, primarily related to state and non-U.S. net operating losses. During 2023, the Company increased its valuation allowance by $7 million, primarily related to state net operating losses and U.S. foreign tax credits.</w:t>
      </w:r>
    </w:p>
    <w:p>
      <w:pPr>
        <w:spacing w:after="0" w:line="194" w:lineRule="exact"/>
        <w:rPr>
          <w:sz w:val="20"/>
          <w:szCs w:val="20"/>
          <w:color w:val="auto"/>
        </w:rPr>
      </w:pPr>
    </w:p>
    <w:p>
      <w:pPr>
        <w:ind w:right="180"/>
        <w:spacing w:after="0" w:line="309" w:lineRule="auto"/>
        <w:rPr>
          <w:sz w:val="20"/>
          <w:szCs w:val="20"/>
          <w:color w:val="auto"/>
        </w:rPr>
      </w:pPr>
      <w:r>
        <w:rPr>
          <w:rFonts w:ascii="Arial" w:cs="Arial" w:eastAsia="Arial" w:hAnsi="Arial"/>
          <w:sz w:val="20"/>
          <w:szCs w:val="20"/>
          <w:color w:val="auto"/>
        </w:rPr>
        <w:t>At December 31, 2025 and 2024, the Company had valuation allowances of $39 million and $28 million, respectively, to reduce its deferred tax assets to their estimated realizable values. The valuation allowance at December 31, 2025 primarily relates to deferred taxes on U.S. state, capital and operating losses of $8 million and non-U.S. net operating losses of $24 million.</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73"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11 / 15</w:t>
      </w:r>
    </w:p>
    <w:p>
      <w:pPr>
        <w:sectPr>
          <w:pgSz w:w="11900" w:h="16838" w:orient="portrait"/>
          <w:cols w:equalWidth="0" w:num="1">
            <w:col w:w="9300"/>
          </w:cols>
          <w:pgMar w:left="1260" w:top="1173" w:right="1346" w:bottom="0" w:gutter="0" w:footer="0" w:header="0"/>
          <w:type w:val="continuous"/>
        </w:sectPr>
      </w:pPr>
    </w:p>
    <w:bookmarkStart w:id="196" w:name="page197"/>
    <w:bookmarkEnd w:id="1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An analysis of our valuation allowance is shown below.</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1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w w:val="97"/>
              </w:rPr>
              <w:t>Years ended December 31,</w:t>
            </w:r>
          </w:p>
        </w:tc>
        <w:tc>
          <w:tcPr>
            <w:tcW w:w="960" w:type="dxa"/>
            <w:vAlign w:val="bottom"/>
          </w:tcPr>
          <w:p>
            <w:pPr>
              <w:spacing w:after="0"/>
              <w:rPr>
                <w:sz w:val="16"/>
                <w:szCs w:val="16"/>
                <w:color w:val="auto"/>
              </w:rPr>
            </w:pPr>
          </w:p>
        </w:tc>
      </w:tr>
      <w:tr>
        <w:trPr>
          <w:trHeight w:val="250"/>
        </w:trPr>
        <w:tc>
          <w:tcPr>
            <w:tcW w:w="4360" w:type="dxa"/>
            <w:vAlign w:val="bottom"/>
          </w:tcPr>
          <w:p>
            <w:pPr>
              <w:spacing w:after="0"/>
              <w:rPr>
                <w:sz w:val="21"/>
                <w:szCs w:val="21"/>
                <w:color w:val="auto"/>
              </w:rPr>
            </w:pPr>
          </w:p>
        </w:tc>
        <w:tc>
          <w:tcPr>
            <w:tcW w:w="1940" w:type="dxa"/>
            <w:vAlign w:val="bottom"/>
          </w:tcPr>
          <w:p>
            <w:pPr>
              <w:jc w:val="right"/>
              <w:ind w:right="7"/>
              <w:spacing w:after="0"/>
              <w:rPr>
                <w:sz w:val="20"/>
                <w:szCs w:val="20"/>
                <w:color w:val="auto"/>
              </w:rPr>
            </w:pPr>
            <w:r>
              <w:rPr>
                <w:rFonts w:ascii="Arial" w:cs="Arial" w:eastAsia="Arial" w:hAnsi="Arial"/>
                <w:sz w:val="16"/>
                <w:szCs w:val="16"/>
                <w:b w:val="1"/>
                <w:bCs w:val="1"/>
                <w:color w:val="auto"/>
              </w:rPr>
              <w:t>2025</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444"/>
              <w:spacing w:after="0"/>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21"/>
                <w:szCs w:val="21"/>
                <w:color w:val="auto"/>
              </w:rPr>
            </w:pPr>
          </w:p>
        </w:tc>
        <w:tc>
          <w:tcPr>
            <w:tcW w:w="960" w:type="dxa"/>
            <w:vAlign w:val="bottom"/>
          </w:tcPr>
          <w:p>
            <w:pPr>
              <w:jc w:val="right"/>
              <w:ind w:right="404"/>
              <w:spacing w:after="0"/>
              <w:rPr>
                <w:sz w:val="20"/>
                <w:szCs w:val="20"/>
                <w:color w:val="auto"/>
              </w:rPr>
            </w:pPr>
            <w:r>
              <w:rPr>
                <w:rFonts w:ascii="Arial" w:cs="Arial" w:eastAsia="Arial" w:hAnsi="Arial"/>
                <w:sz w:val="16"/>
                <w:szCs w:val="16"/>
                <w:b w:val="1"/>
                <w:bCs w:val="1"/>
                <w:color w:val="auto"/>
              </w:rPr>
              <w:t>2023</w:t>
            </w:r>
          </w:p>
        </w:tc>
      </w:tr>
      <w:tr>
        <w:trPr>
          <w:trHeight w:val="42"/>
        </w:trPr>
        <w:tc>
          <w:tcPr>
            <w:tcW w:w="43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80"/>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beginning of year</w:t>
            </w:r>
          </w:p>
        </w:tc>
        <w:tc>
          <w:tcPr>
            <w:tcW w:w="1940" w:type="dxa"/>
            <w:vAlign w:val="bottom"/>
            <w:tcBorders>
              <w:bottom w:val="single" w:sz="8" w:color="CFF0FC"/>
            </w:tcBorders>
            <w:shd w:val="clear" w:color="auto" w:fill="CFF0FC"/>
          </w:tcPr>
          <w:p>
            <w:pPr>
              <w:jc w:val="right"/>
              <w:ind w:right="607"/>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CFF0FC"/>
            </w:tcBorders>
            <w:shd w:val="clear" w:color="auto" w:fill="CFF0FC"/>
          </w:tcPr>
          <w:p>
            <w:pPr>
              <w:jc w:val="right"/>
              <w:ind w:right="64"/>
              <w:spacing w:after="0"/>
              <w:rPr>
                <w:sz w:val="20"/>
                <w:szCs w:val="20"/>
                <w:color w:val="auto"/>
              </w:rPr>
            </w:pPr>
            <w:r>
              <w:rPr>
                <w:rFonts w:ascii="Arial" w:cs="Arial" w:eastAsia="Arial" w:hAnsi="Arial"/>
                <w:sz w:val="20"/>
                <w:szCs w:val="20"/>
                <w:color w:val="auto"/>
              </w:rPr>
              <w:t>28</w:t>
            </w:r>
          </w:p>
        </w:tc>
        <w:tc>
          <w:tcPr>
            <w:tcW w:w="3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20"/>
                <w:szCs w:val="20"/>
                <w:color w:val="auto"/>
              </w:rPr>
              <w:t>35</w:t>
            </w:r>
          </w:p>
        </w:tc>
        <w:tc>
          <w:tcPr>
            <w:tcW w:w="3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28</w:t>
            </w:r>
          </w:p>
        </w:tc>
      </w:tr>
      <w:tr>
        <w:trPr>
          <w:trHeight w:val="259"/>
        </w:trPr>
        <w:tc>
          <w:tcPr>
            <w:tcW w:w="4360" w:type="dxa"/>
            <w:vAlign w:val="bottom"/>
          </w:tcPr>
          <w:p>
            <w:pPr>
              <w:spacing w:after="0"/>
              <w:rPr>
                <w:sz w:val="20"/>
                <w:szCs w:val="20"/>
                <w:color w:val="auto"/>
              </w:rPr>
            </w:pPr>
            <w:r>
              <w:rPr>
                <w:rFonts w:ascii="Arial" w:cs="Arial" w:eastAsia="Arial" w:hAnsi="Arial"/>
                <w:sz w:val="20"/>
                <w:szCs w:val="20"/>
                <w:color w:val="auto"/>
              </w:rPr>
              <w:t>Additions charged to costs and expenses</w:t>
            </w:r>
          </w:p>
        </w:tc>
        <w:tc>
          <w:tcPr>
            <w:tcW w:w="1940" w:type="dxa"/>
            <w:vAlign w:val="bottom"/>
          </w:tcPr>
          <w:p>
            <w:pPr>
              <w:spacing w:after="0"/>
              <w:rPr>
                <w:sz w:val="22"/>
                <w:szCs w:val="22"/>
                <w:color w:val="auto"/>
              </w:rPr>
            </w:pPr>
          </w:p>
        </w:tc>
        <w:tc>
          <w:tcPr>
            <w:tcW w:w="460" w:type="dxa"/>
            <w:vAlign w:val="bottom"/>
          </w:tcPr>
          <w:p>
            <w:pPr>
              <w:jc w:val="right"/>
              <w:ind w:right="64"/>
              <w:spacing w:after="0"/>
              <w:rPr>
                <w:sz w:val="20"/>
                <w:szCs w:val="20"/>
                <w:color w:val="auto"/>
              </w:rPr>
            </w:pPr>
            <w:r>
              <w:rPr>
                <w:rFonts w:ascii="Arial" w:cs="Arial" w:eastAsia="Arial" w:hAnsi="Arial"/>
                <w:sz w:val="20"/>
                <w:szCs w:val="20"/>
                <w:color w:val="auto"/>
              </w:rPr>
              <w:t>17</w:t>
            </w:r>
          </w:p>
        </w:tc>
        <w:tc>
          <w:tcPr>
            <w:tcW w:w="320" w:type="dxa"/>
            <w:vAlign w:val="bottom"/>
          </w:tcPr>
          <w:p>
            <w:pPr>
              <w:spacing w:after="0"/>
              <w:rPr>
                <w:sz w:val="22"/>
                <w:szCs w:val="22"/>
                <w:color w:val="auto"/>
              </w:rPr>
            </w:pPr>
          </w:p>
        </w:tc>
        <w:tc>
          <w:tcPr>
            <w:tcW w:w="1020" w:type="dxa"/>
            <w:vAlign w:val="bottom"/>
          </w:tcPr>
          <w:p>
            <w:pPr>
              <w:jc w:val="right"/>
              <w:ind w:right="44"/>
              <w:spacing w:after="0"/>
              <w:rPr>
                <w:sz w:val="20"/>
                <w:szCs w:val="20"/>
                <w:color w:val="auto"/>
              </w:rPr>
            </w:pPr>
            <w:r>
              <w:rPr>
                <w:rFonts w:ascii="Arial" w:cs="Arial" w:eastAsia="Arial" w:hAnsi="Arial"/>
                <w:sz w:val="20"/>
                <w:szCs w:val="20"/>
                <w:color w:val="auto"/>
              </w:rPr>
              <w:t>7</w:t>
            </w:r>
          </w:p>
        </w:tc>
        <w:tc>
          <w:tcPr>
            <w:tcW w:w="34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10</w:t>
            </w:r>
          </w:p>
        </w:tc>
      </w:tr>
      <w:tr>
        <w:trPr>
          <w:trHeight w:val="41"/>
        </w:trPr>
        <w:tc>
          <w:tcPr>
            <w:tcW w:w="43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0"/>
        </w:trPr>
        <w:tc>
          <w:tcPr>
            <w:tcW w:w="4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Deductions</w:t>
            </w:r>
          </w:p>
        </w:tc>
        <w:tc>
          <w:tcPr>
            <w:tcW w:w="19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w:t>
            </w:r>
          </w:p>
        </w:tc>
        <w:tc>
          <w:tcPr>
            <w:tcW w:w="3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w:t>
            </w:r>
          </w:p>
        </w:tc>
        <w:tc>
          <w:tcPr>
            <w:tcW w:w="3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w:t>
            </w:r>
          </w:p>
        </w:tc>
      </w:tr>
      <w:tr>
        <w:trPr>
          <w:trHeight w:val="259"/>
        </w:trPr>
        <w:tc>
          <w:tcPr>
            <w:tcW w:w="4360" w:type="dxa"/>
            <w:vAlign w:val="bottom"/>
          </w:tcPr>
          <w:p>
            <w:pPr>
              <w:spacing w:after="0"/>
              <w:rPr>
                <w:sz w:val="20"/>
                <w:szCs w:val="20"/>
                <w:color w:val="auto"/>
              </w:rPr>
            </w:pPr>
            <w:r>
              <w:rPr>
                <w:rFonts w:ascii="Arial" w:cs="Arial" w:eastAsia="Arial" w:hAnsi="Arial"/>
                <w:sz w:val="20"/>
                <w:szCs w:val="20"/>
                <w:color w:val="auto"/>
              </w:rPr>
              <w:t>Balance at end of year</w:t>
            </w:r>
          </w:p>
        </w:tc>
        <w:tc>
          <w:tcPr>
            <w:tcW w:w="1940" w:type="dxa"/>
            <w:vAlign w:val="bottom"/>
          </w:tcPr>
          <w:p>
            <w:pPr>
              <w:jc w:val="right"/>
              <w:ind w:right="607"/>
              <w:spacing w:after="0"/>
              <w:rPr>
                <w:sz w:val="20"/>
                <w:szCs w:val="20"/>
                <w:color w:val="auto"/>
              </w:rPr>
            </w:pPr>
            <w:r>
              <w:rPr>
                <w:rFonts w:ascii="Arial" w:cs="Arial" w:eastAsia="Arial" w:hAnsi="Arial"/>
                <w:sz w:val="20"/>
                <w:szCs w:val="20"/>
                <w:color w:val="auto"/>
              </w:rPr>
              <w:t>$</w:t>
            </w:r>
          </w:p>
        </w:tc>
        <w:tc>
          <w:tcPr>
            <w:tcW w:w="460" w:type="dxa"/>
            <w:vAlign w:val="bottom"/>
          </w:tcPr>
          <w:p>
            <w:pPr>
              <w:jc w:val="right"/>
              <w:ind w:right="64"/>
              <w:spacing w:after="0"/>
              <w:rPr>
                <w:sz w:val="20"/>
                <w:szCs w:val="20"/>
                <w:color w:val="auto"/>
              </w:rPr>
            </w:pPr>
            <w:r>
              <w:rPr>
                <w:rFonts w:ascii="Arial" w:cs="Arial" w:eastAsia="Arial" w:hAnsi="Arial"/>
                <w:sz w:val="20"/>
                <w:szCs w:val="20"/>
                <w:color w:val="auto"/>
              </w:rPr>
              <w:t>39</w:t>
            </w:r>
          </w:p>
        </w:tc>
        <w:tc>
          <w:tcPr>
            <w:tcW w:w="3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4"/>
              <w:spacing w:after="0"/>
              <w:rPr>
                <w:sz w:val="20"/>
                <w:szCs w:val="20"/>
                <w:color w:val="auto"/>
              </w:rPr>
            </w:pPr>
            <w:r>
              <w:rPr>
                <w:rFonts w:ascii="Arial" w:cs="Arial" w:eastAsia="Arial" w:hAnsi="Arial"/>
                <w:sz w:val="20"/>
                <w:szCs w:val="20"/>
                <w:color w:val="auto"/>
              </w:rPr>
              <w:t>28</w:t>
            </w:r>
          </w:p>
        </w:tc>
        <w:tc>
          <w:tcPr>
            <w:tcW w:w="3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-906780</wp:posOffset>
            </wp:positionV>
            <wp:extent cx="2477135"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1">
                      <a:extLst>
                        <a:ext uri="{28A0092B-C50C-407E-A947-70E740481C1C}"/>
                      </a:extLst>
                    </a:blip>
                    <a:srcRect/>
                    <a:stretch>
                      <a:fillRect/>
                    </a:stretch>
                  </pic:blipFill>
                  <pic:spPr bwMode="auto">
                    <a:xfrm>
                      <a:off x="0" y="0"/>
                      <a:ext cx="2477135" cy="63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-748030</wp:posOffset>
            </wp:positionV>
            <wp:extent cx="2477135"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2">
                      <a:extLst>
                        <a:ext uri="{28A0092B-C50C-407E-A947-70E740481C1C}"/>
                      </a:extLst>
                    </a:blip>
                    <a:srcRect/>
                    <a:stretch>
                      <a:fillRect/>
                    </a:stretch>
                  </pic:blipFill>
                  <pic:spPr bwMode="auto">
                    <a:xfrm>
                      <a:off x="0" y="0"/>
                      <a:ext cx="2477135" cy="63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-170180</wp:posOffset>
            </wp:positionV>
            <wp:extent cx="2477135"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3">
                      <a:extLst>
                        <a:ext uri="{28A0092B-C50C-407E-A947-70E740481C1C}"/>
                      </a:extLst>
                    </a:blip>
                    <a:srcRect/>
                    <a:stretch>
                      <a:fillRect/>
                    </a:stretch>
                  </pic:blipFill>
                  <pic:spPr bwMode="auto">
                    <a:xfrm>
                      <a:off x="0" y="0"/>
                      <a:ext cx="2477135" cy="63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26035</wp:posOffset>
            </wp:positionV>
            <wp:extent cx="2477135" cy="285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4">
                      <a:extLst>
                        <a:ext uri="{28A0092B-C50C-407E-A947-70E740481C1C}"/>
                      </a:extLst>
                    </a:blip>
                    <a:srcRect/>
                    <a:stretch>
                      <a:fillRect/>
                    </a:stretch>
                  </pic:blipFill>
                  <pic:spPr bwMode="auto">
                    <a:xfrm>
                      <a:off x="0" y="0"/>
                      <a:ext cx="2477135" cy="28575"/>
                    </a:xfrm>
                    <a:prstGeom prst="rect">
                      <a:avLst/>
                    </a:prstGeom>
                    <a:noFill/>
                  </pic:spPr>
                </pic:pic>
              </a:graphicData>
            </a:graphic>
          </wp:anchor>
        </w:drawing>
      </w:r>
    </w:p>
    <w:p>
      <w:pPr>
        <w:spacing w:after="0" w:line="285" w:lineRule="exact"/>
        <w:rPr>
          <w:sz w:val="20"/>
          <w:szCs w:val="20"/>
          <w:color w:val="auto"/>
        </w:rPr>
      </w:pPr>
    </w:p>
    <w:p>
      <w:pPr>
        <w:ind w:right="60"/>
        <w:spacing w:after="0" w:line="330" w:lineRule="auto"/>
        <w:rPr>
          <w:sz w:val="20"/>
          <w:szCs w:val="20"/>
          <w:color w:val="auto"/>
        </w:rPr>
      </w:pPr>
      <w:r>
        <w:rPr>
          <w:rFonts w:ascii="Arial" w:cs="Arial" w:eastAsia="Arial" w:hAnsi="Arial"/>
          <w:sz w:val="19"/>
          <w:szCs w:val="19"/>
          <w:color w:val="auto"/>
        </w:rPr>
        <w:t>The movement in the 2025 valuation allowance will differ to the 2025 rate reconciliation when the movement does not meet the 5% threshold, by nature or jurisdiction. The movement in the 2024 valuation allowance differs from the 2024 rate reconciliation primarily due to changes in our state deferred tax assets as a result of the sale of our TRANZACT business. The movement in the 2023 valuation allowance differs from the 2023 rate reconciliation primarily due to the increase in state net operating losses and the related valuation allowance.</w:t>
      </w:r>
    </w:p>
    <w:p>
      <w:pPr>
        <w:spacing w:after="0" w:line="178" w:lineRule="exact"/>
        <w:rPr>
          <w:sz w:val="20"/>
          <w:szCs w:val="20"/>
          <w:color w:val="auto"/>
        </w:rPr>
      </w:pPr>
    </w:p>
    <w:p>
      <w:pPr>
        <w:ind w:right="80"/>
        <w:spacing w:after="0" w:line="311" w:lineRule="auto"/>
        <w:rPr>
          <w:sz w:val="20"/>
          <w:szCs w:val="20"/>
          <w:color w:val="auto"/>
        </w:rPr>
      </w:pPr>
      <w:r>
        <w:rPr>
          <w:rFonts w:ascii="Arial" w:cs="Arial" w:eastAsia="Arial" w:hAnsi="Arial"/>
          <w:sz w:val="20"/>
          <w:szCs w:val="20"/>
          <w:color w:val="auto"/>
        </w:rPr>
        <w:t>The Company recognizes deferred tax balances related to the undistributed earnings of subsidiaries when it expects that it will recover those undistributed earnings in a taxable manner, such as through receipt of dividends or sale of the investments. At December 31, 2025, the Company has $37.4 billion of undistributed earnings in subsidiaries where no deferred tax has been recognized, the majority of which can be recovered in an untaxable manner. If future events, including material changes in estimates of cash, working capital and long-term investment requirements necessitate that these earnings be distributed, a provision for income and foreign withholding taxes, net of credits, may be necessary.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Uncertain Tax Positions</w:t>
      </w:r>
    </w:p>
    <w:p>
      <w:pPr>
        <w:spacing w:after="0" w:line="260" w:lineRule="exact"/>
        <w:rPr>
          <w:sz w:val="20"/>
          <w:szCs w:val="20"/>
          <w:color w:val="auto"/>
        </w:rPr>
      </w:pPr>
    </w:p>
    <w:p>
      <w:pPr>
        <w:jc w:val="both"/>
        <w:ind w:right="80"/>
        <w:spacing w:after="0" w:line="330" w:lineRule="auto"/>
        <w:rPr>
          <w:sz w:val="20"/>
          <w:szCs w:val="20"/>
          <w:color w:val="auto"/>
        </w:rPr>
      </w:pPr>
      <w:r>
        <w:rPr>
          <w:rFonts w:ascii="Arial" w:cs="Arial" w:eastAsia="Arial" w:hAnsi="Arial"/>
          <w:sz w:val="19"/>
          <w:szCs w:val="19"/>
          <w:color w:val="auto"/>
        </w:rPr>
        <w:t xml:space="preserve">At December 31, 2025, the amount of unrecognized tax benefits associated with uncertain tax positions, determined in accordance with ASC 740, </w:t>
      </w:r>
      <w:r>
        <w:rPr>
          <w:rFonts w:ascii="Arial" w:cs="Arial" w:eastAsia="Arial" w:hAnsi="Arial"/>
          <w:sz w:val="19"/>
          <w:szCs w:val="19"/>
          <w:i w:val="1"/>
          <w:iCs w:val="1"/>
          <w:color w:val="auto"/>
        </w:rPr>
        <w:t>Income Taxes</w:t>
      </w:r>
      <w:r>
        <w:rPr>
          <w:rFonts w:ascii="Arial" w:cs="Arial" w:eastAsia="Arial" w:hAnsi="Arial"/>
          <w:sz w:val="19"/>
          <w:szCs w:val="19"/>
          <w:color w:val="auto"/>
        </w:rPr>
        <w:t xml:space="preserve"> excluding interest and penalties, was $38 million. Reconciliations of the beginning and ending balances of the liability for unrecognized tax benefits is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2"/>
              <w:spacing w:after="0"/>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16"/>
                <w:szCs w:val="16"/>
                <w:color w:val="auto"/>
              </w:rPr>
            </w:pPr>
          </w:p>
        </w:tc>
        <w:tc>
          <w:tcPr>
            <w:tcW w:w="960" w:type="dxa"/>
            <w:vAlign w:val="bottom"/>
          </w:tcPr>
          <w:p>
            <w:pPr>
              <w:jc w:val="right"/>
              <w:ind w:right="402"/>
              <w:spacing w:after="0"/>
              <w:rPr>
                <w:sz w:val="20"/>
                <w:szCs w:val="20"/>
                <w:color w:val="auto"/>
              </w:rPr>
            </w:pPr>
            <w:r>
              <w:rPr>
                <w:rFonts w:ascii="Arial" w:cs="Arial" w:eastAsia="Arial" w:hAnsi="Arial"/>
                <w:sz w:val="16"/>
                <w:szCs w:val="16"/>
                <w:b w:val="1"/>
                <w:bCs w:val="1"/>
                <w:color w:val="auto"/>
              </w:rPr>
              <w:t>2023</w:t>
            </w:r>
          </w:p>
        </w:tc>
      </w:tr>
      <w:tr>
        <w:trPr>
          <w:trHeight w:val="42"/>
        </w:trPr>
        <w:tc>
          <w:tcPr>
            <w:tcW w:w="5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80"/>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beginning of year</w:t>
            </w:r>
          </w:p>
        </w:tc>
        <w:tc>
          <w:tcPr>
            <w:tcW w:w="1260" w:type="dxa"/>
            <w:vAlign w:val="bottom"/>
            <w:tcBorders>
              <w:bottom w:val="single" w:sz="8" w:color="CFF0FC"/>
            </w:tcBorders>
            <w:shd w:val="clear" w:color="auto" w:fill="CFF0FC"/>
          </w:tcPr>
          <w:p>
            <w:pPr>
              <w:jc w:val="right"/>
              <w:ind w:right="587"/>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80</w:t>
            </w:r>
          </w:p>
        </w:tc>
        <w:tc>
          <w:tcPr>
            <w:tcW w:w="3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20"/>
                <w:szCs w:val="20"/>
                <w:color w:val="auto"/>
              </w:rPr>
              <w:t>51</w:t>
            </w:r>
          </w:p>
        </w:tc>
        <w:tc>
          <w:tcPr>
            <w:tcW w:w="3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47</w:t>
            </w:r>
          </w:p>
        </w:tc>
      </w:tr>
      <w:tr>
        <w:trPr>
          <w:trHeight w:val="259"/>
        </w:trPr>
        <w:tc>
          <w:tcPr>
            <w:tcW w:w="5020" w:type="dxa"/>
            <w:vAlign w:val="bottom"/>
          </w:tcPr>
          <w:p>
            <w:pPr>
              <w:spacing w:after="0"/>
              <w:rPr>
                <w:sz w:val="20"/>
                <w:szCs w:val="20"/>
                <w:color w:val="auto"/>
              </w:rPr>
            </w:pPr>
            <w:r>
              <w:rPr>
                <w:rFonts w:ascii="Arial" w:cs="Arial" w:eastAsia="Arial" w:hAnsi="Arial"/>
                <w:sz w:val="20"/>
                <w:szCs w:val="20"/>
                <w:color w:val="auto"/>
              </w:rPr>
              <w:t>Increases related to tax positions in prior years</w:t>
            </w:r>
          </w:p>
        </w:tc>
        <w:tc>
          <w:tcPr>
            <w:tcW w:w="1260" w:type="dxa"/>
            <w:vAlign w:val="bottom"/>
          </w:tcPr>
          <w:p>
            <w:pPr>
              <w:spacing w:after="0"/>
              <w:rPr>
                <w:sz w:val="22"/>
                <w:szCs w:val="22"/>
                <w:color w:val="auto"/>
              </w:rPr>
            </w:pPr>
          </w:p>
        </w:tc>
        <w:tc>
          <w:tcPr>
            <w:tcW w:w="480" w:type="dxa"/>
            <w:vAlign w:val="bottom"/>
          </w:tcPr>
          <w:p>
            <w:pPr>
              <w:jc w:val="right"/>
              <w:ind w:right="60"/>
              <w:spacing w:after="0"/>
              <w:rPr>
                <w:sz w:val="20"/>
                <w:szCs w:val="20"/>
                <w:color w:val="auto"/>
              </w:rPr>
            </w:pPr>
            <w:r>
              <w:rPr>
                <w:rFonts w:ascii="Arial" w:cs="Arial" w:eastAsia="Arial" w:hAnsi="Arial"/>
                <w:sz w:val="20"/>
                <w:szCs w:val="20"/>
                <w:color w:val="auto"/>
              </w:rPr>
              <w:t>16</w:t>
            </w:r>
          </w:p>
        </w:tc>
        <w:tc>
          <w:tcPr>
            <w:tcW w:w="320" w:type="dxa"/>
            <w:vAlign w:val="bottom"/>
          </w:tcPr>
          <w:p>
            <w:pPr>
              <w:spacing w:after="0"/>
              <w:rPr>
                <w:sz w:val="22"/>
                <w:szCs w:val="22"/>
                <w:color w:val="auto"/>
              </w:rPr>
            </w:pP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4</w:t>
            </w:r>
          </w:p>
        </w:tc>
        <w:tc>
          <w:tcPr>
            <w:tcW w:w="340" w:type="dxa"/>
            <w:vAlign w:val="bottom"/>
          </w:tcPr>
          <w:p>
            <w:pPr>
              <w:spacing w:after="0"/>
              <w:rPr>
                <w:sz w:val="22"/>
                <w:szCs w:val="22"/>
                <w:color w:val="auto"/>
              </w:rPr>
            </w:pP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13</w:t>
            </w:r>
          </w:p>
        </w:tc>
      </w:tr>
      <w:tr>
        <w:trPr>
          <w:trHeight w:val="41"/>
        </w:trPr>
        <w:tc>
          <w:tcPr>
            <w:tcW w:w="5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80"/>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Decreases related to tax positions in prior years</w:t>
            </w:r>
          </w:p>
        </w:tc>
        <w:tc>
          <w:tcPr>
            <w:tcW w:w="1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(45)</w:t>
            </w:r>
          </w:p>
        </w:tc>
        <w:tc>
          <w:tcPr>
            <w:tcW w:w="3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3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w:t>
            </w:r>
          </w:p>
        </w:tc>
      </w:tr>
      <w:tr>
        <w:trPr>
          <w:trHeight w:val="259"/>
        </w:trPr>
        <w:tc>
          <w:tcPr>
            <w:tcW w:w="5020" w:type="dxa"/>
            <w:vAlign w:val="bottom"/>
          </w:tcPr>
          <w:p>
            <w:pPr>
              <w:spacing w:after="0"/>
              <w:rPr>
                <w:sz w:val="20"/>
                <w:szCs w:val="20"/>
                <w:color w:val="auto"/>
              </w:rPr>
            </w:pPr>
            <w:r>
              <w:rPr>
                <w:rFonts w:ascii="Arial" w:cs="Arial" w:eastAsia="Arial" w:hAnsi="Arial"/>
                <w:sz w:val="20"/>
                <w:szCs w:val="20"/>
                <w:color w:val="auto"/>
              </w:rPr>
              <w:t>Increases related to tax positions in current year</w:t>
            </w:r>
          </w:p>
        </w:tc>
        <w:tc>
          <w:tcPr>
            <w:tcW w:w="1260" w:type="dxa"/>
            <w:vAlign w:val="bottom"/>
          </w:tcPr>
          <w:p>
            <w:pPr>
              <w:spacing w:after="0"/>
              <w:rPr>
                <w:sz w:val="22"/>
                <w:szCs w:val="22"/>
                <w:color w:val="auto"/>
              </w:rPr>
            </w:pPr>
          </w:p>
        </w:tc>
        <w:tc>
          <w:tcPr>
            <w:tcW w:w="480" w:type="dxa"/>
            <w:vAlign w:val="bottom"/>
          </w:tcPr>
          <w:p>
            <w:pPr>
              <w:jc w:val="right"/>
              <w:ind w:right="60"/>
              <w:spacing w:after="0"/>
              <w:rPr>
                <w:sz w:val="20"/>
                <w:szCs w:val="20"/>
                <w:color w:val="auto"/>
              </w:rPr>
            </w:pPr>
            <w:r>
              <w:rPr>
                <w:rFonts w:ascii="Arial" w:cs="Arial" w:eastAsia="Arial" w:hAnsi="Arial"/>
                <w:sz w:val="20"/>
                <w:szCs w:val="20"/>
                <w:color w:val="auto"/>
              </w:rPr>
              <w:t>2</w:t>
            </w:r>
          </w:p>
        </w:tc>
        <w:tc>
          <w:tcPr>
            <w:tcW w:w="320" w:type="dxa"/>
            <w:vAlign w:val="bottom"/>
          </w:tcPr>
          <w:p>
            <w:pPr>
              <w:spacing w:after="0"/>
              <w:rPr>
                <w:sz w:val="22"/>
                <w:szCs w:val="22"/>
                <w:color w:val="auto"/>
              </w:rPr>
            </w:pP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30</w:t>
            </w:r>
          </w:p>
        </w:tc>
        <w:tc>
          <w:tcPr>
            <w:tcW w:w="340" w:type="dxa"/>
            <w:vAlign w:val="bottom"/>
          </w:tcPr>
          <w:p>
            <w:pPr>
              <w:spacing w:after="0"/>
              <w:rPr>
                <w:sz w:val="22"/>
                <w:szCs w:val="22"/>
                <w:color w:val="auto"/>
              </w:rPr>
            </w:pP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3</w:t>
            </w:r>
          </w:p>
        </w:tc>
      </w:tr>
      <w:tr>
        <w:trPr>
          <w:trHeight w:val="41"/>
        </w:trPr>
        <w:tc>
          <w:tcPr>
            <w:tcW w:w="5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80"/>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Decreases related to settlements</w:t>
            </w:r>
          </w:p>
        </w:tc>
        <w:tc>
          <w:tcPr>
            <w:tcW w:w="1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w:t>
            </w:r>
          </w:p>
        </w:tc>
        <w:tc>
          <w:tcPr>
            <w:tcW w:w="3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w:t>
            </w:r>
          </w:p>
        </w:tc>
      </w:tr>
      <w:tr>
        <w:trPr>
          <w:trHeight w:val="259"/>
        </w:trPr>
        <w:tc>
          <w:tcPr>
            <w:tcW w:w="5020" w:type="dxa"/>
            <w:vAlign w:val="bottom"/>
          </w:tcPr>
          <w:p>
            <w:pPr>
              <w:spacing w:after="0"/>
              <w:rPr>
                <w:sz w:val="20"/>
                <w:szCs w:val="20"/>
                <w:color w:val="auto"/>
              </w:rPr>
            </w:pPr>
            <w:r>
              <w:rPr>
                <w:rFonts w:ascii="Arial" w:cs="Arial" w:eastAsia="Arial" w:hAnsi="Arial"/>
                <w:sz w:val="20"/>
                <w:szCs w:val="20"/>
                <w:color w:val="auto"/>
              </w:rPr>
              <w:t>Decreases related to lapse in statute of limitations</w:t>
            </w:r>
          </w:p>
        </w:tc>
        <w:tc>
          <w:tcPr>
            <w:tcW w:w="12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(1)</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w:t>
            </w:r>
          </w:p>
        </w:tc>
        <w:tc>
          <w:tcPr>
            <w:tcW w:w="3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41"/>
        </w:trPr>
        <w:tc>
          <w:tcPr>
            <w:tcW w:w="5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0"/>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w w:val="99"/>
              </w:rPr>
              <w:t>Cumulative translation adjustment and other adjustments</w:t>
            </w:r>
          </w:p>
        </w:tc>
        <w:tc>
          <w:tcPr>
            <w:tcW w:w="1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w:t>
            </w:r>
          </w:p>
        </w:tc>
        <w:tc>
          <w:tcPr>
            <w:tcW w:w="3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3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1</w:t>
            </w:r>
          </w:p>
        </w:tc>
      </w:tr>
      <w:tr>
        <w:trPr>
          <w:trHeight w:val="259"/>
        </w:trPr>
        <w:tc>
          <w:tcPr>
            <w:tcW w:w="5020" w:type="dxa"/>
            <w:vAlign w:val="bottom"/>
          </w:tcPr>
          <w:p>
            <w:pPr>
              <w:spacing w:after="0"/>
              <w:rPr>
                <w:sz w:val="20"/>
                <w:szCs w:val="20"/>
                <w:color w:val="auto"/>
              </w:rPr>
            </w:pPr>
            <w:r>
              <w:rPr>
                <w:rFonts w:ascii="Arial" w:cs="Arial" w:eastAsia="Arial" w:hAnsi="Arial"/>
                <w:sz w:val="20"/>
                <w:szCs w:val="20"/>
                <w:color w:val="auto"/>
              </w:rPr>
              <w:t>Balance at end of year</w:t>
            </w:r>
          </w:p>
        </w:tc>
        <w:tc>
          <w:tcPr>
            <w:tcW w:w="1260" w:type="dxa"/>
            <w:vAlign w:val="bottom"/>
          </w:tcPr>
          <w:p>
            <w:pPr>
              <w:jc w:val="right"/>
              <w:ind w:right="587"/>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60"/>
              <w:spacing w:after="0"/>
              <w:rPr>
                <w:sz w:val="20"/>
                <w:szCs w:val="20"/>
                <w:color w:val="auto"/>
              </w:rPr>
            </w:pPr>
            <w:r>
              <w:rPr>
                <w:rFonts w:ascii="Arial" w:cs="Arial" w:eastAsia="Arial" w:hAnsi="Arial"/>
                <w:sz w:val="20"/>
                <w:szCs w:val="20"/>
                <w:color w:val="auto"/>
              </w:rPr>
              <w:t>38</w:t>
            </w:r>
          </w:p>
        </w:tc>
        <w:tc>
          <w:tcPr>
            <w:tcW w:w="3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2"/>
              <w:spacing w:after="0"/>
              <w:rPr>
                <w:sz w:val="20"/>
                <w:szCs w:val="20"/>
                <w:color w:val="auto"/>
              </w:rPr>
            </w:pPr>
            <w:r>
              <w:rPr>
                <w:rFonts w:ascii="Arial" w:cs="Arial" w:eastAsia="Arial" w:hAnsi="Arial"/>
                <w:sz w:val="20"/>
                <w:szCs w:val="20"/>
                <w:color w:val="auto"/>
              </w:rPr>
              <w:t>80</w:t>
            </w:r>
          </w:p>
        </w:tc>
        <w:tc>
          <w:tcPr>
            <w:tcW w:w="3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
              <w:spacing w:after="0"/>
              <w:rPr>
                <w:sz w:val="20"/>
                <w:szCs w:val="20"/>
                <w:color w:val="auto"/>
              </w:rPr>
            </w:pPr>
            <w:r>
              <w:rPr>
                <w:rFonts w:ascii="Arial" w:cs="Arial" w:eastAsia="Arial" w:hAnsi="Arial"/>
                <w:sz w:val="20"/>
                <w:szCs w:val="20"/>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-1510030</wp:posOffset>
            </wp:positionV>
            <wp:extent cx="2473960"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5">
                      <a:extLst>
                        <a:ext uri="{28A0092B-C50C-407E-A947-70E740481C1C}"/>
                      </a:extLst>
                    </a:blip>
                    <a:srcRect/>
                    <a:stretch>
                      <a:fillRect/>
                    </a:stretch>
                  </pic:blipFill>
                  <pic:spPr bwMode="auto">
                    <a:xfrm>
                      <a:off x="0" y="0"/>
                      <a:ext cx="2473960" cy="635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-170180</wp:posOffset>
            </wp:positionV>
            <wp:extent cx="247396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6">
                      <a:extLst>
                        <a:ext uri="{28A0092B-C50C-407E-A947-70E740481C1C}"/>
                      </a:extLst>
                    </a:blip>
                    <a:srcRect/>
                    <a:stretch>
                      <a:fillRect/>
                    </a:stretch>
                  </pic:blipFill>
                  <pic:spPr bwMode="auto">
                    <a:xfrm>
                      <a:off x="0" y="0"/>
                      <a:ext cx="2473960" cy="635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26035</wp:posOffset>
            </wp:positionV>
            <wp:extent cx="2473960" cy="285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7">
                      <a:extLst>
                        <a:ext uri="{28A0092B-C50C-407E-A947-70E740481C1C}"/>
                      </a:extLst>
                    </a:blip>
                    <a:srcRect/>
                    <a:stretch>
                      <a:fillRect/>
                    </a:stretch>
                  </pic:blipFill>
                  <pic:spPr bwMode="auto">
                    <a:xfrm>
                      <a:off x="0" y="0"/>
                      <a:ext cx="2473960" cy="2857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right="200"/>
        <w:spacing w:after="0" w:line="302" w:lineRule="auto"/>
        <w:rPr>
          <w:sz w:val="20"/>
          <w:szCs w:val="20"/>
          <w:color w:val="auto"/>
        </w:rPr>
      </w:pPr>
      <w:r>
        <w:rPr>
          <w:rFonts w:ascii="Arial" w:cs="Arial" w:eastAsia="Arial" w:hAnsi="Arial"/>
          <w:sz w:val="20"/>
          <w:szCs w:val="20"/>
          <w:color w:val="auto"/>
        </w:rPr>
        <w:t>The liability for unrecognized tax benefits for the year ended December 31, 2025 can be reduced by $1 million and 2024 and 2023 can be reduced by</w:t>
      </w:r>
    </w:p>
    <w:p>
      <w:pPr>
        <w:spacing w:after="0" w:line="21" w:lineRule="exact"/>
        <w:rPr>
          <w:sz w:val="20"/>
          <w:szCs w:val="20"/>
          <w:color w:val="auto"/>
        </w:rPr>
      </w:pPr>
    </w:p>
    <w:p>
      <w:pPr>
        <w:ind w:right="220"/>
        <w:spacing w:after="0" w:line="309" w:lineRule="auto"/>
        <w:rPr>
          <w:sz w:val="20"/>
          <w:szCs w:val="20"/>
          <w:color w:val="auto"/>
        </w:rPr>
      </w:pPr>
      <w:r>
        <w:rPr>
          <w:rFonts w:ascii="Arial" w:cs="Arial" w:eastAsia="Arial" w:hAnsi="Arial"/>
          <w:sz w:val="20"/>
          <w:szCs w:val="20"/>
          <w:color w:val="auto"/>
        </w:rPr>
        <w:t>$3 million using offsetting deferred tax benefits associated with timing differences, foreign tax credits and the federal tax benefit of state income taxes. If these offsetting deferred tax benefits were recognized, there would be a favorable impact on our effective tax rate. There are no material balances that would result in adjustments to other tax accounts.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15</w:t>
      </w:r>
    </w:p>
    <w:p>
      <w:pPr>
        <w:sectPr>
          <w:pgSz w:w="11900" w:h="16838" w:orient="portrait"/>
          <w:cols w:equalWidth="0" w:num="1">
            <w:col w:w="9400"/>
          </w:cols>
          <w:pgMar w:left="1260" w:top="1440" w:right="1246" w:bottom="0" w:gutter="0" w:footer="0" w:header="0"/>
          <w:type w:val="continuous"/>
        </w:sectPr>
      </w:pPr>
    </w:p>
    <w:bookmarkStart w:id="197" w:name="page198"/>
    <w:bookmarkEnd w:id="197"/>
    <w:p>
      <w:pPr>
        <w:ind w:right="260"/>
        <w:spacing w:after="0" w:line="355" w:lineRule="auto"/>
        <w:rPr>
          <w:sz w:val="20"/>
          <w:szCs w:val="20"/>
          <w:color w:val="auto"/>
        </w:rPr>
      </w:pPr>
      <w:r>
        <w:rPr>
          <w:rFonts w:ascii="Arial" w:cs="Arial" w:eastAsia="Arial" w:hAnsi="Arial"/>
          <w:sz w:val="18"/>
          <w:szCs w:val="18"/>
          <w:color w:val="auto"/>
        </w:rPr>
        <w:t>Interest and penalties related to unrecognized tax benefits are included as a component of income tax expense. At December 31, 2025, and 2024, we had cumulative accrued interest of $4 million and $8 million, respectively. Additionally, we had accrued penalties of $2 million for 2025. Accrued penalties were not material in 2024.</w:t>
      </w:r>
    </w:p>
    <w:p>
      <w:pPr>
        <w:spacing w:after="0" w:line="162" w:lineRule="exact"/>
        <w:rPr>
          <w:sz w:val="20"/>
          <w:szCs w:val="20"/>
          <w:color w:val="auto"/>
        </w:rPr>
      </w:pPr>
    </w:p>
    <w:p>
      <w:pPr>
        <w:spacing w:after="0" w:line="302" w:lineRule="auto"/>
        <w:rPr>
          <w:sz w:val="20"/>
          <w:szCs w:val="20"/>
          <w:color w:val="auto"/>
        </w:rPr>
      </w:pPr>
      <w:r>
        <w:rPr>
          <w:rFonts w:ascii="Arial" w:cs="Arial" w:eastAsia="Arial" w:hAnsi="Arial"/>
          <w:sz w:val="20"/>
          <w:szCs w:val="20"/>
          <w:color w:val="auto"/>
        </w:rPr>
        <w:t>Tax expense for both the years ended December 31, 2025 and 2024 includes $1 million and $2 million, respectively, of interest expense.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Company and its subsidiaries file income tax returns in various tax jurisdictions in which it operates.</w:t>
      </w:r>
    </w:p>
    <w:p>
      <w:pPr>
        <w:spacing w:after="0" w:line="260" w:lineRule="exact"/>
        <w:rPr>
          <w:sz w:val="20"/>
          <w:szCs w:val="20"/>
          <w:color w:val="auto"/>
        </w:rPr>
      </w:pPr>
    </w:p>
    <w:p>
      <w:pPr>
        <w:ind w:right="60"/>
        <w:spacing w:after="0" w:line="307" w:lineRule="auto"/>
        <w:rPr>
          <w:sz w:val="20"/>
          <w:szCs w:val="20"/>
          <w:color w:val="auto"/>
        </w:rPr>
      </w:pPr>
      <w:r>
        <w:rPr>
          <w:rFonts w:ascii="Arial" w:cs="Arial" w:eastAsia="Arial" w:hAnsi="Arial"/>
          <w:sz w:val="20"/>
          <w:szCs w:val="20"/>
          <w:color w:val="auto"/>
        </w:rPr>
        <w:t>We have ongoing state income tax examinations in certain states for tax years ranging from December 31, 2018 to December 31, 2023. The statute of limitations in certain states remains open back to the tax period ended December 31, 2018.</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9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13 / 15</w:t>
      </w:r>
    </w:p>
    <w:p>
      <w:pPr>
        <w:sectPr>
          <w:pgSz w:w="11900" w:h="16838" w:orient="portrait"/>
          <w:cols w:equalWidth="0" w:num="1">
            <w:col w:w="9320"/>
          </w:cols>
          <w:pgMar w:left="1260" w:top="1173" w:right="1326" w:bottom="0" w:gutter="0" w:footer="0" w:header="0"/>
          <w:type w:val="continuous"/>
        </w:sectPr>
      </w:pPr>
    </w:p>
    <w:bookmarkStart w:id="198" w:name="page199"/>
    <w:bookmarkEnd w:id="1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 w:right="320"/>
        <w:spacing w:after="0" w:line="355" w:lineRule="auto"/>
        <w:rPr>
          <w:sz w:val="20"/>
          <w:szCs w:val="20"/>
          <w:color w:val="auto"/>
        </w:rPr>
      </w:pPr>
      <w:r>
        <w:rPr>
          <w:rFonts w:ascii="Arial" w:cs="Arial" w:eastAsia="Arial" w:hAnsi="Arial"/>
          <w:sz w:val="18"/>
          <w:szCs w:val="18"/>
          <w:color w:val="auto"/>
        </w:rPr>
        <w:t>All U.K. tax returns have been filed timely and are in the normal process of being reviewed by His Majesty’s Revenue &amp; Customs. The Company is not currently subject to any material examinations in other jurisdictions. A summary of the tax years that remain open to tax examination in our major tax jurisdictions is as follows:</w:t>
      </w:r>
    </w:p>
    <w:p>
      <w:pPr>
        <w:spacing w:after="0" w:line="296"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4660" w:type="dxa"/>
            <w:vAlign w:val="bottom"/>
          </w:tcPr>
          <w:p>
            <w:pPr>
              <w:jc w:val="center"/>
              <w:ind w:left="2684"/>
              <w:spacing w:after="0"/>
              <w:rPr>
                <w:sz w:val="20"/>
                <w:szCs w:val="20"/>
                <w:color w:val="auto"/>
              </w:rPr>
            </w:pPr>
            <w:r>
              <w:rPr>
                <w:rFonts w:ascii="Arial" w:cs="Arial" w:eastAsia="Arial" w:hAnsi="Arial"/>
                <w:sz w:val="16"/>
                <w:szCs w:val="16"/>
                <w:b w:val="1"/>
                <w:bCs w:val="1"/>
                <w:color w:val="auto"/>
                <w:w w:val="92"/>
              </w:rPr>
              <w:t>Open Tax Years</w:t>
            </w:r>
          </w:p>
        </w:tc>
      </w:tr>
      <w:tr>
        <w:trPr>
          <w:trHeight w:val="240"/>
        </w:trPr>
        <w:tc>
          <w:tcPr>
            <w:tcW w:w="4740" w:type="dxa"/>
            <w:vAlign w:val="bottom"/>
          </w:tcPr>
          <w:p>
            <w:pPr>
              <w:spacing w:after="0"/>
              <w:rPr>
                <w:sz w:val="20"/>
                <w:szCs w:val="20"/>
                <w:color w:val="auto"/>
              </w:rPr>
            </w:pPr>
          </w:p>
        </w:tc>
        <w:tc>
          <w:tcPr>
            <w:tcW w:w="4660" w:type="dxa"/>
            <w:vAlign w:val="bottom"/>
          </w:tcPr>
          <w:p>
            <w:pPr>
              <w:jc w:val="center"/>
              <w:ind w:left="2684"/>
              <w:spacing w:after="0"/>
              <w:rPr>
                <w:sz w:val="20"/>
                <w:szCs w:val="20"/>
                <w:color w:val="auto"/>
              </w:rPr>
            </w:pPr>
            <w:r>
              <w:rPr>
                <w:rFonts w:ascii="Arial" w:cs="Arial" w:eastAsia="Arial" w:hAnsi="Arial"/>
                <w:sz w:val="16"/>
                <w:szCs w:val="16"/>
                <w:b w:val="1"/>
                <w:bCs w:val="1"/>
                <w:color w:val="auto"/>
                <w:w w:val="89"/>
              </w:rPr>
              <w:t>(fiscal year ending in)</w:t>
            </w:r>
          </w:p>
        </w:tc>
      </w:tr>
      <w:tr>
        <w:trPr>
          <w:trHeight w:val="47"/>
        </w:trPr>
        <w:tc>
          <w:tcPr>
            <w:tcW w:w="4740" w:type="dxa"/>
            <w:vAlign w:val="bottom"/>
          </w:tcPr>
          <w:p>
            <w:pPr>
              <w:spacing w:after="0"/>
              <w:rPr>
                <w:sz w:val="4"/>
                <w:szCs w:val="4"/>
                <w:color w:val="auto"/>
              </w:rPr>
            </w:pPr>
          </w:p>
        </w:tc>
        <w:tc>
          <w:tcPr>
            <w:tcW w:w="4660" w:type="dxa"/>
            <w:vAlign w:val="bottom"/>
          </w:tcPr>
          <w:p>
            <w:pPr>
              <w:spacing w:after="0"/>
              <w:rPr>
                <w:sz w:val="4"/>
                <w:szCs w:val="4"/>
                <w:color w:val="auto"/>
              </w:rPr>
            </w:pPr>
          </w:p>
        </w:tc>
      </w:tr>
      <w:tr>
        <w:trPr>
          <w:trHeight w:val="280"/>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Ireland</w:t>
            </w:r>
          </w:p>
        </w:tc>
        <w:tc>
          <w:tcPr>
            <w:tcW w:w="4660" w:type="dxa"/>
            <w:vAlign w:val="bottom"/>
            <w:tcBorders>
              <w:bottom w:val="single" w:sz="8" w:color="CFF0FC"/>
            </w:tcBorders>
            <w:shd w:val="clear" w:color="auto" w:fill="CFF0FC"/>
          </w:tcPr>
          <w:p>
            <w:pPr>
              <w:jc w:val="center"/>
              <w:ind w:left="2664"/>
              <w:spacing w:after="0"/>
              <w:rPr>
                <w:sz w:val="20"/>
                <w:szCs w:val="20"/>
                <w:color w:val="auto"/>
              </w:rPr>
            </w:pPr>
            <w:r>
              <w:rPr>
                <w:rFonts w:ascii="Arial" w:cs="Arial" w:eastAsia="Arial" w:hAnsi="Arial"/>
                <w:sz w:val="20"/>
                <w:szCs w:val="20"/>
                <w:color w:val="auto"/>
                <w:w w:val="91"/>
              </w:rPr>
              <w:t>2020 and forward</w:t>
            </w:r>
          </w:p>
        </w:tc>
      </w:tr>
      <w:tr>
        <w:trPr>
          <w:trHeight w:val="259"/>
        </w:trPr>
        <w:tc>
          <w:tcPr>
            <w:tcW w:w="4740" w:type="dxa"/>
            <w:vAlign w:val="bottom"/>
          </w:tcPr>
          <w:p>
            <w:pPr>
              <w:ind w:left="20"/>
              <w:spacing w:after="0"/>
              <w:rPr>
                <w:sz w:val="20"/>
                <w:szCs w:val="20"/>
                <w:color w:val="auto"/>
              </w:rPr>
            </w:pPr>
            <w:r>
              <w:rPr>
                <w:rFonts w:ascii="Arial" w:cs="Arial" w:eastAsia="Arial" w:hAnsi="Arial"/>
                <w:sz w:val="20"/>
                <w:szCs w:val="20"/>
                <w:color w:val="auto"/>
              </w:rPr>
              <w:t>U.S. — federal</w:t>
            </w:r>
          </w:p>
        </w:tc>
        <w:tc>
          <w:tcPr>
            <w:tcW w:w="4660" w:type="dxa"/>
            <w:vAlign w:val="bottom"/>
          </w:tcPr>
          <w:p>
            <w:pPr>
              <w:jc w:val="center"/>
              <w:ind w:left="2664"/>
              <w:spacing w:after="0"/>
              <w:rPr>
                <w:sz w:val="20"/>
                <w:szCs w:val="20"/>
                <w:color w:val="auto"/>
              </w:rPr>
            </w:pPr>
            <w:r>
              <w:rPr>
                <w:rFonts w:ascii="Arial" w:cs="Arial" w:eastAsia="Arial" w:hAnsi="Arial"/>
                <w:sz w:val="20"/>
                <w:szCs w:val="20"/>
                <w:color w:val="auto"/>
                <w:w w:val="91"/>
              </w:rPr>
              <w:t>2018 and forward</w:t>
            </w:r>
          </w:p>
        </w:tc>
      </w:tr>
      <w:tr>
        <w:trPr>
          <w:trHeight w:val="41"/>
        </w:trPr>
        <w:tc>
          <w:tcPr>
            <w:tcW w:w="4740" w:type="dxa"/>
            <w:vAlign w:val="bottom"/>
          </w:tcPr>
          <w:p>
            <w:pPr>
              <w:spacing w:after="0"/>
              <w:rPr>
                <w:sz w:val="3"/>
                <w:szCs w:val="3"/>
                <w:color w:val="auto"/>
              </w:rPr>
            </w:pPr>
          </w:p>
        </w:tc>
        <w:tc>
          <w:tcPr>
            <w:tcW w:w="4660" w:type="dxa"/>
            <w:vAlign w:val="bottom"/>
          </w:tcPr>
          <w:p>
            <w:pPr>
              <w:spacing w:after="0"/>
              <w:rPr>
                <w:sz w:val="3"/>
                <w:szCs w:val="3"/>
                <w:color w:val="auto"/>
              </w:rPr>
            </w:pPr>
          </w:p>
        </w:tc>
      </w:tr>
      <w:tr>
        <w:trPr>
          <w:trHeight w:val="280"/>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U.S. — various states</w:t>
            </w:r>
          </w:p>
        </w:tc>
        <w:tc>
          <w:tcPr>
            <w:tcW w:w="4660" w:type="dxa"/>
            <w:vAlign w:val="bottom"/>
            <w:tcBorders>
              <w:bottom w:val="single" w:sz="8" w:color="CFF0FC"/>
            </w:tcBorders>
            <w:shd w:val="clear" w:color="auto" w:fill="CFF0FC"/>
          </w:tcPr>
          <w:p>
            <w:pPr>
              <w:jc w:val="center"/>
              <w:ind w:left="2664"/>
              <w:spacing w:after="0"/>
              <w:rPr>
                <w:sz w:val="20"/>
                <w:szCs w:val="20"/>
                <w:color w:val="auto"/>
              </w:rPr>
            </w:pPr>
            <w:r>
              <w:rPr>
                <w:rFonts w:ascii="Arial" w:cs="Arial" w:eastAsia="Arial" w:hAnsi="Arial"/>
                <w:sz w:val="20"/>
                <w:szCs w:val="20"/>
                <w:color w:val="auto"/>
                <w:w w:val="91"/>
              </w:rPr>
              <w:t>2018 and forward</w:t>
            </w:r>
          </w:p>
        </w:tc>
      </w:tr>
      <w:tr>
        <w:trPr>
          <w:trHeight w:val="259"/>
        </w:trPr>
        <w:tc>
          <w:tcPr>
            <w:tcW w:w="4740" w:type="dxa"/>
            <w:vAlign w:val="bottom"/>
          </w:tcPr>
          <w:p>
            <w:pPr>
              <w:ind w:left="20"/>
              <w:spacing w:after="0"/>
              <w:rPr>
                <w:sz w:val="20"/>
                <w:szCs w:val="20"/>
                <w:color w:val="auto"/>
              </w:rPr>
            </w:pPr>
            <w:r>
              <w:rPr>
                <w:rFonts w:ascii="Arial" w:cs="Arial" w:eastAsia="Arial" w:hAnsi="Arial"/>
                <w:sz w:val="20"/>
                <w:szCs w:val="20"/>
                <w:color w:val="auto"/>
              </w:rPr>
              <w:t>U.K.</w:t>
            </w:r>
          </w:p>
        </w:tc>
        <w:tc>
          <w:tcPr>
            <w:tcW w:w="4660" w:type="dxa"/>
            <w:vAlign w:val="bottom"/>
          </w:tcPr>
          <w:p>
            <w:pPr>
              <w:jc w:val="center"/>
              <w:ind w:left="2664"/>
              <w:spacing w:after="0"/>
              <w:rPr>
                <w:sz w:val="20"/>
                <w:szCs w:val="20"/>
                <w:color w:val="auto"/>
              </w:rPr>
            </w:pPr>
            <w:r>
              <w:rPr>
                <w:rFonts w:ascii="Arial" w:cs="Arial" w:eastAsia="Arial" w:hAnsi="Arial"/>
                <w:sz w:val="20"/>
                <w:szCs w:val="20"/>
                <w:color w:val="auto"/>
                <w:w w:val="91"/>
              </w:rPr>
              <w:t>2016 and forward</w:t>
            </w:r>
          </w:p>
        </w:tc>
      </w:tr>
      <w:tr>
        <w:trPr>
          <w:trHeight w:val="41"/>
        </w:trPr>
        <w:tc>
          <w:tcPr>
            <w:tcW w:w="4740" w:type="dxa"/>
            <w:vAlign w:val="bottom"/>
          </w:tcPr>
          <w:p>
            <w:pPr>
              <w:spacing w:after="0"/>
              <w:rPr>
                <w:sz w:val="3"/>
                <w:szCs w:val="3"/>
                <w:color w:val="auto"/>
              </w:rPr>
            </w:pPr>
          </w:p>
        </w:tc>
        <w:tc>
          <w:tcPr>
            <w:tcW w:w="4660" w:type="dxa"/>
            <w:vAlign w:val="bottom"/>
          </w:tcPr>
          <w:p>
            <w:pPr>
              <w:spacing w:after="0"/>
              <w:rPr>
                <w:sz w:val="3"/>
                <w:szCs w:val="3"/>
                <w:color w:val="auto"/>
              </w:rPr>
            </w:pPr>
          </w:p>
        </w:tc>
      </w:tr>
      <w:tr>
        <w:trPr>
          <w:trHeight w:val="280"/>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France</w:t>
            </w:r>
          </w:p>
        </w:tc>
        <w:tc>
          <w:tcPr>
            <w:tcW w:w="4660" w:type="dxa"/>
            <w:vAlign w:val="bottom"/>
            <w:tcBorders>
              <w:bottom w:val="single" w:sz="8" w:color="CFF0FC"/>
            </w:tcBorders>
            <w:shd w:val="clear" w:color="auto" w:fill="CFF0FC"/>
          </w:tcPr>
          <w:p>
            <w:pPr>
              <w:jc w:val="center"/>
              <w:ind w:left="2664"/>
              <w:spacing w:after="0"/>
              <w:rPr>
                <w:sz w:val="20"/>
                <w:szCs w:val="20"/>
                <w:color w:val="auto"/>
              </w:rPr>
            </w:pPr>
            <w:r>
              <w:rPr>
                <w:rFonts w:ascii="Arial" w:cs="Arial" w:eastAsia="Arial" w:hAnsi="Arial"/>
                <w:sz w:val="20"/>
                <w:szCs w:val="20"/>
                <w:color w:val="auto"/>
                <w:w w:val="91"/>
              </w:rPr>
              <w:t>2022 and forward</w:t>
            </w:r>
          </w:p>
        </w:tc>
      </w:tr>
      <w:tr>
        <w:trPr>
          <w:trHeight w:val="259"/>
        </w:trPr>
        <w:tc>
          <w:tcPr>
            <w:tcW w:w="4740" w:type="dxa"/>
            <w:vAlign w:val="bottom"/>
          </w:tcPr>
          <w:p>
            <w:pPr>
              <w:ind w:left="20"/>
              <w:spacing w:after="0"/>
              <w:rPr>
                <w:sz w:val="20"/>
                <w:szCs w:val="20"/>
                <w:color w:val="auto"/>
              </w:rPr>
            </w:pPr>
            <w:r>
              <w:rPr>
                <w:rFonts w:ascii="Arial" w:cs="Arial" w:eastAsia="Arial" w:hAnsi="Arial"/>
                <w:sz w:val="20"/>
                <w:szCs w:val="20"/>
                <w:color w:val="auto"/>
              </w:rPr>
              <w:t>Germany</w:t>
            </w:r>
          </w:p>
        </w:tc>
        <w:tc>
          <w:tcPr>
            <w:tcW w:w="4660" w:type="dxa"/>
            <w:vAlign w:val="bottom"/>
          </w:tcPr>
          <w:p>
            <w:pPr>
              <w:jc w:val="center"/>
              <w:ind w:left="2664"/>
              <w:spacing w:after="0"/>
              <w:rPr>
                <w:sz w:val="20"/>
                <w:szCs w:val="20"/>
                <w:color w:val="auto"/>
              </w:rPr>
            </w:pPr>
            <w:r>
              <w:rPr>
                <w:rFonts w:ascii="Arial" w:cs="Arial" w:eastAsia="Arial" w:hAnsi="Arial"/>
                <w:sz w:val="20"/>
                <w:szCs w:val="20"/>
                <w:color w:val="auto"/>
                <w:w w:val="91"/>
              </w:rPr>
              <w:t>2008 and forward</w:t>
            </w:r>
          </w:p>
        </w:tc>
      </w:tr>
      <w:tr>
        <w:trPr>
          <w:trHeight w:val="41"/>
        </w:trPr>
        <w:tc>
          <w:tcPr>
            <w:tcW w:w="4740" w:type="dxa"/>
            <w:vAlign w:val="bottom"/>
          </w:tcPr>
          <w:p>
            <w:pPr>
              <w:spacing w:after="0"/>
              <w:rPr>
                <w:sz w:val="3"/>
                <w:szCs w:val="3"/>
                <w:color w:val="auto"/>
              </w:rPr>
            </w:pPr>
          </w:p>
        </w:tc>
        <w:tc>
          <w:tcPr>
            <w:tcW w:w="4660" w:type="dxa"/>
            <w:vAlign w:val="bottom"/>
          </w:tcPr>
          <w:p>
            <w:pPr>
              <w:spacing w:after="0"/>
              <w:rPr>
                <w:sz w:val="3"/>
                <w:szCs w:val="3"/>
                <w:color w:val="auto"/>
              </w:rPr>
            </w:pPr>
          </w:p>
        </w:tc>
      </w:tr>
      <w:tr>
        <w:trPr>
          <w:trHeight w:val="259"/>
        </w:trPr>
        <w:tc>
          <w:tcPr>
            <w:tcW w:w="4740" w:type="dxa"/>
            <w:vAlign w:val="bottom"/>
            <w:shd w:val="clear" w:color="auto" w:fill="CFF0FC"/>
          </w:tcPr>
          <w:p>
            <w:pPr>
              <w:ind w:left="20"/>
              <w:spacing w:after="0"/>
              <w:rPr>
                <w:sz w:val="20"/>
                <w:szCs w:val="20"/>
                <w:color w:val="auto"/>
              </w:rPr>
            </w:pPr>
            <w:r>
              <w:rPr>
                <w:rFonts w:ascii="Arial" w:cs="Arial" w:eastAsia="Arial" w:hAnsi="Arial"/>
                <w:sz w:val="20"/>
                <w:szCs w:val="20"/>
                <w:color w:val="auto"/>
              </w:rPr>
              <w:t>Canada — federal</w:t>
            </w:r>
          </w:p>
        </w:tc>
        <w:tc>
          <w:tcPr>
            <w:tcW w:w="4660" w:type="dxa"/>
            <w:vAlign w:val="bottom"/>
            <w:shd w:val="clear" w:color="auto" w:fill="CFF0FC"/>
          </w:tcPr>
          <w:p>
            <w:pPr>
              <w:jc w:val="center"/>
              <w:ind w:left="2664"/>
              <w:spacing w:after="0"/>
              <w:rPr>
                <w:sz w:val="20"/>
                <w:szCs w:val="20"/>
                <w:color w:val="auto"/>
              </w:rPr>
            </w:pPr>
            <w:r>
              <w:rPr>
                <w:rFonts w:ascii="Arial" w:cs="Arial" w:eastAsia="Arial" w:hAnsi="Arial"/>
                <w:sz w:val="20"/>
                <w:szCs w:val="20"/>
                <w:color w:val="auto"/>
                <w:w w:val="91"/>
              </w:rPr>
              <w:t>2017 and forward</w:t>
            </w:r>
          </w:p>
        </w:tc>
      </w:tr>
      <w:tr>
        <w:trPr>
          <w:trHeight w:val="41"/>
        </w:trPr>
        <w:tc>
          <w:tcPr>
            <w:tcW w:w="4740" w:type="dxa"/>
            <w:vAlign w:val="bottom"/>
            <w:shd w:val="clear" w:color="auto" w:fill="CFF0FC"/>
          </w:tcPr>
          <w:p>
            <w:pPr>
              <w:spacing w:after="0"/>
              <w:rPr>
                <w:sz w:val="3"/>
                <w:szCs w:val="3"/>
                <w:color w:val="auto"/>
              </w:rPr>
            </w:pPr>
          </w:p>
        </w:tc>
        <w:tc>
          <w:tcPr>
            <w:tcW w:w="466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4777740</wp:posOffset>
            </wp:positionH>
            <wp:positionV relativeFrom="paragraph">
              <wp:posOffset>-1342390</wp:posOffset>
            </wp:positionV>
            <wp:extent cx="1189990" cy="95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99">
                      <a:extLst>
                        <a:ext uri="{28A0092B-C50C-407E-A947-70E740481C1C}"/>
                      </a:extLst>
                    </a:blip>
                    <a:srcRect/>
                    <a:stretch>
                      <a:fillRect/>
                    </a:stretch>
                  </pic:blipFill>
                  <pic:spPr bwMode="auto">
                    <a:xfrm>
                      <a:off x="0" y="0"/>
                      <a:ext cx="1189990" cy="9525"/>
                    </a:xfrm>
                    <a:prstGeom prst="rect">
                      <a:avLst/>
                    </a:prstGeom>
                    <a:noFill/>
                  </pic:spPr>
                </pic:pic>
              </a:graphicData>
            </a:graphic>
          </wp:anchor>
        </w:drawing>
      </w:r>
    </w:p>
    <w:p>
      <w:pPr>
        <w:spacing w:after="0" w:line="353" w:lineRule="exact"/>
        <w:rPr>
          <w:sz w:val="20"/>
          <w:szCs w:val="20"/>
          <w:color w:val="auto"/>
        </w:rPr>
      </w:pPr>
    </w:p>
    <w:p>
      <w:pPr>
        <w:ind w:left="6"/>
        <w:spacing w:after="0"/>
        <w:rPr>
          <w:sz w:val="20"/>
          <w:szCs w:val="20"/>
          <w:color w:val="auto"/>
        </w:rPr>
      </w:pPr>
      <w:r>
        <w:rPr>
          <w:rFonts w:ascii="Arial" w:cs="Arial" w:eastAsia="Arial" w:hAnsi="Arial"/>
          <w:sz w:val="21"/>
          <w:szCs w:val="21"/>
          <w:color w:val="auto"/>
        </w:rPr>
        <w:t xml:space="preserve">The </w:t>
      </w:r>
      <w:r>
        <w:rPr>
          <w:rFonts w:ascii="Arial" w:cs="Arial" w:eastAsia="Arial" w:hAnsi="Arial"/>
          <w:sz w:val="18"/>
          <w:szCs w:val="18"/>
          <w:color w:val="auto"/>
        </w:rPr>
        <w:t>following table summarizes cash paid for income taxes, net of refunds, for the year ended December 31, 2025:</w:t>
      </w:r>
    </w:p>
    <w:p>
      <w:pPr>
        <w:spacing w:after="0" w:line="200" w:lineRule="exact"/>
        <w:rPr>
          <w:sz w:val="20"/>
          <w:szCs w:val="20"/>
          <w:color w:val="auto"/>
        </w:rPr>
      </w:pPr>
    </w:p>
    <w:p>
      <w:pPr>
        <w:spacing w:after="0" w:line="214"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180" w:type="dxa"/>
            <w:vAlign w:val="bottom"/>
          </w:tcPr>
          <w:p>
            <w:pPr>
              <w:jc w:val="right"/>
              <w:ind w:right="825"/>
              <w:spacing w:after="0"/>
              <w:rPr>
                <w:sz w:val="20"/>
                <w:szCs w:val="20"/>
                <w:color w:val="auto"/>
              </w:rPr>
            </w:pPr>
            <w:r>
              <w:rPr>
                <w:rFonts w:ascii="Arial" w:cs="Arial" w:eastAsia="Arial" w:hAnsi="Arial"/>
                <w:sz w:val="16"/>
                <w:szCs w:val="16"/>
                <w:b w:val="1"/>
                <w:bCs w:val="1"/>
                <w:color w:val="auto"/>
              </w:rPr>
              <w:t>Year ended</w:t>
            </w:r>
          </w:p>
        </w:tc>
      </w:tr>
      <w:tr>
        <w:trPr>
          <w:trHeight w:val="282"/>
        </w:trPr>
        <w:tc>
          <w:tcPr>
            <w:tcW w:w="4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180" w:type="dxa"/>
            <w:vAlign w:val="bottom"/>
          </w:tcPr>
          <w:p>
            <w:pPr>
              <w:jc w:val="right"/>
              <w:ind w:right="485"/>
              <w:spacing w:after="0"/>
              <w:rPr>
                <w:sz w:val="20"/>
                <w:szCs w:val="20"/>
                <w:color w:val="auto"/>
              </w:rPr>
            </w:pPr>
            <w:r>
              <w:rPr>
                <w:rFonts w:ascii="Arial" w:cs="Arial" w:eastAsia="Arial" w:hAnsi="Arial"/>
                <w:sz w:val="16"/>
                <w:szCs w:val="16"/>
                <w:b w:val="1"/>
                <w:bCs w:val="1"/>
                <w:color w:val="auto"/>
                <w:w w:val="97"/>
              </w:rPr>
              <w:t xml:space="preserve">December 31, 2025 </w:t>
            </w:r>
            <w:r>
              <w:rPr>
                <w:rFonts w:ascii="Arial" w:cs="Arial" w:eastAsia="Arial" w:hAnsi="Arial"/>
                <w:sz w:val="21"/>
                <w:szCs w:val="21"/>
                <w:b w:val="1"/>
                <w:bCs w:val="1"/>
                <w:color w:val="auto"/>
                <w:w w:val="97"/>
                <w:vertAlign w:val="superscript"/>
              </w:rPr>
              <w:t>(i)</w:t>
            </w:r>
          </w:p>
        </w:tc>
      </w:tr>
      <w:tr>
        <w:trPr>
          <w:trHeight w:val="294"/>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Ireland</w:t>
            </w:r>
          </w:p>
        </w:tc>
        <w:tc>
          <w:tcPr>
            <w:tcW w:w="30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21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20"/>
                <w:szCs w:val="20"/>
                <w:color w:val="auto"/>
              </w:rPr>
              <w:t>4</w:t>
            </w:r>
          </w:p>
        </w:tc>
      </w:tr>
      <w:tr>
        <w:trPr>
          <w:trHeight w:val="274"/>
        </w:trPr>
        <w:tc>
          <w:tcPr>
            <w:tcW w:w="4140" w:type="dxa"/>
            <w:vAlign w:val="bottom"/>
          </w:tcPr>
          <w:p>
            <w:pPr>
              <w:spacing w:after="0"/>
              <w:rPr>
                <w:sz w:val="20"/>
                <w:szCs w:val="20"/>
                <w:color w:val="auto"/>
              </w:rPr>
            </w:pPr>
            <w:r>
              <w:rPr>
                <w:rFonts w:ascii="Arial" w:cs="Arial" w:eastAsia="Arial" w:hAnsi="Arial"/>
                <w:sz w:val="20"/>
                <w:szCs w:val="20"/>
                <w:color w:val="auto"/>
              </w:rPr>
              <w:t>United States</w:t>
            </w:r>
          </w:p>
        </w:tc>
        <w:tc>
          <w:tcPr>
            <w:tcW w:w="3080" w:type="dxa"/>
            <w:vAlign w:val="bottom"/>
          </w:tcPr>
          <w:p>
            <w:pPr>
              <w:spacing w:after="0"/>
              <w:rPr>
                <w:sz w:val="23"/>
                <w:szCs w:val="23"/>
                <w:color w:val="auto"/>
              </w:rPr>
            </w:pPr>
          </w:p>
        </w:tc>
        <w:tc>
          <w:tcPr>
            <w:tcW w:w="2180" w:type="dxa"/>
            <w:vAlign w:val="bottom"/>
          </w:tcPr>
          <w:p>
            <w:pPr>
              <w:jc w:val="right"/>
              <w:ind w:right="25"/>
              <w:spacing w:after="0"/>
              <w:rPr>
                <w:sz w:val="20"/>
                <w:szCs w:val="20"/>
                <w:color w:val="auto"/>
              </w:rPr>
            </w:pPr>
            <w:r>
              <w:rPr>
                <w:rFonts w:ascii="Arial" w:cs="Arial" w:eastAsia="Arial" w:hAnsi="Arial"/>
                <w:sz w:val="20"/>
                <w:szCs w:val="20"/>
                <w:color w:val="auto"/>
              </w:rPr>
              <w:t>139</w:t>
            </w:r>
          </w:p>
        </w:tc>
      </w:tr>
      <w:tr>
        <w:trPr>
          <w:trHeight w:val="41"/>
        </w:trPr>
        <w:tc>
          <w:tcPr>
            <w:tcW w:w="4140" w:type="dxa"/>
            <w:vAlign w:val="bottom"/>
          </w:tcPr>
          <w:p>
            <w:pPr>
              <w:spacing w:after="0"/>
              <w:rPr>
                <w:sz w:val="3"/>
                <w:szCs w:val="3"/>
                <w:color w:val="auto"/>
              </w:rPr>
            </w:pPr>
          </w:p>
        </w:tc>
        <w:tc>
          <w:tcPr>
            <w:tcW w:w="308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294"/>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United Kingdom</w:t>
            </w:r>
          </w:p>
        </w:tc>
        <w:tc>
          <w:tcPr>
            <w:tcW w:w="3080" w:type="dxa"/>
            <w:vAlign w:val="bottom"/>
            <w:tcBorders>
              <w:bottom w:val="single" w:sz="8" w:color="CFF0FC"/>
            </w:tcBorders>
            <w:shd w:val="clear" w:color="auto" w:fill="CFF0FC"/>
          </w:tcPr>
          <w:p>
            <w:pPr>
              <w:spacing w:after="0"/>
              <w:rPr>
                <w:sz w:val="24"/>
                <w:szCs w:val="24"/>
                <w:color w:val="auto"/>
              </w:rPr>
            </w:pPr>
          </w:p>
        </w:tc>
        <w:tc>
          <w:tcPr>
            <w:tcW w:w="21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20"/>
                <w:szCs w:val="20"/>
                <w:color w:val="auto"/>
              </w:rPr>
              <w:t>109</w:t>
            </w:r>
          </w:p>
        </w:tc>
      </w:tr>
      <w:tr>
        <w:trPr>
          <w:trHeight w:val="274"/>
        </w:trPr>
        <w:tc>
          <w:tcPr>
            <w:tcW w:w="4140" w:type="dxa"/>
            <w:vAlign w:val="bottom"/>
          </w:tcPr>
          <w:p>
            <w:pPr>
              <w:spacing w:after="0"/>
              <w:rPr>
                <w:sz w:val="20"/>
                <w:szCs w:val="20"/>
                <w:color w:val="auto"/>
              </w:rPr>
            </w:pPr>
            <w:r>
              <w:rPr>
                <w:rFonts w:ascii="Arial" w:cs="Arial" w:eastAsia="Arial" w:hAnsi="Arial"/>
                <w:sz w:val="20"/>
                <w:szCs w:val="20"/>
                <w:color w:val="auto"/>
              </w:rPr>
              <w:t>Canada</w:t>
            </w:r>
          </w:p>
        </w:tc>
        <w:tc>
          <w:tcPr>
            <w:tcW w:w="3080" w:type="dxa"/>
            <w:vAlign w:val="bottom"/>
          </w:tcPr>
          <w:p>
            <w:pPr>
              <w:spacing w:after="0"/>
              <w:rPr>
                <w:sz w:val="23"/>
                <w:szCs w:val="23"/>
                <w:color w:val="auto"/>
              </w:rPr>
            </w:pPr>
          </w:p>
        </w:tc>
        <w:tc>
          <w:tcPr>
            <w:tcW w:w="2180" w:type="dxa"/>
            <w:vAlign w:val="bottom"/>
          </w:tcPr>
          <w:p>
            <w:pPr>
              <w:jc w:val="right"/>
              <w:ind w:right="25"/>
              <w:spacing w:after="0"/>
              <w:rPr>
                <w:sz w:val="20"/>
                <w:szCs w:val="20"/>
                <w:color w:val="auto"/>
              </w:rPr>
            </w:pPr>
            <w:r>
              <w:rPr>
                <w:rFonts w:ascii="Arial" w:cs="Arial" w:eastAsia="Arial" w:hAnsi="Arial"/>
                <w:sz w:val="20"/>
                <w:szCs w:val="20"/>
                <w:color w:val="auto"/>
              </w:rPr>
              <w:t>26</w:t>
            </w:r>
          </w:p>
        </w:tc>
      </w:tr>
      <w:tr>
        <w:trPr>
          <w:trHeight w:val="41"/>
        </w:trPr>
        <w:tc>
          <w:tcPr>
            <w:tcW w:w="4140" w:type="dxa"/>
            <w:vAlign w:val="bottom"/>
          </w:tcPr>
          <w:p>
            <w:pPr>
              <w:spacing w:after="0"/>
              <w:rPr>
                <w:sz w:val="3"/>
                <w:szCs w:val="3"/>
                <w:color w:val="auto"/>
              </w:rPr>
            </w:pPr>
          </w:p>
        </w:tc>
        <w:tc>
          <w:tcPr>
            <w:tcW w:w="3080" w:type="dxa"/>
            <w:vAlign w:val="bottom"/>
          </w:tcPr>
          <w:p>
            <w:pPr>
              <w:spacing w:after="0"/>
              <w:rPr>
                <w:sz w:val="3"/>
                <w:szCs w:val="3"/>
                <w:color w:val="auto"/>
              </w:rPr>
            </w:pPr>
          </w:p>
        </w:tc>
        <w:tc>
          <w:tcPr>
            <w:tcW w:w="2180" w:type="dxa"/>
            <w:vAlign w:val="bottom"/>
          </w:tcPr>
          <w:p>
            <w:pPr>
              <w:spacing w:after="0"/>
              <w:rPr>
                <w:sz w:val="3"/>
                <w:szCs w:val="3"/>
                <w:color w:val="auto"/>
              </w:rPr>
            </w:pPr>
          </w:p>
        </w:tc>
      </w:tr>
      <w:tr>
        <w:trPr>
          <w:trHeight w:val="304"/>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Rest of World</w:t>
            </w:r>
          </w:p>
        </w:tc>
        <w:tc>
          <w:tcPr>
            <w:tcW w:w="3080" w:type="dxa"/>
            <w:vAlign w:val="bottom"/>
            <w:tcBorders>
              <w:bottom w:val="single" w:sz="8" w:color="CFF0FC"/>
            </w:tcBorders>
            <w:shd w:val="clear" w:color="auto" w:fill="CFF0FC"/>
          </w:tcPr>
          <w:p>
            <w:pPr>
              <w:spacing w:after="0"/>
              <w:rPr>
                <w:sz w:val="24"/>
                <w:szCs w:val="24"/>
                <w:color w:val="auto"/>
              </w:rPr>
            </w:pPr>
          </w:p>
        </w:tc>
        <w:tc>
          <w:tcPr>
            <w:tcW w:w="218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20"/>
                <w:szCs w:val="20"/>
                <w:color w:val="auto"/>
              </w:rPr>
              <w:t>163</w:t>
            </w:r>
          </w:p>
        </w:tc>
      </w:tr>
      <w:tr>
        <w:trPr>
          <w:trHeight w:val="274"/>
        </w:trPr>
        <w:tc>
          <w:tcPr>
            <w:tcW w:w="4140" w:type="dxa"/>
            <w:vAlign w:val="bottom"/>
          </w:tcPr>
          <w:p>
            <w:pPr>
              <w:spacing w:after="0"/>
              <w:rPr>
                <w:sz w:val="23"/>
                <w:szCs w:val="23"/>
                <w:color w:val="auto"/>
              </w:rPr>
            </w:pPr>
          </w:p>
        </w:tc>
        <w:tc>
          <w:tcPr>
            <w:tcW w:w="308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2180" w:type="dxa"/>
            <w:vAlign w:val="bottom"/>
          </w:tcPr>
          <w:p>
            <w:pPr>
              <w:jc w:val="right"/>
              <w:ind w:right="25"/>
              <w:spacing w:after="0"/>
              <w:rPr>
                <w:sz w:val="20"/>
                <w:szCs w:val="20"/>
                <w:color w:val="auto"/>
              </w:rPr>
            </w:pPr>
            <w:r>
              <w:rPr>
                <w:rFonts w:ascii="Arial" w:cs="Arial" w:eastAsia="Arial" w:hAnsi="Arial"/>
                <w:sz w:val="20"/>
                <w:szCs w:val="20"/>
                <w:color w:val="auto"/>
              </w:rPr>
              <w:t>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-1184275</wp:posOffset>
            </wp:positionV>
            <wp:extent cx="1556385"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0">
                      <a:extLst>
                        <a:ext uri="{28A0092B-C50C-407E-A947-70E740481C1C}"/>
                      </a:extLst>
                    </a:blip>
                    <a:srcRect/>
                    <a:stretch>
                      <a:fillRect/>
                    </a:stretch>
                  </pic:blipFill>
                  <pic:spPr bwMode="auto">
                    <a:xfrm>
                      <a:off x="0" y="0"/>
                      <a:ext cx="1556385" cy="63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-179705</wp:posOffset>
            </wp:positionV>
            <wp:extent cx="1556385"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1">
                      <a:extLst>
                        <a:ext uri="{28A0092B-C50C-407E-A947-70E740481C1C}"/>
                      </a:extLst>
                    </a:blip>
                    <a:srcRect/>
                    <a:stretch>
                      <a:fillRect/>
                    </a:stretch>
                  </pic:blipFill>
                  <pic:spPr bwMode="auto">
                    <a:xfrm>
                      <a:off x="0" y="0"/>
                      <a:ext cx="1556385" cy="63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26035</wp:posOffset>
            </wp:positionV>
            <wp:extent cx="1556385" cy="285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2">
                      <a:extLst>
                        <a:ext uri="{28A0092B-C50C-407E-A947-70E740481C1C}"/>
                      </a:extLst>
                    </a:blip>
                    <a:srcRect/>
                    <a:stretch>
                      <a:fillRect/>
                    </a:stretch>
                  </pic:blipFill>
                  <pic:spPr bwMode="auto">
                    <a:xfrm>
                      <a:off x="0" y="0"/>
                      <a:ext cx="1556385"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257810</wp:posOffset>
            </wp:positionV>
            <wp:extent cx="795655"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3">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226" w:right="480" w:hanging="226"/>
        <w:spacing w:after="0" w:line="420" w:lineRule="auto"/>
        <w:tabs>
          <w:tab w:leader="none" w:pos="226"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year ended December 31, 2025 is presented in accordance with the provisions of ASU 2023-09 (see Note 2 – Basis of Presentation, Significant Accounting Policies and Recent Accounting Pronouncements).</w:t>
      </w:r>
    </w:p>
    <w:p>
      <w:pPr>
        <w:spacing w:after="0" w:line="339" w:lineRule="exact"/>
        <w:rPr>
          <w:sz w:val="20"/>
          <w:szCs w:val="20"/>
          <w:color w:val="auto"/>
        </w:rPr>
      </w:pPr>
    </w:p>
    <w:p>
      <w:pPr>
        <w:ind w:left="6" w:right="160"/>
        <w:spacing w:after="0" w:line="302" w:lineRule="auto"/>
        <w:rPr>
          <w:sz w:val="20"/>
          <w:szCs w:val="20"/>
          <w:color w:val="auto"/>
        </w:rPr>
      </w:pPr>
      <w:r>
        <w:rPr>
          <w:rFonts w:ascii="Arial" w:cs="Arial" w:eastAsia="Arial" w:hAnsi="Arial"/>
          <w:sz w:val="20"/>
          <w:szCs w:val="20"/>
          <w:color w:val="auto"/>
        </w:rPr>
        <w:t>For the years ended December 31, 2024 and 2023, cash paid for income taxes, net of refunds, was $312 million and $348 million, respectively.</w:t>
      </w:r>
    </w:p>
    <w:p>
      <w:pPr>
        <w:spacing w:after="0" w:line="200" w:lineRule="exact"/>
        <w:rPr>
          <w:sz w:val="20"/>
          <w:szCs w:val="20"/>
          <w:color w:val="auto"/>
        </w:rPr>
      </w:pPr>
    </w:p>
    <w:p>
      <w:pPr>
        <w:spacing w:after="0" w:line="35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14 / 15</w:t>
      </w:r>
    </w:p>
    <w:p>
      <w:pPr>
        <w:sectPr>
          <w:pgSz w:w="11900" w:h="16838" w:orient="portrait"/>
          <w:cols w:equalWidth="0" w:num="1">
            <w:col w:w="9406"/>
          </w:cols>
          <w:pgMar w:left="1254" w:top="1440" w:right="1246" w:bottom="0" w:gutter="0" w:footer="0" w:header="0"/>
          <w:type w:val="continuous"/>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8 </w:t>
      </w:r>
      <w:r>
        <w:rPr>
          <w:rFonts w:ascii="Arial" w:cs="Arial" w:eastAsia="Arial" w:hAnsi="Arial"/>
          <w:sz w:val="20"/>
          <w:szCs w:val="20"/>
          <w:color w:val="auto"/>
        </w:rPr>
        <w:t>—</w:t>
      </w:r>
      <w:r>
        <w:rPr>
          <w:rFonts w:ascii="Arial" w:cs="Arial" w:eastAsia="Arial" w:hAnsi="Arial"/>
          <w:sz w:val="20"/>
          <w:szCs w:val="20"/>
          <w:b w:val="1"/>
          <w:bCs w:val="1"/>
          <w:color w:val="auto"/>
        </w:rPr>
        <w:t xml:space="preserve"> Fixed Assets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changes in the net carrying amount of the components of fixed assets for the years ended</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center"/>
              <w:ind w:right="143"/>
              <w:spacing w:after="0"/>
              <w:rPr>
                <w:sz w:val="20"/>
                <w:szCs w:val="20"/>
                <w:color w:val="auto"/>
              </w:rPr>
            </w:pPr>
            <w:r>
              <w:rPr>
                <w:rFonts w:ascii="Arial" w:cs="Arial" w:eastAsia="Arial" w:hAnsi="Arial"/>
                <w:sz w:val="16"/>
                <w:szCs w:val="16"/>
                <w:b w:val="1"/>
                <w:bCs w:val="1"/>
                <w:color w:val="auto"/>
                <w:w w:val="96"/>
              </w:rPr>
              <w:t>Furniture,</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3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jc w:val="center"/>
              <w:ind w:right="183"/>
              <w:spacing w:after="0"/>
              <w:rPr>
                <w:sz w:val="20"/>
                <w:szCs w:val="20"/>
                <w:color w:val="auto"/>
              </w:rPr>
            </w:pPr>
            <w:r>
              <w:rPr>
                <w:rFonts w:ascii="Arial" w:cs="Arial" w:eastAsia="Arial" w:hAnsi="Arial"/>
                <w:sz w:val="16"/>
                <w:szCs w:val="16"/>
                <w:b w:val="1"/>
                <w:bCs w:val="1"/>
                <w:color w:val="auto"/>
                <w:w w:val="88"/>
              </w:rPr>
              <w:t>equipment</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3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jc w:val="center"/>
              <w:ind w:right="123"/>
              <w:spacing w:after="0"/>
              <w:rPr>
                <w:sz w:val="20"/>
                <w:szCs w:val="20"/>
                <w:color w:val="auto"/>
              </w:rPr>
            </w:pPr>
            <w:r>
              <w:rPr>
                <w:rFonts w:ascii="Arial" w:cs="Arial" w:eastAsia="Arial" w:hAnsi="Arial"/>
                <w:sz w:val="16"/>
                <w:szCs w:val="16"/>
                <w:b w:val="1"/>
                <w:bCs w:val="1"/>
                <w:color w:val="auto"/>
                <w:w w:val="91"/>
              </w:rPr>
              <w:t>and</w:t>
            </w:r>
          </w:p>
        </w:tc>
        <w:tc>
          <w:tcPr>
            <w:tcW w:w="220" w:type="dxa"/>
            <w:vAlign w:val="bottom"/>
          </w:tcPr>
          <w:p>
            <w:pPr>
              <w:spacing w:after="0"/>
              <w:rPr>
                <w:sz w:val="20"/>
                <w:szCs w:val="20"/>
                <w:color w:val="auto"/>
              </w:rPr>
            </w:pPr>
          </w:p>
        </w:tc>
        <w:tc>
          <w:tcPr>
            <w:tcW w:w="1020" w:type="dxa"/>
            <w:vAlign w:val="bottom"/>
          </w:tcPr>
          <w:p>
            <w:pPr>
              <w:jc w:val="right"/>
              <w:ind w:right="201"/>
              <w:spacing w:after="0"/>
              <w:rPr>
                <w:sz w:val="20"/>
                <w:szCs w:val="20"/>
                <w:color w:val="auto"/>
              </w:rPr>
            </w:pPr>
            <w:r>
              <w:rPr>
                <w:rFonts w:ascii="Arial" w:cs="Arial" w:eastAsia="Arial" w:hAnsi="Arial"/>
                <w:sz w:val="16"/>
                <w:szCs w:val="16"/>
                <w:b w:val="1"/>
                <w:bCs w:val="1"/>
                <w:color w:val="auto"/>
                <w:w w:val="88"/>
              </w:rPr>
              <w:t>Leasehold</w:t>
            </w:r>
          </w:p>
        </w:tc>
        <w:tc>
          <w:tcPr>
            <w:tcW w:w="200" w:type="dxa"/>
            <w:vAlign w:val="bottom"/>
          </w:tcPr>
          <w:p>
            <w:pPr>
              <w:spacing w:after="0"/>
              <w:rPr>
                <w:sz w:val="20"/>
                <w:szCs w:val="20"/>
                <w:color w:val="auto"/>
              </w:rPr>
            </w:pPr>
          </w:p>
        </w:tc>
        <w:tc>
          <w:tcPr>
            <w:tcW w:w="1000" w:type="dxa"/>
            <w:vAlign w:val="bottom"/>
          </w:tcPr>
          <w:p>
            <w:pPr>
              <w:jc w:val="right"/>
              <w:ind w:right="202"/>
              <w:spacing w:after="0"/>
              <w:rPr>
                <w:sz w:val="20"/>
                <w:szCs w:val="20"/>
                <w:color w:val="auto"/>
              </w:rPr>
            </w:pPr>
            <w:r>
              <w:rPr>
                <w:rFonts w:ascii="Arial" w:cs="Arial" w:eastAsia="Arial" w:hAnsi="Arial"/>
                <w:sz w:val="16"/>
                <w:szCs w:val="16"/>
                <w:b w:val="1"/>
                <w:bCs w:val="1"/>
                <w:color w:val="auto"/>
                <w:w w:val="95"/>
              </w:rPr>
              <w:t>Land and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3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jc w:val="center"/>
              <w:ind w:right="143"/>
              <w:spacing w:after="0"/>
              <w:rPr>
                <w:sz w:val="20"/>
                <w:szCs w:val="20"/>
                <w:color w:val="auto"/>
              </w:rPr>
            </w:pPr>
            <w:r>
              <w:rPr>
                <w:rFonts w:ascii="Arial" w:cs="Arial" w:eastAsia="Arial" w:hAnsi="Arial"/>
                <w:sz w:val="16"/>
                <w:szCs w:val="16"/>
                <w:b w:val="1"/>
                <w:bCs w:val="1"/>
                <w:color w:val="auto"/>
                <w:w w:val="91"/>
              </w:rPr>
              <w:t>software</w:t>
            </w: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improvements</w:t>
            </w:r>
          </w:p>
        </w:tc>
        <w:tc>
          <w:tcPr>
            <w:tcW w:w="200" w:type="dxa"/>
            <w:vAlign w:val="bottom"/>
          </w:tcPr>
          <w:p>
            <w:pPr>
              <w:spacing w:after="0"/>
              <w:rPr>
                <w:sz w:val="20"/>
                <w:szCs w:val="20"/>
                <w:color w:val="auto"/>
              </w:rPr>
            </w:pPr>
          </w:p>
        </w:tc>
        <w:tc>
          <w:tcPr>
            <w:tcW w:w="1000" w:type="dxa"/>
            <w:vAlign w:val="bottom"/>
          </w:tcPr>
          <w:p>
            <w:pPr>
              <w:jc w:val="right"/>
              <w:ind w:right="222"/>
              <w:spacing w:after="0"/>
              <w:rPr>
                <w:sz w:val="20"/>
                <w:szCs w:val="20"/>
                <w:color w:val="auto"/>
              </w:rPr>
            </w:pPr>
            <w:r>
              <w:rPr>
                <w:rFonts w:ascii="Arial" w:cs="Arial" w:eastAsia="Arial" w:hAnsi="Arial"/>
                <w:sz w:val="16"/>
                <w:szCs w:val="16"/>
                <w:b w:val="1"/>
                <w:bCs w:val="1"/>
                <w:color w:val="auto"/>
                <w:w w:val="92"/>
              </w:rPr>
              <w:t>buildings</w:t>
            </w:r>
          </w:p>
        </w:tc>
        <w:tc>
          <w:tcPr>
            <w:tcW w:w="260" w:type="dxa"/>
            <w:vAlign w:val="bottom"/>
          </w:tcPr>
          <w:p>
            <w:pPr>
              <w:spacing w:after="0"/>
              <w:rPr>
                <w:sz w:val="20"/>
                <w:szCs w:val="20"/>
                <w:color w:val="auto"/>
              </w:rPr>
            </w:pPr>
          </w:p>
        </w:tc>
        <w:tc>
          <w:tcPr>
            <w:tcW w:w="860" w:type="dxa"/>
            <w:vAlign w:val="bottom"/>
          </w:tcPr>
          <w:p>
            <w:pPr>
              <w:jc w:val="right"/>
              <w:ind w:right="301"/>
              <w:spacing w:after="0"/>
              <w:rPr>
                <w:sz w:val="20"/>
                <w:szCs w:val="20"/>
                <w:color w:val="auto"/>
              </w:rPr>
            </w:pPr>
            <w:r>
              <w:rPr>
                <w:rFonts w:ascii="Arial" w:cs="Arial" w:eastAsia="Arial" w:hAnsi="Arial"/>
                <w:sz w:val="16"/>
                <w:szCs w:val="16"/>
                <w:b w:val="1"/>
                <w:bCs w:val="1"/>
                <w:color w:val="auto"/>
              </w:rPr>
              <w:t>Total</w:t>
            </w:r>
          </w:p>
        </w:tc>
      </w:tr>
      <w:tr>
        <w:trPr>
          <w:trHeight w:val="42"/>
        </w:trPr>
        <w:tc>
          <w:tcPr>
            <w:tcW w:w="3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0"/>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Cost: at January 1, 2024</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20"/>
                <w:szCs w:val="20"/>
                <w:color w:val="auto"/>
              </w:rPr>
              <w:t>1,527</w:t>
            </w:r>
          </w:p>
        </w:tc>
        <w:tc>
          <w:tcPr>
            <w:tcW w:w="2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459</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62"/>
              <w:spacing w:after="0"/>
              <w:rPr>
                <w:sz w:val="20"/>
                <w:szCs w:val="20"/>
                <w:color w:val="auto"/>
              </w:rPr>
            </w:pPr>
            <w:r>
              <w:rPr>
                <w:rFonts w:ascii="Arial" w:cs="Arial" w:eastAsia="Arial" w:hAnsi="Arial"/>
                <w:sz w:val="20"/>
                <w:szCs w:val="20"/>
                <w:color w:val="auto"/>
              </w:rPr>
              <w:t>85</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2,071</w:t>
            </w:r>
          </w:p>
        </w:tc>
      </w:tr>
      <w:tr>
        <w:trPr>
          <w:trHeight w:val="259"/>
        </w:trPr>
        <w:tc>
          <w:tcPr>
            <w:tcW w:w="3820" w:type="dxa"/>
            <w:vAlign w:val="bottom"/>
          </w:tcPr>
          <w:p>
            <w:pPr>
              <w:ind w:left="80"/>
              <w:spacing w:after="0"/>
              <w:rPr>
                <w:sz w:val="20"/>
                <w:szCs w:val="20"/>
                <w:color w:val="auto"/>
              </w:rPr>
            </w:pPr>
            <w:r>
              <w:rPr>
                <w:rFonts w:ascii="Arial" w:cs="Arial" w:eastAsia="Arial" w:hAnsi="Arial"/>
                <w:sz w:val="20"/>
                <w:szCs w:val="20"/>
                <w:color w:val="auto"/>
              </w:rPr>
              <w:t>Additions</w:t>
            </w:r>
          </w:p>
        </w:tc>
        <w:tc>
          <w:tcPr>
            <w:tcW w:w="1020" w:type="dxa"/>
            <w:vAlign w:val="bottom"/>
          </w:tcPr>
          <w:p>
            <w:pPr>
              <w:spacing w:after="0"/>
              <w:rPr>
                <w:sz w:val="22"/>
                <w:szCs w:val="22"/>
                <w:color w:val="auto"/>
              </w:rPr>
            </w:pPr>
          </w:p>
        </w:tc>
        <w:tc>
          <w:tcPr>
            <w:tcW w:w="1000" w:type="dxa"/>
            <w:vAlign w:val="bottom"/>
          </w:tcPr>
          <w:p>
            <w:pPr>
              <w:jc w:val="right"/>
              <w:ind w:right="43"/>
              <w:spacing w:after="0"/>
              <w:rPr>
                <w:sz w:val="20"/>
                <w:szCs w:val="20"/>
                <w:color w:val="auto"/>
              </w:rPr>
            </w:pPr>
            <w:r>
              <w:rPr>
                <w:rFonts w:ascii="Arial" w:cs="Arial" w:eastAsia="Arial" w:hAnsi="Arial"/>
                <w:sz w:val="20"/>
                <w:szCs w:val="20"/>
                <w:color w:val="auto"/>
              </w:rPr>
              <w:t>215</w:t>
            </w:r>
          </w:p>
        </w:tc>
        <w:tc>
          <w:tcPr>
            <w:tcW w:w="220" w:type="dxa"/>
            <w:vAlign w:val="bottom"/>
          </w:tcPr>
          <w:p>
            <w:pPr>
              <w:spacing w:after="0"/>
              <w:rPr>
                <w:sz w:val="22"/>
                <w:szCs w:val="22"/>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28</w:t>
            </w:r>
          </w:p>
        </w:tc>
        <w:tc>
          <w:tcPr>
            <w:tcW w:w="200" w:type="dxa"/>
            <w:vAlign w:val="bottom"/>
          </w:tcPr>
          <w:p>
            <w:pPr>
              <w:spacing w:after="0"/>
              <w:rPr>
                <w:sz w:val="22"/>
                <w:szCs w:val="22"/>
                <w:color w:val="auto"/>
              </w:rPr>
            </w:pPr>
          </w:p>
        </w:tc>
        <w:tc>
          <w:tcPr>
            <w:tcW w:w="10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243</w:t>
            </w:r>
          </w:p>
        </w:tc>
      </w:tr>
      <w:tr>
        <w:trPr>
          <w:trHeight w:val="41"/>
        </w:trPr>
        <w:tc>
          <w:tcPr>
            <w:tcW w:w="3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300"/>
        </w:trPr>
        <w:tc>
          <w:tcPr>
            <w:tcW w:w="3820" w:type="dxa"/>
            <w:vAlign w:val="bottom"/>
            <w:shd w:val="clear" w:color="auto" w:fill="CFF0FC"/>
          </w:tcPr>
          <w:p>
            <w:pPr>
              <w:ind w:left="80"/>
              <w:spacing w:after="0"/>
              <w:rPr>
                <w:sz w:val="20"/>
                <w:szCs w:val="20"/>
                <w:color w:val="auto"/>
              </w:rPr>
            </w:pPr>
            <w:r>
              <w:rPr>
                <w:rFonts w:ascii="Arial" w:cs="Arial" w:eastAsia="Arial" w:hAnsi="Arial"/>
                <w:sz w:val="20"/>
                <w:szCs w:val="20"/>
                <w:color w:val="auto"/>
              </w:rPr>
              <w:t xml:space="preserve">Disposals </w:t>
            </w:r>
            <w:r>
              <w:rPr>
                <w:rFonts w:ascii="Arial" w:cs="Arial" w:eastAsia="Arial" w:hAnsi="Arial"/>
                <w:sz w:val="26"/>
                <w:szCs w:val="26"/>
                <w:color w:val="auto"/>
                <w:vertAlign w:val="superscript"/>
              </w:rPr>
              <w:t>(i)</w:t>
            </w:r>
          </w:p>
        </w:tc>
        <w:tc>
          <w:tcPr>
            <w:tcW w:w="102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(221)</w:t>
            </w: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w:t>
            </w:r>
          </w:p>
        </w:tc>
        <w:tc>
          <w:tcPr>
            <w:tcW w:w="20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spacing w:after="0"/>
              <w:rPr>
                <w:sz w:val="24"/>
                <w:szCs w:val="2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(287)</w:t>
            </w:r>
          </w:p>
        </w:tc>
      </w:tr>
      <w:tr>
        <w:trPr>
          <w:trHeight w:val="269"/>
        </w:trPr>
        <w:tc>
          <w:tcPr>
            <w:tcW w:w="3820" w:type="dxa"/>
            <w:vAlign w:val="bottom"/>
          </w:tcPr>
          <w:p>
            <w:pPr>
              <w:ind w:left="80"/>
              <w:spacing w:after="0"/>
              <w:rPr>
                <w:sz w:val="20"/>
                <w:szCs w:val="20"/>
                <w:color w:val="auto"/>
              </w:rPr>
            </w:pPr>
            <w:r>
              <w:rPr>
                <w:rFonts w:ascii="Arial" w:cs="Arial" w:eastAsia="Arial" w:hAnsi="Arial"/>
                <w:sz w:val="20"/>
                <w:szCs w:val="20"/>
                <w:color w:val="auto"/>
              </w:rPr>
              <w:t>Foreign exchange</w:t>
            </w:r>
          </w:p>
        </w:tc>
        <w:tc>
          <w:tcPr>
            <w:tcW w:w="10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41"/>
        </w:trPr>
        <w:tc>
          <w:tcPr>
            <w:tcW w:w="3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0"/>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Cost: at December 31, 2024</w:t>
            </w:r>
          </w:p>
        </w:tc>
        <w:tc>
          <w:tcPr>
            <w:tcW w:w="10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20"/>
                <w:szCs w:val="20"/>
                <w:color w:val="auto"/>
              </w:rPr>
              <w:t>1,492</w:t>
            </w:r>
          </w:p>
        </w:tc>
        <w:tc>
          <w:tcPr>
            <w:tcW w:w="2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411</w:t>
            </w:r>
          </w:p>
        </w:tc>
        <w:tc>
          <w:tcPr>
            <w:tcW w:w="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62"/>
              <w:spacing w:after="0"/>
              <w:rPr>
                <w:sz w:val="20"/>
                <w:szCs w:val="20"/>
                <w:color w:val="auto"/>
              </w:rPr>
            </w:pPr>
            <w:r>
              <w:rPr>
                <w:rFonts w:ascii="Arial" w:cs="Arial" w:eastAsia="Arial" w:hAnsi="Arial"/>
                <w:sz w:val="20"/>
                <w:szCs w:val="20"/>
                <w:color w:val="auto"/>
              </w:rPr>
              <w:t>84</w:t>
            </w:r>
          </w:p>
        </w:tc>
        <w:tc>
          <w:tcPr>
            <w:tcW w:w="2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1,987</w:t>
            </w:r>
          </w:p>
        </w:tc>
      </w:tr>
      <w:tr>
        <w:trPr>
          <w:trHeight w:val="259"/>
        </w:trPr>
        <w:tc>
          <w:tcPr>
            <w:tcW w:w="3820" w:type="dxa"/>
            <w:vAlign w:val="bottom"/>
          </w:tcPr>
          <w:p>
            <w:pPr>
              <w:ind w:left="80"/>
              <w:spacing w:after="0"/>
              <w:rPr>
                <w:sz w:val="20"/>
                <w:szCs w:val="20"/>
                <w:color w:val="auto"/>
              </w:rPr>
            </w:pPr>
            <w:r>
              <w:rPr>
                <w:rFonts w:ascii="Arial" w:cs="Arial" w:eastAsia="Arial" w:hAnsi="Arial"/>
                <w:sz w:val="20"/>
                <w:szCs w:val="20"/>
                <w:color w:val="auto"/>
              </w:rPr>
              <w:t>Additions</w:t>
            </w:r>
          </w:p>
        </w:tc>
        <w:tc>
          <w:tcPr>
            <w:tcW w:w="1020" w:type="dxa"/>
            <w:vAlign w:val="bottom"/>
          </w:tcPr>
          <w:p>
            <w:pPr>
              <w:spacing w:after="0"/>
              <w:rPr>
                <w:sz w:val="22"/>
                <w:szCs w:val="22"/>
                <w:color w:val="auto"/>
              </w:rPr>
            </w:pPr>
          </w:p>
        </w:tc>
        <w:tc>
          <w:tcPr>
            <w:tcW w:w="1000" w:type="dxa"/>
            <w:vAlign w:val="bottom"/>
          </w:tcPr>
          <w:p>
            <w:pPr>
              <w:jc w:val="right"/>
              <w:ind w:right="43"/>
              <w:spacing w:after="0"/>
              <w:rPr>
                <w:sz w:val="20"/>
                <w:szCs w:val="20"/>
                <w:color w:val="auto"/>
              </w:rPr>
            </w:pPr>
            <w:r>
              <w:rPr>
                <w:rFonts w:ascii="Arial" w:cs="Arial" w:eastAsia="Arial" w:hAnsi="Arial"/>
                <w:sz w:val="20"/>
                <w:szCs w:val="20"/>
                <w:color w:val="auto"/>
              </w:rPr>
              <w:t>208</w:t>
            </w:r>
          </w:p>
        </w:tc>
        <w:tc>
          <w:tcPr>
            <w:tcW w:w="220" w:type="dxa"/>
            <w:vAlign w:val="bottom"/>
          </w:tcPr>
          <w:p>
            <w:pPr>
              <w:spacing w:after="0"/>
              <w:rPr>
                <w:sz w:val="22"/>
                <w:szCs w:val="22"/>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21</w:t>
            </w:r>
          </w:p>
        </w:tc>
        <w:tc>
          <w:tcPr>
            <w:tcW w:w="200" w:type="dxa"/>
            <w:vAlign w:val="bottom"/>
          </w:tcPr>
          <w:p>
            <w:pPr>
              <w:spacing w:after="0"/>
              <w:rPr>
                <w:sz w:val="22"/>
                <w:szCs w:val="22"/>
                <w:color w:val="auto"/>
              </w:rPr>
            </w:pPr>
          </w:p>
        </w:tc>
        <w:tc>
          <w:tcPr>
            <w:tcW w:w="10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229</w:t>
            </w:r>
          </w:p>
        </w:tc>
      </w:tr>
      <w:tr>
        <w:trPr>
          <w:trHeight w:val="41"/>
        </w:trPr>
        <w:tc>
          <w:tcPr>
            <w:tcW w:w="3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0"/>
        </w:trPr>
        <w:tc>
          <w:tcPr>
            <w:tcW w:w="38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Disposals</w:t>
            </w:r>
          </w:p>
        </w:tc>
        <w:tc>
          <w:tcPr>
            <w:tcW w:w="10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(78)</w:t>
            </w:r>
          </w:p>
        </w:tc>
        <w:tc>
          <w:tcPr>
            <w:tcW w:w="2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w:t>
            </w:r>
          </w:p>
        </w:tc>
        <w:tc>
          <w:tcPr>
            <w:tcW w:w="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2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(83)</w:t>
            </w:r>
          </w:p>
        </w:tc>
      </w:tr>
      <w:tr>
        <w:trPr>
          <w:trHeight w:val="269"/>
        </w:trPr>
        <w:tc>
          <w:tcPr>
            <w:tcW w:w="3820" w:type="dxa"/>
            <w:vAlign w:val="bottom"/>
          </w:tcPr>
          <w:p>
            <w:pPr>
              <w:ind w:left="80"/>
              <w:spacing w:after="0"/>
              <w:rPr>
                <w:sz w:val="20"/>
                <w:szCs w:val="20"/>
                <w:color w:val="auto"/>
              </w:rPr>
            </w:pPr>
            <w:r>
              <w:rPr>
                <w:rFonts w:ascii="Arial" w:cs="Arial" w:eastAsia="Arial" w:hAnsi="Arial"/>
                <w:sz w:val="20"/>
                <w:szCs w:val="20"/>
                <w:color w:val="auto"/>
              </w:rPr>
              <w:t>Foreign exchange</w:t>
            </w:r>
          </w:p>
        </w:tc>
        <w:tc>
          <w:tcPr>
            <w:tcW w:w="102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20"/>
                <w:szCs w:val="20"/>
                <w:color w:val="auto"/>
              </w:rPr>
              <w:t>82</w:t>
            </w:r>
          </w:p>
        </w:tc>
        <w:tc>
          <w:tcPr>
            <w:tcW w:w="22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16</w:t>
            </w: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20"/>
                <w:szCs w:val="20"/>
                <w:color w:val="auto"/>
              </w:rPr>
              <w:t>3</w:t>
            </w:r>
          </w:p>
        </w:tc>
        <w:tc>
          <w:tcPr>
            <w:tcW w:w="2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101</w:t>
            </w:r>
          </w:p>
        </w:tc>
      </w:tr>
      <w:tr>
        <w:trPr>
          <w:trHeight w:val="41"/>
        </w:trPr>
        <w:tc>
          <w:tcPr>
            <w:tcW w:w="3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0"/>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Cost: at December 31, 2025</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20"/>
                <w:szCs w:val="20"/>
                <w:color w:val="auto"/>
              </w:rPr>
              <w:t>1,704</w:t>
            </w:r>
          </w:p>
        </w:tc>
        <w:tc>
          <w:tcPr>
            <w:tcW w:w="2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444</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62"/>
              <w:spacing w:after="0"/>
              <w:rPr>
                <w:sz w:val="20"/>
                <w:szCs w:val="20"/>
                <w:color w:val="auto"/>
              </w:rPr>
            </w:pPr>
            <w:r>
              <w:rPr>
                <w:rFonts w:ascii="Arial" w:cs="Arial" w:eastAsia="Arial" w:hAnsi="Arial"/>
                <w:sz w:val="20"/>
                <w:szCs w:val="20"/>
                <w:color w:val="auto"/>
              </w:rPr>
              <w:t>86</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2,234</w:t>
            </w:r>
          </w:p>
        </w:tc>
      </w:tr>
      <w:tr>
        <w:trPr>
          <w:trHeight w:val="300"/>
        </w:trPr>
        <w:tc>
          <w:tcPr>
            <w:tcW w:w="3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0"/>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Depreciation: at January 1, 2024</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(994)</w:t>
            </w:r>
          </w:p>
        </w:tc>
        <w:tc>
          <w:tcPr>
            <w:tcW w:w="2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(289)</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(68)</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(1,351)</w:t>
            </w:r>
          </w:p>
        </w:tc>
      </w:tr>
      <w:tr>
        <w:trPr>
          <w:trHeight w:val="259"/>
        </w:trPr>
        <w:tc>
          <w:tcPr>
            <w:tcW w:w="3820" w:type="dxa"/>
            <w:vAlign w:val="bottom"/>
          </w:tcPr>
          <w:p>
            <w:pPr>
              <w:ind w:left="80"/>
              <w:spacing w:after="0"/>
              <w:rPr>
                <w:sz w:val="20"/>
                <w:szCs w:val="20"/>
                <w:color w:val="auto"/>
              </w:rPr>
            </w:pPr>
            <w:r>
              <w:rPr>
                <w:rFonts w:ascii="Arial" w:cs="Arial" w:eastAsia="Arial" w:hAnsi="Arial"/>
                <w:sz w:val="20"/>
                <w:szCs w:val="20"/>
                <w:color w:val="auto"/>
              </w:rPr>
              <w:t>Depreciation expense</w:t>
            </w:r>
          </w:p>
        </w:tc>
        <w:tc>
          <w:tcPr>
            <w:tcW w:w="10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(188)</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(39)</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(230)</w:t>
            </w:r>
          </w:p>
        </w:tc>
      </w:tr>
      <w:tr>
        <w:trPr>
          <w:trHeight w:val="41"/>
        </w:trPr>
        <w:tc>
          <w:tcPr>
            <w:tcW w:w="3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0"/>
        </w:trPr>
        <w:tc>
          <w:tcPr>
            <w:tcW w:w="38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Disposals</w:t>
            </w:r>
          </w:p>
        </w:tc>
        <w:tc>
          <w:tcPr>
            <w:tcW w:w="10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20"/>
                <w:szCs w:val="20"/>
                <w:color w:val="auto"/>
              </w:rPr>
              <w:t>179</w:t>
            </w:r>
          </w:p>
        </w:tc>
        <w:tc>
          <w:tcPr>
            <w:tcW w:w="2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51</w:t>
            </w:r>
          </w:p>
        </w:tc>
        <w:tc>
          <w:tcPr>
            <w:tcW w:w="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230</w:t>
            </w:r>
          </w:p>
        </w:tc>
      </w:tr>
      <w:tr>
        <w:trPr>
          <w:trHeight w:val="269"/>
        </w:trPr>
        <w:tc>
          <w:tcPr>
            <w:tcW w:w="3820" w:type="dxa"/>
            <w:vAlign w:val="bottom"/>
          </w:tcPr>
          <w:p>
            <w:pPr>
              <w:ind w:left="80"/>
              <w:spacing w:after="0"/>
              <w:rPr>
                <w:sz w:val="20"/>
                <w:szCs w:val="20"/>
                <w:color w:val="auto"/>
              </w:rPr>
            </w:pPr>
            <w:r>
              <w:rPr>
                <w:rFonts w:ascii="Arial" w:cs="Arial" w:eastAsia="Arial" w:hAnsi="Arial"/>
                <w:sz w:val="20"/>
                <w:szCs w:val="20"/>
                <w:color w:val="auto"/>
              </w:rPr>
              <w:t>Foreign exchange</w:t>
            </w:r>
          </w:p>
        </w:tc>
        <w:tc>
          <w:tcPr>
            <w:tcW w:w="1020" w:type="dxa"/>
            <w:vAlign w:val="bottom"/>
          </w:tcPr>
          <w:p>
            <w:pPr>
              <w:spacing w:after="0"/>
              <w:rPr>
                <w:sz w:val="23"/>
                <w:szCs w:val="23"/>
                <w:color w:val="auto"/>
              </w:rPr>
            </w:pPr>
          </w:p>
        </w:tc>
        <w:tc>
          <w:tcPr>
            <w:tcW w:w="1000" w:type="dxa"/>
            <w:vAlign w:val="bottom"/>
          </w:tcPr>
          <w:p>
            <w:pPr>
              <w:jc w:val="right"/>
              <w:ind w:right="43"/>
              <w:spacing w:after="0"/>
              <w:rPr>
                <w:sz w:val="20"/>
                <w:szCs w:val="20"/>
                <w:color w:val="auto"/>
              </w:rPr>
            </w:pPr>
            <w:r>
              <w:rPr>
                <w:rFonts w:ascii="Arial" w:cs="Arial" w:eastAsia="Arial" w:hAnsi="Arial"/>
                <w:sz w:val="20"/>
                <w:szCs w:val="20"/>
                <w:color w:val="auto"/>
              </w:rPr>
              <w:t>19</w:t>
            </w:r>
          </w:p>
        </w:tc>
        <w:tc>
          <w:tcPr>
            <w:tcW w:w="22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6</w:t>
            </w:r>
          </w:p>
        </w:tc>
        <w:tc>
          <w:tcPr>
            <w:tcW w:w="200" w:type="dxa"/>
            <w:vAlign w:val="bottom"/>
          </w:tcPr>
          <w:p>
            <w:pPr>
              <w:spacing w:after="0"/>
              <w:rPr>
                <w:sz w:val="23"/>
                <w:szCs w:val="23"/>
                <w:color w:val="auto"/>
              </w:rPr>
            </w:pPr>
          </w:p>
        </w:tc>
        <w:tc>
          <w:tcPr>
            <w:tcW w:w="10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3"/>
                <w:szCs w:val="23"/>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25</w:t>
            </w:r>
          </w:p>
        </w:tc>
      </w:tr>
      <w:tr>
        <w:trPr>
          <w:trHeight w:val="41"/>
        </w:trPr>
        <w:tc>
          <w:tcPr>
            <w:tcW w:w="3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0"/>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Depreciation: at December 31, 2024</w:t>
            </w:r>
          </w:p>
        </w:tc>
        <w:tc>
          <w:tcPr>
            <w:tcW w:w="10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(984)</w:t>
            </w:r>
          </w:p>
        </w:tc>
        <w:tc>
          <w:tcPr>
            <w:tcW w:w="2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(271)</w:t>
            </w:r>
          </w:p>
        </w:tc>
        <w:tc>
          <w:tcPr>
            <w:tcW w:w="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(71)</w:t>
            </w:r>
          </w:p>
        </w:tc>
        <w:tc>
          <w:tcPr>
            <w:tcW w:w="2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(1,326)</w:t>
            </w:r>
          </w:p>
        </w:tc>
      </w:tr>
      <w:tr>
        <w:trPr>
          <w:trHeight w:val="259"/>
        </w:trPr>
        <w:tc>
          <w:tcPr>
            <w:tcW w:w="3820" w:type="dxa"/>
            <w:vAlign w:val="bottom"/>
          </w:tcPr>
          <w:p>
            <w:pPr>
              <w:ind w:left="80"/>
              <w:spacing w:after="0"/>
              <w:rPr>
                <w:sz w:val="20"/>
                <w:szCs w:val="20"/>
                <w:color w:val="auto"/>
              </w:rPr>
            </w:pPr>
            <w:r>
              <w:rPr>
                <w:rFonts w:ascii="Arial" w:cs="Arial" w:eastAsia="Arial" w:hAnsi="Arial"/>
                <w:sz w:val="20"/>
                <w:szCs w:val="20"/>
                <w:color w:val="auto"/>
              </w:rPr>
              <w:t>Depreciation expense</w:t>
            </w:r>
          </w:p>
        </w:tc>
        <w:tc>
          <w:tcPr>
            <w:tcW w:w="10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(188)</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(37)</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(226)</w:t>
            </w:r>
          </w:p>
        </w:tc>
      </w:tr>
      <w:tr>
        <w:trPr>
          <w:trHeight w:val="41"/>
        </w:trPr>
        <w:tc>
          <w:tcPr>
            <w:tcW w:w="3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80"/>
        </w:trPr>
        <w:tc>
          <w:tcPr>
            <w:tcW w:w="38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Disposals</w:t>
            </w:r>
          </w:p>
        </w:tc>
        <w:tc>
          <w:tcPr>
            <w:tcW w:w="10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20"/>
                <w:szCs w:val="20"/>
                <w:color w:val="auto"/>
              </w:rPr>
              <w:t>73</w:t>
            </w:r>
          </w:p>
        </w:tc>
        <w:tc>
          <w:tcPr>
            <w:tcW w:w="2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4</w:t>
            </w:r>
          </w:p>
        </w:tc>
        <w:tc>
          <w:tcPr>
            <w:tcW w:w="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62"/>
              <w:spacing w:after="0"/>
              <w:rPr>
                <w:sz w:val="20"/>
                <w:szCs w:val="20"/>
                <w:color w:val="auto"/>
              </w:rPr>
            </w:pPr>
            <w:r>
              <w:rPr>
                <w:rFonts w:ascii="Arial" w:cs="Arial" w:eastAsia="Arial" w:hAnsi="Arial"/>
                <w:sz w:val="20"/>
                <w:szCs w:val="20"/>
                <w:color w:val="auto"/>
              </w:rPr>
              <w:t>1</w:t>
            </w:r>
          </w:p>
        </w:tc>
        <w:tc>
          <w:tcPr>
            <w:tcW w:w="2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78</w:t>
            </w:r>
          </w:p>
        </w:tc>
      </w:tr>
      <w:tr>
        <w:trPr>
          <w:trHeight w:val="269"/>
        </w:trPr>
        <w:tc>
          <w:tcPr>
            <w:tcW w:w="3820" w:type="dxa"/>
            <w:vAlign w:val="bottom"/>
          </w:tcPr>
          <w:p>
            <w:pPr>
              <w:ind w:left="80"/>
              <w:spacing w:after="0"/>
              <w:rPr>
                <w:sz w:val="20"/>
                <w:szCs w:val="20"/>
                <w:color w:val="auto"/>
              </w:rPr>
            </w:pPr>
            <w:r>
              <w:rPr>
                <w:rFonts w:ascii="Arial" w:cs="Arial" w:eastAsia="Arial" w:hAnsi="Arial"/>
                <w:sz w:val="20"/>
                <w:szCs w:val="20"/>
                <w:color w:val="auto"/>
              </w:rPr>
              <w:t>Foreign exchange</w:t>
            </w:r>
          </w:p>
        </w:tc>
        <w:tc>
          <w:tcPr>
            <w:tcW w:w="10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(52)</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(10)</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41"/>
        </w:trPr>
        <w:tc>
          <w:tcPr>
            <w:tcW w:w="3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0"/>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Depreciation: at December 31, 2025</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(1,151)</w:t>
            </w:r>
          </w:p>
        </w:tc>
        <w:tc>
          <w:tcPr>
            <w:tcW w:w="2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(314)</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(74)</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(1,539)</w:t>
            </w:r>
          </w:p>
        </w:tc>
      </w:tr>
      <w:tr>
        <w:trPr>
          <w:trHeight w:val="300"/>
        </w:trPr>
        <w:tc>
          <w:tcPr>
            <w:tcW w:w="3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0"/>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book value:</w:t>
            </w:r>
          </w:p>
        </w:tc>
        <w:tc>
          <w:tcPr>
            <w:tcW w:w="10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r>
      <w:tr>
        <w:trPr>
          <w:trHeight w:val="304"/>
        </w:trPr>
        <w:tc>
          <w:tcPr>
            <w:tcW w:w="3820" w:type="dxa"/>
            <w:vAlign w:val="bottom"/>
          </w:tcPr>
          <w:p>
            <w:pPr>
              <w:spacing w:after="0"/>
              <w:rPr>
                <w:sz w:val="20"/>
                <w:szCs w:val="20"/>
                <w:color w:val="auto"/>
              </w:rPr>
            </w:pPr>
            <w:r>
              <w:rPr>
                <w:rFonts w:ascii="Arial" w:cs="Arial" w:eastAsia="Arial" w:hAnsi="Arial"/>
                <w:sz w:val="20"/>
                <w:szCs w:val="20"/>
                <w:color w:val="auto"/>
              </w:rPr>
              <w:t>At December 31, 2024</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43"/>
              <w:spacing w:after="0"/>
              <w:rPr>
                <w:sz w:val="20"/>
                <w:szCs w:val="20"/>
                <w:color w:val="auto"/>
              </w:rPr>
            </w:pPr>
            <w:r>
              <w:rPr>
                <w:rFonts w:ascii="Arial" w:cs="Arial" w:eastAsia="Arial" w:hAnsi="Arial"/>
                <w:sz w:val="20"/>
                <w:szCs w:val="20"/>
                <w:color w:val="auto"/>
              </w:rPr>
              <w:t>508</w:t>
            </w:r>
          </w:p>
        </w:tc>
        <w:tc>
          <w:tcPr>
            <w:tcW w:w="220" w:type="dxa"/>
            <w:vAlign w:val="bottom"/>
          </w:tcPr>
          <w:p>
            <w:pPr>
              <w:ind w:left="80"/>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140</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62"/>
              <w:spacing w:after="0"/>
              <w:rPr>
                <w:sz w:val="20"/>
                <w:szCs w:val="20"/>
                <w:color w:val="auto"/>
              </w:rPr>
            </w:pPr>
            <w:r>
              <w:rPr>
                <w:rFonts w:ascii="Arial" w:cs="Arial" w:eastAsia="Arial" w:hAnsi="Arial"/>
                <w:sz w:val="20"/>
                <w:szCs w:val="20"/>
                <w:color w:val="auto"/>
              </w:rPr>
              <w:t>13</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661</w:t>
            </w:r>
          </w:p>
        </w:tc>
      </w:tr>
      <w:tr>
        <w:trPr>
          <w:trHeight w:val="41"/>
        </w:trPr>
        <w:tc>
          <w:tcPr>
            <w:tcW w:w="3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300"/>
        </w:trPr>
        <w:tc>
          <w:tcPr>
            <w:tcW w:w="38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r>
      <w:tr>
        <w:trPr>
          <w:trHeight w:val="304"/>
        </w:trPr>
        <w:tc>
          <w:tcPr>
            <w:tcW w:w="3820" w:type="dxa"/>
            <w:vAlign w:val="bottom"/>
          </w:tcPr>
          <w:p>
            <w:pPr>
              <w:spacing w:after="0"/>
              <w:rPr>
                <w:sz w:val="20"/>
                <w:szCs w:val="20"/>
                <w:color w:val="auto"/>
              </w:rPr>
            </w:pPr>
            <w:r>
              <w:rPr>
                <w:rFonts w:ascii="Arial" w:cs="Arial" w:eastAsia="Arial" w:hAnsi="Arial"/>
                <w:sz w:val="20"/>
                <w:szCs w:val="20"/>
                <w:color w:val="auto"/>
              </w:rPr>
              <w:t>At December 31, 2025</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43"/>
              <w:spacing w:after="0"/>
              <w:rPr>
                <w:sz w:val="20"/>
                <w:szCs w:val="20"/>
                <w:color w:val="auto"/>
              </w:rPr>
            </w:pPr>
            <w:r>
              <w:rPr>
                <w:rFonts w:ascii="Arial" w:cs="Arial" w:eastAsia="Arial" w:hAnsi="Arial"/>
                <w:sz w:val="20"/>
                <w:szCs w:val="20"/>
                <w:color w:val="auto"/>
              </w:rPr>
              <w:t>553</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-4646930</wp:posOffset>
            </wp:positionV>
            <wp:extent cx="2955925"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5">
                      <a:extLst>
                        <a:ext uri="{28A0092B-C50C-407E-A947-70E740481C1C}"/>
                      </a:extLst>
                    </a:blip>
                    <a:srcRect/>
                    <a:stretch>
                      <a:fillRect/>
                    </a:stretch>
                  </pic:blipFill>
                  <pic:spPr bwMode="auto">
                    <a:xfrm>
                      <a:off x="0" y="0"/>
                      <a:ext cx="2955925" cy="6350"/>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-3878580</wp:posOffset>
            </wp:positionV>
            <wp:extent cx="2955925"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6">
                      <a:extLst>
                        <a:ext uri="{28A0092B-C50C-407E-A947-70E740481C1C}"/>
                      </a:extLst>
                    </a:blip>
                    <a:srcRect/>
                    <a:stretch>
                      <a:fillRect/>
                    </a:stretch>
                  </pic:blipFill>
                  <pic:spPr bwMode="auto">
                    <a:xfrm>
                      <a:off x="0" y="0"/>
                      <a:ext cx="2955925" cy="6350"/>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-3110230</wp:posOffset>
            </wp:positionV>
            <wp:extent cx="2955925"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7">
                      <a:extLst>
                        <a:ext uri="{28A0092B-C50C-407E-A947-70E740481C1C}"/>
                      </a:extLst>
                    </a:blip>
                    <a:srcRect/>
                    <a:stretch>
                      <a:fillRect/>
                    </a:stretch>
                  </pic:blipFill>
                  <pic:spPr bwMode="auto">
                    <a:xfrm>
                      <a:off x="0" y="0"/>
                      <a:ext cx="2955925" cy="6350"/>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-2913380</wp:posOffset>
            </wp:positionV>
            <wp:extent cx="2955925"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08">
                      <a:extLst>
                        <a:ext uri="{28A0092B-C50C-407E-A947-70E740481C1C}"/>
                      </a:extLst>
                    </a:blip>
                    <a:srcRect/>
                    <a:stretch>
                      <a:fillRect/>
                    </a:stretch>
                  </pic:blipFill>
                  <pic:spPr bwMode="auto">
                    <a:xfrm>
                      <a:off x="0" y="0"/>
                      <a:ext cx="2955925" cy="6350"/>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-1954530</wp:posOffset>
            </wp:positionV>
            <wp:extent cx="2955925"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09">
                      <a:extLst>
                        <a:ext uri="{28A0092B-C50C-407E-A947-70E740481C1C}"/>
                      </a:extLst>
                    </a:blip>
                    <a:srcRect/>
                    <a:stretch>
                      <a:fillRect/>
                    </a:stretch>
                  </pic:blipFill>
                  <pic:spPr bwMode="auto">
                    <a:xfrm>
                      <a:off x="0" y="0"/>
                      <a:ext cx="2955925" cy="6350"/>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-1186180</wp:posOffset>
            </wp:positionV>
            <wp:extent cx="2955925" cy="6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0">
                      <a:extLst>
                        <a:ext uri="{28A0092B-C50C-407E-A947-70E740481C1C}"/>
                      </a:extLst>
                    </a:blip>
                    <a:srcRect/>
                    <a:stretch>
                      <a:fillRect/>
                    </a:stretch>
                  </pic:blipFill>
                  <pic:spPr bwMode="auto">
                    <a:xfrm>
                      <a:off x="0" y="0"/>
                      <a:ext cx="2955925" cy="6350"/>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-989330</wp:posOffset>
            </wp:positionV>
            <wp:extent cx="2955925"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1">
                      <a:extLst>
                        <a:ext uri="{28A0092B-C50C-407E-A947-70E740481C1C}"/>
                      </a:extLst>
                    </a:blip>
                    <a:srcRect/>
                    <a:stretch>
                      <a:fillRect/>
                    </a:stretch>
                  </pic:blipFill>
                  <pic:spPr bwMode="auto">
                    <a:xfrm>
                      <a:off x="0" y="0"/>
                      <a:ext cx="2955925" cy="6350"/>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-411480</wp:posOffset>
            </wp:positionV>
            <wp:extent cx="2955925" cy="285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2">
                      <a:extLst>
                        <a:ext uri="{28A0092B-C50C-407E-A947-70E740481C1C}"/>
                      </a:extLst>
                    </a:blip>
                    <a:srcRect/>
                    <a:stretch>
                      <a:fillRect/>
                    </a:stretch>
                  </pic:blipFill>
                  <pic:spPr bwMode="auto">
                    <a:xfrm>
                      <a:off x="0" y="0"/>
                      <a:ext cx="2955925" cy="28575"/>
                    </a:xfrm>
                    <a:prstGeom prst="rect">
                      <a:avLst/>
                    </a:prstGeom>
                    <a:noFill/>
                  </pic:spPr>
                </pic:pic>
              </a:graphicData>
            </a:graphic>
          </wp:anchor>
        </w:drawing>
        <w:drawing>
          <wp:anchor simplePos="0" relativeHeight="251657728" behindDoc="1" locked="0" layoutInCell="0" allowOverlap="1">
            <wp:simplePos x="0" y="0"/>
            <wp:positionH relativeFrom="column">
              <wp:posOffset>3007360</wp:posOffset>
            </wp:positionH>
            <wp:positionV relativeFrom="paragraph">
              <wp:posOffset>-1905</wp:posOffset>
            </wp:positionV>
            <wp:extent cx="617855" cy="285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3">
                      <a:extLst>
                        <a:ext uri="{28A0092B-C50C-407E-A947-70E740481C1C}"/>
                      </a:extLst>
                    </a:blip>
                    <a:srcRect/>
                    <a:stretch>
                      <a:fillRect/>
                    </a:stretch>
                  </pic:blipFill>
                  <pic:spPr bwMode="auto">
                    <a:xfrm>
                      <a:off x="0" y="0"/>
                      <a:ext cx="617855"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15</w:t>
      </w:r>
    </w:p>
    <w:p>
      <w:pPr>
        <w:sectPr>
          <w:pgSz w:w="11900" w:h="16838" w:orient="portrait"/>
          <w:cols w:equalWidth="0" w:num="1">
            <w:col w:w="9400"/>
          </w:cols>
          <w:pgMar w:left="1260" w:top="1440" w:right="1246" w:bottom="0" w:gutter="0" w:footer="0" w:header="0"/>
          <w:type w:val="continuous"/>
        </w:sectPr>
      </w:pPr>
    </w:p>
    <w:bookmarkStart w:id="200" w:name="page201"/>
    <w:bookmarkEnd w:id="200"/>
    <w:p>
      <w:pPr>
        <w:spacing w:after="0" w:line="200" w:lineRule="exact"/>
        <w:rPr>
          <w:sz w:val="20"/>
          <w:szCs w:val="20"/>
          <w:color w:val="auto"/>
        </w:rPr>
      </w:pPr>
    </w:p>
    <w:p>
      <w:pPr>
        <w:spacing w:after="0" w:line="243"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95655"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4">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6" w:right="180" w:hanging="226"/>
        <w:spacing w:after="0" w:line="464" w:lineRule="auto"/>
        <w:tabs>
          <w:tab w:leader="none" w:pos="226"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For 2024, includes $12 million of furniture, equipment and software costs and $8 million of leasehold improvements costs which have been written off as part of technology modernization and real estate rationalization under the Transformation program (see Note 6 – Restructuring Costs).</w:t>
      </w:r>
    </w:p>
    <w:p>
      <w:pPr>
        <w:spacing w:after="0" w:line="262" w:lineRule="exact"/>
        <w:rPr>
          <w:sz w:val="20"/>
          <w:szCs w:val="20"/>
          <w:color w:val="auto"/>
        </w:rPr>
      </w:pPr>
    </w:p>
    <w:p>
      <w:pPr>
        <w:ind w:left="6"/>
        <w:spacing w:after="0"/>
        <w:rPr>
          <w:sz w:val="20"/>
          <w:szCs w:val="20"/>
          <w:color w:val="auto"/>
        </w:rPr>
      </w:pPr>
      <w:r>
        <w:rPr>
          <w:rFonts w:ascii="Arial" w:cs="Arial" w:eastAsia="Arial" w:hAnsi="Arial"/>
          <w:sz w:val="20"/>
          <w:szCs w:val="20"/>
          <w:color w:val="auto"/>
        </w:rPr>
        <w:t>Included within land and buildings are the following assets held under finance leases:</w:t>
      </w:r>
    </w:p>
    <w:p>
      <w:pPr>
        <w:spacing w:after="0" w:line="395"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December 31,</w:t>
            </w:r>
          </w:p>
        </w:tc>
        <w:tc>
          <w:tcPr>
            <w:tcW w:w="1000" w:type="dxa"/>
            <w:vAlign w:val="bottom"/>
          </w:tcPr>
          <w:p>
            <w:pPr>
              <w:spacing w:after="0"/>
              <w:rPr>
                <w:sz w:val="16"/>
                <w:szCs w:val="16"/>
                <w:color w:val="auto"/>
              </w:rPr>
            </w:pPr>
          </w:p>
        </w:tc>
      </w:tr>
      <w:tr>
        <w:trPr>
          <w:trHeight w:val="250"/>
        </w:trPr>
        <w:tc>
          <w:tcPr>
            <w:tcW w:w="3320" w:type="dxa"/>
            <w:vAlign w:val="bottom"/>
          </w:tcPr>
          <w:p>
            <w:pPr>
              <w:spacing w:after="0"/>
              <w:rPr>
                <w:sz w:val="21"/>
                <w:szCs w:val="21"/>
                <w:color w:val="auto"/>
              </w:rPr>
            </w:pPr>
          </w:p>
        </w:tc>
        <w:tc>
          <w:tcPr>
            <w:tcW w:w="39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ind w:right="505"/>
              <w:spacing w:after="0"/>
              <w:rPr>
                <w:sz w:val="20"/>
                <w:szCs w:val="20"/>
                <w:color w:val="auto"/>
              </w:rPr>
            </w:pPr>
            <w:r>
              <w:rPr>
                <w:rFonts w:ascii="Arial" w:cs="Arial" w:eastAsia="Arial" w:hAnsi="Arial"/>
                <w:sz w:val="16"/>
                <w:szCs w:val="16"/>
                <w:b w:val="1"/>
                <w:bCs w:val="1"/>
                <w:color w:val="auto"/>
              </w:rPr>
              <w:t>2024</w:t>
            </w:r>
          </w:p>
        </w:tc>
      </w:tr>
      <w:tr>
        <w:trPr>
          <w:trHeight w:val="42"/>
        </w:trPr>
        <w:tc>
          <w:tcPr>
            <w:tcW w:w="3320" w:type="dxa"/>
            <w:vAlign w:val="bottom"/>
          </w:tcPr>
          <w:p>
            <w:pPr>
              <w:spacing w:after="0"/>
              <w:rPr>
                <w:sz w:val="3"/>
                <w:szCs w:val="3"/>
                <w:color w:val="auto"/>
              </w:rPr>
            </w:pPr>
          </w:p>
        </w:tc>
        <w:tc>
          <w:tcPr>
            <w:tcW w:w="3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Finance leases</w:t>
            </w:r>
          </w:p>
        </w:tc>
        <w:tc>
          <w:tcPr>
            <w:tcW w:w="3980" w:type="dxa"/>
            <w:vAlign w:val="bottom"/>
            <w:tcBorders>
              <w:bottom w:val="single" w:sz="8" w:color="CFF0FC"/>
            </w:tcBorders>
            <w:shd w:val="clear" w:color="auto" w:fill="CFF0FC"/>
          </w:tcPr>
          <w:p>
            <w:pPr>
              <w:jc w:val="right"/>
              <w:ind w:right="685"/>
              <w:spacing w:after="0"/>
              <w:rPr>
                <w:sz w:val="20"/>
                <w:szCs w:val="20"/>
                <w:color w:val="auto"/>
              </w:rPr>
            </w:pPr>
            <w:r>
              <w:rPr>
                <w:rFonts w:ascii="Arial" w:cs="Arial" w:eastAsia="Arial" w:hAnsi="Arial"/>
                <w:sz w:val="20"/>
                <w:szCs w:val="20"/>
                <w:color w:val="auto"/>
              </w:rPr>
              <w:t>$</w:t>
            </w:r>
          </w:p>
        </w:tc>
        <w:tc>
          <w:tcPr>
            <w:tcW w:w="580" w:type="dxa"/>
            <w:vAlign w:val="bottom"/>
            <w:tcBorders>
              <w:bottom w:val="single" w:sz="8" w:color="CFF0FC"/>
            </w:tcBorders>
            <w:shd w:val="clear" w:color="auto" w:fill="CFF0FC"/>
          </w:tcPr>
          <w:p>
            <w:pPr>
              <w:jc w:val="right"/>
              <w:ind w:right="65"/>
              <w:spacing w:after="0"/>
              <w:rPr>
                <w:sz w:val="20"/>
                <w:szCs w:val="20"/>
                <w:color w:val="auto"/>
              </w:rPr>
            </w:pPr>
            <w:r>
              <w:rPr>
                <w:rFonts w:ascii="Arial" w:cs="Arial" w:eastAsia="Arial" w:hAnsi="Arial"/>
                <w:sz w:val="20"/>
                <w:szCs w:val="20"/>
                <w:color w:val="auto"/>
              </w:rPr>
              <w:t>26</w:t>
            </w:r>
          </w:p>
        </w:tc>
        <w:tc>
          <w:tcPr>
            <w:tcW w:w="52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20"/>
                <w:szCs w:val="20"/>
                <w:color w:val="auto"/>
              </w:rPr>
              <w:t>26</w:t>
            </w:r>
          </w:p>
        </w:tc>
      </w:tr>
      <w:tr>
        <w:trPr>
          <w:trHeight w:val="259"/>
        </w:trPr>
        <w:tc>
          <w:tcPr>
            <w:tcW w:w="3320" w:type="dxa"/>
            <w:vAlign w:val="bottom"/>
          </w:tcPr>
          <w:p>
            <w:pPr>
              <w:spacing w:after="0"/>
              <w:rPr>
                <w:sz w:val="20"/>
                <w:szCs w:val="20"/>
                <w:color w:val="auto"/>
              </w:rPr>
            </w:pPr>
            <w:r>
              <w:rPr>
                <w:rFonts w:ascii="Arial" w:cs="Arial" w:eastAsia="Arial" w:hAnsi="Arial"/>
                <w:sz w:val="20"/>
                <w:szCs w:val="20"/>
                <w:color w:val="auto"/>
              </w:rPr>
              <w:t>Accumulated depreciation</w:t>
            </w:r>
          </w:p>
        </w:tc>
        <w:tc>
          <w:tcPr>
            <w:tcW w:w="39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(26)</w:t>
            </w:r>
          </w:p>
        </w:tc>
        <w:tc>
          <w:tcPr>
            <w:tcW w:w="5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51"/>
        </w:trPr>
        <w:tc>
          <w:tcPr>
            <w:tcW w:w="33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9"/>
        </w:trPr>
        <w:tc>
          <w:tcPr>
            <w:tcW w:w="3320" w:type="dxa"/>
            <w:vAlign w:val="bottom"/>
            <w:shd w:val="clear" w:color="auto" w:fill="CFF0FC"/>
          </w:tcPr>
          <w:p>
            <w:pPr>
              <w:spacing w:after="0"/>
              <w:rPr>
                <w:sz w:val="22"/>
                <w:szCs w:val="22"/>
                <w:color w:val="auto"/>
              </w:rPr>
            </w:pPr>
          </w:p>
        </w:tc>
        <w:tc>
          <w:tcPr>
            <w:tcW w:w="3980" w:type="dxa"/>
            <w:vAlign w:val="bottom"/>
            <w:shd w:val="clear" w:color="auto" w:fill="CFF0FC"/>
          </w:tcPr>
          <w:p>
            <w:pPr>
              <w:jc w:val="right"/>
              <w:ind w:right="685"/>
              <w:spacing w:after="0"/>
              <w:rPr>
                <w:sz w:val="20"/>
                <w:szCs w:val="20"/>
                <w:color w:val="auto"/>
              </w:rPr>
            </w:pPr>
            <w:r>
              <w:rPr>
                <w:rFonts w:ascii="Arial" w:cs="Arial" w:eastAsia="Arial" w:hAnsi="Arial"/>
                <w:sz w:val="20"/>
                <w:szCs w:val="20"/>
                <w:color w:val="auto"/>
              </w:rPr>
              <w:t>$</w:t>
            </w:r>
          </w:p>
        </w:tc>
        <w:tc>
          <w:tcPr>
            <w:tcW w:w="580" w:type="dxa"/>
            <w:vAlign w:val="bottom"/>
            <w:shd w:val="clear" w:color="auto" w:fill="CFF0FC"/>
          </w:tcPr>
          <w:p>
            <w:pPr>
              <w:jc w:val="right"/>
              <w:ind w:right="65"/>
              <w:spacing w:after="0"/>
              <w:rPr>
                <w:sz w:val="20"/>
                <w:szCs w:val="20"/>
                <w:color w:val="auto"/>
              </w:rPr>
            </w:pPr>
            <w:r>
              <w:rPr>
                <w:rFonts w:ascii="Arial" w:cs="Arial" w:eastAsia="Arial" w:hAnsi="Arial"/>
                <w:sz w:val="20"/>
                <w:szCs w:val="20"/>
                <w:color w:val="auto"/>
              </w:rPr>
              <w:t>—</w:t>
            </w:r>
          </w:p>
        </w:tc>
        <w:tc>
          <w:tcPr>
            <w:tcW w:w="520" w:type="dxa"/>
            <w:vAlign w:val="bottom"/>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ind w:right="5"/>
              <w:spacing w:after="0"/>
              <w:rPr>
                <w:sz w:val="20"/>
                <w:szCs w:val="20"/>
                <w:color w:val="auto"/>
              </w:rPr>
            </w:pPr>
            <w:r>
              <w:rPr>
                <w:rFonts w:ascii="Arial" w:cs="Arial" w:eastAsia="Arial" w:hAnsi="Arial"/>
                <w:sz w:val="20"/>
                <w:szCs w:val="20"/>
                <w:color w:val="auto"/>
              </w:rPr>
              <w:t>1</w:t>
            </w:r>
          </w:p>
        </w:tc>
      </w:tr>
      <w:tr>
        <w:trPr>
          <w:trHeight w:val="86"/>
        </w:trPr>
        <w:tc>
          <w:tcPr>
            <w:tcW w:w="3320" w:type="dxa"/>
            <w:vAlign w:val="bottom"/>
            <w:shd w:val="clear" w:color="auto" w:fill="CFF0FC"/>
          </w:tcPr>
          <w:p>
            <w:pPr>
              <w:spacing w:after="0"/>
              <w:rPr>
                <w:sz w:val="7"/>
                <w:szCs w:val="7"/>
                <w:color w:val="auto"/>
              </w:rPr>
            </w:pPr>
          </w:p>
        </w:tc>
        <w:tc>
          <w:tcPr>
            <w:tcW w:w="398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r>
      <w:tr>
        <w:trPr>
          <w:trHeight w:val="799"/>
        </w:trPr>
        <w:tc>
          <w:tcPr>
            <w:tcW w:w="3320" w:type="dxa"/>
            <w:vAlign w:val="bottom"/>
          </w:tcPr>
          <w:p>
            <w:pPr>
              <w:spacing w:after="0"/>
              <w:rPr>
                <w:sz w:val="24"/>
                <w:szCs w:val="24"/>
                <w:color w:val="auto"/>
              </w:rPr>
            </w:pPr>
          </w:p>
        </w:tc>
        <w:tc>
          <w:tcPr>
            <w:tcW w:w="3980" w:type="dxa"/>
            <w:vAlign w:val="bottom"/>
          </w:tcPr>
          <w:p>
            <w:pPr>
              <w:jc w:val="right"/>
              <w:ind w:right="2365"/>
              <w:spacing w:after="0"/>
              <w:rPr>
                <w:sz w:val="20"/>
                <w:szCs w:val="20"/>
                <w:color w:val="auto"/>
              </w:rPr>
            </w:pPr>
            <w:r>
              <w:rPr>
                <w:rFonts w:ascii="Arial" w:cs="Arial" w:eastAsia="Arial" w:hAnsi="Arial"/>
                <w:sz w:val="20"/>
                <w:szCs w:val="20"/>
                <w:color w:val="auto"/>
              </w:rPr>
              <w:t>102</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91"/>
        </w:trPr>
        <w:tc>
          <w:tcPr>
            <w:tcW w:w="3320" w:type="dxa"/>
            <w:vAlign w:val="bottom"/>
            <w:tcBorders>
              <w:bottom w:val="single" w:sz="8" w:color="010101"/>
            </w:tcBorders>
          </w:tcPr>
          <w:p>
            <w:pPr>
              <w:spacing w:after="0"/>
              <w:rPr>
                <w:sz w:val="24"/>
                <w:szCs w:val="24"/>
                <w:color w:val="auto"/>
              </w:rPr>
            </w:pPr>
          </w:p>
        </w:tc>
        <w:tc>
          <w:tcPr>
            <w:tcW w:w="398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-1856740</wp:posOffset>
            </wp:positionV>
            <wp:extent cx="189103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5">
                      <a:extLst>
                        <a:ext uri="{28A0092B-C50C-407E-A947-70E740481C1C}"/>
                      </a:extLst>
                    </a:blip>
                    <a:srcRect/>
                    <a:stretch>
                      <a:fillRect/>
                    </a:stretch>
                  </pic:blipFill>
                  <pic:spPr bwMode="auto">
                    <a:xfrm>
                      <a:off x="0" y="0"/>
                      <a:ext cx="1891030" cy="635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-1697990</wp:posOffset>
            </wp:positionV>
            <wp:extent cx="1891030"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6">
                      <a:extLst>
                        <a:ext uri="{28A0092B-C50C-407E-A947-70E740481C1C}"/>
                      </a:extLst>
                    </a:blip>
                    <a:srcRect/>
                    <a:stretch>
                      <a:fillRect/>
                    </a:stretch>
                  </pic:blipFill>
                  <pic:spPr bwMode="auto">
                    <a:xfrm>
                      <a:off x="0" y="0"/>
                      <a:ext cx="1891030" cy="635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-1310640</wp:posOffset>
            </wp:positionV>
            <wp:extent cx="1891030"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7">
                      <a:extLst>
                        <a:ext uri="{28A0092B-C50C-407E-A947-70E740481C1C}"/>
                      </a:extLst>
                    </a:blip>
                    <a:srcRect/>
                    <a:stretch>
                      <a:fillRect/>
                    </a:stretch>
                  </pic:blipFill>
                  <pic:spPr bwMode="auto">
                    <a:xfrm>
                      <a:off x="0" y="0"/>
                      <a:ext cx="1891030" cy="635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-1113790</wp:posOffset>
            </wp:positionV>
            <wp:extent cx="1891030" cy="285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18">
                      <a:extLst>
                        <a:ext uri="{28A0092B-C50C-407E-A947-70E740481C1C}"/>
                      </a:extLst>
                    </a:blip>
                    <a:srcRect/>
                    <a:stretch>
                      <a:fillRect/>
                    </a:stretch>
                  </pic:blipFill>
                  <pic:spPr bwMode="auto">
                    <a:xfrm>
                      <a:off x="0" y="0"/>
                      <a:ext cx="189103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-18415</wp:posOffset>
            </wp:positionV>
            <wp:extent cx="9525" cy="19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1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5958205</wp:posOffset>
            </wp:positionH>
            <wp:positionV relativeFrom="paragraph">
              <wp:posOffset>-18415</wp:posOffset>
            </wp:positionV>
            <wp:extent cx="9525" cy="190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0">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 / 21</w:t>
      </w:r>
    </w:p>
    <w:p>
      <w:pPr>
        <w:sectPr>
          <w:pgSz w:w="11900" w:h="16838" w:orient="portrait"/>
          <w:cols w:equalWidth="0" w:num="1">
            <w:col w:w="9406"/>
          </w:cols>
          <w:pgMar w:left="1254" w:top="1440" w:right="1246" w:bottom="0" w:gutter="0" w:footer="0" w:header="0"/>
          <w:type w:val="continuous"/>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9 — Goodwill and Other Intangible Assets</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Goodwill</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components of goodwill are outlined below for the years ended December 31, 2025 and 2024.</w:t>
      </w:r>
    </w:p>
    <w:p>
      <w:pPr>
        <w:spacing w:after="0" w:line="200" w:lineRule="exact"/>
        <w:rPr>
          <w:sz w:val="20"/>
          <w:szCs w:val="20"/>
          <w:color w:val="auto"/>
        </w:rPr>
      </w:pPr>
    </w:p>
    <w:p>
      <w:pPr>
        <w:spacing w:after="0" w:line="209"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40" w:type="dxa"/>
            <w:vAlign w:val="bottom"/>
          </w:tcPr>
          <w:p>
            <w:pPr>
              <w:jc w:val="right"/>
              <w:ind w:right="421"/>
              <w:spacing w:after="0"/>
              <w:rPr>
                <w:sz w:val="20"/>
                <w:szCs w:val="20"/>
                <w:color w:val="auto"/>
              </w:rPr>
            </w:pPr>
            <w:r>
              <w:rPr>
                <w:rFonts w:ascii="Arial" w:cs="Arial" w:eastAsia="Arial" w:hAnsi="Arial"/>
                <w:sz w:val="16"/>
                <w:szCs w:val="16"/>
                <w:b w:val="1"/>
                <w:bCs w:val="1"/>
                <w:color w:val="auto"/>
              </w:rPr>
              <w:t>HWC</w:t>
            </w:r>
          </w:p>
        </w:tc>
        <w:tc>
          <w:tcPr>
            <w:tcW w:w="320" w:type="dxa"/>
            <w:vAlign w:val="bottom"/>
          </w:tcPr>
          <w:p>
            <w:pPr>
              <w:spacing w:after="0"/>
              <w:rPr>
                <w:sz w:val="16"/>
                <w:szCs w:val="16"/>
                <w:color w:val="auto"/>
              </w:rPr>
            </w:pPr>
          </w:p>
        </w:tc>
        <w:tc>
          <w:tcPr>
            <w:tcW w:w="1040" w:type="dxa"/>
            <w:vAlign w:val="bottom"/>
          </w:tcPr>
          <w:p>
            <w:pPr>
              <w:jc w:val="right"/>
              <w:ind w:right="441"/>
              <w:spacing w:after="0"/>
              <w:rPr>
                <w:sz w:val="20"/>
                <w:szCs w:val="20"/>
                <w:color w:val="auto"/>
              </w:rPr>
            </w:pPr>
            <w:r>
              <w:rPr>
                <w:rFonts w:ascii="Arial" w:cs="Arial" w:eastAsia="Arial" w:hAnsi="Arial"/>
                <w:sz w:val="16"/>
                <w:szCs w:val="16"/>
                <w:b w:val="1"/>
                <w:bCs w:val="1"/>
                <w:color w:val="auto"/>
              </w:rPr>
              <w:t>R&amp;B</w:t>
            </w:r>
          </w:p>
        </w:tc>
        <w:tc>
          <w:tcPr>
            <w:tcW w:w="320" w:type="dxa"/>
            <w:vAlign w:val="bottom"/>
          </w:tcPr>
          <w:p>
            <w:pPr>
              <w:spacing w:after="0"/>
              <w:rPr>
                <w:sz w:val="16"/>
                <w:szCs w:val="16"/>
                <w:color w:val="auto"/>
              </w:rPr>
            </w:pPr>
          </w:p>
        </w:tc>
        <w:tc>
          <w:tcPr>
            <w:tcW w:w="980" w:type="dxa"/>
            <w:vAlign w:val="bottom"/>
          </w:tcPr>
          <w:p>
            <w:pPr>
              <w:jc w:val="right"/>
              <w:ind w:right="381"/>
              <w:spacing w:after="0"/>
              <w:rPr>
                <w:sz w:val="20"/>
                <w:szCs w:val="20"/>
                <w:color w:val="auto"/>
              </w:rPr>
            </w:pPr>
            <w:r>
              <w:rPr>
                <w:rFonts w:ascii="Arial" w:cs="Arial" w:eastAsia="Arial" w:hAnsi="Arial"/>
                <w:sz w:val="16"/>
                <w:szCs w:val="16"/>
                <w:b w:val="1"/>
                <w:bCs w:val="1"/>
                <w:color w:val="auto"/>
              </w:rPr>
              <w:t>Total</w:t>
            </w:r>
          </w:p>
        </w:tc>
      </w:tr>
      <w:tr>
        <w:trPr>
          <w:trHeight w:val="42"/>
        </w:trPr>
        <w:tc>
          <w:tcPr>
            <w:tcW w:w="4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December 31, 2023</w:t>
            </w:r>
          </w:p>
        </w:tc>
        <w:tc>
          <w:tcPr>
            <w:tcW w:w="15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74"/>
        </w:trPr>
        <w:tc>
          <w:tcPr>
            <w:tcW w:w="4140" w:type="dxa"/>
            <w:vAlign w:val="bottom"/>
          </w:tcPr>
          <w:p>
            <w:pPr>
              <w:spacing w:after="0"/>
              <w:rPr>
                <w:sz w:val="20"/>
                <w:szCs w:val="20"/>
                <w:color w:val="auto"/>
              </w:rPr>
            </w:pPr>
            <w:r>
              <w:rPr>
                <w:rFonts w:ascii="Arial" w:cs="Arial" w:eastAsia="Arial" w:hAnsi="Arial"/>
                <w:sz w:val="20"/>
                <w:szCs w:val="20"/>
                <w:color w:val="auto"/>
              </w:rPr>
              <w:t>Goodwill, gross</w:t>
            </w:r>
          </w:p>
        </w:tc>
        <w:tc>
          <w:tcPr>
            <w:tcW w:w="15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61"/>
              <w:spacing w:after="0"/>
              <w:rPr>
                <w:sz w:val="20"/>
                <w:szCs w:val="20"/>
                <w:color w:val="auto"/>
              </w:rPr>
            </w:pPr>
            <w:r>
              <w:rPr>
                <w:rFonts w:ascii="Arial" w:cs="Arial" w:eastAsia="Arial" w:hAnsi="Arial"/>
                <w:sz w:val="20"/>
                <w:szCs w:val="20"/>
                <w:color w:val="auto"/>
              </w:rPr>
              <w:t>7,866</w:t>
            </w:r>
          </w:p>
        </w:tc>
        <w:tc>
          <w:tcPr>
            <w:tcW w:w="3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2,821</w:t>
            </w:r>
          </w:p>
        </w:tc>
        <w:tc>
          <w:tcPr>
            <w:tcW w:w="3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10,687</w:t>
            </w:r>
          </w:p>
        </w:tc>
      </w:tr>
      <w:tr>
        <w:trPr>
          <w:trHeight w:val="41"/>
        </w:trPr>
        <w:tc>
          <w:tcPr>
            <w:tcW w:w="4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Accumulated impairment losses</w:t>
            </w:r>
          </w:p>
        </w:tc>
        <w:tc>
          <w:tcPr>
            <w:tcW w:w="15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(130)</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(362)</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(492)</w:t>
            </w:r>
          </w:p>
        </w:tc>
      </w:tr>
      <w:tr>
        <w:trPr>
          <w:trHeight w:val="274"/>
        </w:trPr>
        <w:tc>
          <w:tcPr>
            <w:tcW w:w="4140" w:type="dxa"/>
            <w:vAlign w:val="bottom"/>
          </w:tcPr>
          <w:p>
            <w:pPr>
              <w:spacing w:after="0"/>
              <w:rPr>
                <w:sz w:val="20"/>
                <w:szCs w:val="20"/>
                <w:color w:val="auto"/>
              </w:rPr>
            </w:pPr>
            <w:r>
              <w:rPr>
                <w:rFonts w:ascii="Arial" w:cs="Arial" w:eastAsia="Arial" w:hAnsi="Arial"/>
                <w:sz w:val="20"/>
                <w:szCs w:val="20"/>
                <w:color w:val="auto"/>
              </w:rPr>
              <w:t>Goodwill, net - December 31, 2023</w:t>
            </w:r>
          </w:p>
        </w:tc>
        <w:tc>
          <w:tcPr>
            <w:tcW w:w="156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20"/>
                <w:szCs w:val="20"/>
                <w:color w:val="auto"/>
              </w:rPr>
              <w:t>7,736</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2,459</w:t>
            </w:r>
          </w:p>
        </w:tc>
        <w:tc>
          <w:tcPr>
            <w:tcW w:w="3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10,195</w:t>
            </w:r>
          </w:p>
        </w:tc>
      </w:tr>
      <w:tr>
        <w:trPr>
          <w:trHeight w:val="41"/>
        </w:trPr>
        <w:tc>
          <w:tcPr>
            <w:tcW w:w="4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1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Goodwill acquired</w:t>
            </w:r>
          </w:p>
        </w:tc>
        <w:tc>
          <w:tcPr>
            <w:tcW w:w="15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21</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21</w:t>
            </w:r>
          </w:p>
        </w:tc>
      </w:tr>
      <w:tr>
        <w:trPr>
          <w:trHeight w:val="314"/>
        </w:trPr>
        <w:tc>
          <w:tcPr>
            <w:tcW w:w="4140" w:type="dxa"/>
            <w:vAlign w:val="bottom"/>
          </w:tcPr>
          <w:p>
            <w:pPr>
              <w:ind w:left="100"/>
              <w:spacing w:after="0"/>
              <w:rPr>
                <w:sz w:val="20"/>
                <w:szCs w:val="20"/>
                <w:color w:val="auto"/>
              </w:rPr>
            </w:pPr>
            <w:r>
              <w:rPr>
                <w:rFonts w:ascii="Arial" w:cs="Arial" w:eastAsia="Arial" w:hAnsi="Arial"/>
                <w:sz w:val="20"/>
                <w:szCs w:val="20"/>
                <w:color w:val="auto"/>
              </w:rPr>
              <w:t xml:space="preserve">Goodwill disposals </w:t>
            </w:r>
            <w:r>
              <w:rPr>
                <w:rFonts w:ascii="Arial" w:cs="Arial" w:eastAsia="Arial" w:hAnsi="Arial"/>
                <w:sz w:val="26"/>
                <w:szCs w:val="26"/>
                <w:color w:val="auto"/>
                <w:vertAlign w:val="superscript"/>
              </w:rPr>
              <w:t>(i)</w:t>
            </w:r>
          </w:p>
        </w:tc>
        <w:tc>
          <w:tcPr>
            <w:tcW w:w="15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(311)</w:t>
            </w:r>
          </w:p>
        </w:tc>
        <w:tc>
          <w:tcPr>
            <w:tcW w:w="320" w:type="dxa"/>
            <w:vAlign w:val="bottom"/>
          </w:tcPr>
          <w:p>
            <w:pPr>
              <w:spacing w:after="0"/>
              <w:rPr>
                <w:sz w:val="24"/>
                <w:szCs w:val="24"/>
                <w:color w:val="auto"/>
              </w:rPr>
            </w:pP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(311)</w:t>
            </w:r>
          </w:p>
        </w:tc>
      </w:tr>
      <w:tr>
        <w:trPr>
          <w:trHeight w:val="294"/>
        </w:trPr>
        <w:tc>
          <w:tcPr>
            <w:tcW w:w="41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Impairment</w:t>
            </w:r>
          </w:p>
        </w:tc>
        <w:tc>
          <w:tcPr>
            <w:tcW w:w="15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(1,042)</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(1,042)</w:t>
            </w:r>
          </w:p>
        </w:tc>
      </w:tr>
      <w:tr>
        <w:trPr>
          <w:trHeight w:val="274"/>
        </w:trPr>
        <w:tc>
          <w:tcPr>
            <w:tcW w:w="4140" w:type="dxa"/>
            <w:vAlign w:val="bottom"/>
          </w:tcPr>
          <w:p>
            <w:pPr>
              <w:ind w:left="100"/>
              <w:spacing w:after="0"/>
              <w:rPr>
                <w:sz w:val="20"/>
                <w:szCs w:val="20"/>
                <w:color w:val="auto"/>
              </w:rPr>
            </w:pPr>
            <w:r>
              <w:rPr>
                <w:rFonts w:ascii="Arial" w:cs="Arial" w:eastAsia="Arial" w:hAnsi="Arial"/>
                <w:sz w:val="20"/>
                <w:szCs w:val="20"/>
                <w:color w:val="auto"/>
              </w:rPr>
              <w:t>Foreign exchange</w:t>
            </w:r>
          </w:p>
        </w:tc>
        <w:tc>
          <w:tcPr>
            <w:tcW w:w="1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(18)</w:t>
            </w:r>
          </w:p>
        </w:tc>
        <w:tc>
          <w:tcPr>
            <w:tcW w:w="320" w:type="dxa"/>
            <w:vAlign w:val="bottom"/>
          </w:tcPr>
          <w:p>
            <w:pPr>
              <w:spacing w:after="0"/>
              <w:rPr>
                <w:sz w:val="23"/>
                <w:szCs w:val="23"/>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(46)</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51"/>
        </w:trPr>
        <w:tc>
          <w:tcPr>
            <w:tcW w:w="4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94"/>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December 31, 2024</w:t>
            </w:r>
          </w:p>
        </w:tc>
        <w:tc>
          <w:tcPr>
            <w:tcW w:w="15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74"/>
        </w:trPr>
        <w:tc>
          <w:tcPr>
            <w:tcW w:w="4140" w:type="dxa"/>
            <w:vAlign w:val="bottom"/>
          </w:tcPr>
          <w:p>
            <w:pPr>
              <w:spacing w:after="0"/>
              <w:rPr>
                <w:sz w:val="20"/>
                <w:szCs w:val="20"/>
                <w:color w:val="auto"/>
              </w:rPr>
            </w:pPr>
            <w:r>
              <w:rPr>
                <w:rFonts w:ascii="Arial" w:cs="Arial" w:eastAsia="Arial" w:hAnsi="Arial"/>
                <w:sz w:val="20"/>
                <w:szCs w:val="20"/>
                <w:color w:val="auto"/>
              </w:rPr>
              <w:t>Goodwill, gross</w:t>
            </w:r>
          </w:p>
        </w:tc>
        <w:tc>
          <w:tcPr>
            <w:tcW w:w="156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20"/>
                <w:szCs w:val="20"/>
                <w:color w:val="auto"/>
              </w:rPr>
              <w:t>7,276</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2,796</w:t>
            </w:r>
          </w:p>
        </w:tc>
        <w:tc>
          <w:tcPr>
            <w:tcW w:w="3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10,072</w:t>
            </w:r>
          </w:p>
        </w:tc>
      </w:tr>
      <w:tr>
        <w:trPr>
          <w:trHeight w:val="41"/>
        </w:trPr>
        <w:tc>
          <w:tcPr>
            <w:tcW w:w="4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Accumulated impairment losses</w:t>
            </w:r>
          </w:p>
        </w:tc>
        <w:tc>
          <w:tcPr>
            <w:tcW w:w="15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(911)</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(362)</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(1,273)</w:t>
            </w:r>
          </w:p>
        </w:tc>
      </w:tr>
      <w:tr>
        <w:trPr>
          <w:trHeight w:val="274"/>
        </w:trPr>
        <w:tc>
          <w:tcPr>
            <w:tcW w:w="4140" w:type="dxa"/>
            <w:vAlign w:val="bottom"/>
          </w:tcPr>
          <w:p>
            <w:pPr>
              <w:spacing w:after="0"/>
              <w:rPr>
                <w:sz w:val="20"/>
                <w:szCs w:val="20"/>
                <w:color w:val="auto"/>
              </w:rPr>
            </w:pPr>
            <w:r>
              <w:rPr>
                <w:rFonts w:ascii="Arial" w:cs="Arial" w:eastAsia="Arial" w:hAnsi="Arial"/>
                <w:sz w:val="20"/>
                <w:szCs w:val="20"/>
                <w:color w:val="auto"/>
              </w:rPr>
              <w:t>Goodwill, net - December 31, 2024</w:t>
            </w:r>
          </w:p>
        </w:tc>
        <w:tc>
          <w:tcPr>
            <w:tcW w:w="156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20"/>
                <w:szCs w:val="20"/>
                <w:color w:val="auto"/>
              </w:rPr>
              <w:t>6,365</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2,434</w:t>
            </w:r>
          </w:p>
        </w:tc>
        <w:tc>
          <w:tcPr>
            <w:tcW w:w="3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8,799</w:t>
            </w:r>
          </w:p>
        </w:tc>
      </w:tr>
      <w:tr>
        <w:trPr>
          <w:trHeight w:val="41"/>
        </w:trPr>
        <w:tc>
          <w:tcPr>
            <w:tcW w:w="4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1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Goodwill acquired</w:t>
            </w:r>
          </w:p>
        </w:tc>
        <w:tc>
          <w:tcPr>
            <w:tcW w:w="15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20"/>
                <w:szCs w:val="20"/>
                <w:color w:val="auto"/>
              </w:rPr>
              <w:t>9</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20"/>
                <w:szCs w:val="20"/>
                <w:color w:val="auto"/>
              </w:rPr>
              <w:t>9</w:t>
            </w:r>
          </w:p>
        </w:tc>
      </w:tr>
      <w:tr>
        <w:trPr>
          <w:trHeight w:val="274"/>
        </w:trPr>
        <w:tc>
          <w:tcPr>
            <w:tcW w:w="4140" w:type="dxa"/>
            <w:vAlign w:val="bottom"/>
          </w:tcPr>
          <w:p>
            <w:pPr>
              <w:ind w:left="100"/>
              <w:spacing w:after="0"/>
              <w:rPr>
                <w:sz w:val="20"/>
                <w:szCs w:val="20"/>
                <w:color w:val="auto"/>
              </w:rPr>
            </w:pPr>
            <w:r>
              <w:rPr>
                <w:rFonts w:ascii="Arial" w:cs="Arial" w:eastAsia="Arial" w:hAnsi="Arial"/>
                <w:sz w:val="20"/>
                <w:szCs w:val="20"/>
                <w:color w:val="auto"/>
              </w:rPr>
              <w:t>Foreign exchange</w:t>
            </w:r>
          </w:p>
        </w:tc>
        <w:tc>
          <w:tcPr>
            <w:tcW w:w="156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20"/>
                <w:szCs w:val="20"/>
                <w:color w:val="auto"/>
              </w:rPr>
              <w:t>41</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89</w:t>
            </w:r>
          </w:p>
        </w:tc>
        <w:tc>
          <w:tcPr>
            <w:tcW w:w="3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130</w:t>
            </w:r>
          </w:p>
        </w:tc>
      </w:tr>
      <w:tr>
        <w:trPr>
          <w:trHeight w:val="51"/>
        </w:trPr>
        <w:tc>
          <w:tcPr>
            <w:tcW w:w="4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94"/>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December 31, 2025</w:t>
            </w:r>
          </w:p>
        </w:tc>
        <w:tc>
          <w:tcPr>
            <w:tcW w:w="15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74"/>
        </w:trPr>
        <w:tc>
          <w:tcPr>
            <w:tcW w:w="4140" w:type="dxa"/>
            <w:vAlign w:val="bottom"/>
          </w:tcPr>
          <w:p>
            <w:pPr>
              <w:spacing w:after="0"/>
              <w:rPr>
                <w:sz w:val="20"/>
                <w:szCs w:val="20"/>
                <w:color w:val="auto"/>
              </w:rPr>
            </w:pPr>
            <w:r>
              <w:rPr>
                <w:rFonts w:ascii="Arial" w:cs="Arial" w:eastAsia="Arial" w:hAnsi="Arial"/>
                <w:sz w:val="20"/>
                <w:szCs w:val="20"/>
                <w:color w:val="auto"/>
              </w:rPr>
              <w:t>Goodwill, gross</w:t>
            </w:r>
          </w:p>
        </w:tc>
        <w:tc>
          <w:tcPr>
            <w:tcW w:w="156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20"/>
                <w:szCs w:val="20"/>
                <w:color w:val="auto"/>
              </w:rPr>
              <w:t>7,317</w:t>
            </w:r>
          </w:p>
        </w:tc>
        <w:tc>
          <w:tcPr>
            <w:tcW w:w="32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2,894</w:t>
            </w:r>
          </w:p>
        </w:tc>
        <w:tc>
          <w:tcPr>
            <w:tcW w:w="3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10,211</w:t>
            </w:r>
          </w:p>
        </w:tc>
      </w:tr>
      <w:tr>
        <w:trPr>
          <w:trHeight w:val="41"/>
        </w:trPr>
        <w:tc>
          <w:tcPr>
            <w:tcW w:w="41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Accumulated impairment losses</w:t>
            </w:r>
          </w:p>
        </w:tc>
        <w:tc>
          <w:tcPr>
            <w:tcW w:w="15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(911)</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(362)</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(1,273)</w:t>
            </w:r>
          </w:p>
        </w:tc>
      </w:tr>
      <w:tr>
        <w:trPr>
          <w:trHeight w:val="274"/>
        </w:trPr>
        <w:tc>
          <w:tcPr>
            <w:tcW w:w="4140" w:type="dxa"/>
            <w:vAlign w:val="bottom"/>
          </w:tcPr>
          <w:p>
            <w:pPr>
              <w:spacing w:after="0"/>
              <w:rPr>
                <w:sz w:val="20"/>
                <w:szCs w:val="20"/>
                <w:color w:val="auto"/>
              </w:rPr>
            </w:pPr>
            <w:r>
              <w:rPr>
                <w:rFonts w:ascii="Arial" w:cs="Arial" w:eastAsia="Arial" w:hAnsi="Arial"/>
                <w:sz w:val="20"/>
                <w:szCs w:val="20"/>
                <w:color w:val="auto"/>
              </w:rPr>
              <w:t>Goodwill, net - December 31, 2025</w:t>
            </w:r>
          </w:p>
        </w:tc>
        <w:tc>
          <w:tcPr>
            <w:tcW w:w="15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61"/>
              <w:spacing w:after="0"/>
              <w:rPr>
                <w:sz w:val="20"/>
                <w:szCs w:val="20"/>
                <w:color w:val="auto"/>
              </w:rPr>
            </w:pPr>
            <w:r>
              <w:rPr>
                <w:rFonts w:ascii="Arial" w:cs="Arial" w:eastAsia="Arial" w:hAnsi="Arial"/>
                <w:sz w:val="20"/>
                <w:szCs w:val="20"/>
                <w:color w:val="auto"/>
              </w:rPr>
              <w:t>6,406</w:t>
            </w:r>
          </w:p>
        </w:tc>
        <w:tc>
          <w:tcPr>
            <w:tcW w:w="3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81"/>
              <w:spacing w:after="0"/>
              <w:rPr>
                <w:sz w:val="20"/>
                <w:szCs w:val="20"/>
                <w:color w:val="auto"/>
              </w:rPr>
            </w:pPr>
            <w:r>
              <w:rPr>
                <w:rFonts w:ascii="Arial" w:cs="Arial" w:eastAsia="Arial" w:hAnsi="Arial"/>
                <w:sz w:val="20"/>
                <w:szCs w:val="20"/>
                <w:color w:val="auto"/>
              </w:rPr>
              <w:t>2,532</w:t>
            </w:r>
          </w:p>
        </w:tc>
        <w:tc>
          <w:tcPr>
            <w:tcW w:w="3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1"/>
              <w:spacing w:after="0"/>
              <w:rPr>
                <w:sz w:val="20"/>
                <w:szCs w:val="20"/>
                <w:color w:val="auto"/>
              </w:rPr>
            </w:pPr>
            <w:r>
              <w:rPr>
                <w:rFonts w:ascii="Arial" w:cs="Arial" w:eastAsia="Arial" w:hAnsi="Arial"/>
                <w:sz w:val="20"/>
                <w:szCs w:val="20"/>
                <w:color w:val="auto"/>
              </w:rPr>
              <w:t>8,938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-3605530</wp:posOffset>
            </wp:positionV>
            <wp:extent cx="2493010"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1">
                      <a:extLst>
                        <a:ext uri="{28A0092B-C50C-407E-A947-70E740481C1C}"/>
                      </a:extLst>
                    </a:blip>
                    <a:srcRect/>
                    <a:stretch>
                      <a:fillRect/>
                    </a:stretch>
                  </pic:blipFill>
                  <pic:spPr bwMode="auto">
                    <a:xfrm>
                      <a:off x="0" y="0"/>
                      <a:ext cx="2493010" cy="635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-2999740</wp:posOffset>
            </wp:positionV>
            <wp:extent cx="2493010"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2">
                      <a:extLst>
                        <a:ext uri="{28A0092B-C50C-407E-A947-70E740481C1C}"/>
                      </a:extLst>
                    </a:blip>
                    <a:srcRect/>
                    <a:stretch>
                      <a:fillRect/>
                    </a:stretch>
                  </pic:blipFill>
                  <pic:spPr bwMode="auto">
                    <a:xfrm>
                      <a:off x="0" y="0"/>
                      <a:ext cx="2493010" cy="635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-1995170</wp:posOffset>
            </wp:positionV>
            <wp:extent cx="2493010"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3">
                      <a:extLst>
                        <a:ext uri="{28A0092B-C50C-407E-A947-70E740481C1C}"/>
                      </a:extLst>
                    </a:blip>
                    <a:srcRect/>
                    <a:stretch>
                      <a:fillRect/>
                    </a:stretch>
                  </pic:blipFill>
                  <pic:spPr bwMode="auto">
                    <a:xfrm>
                      <a:off x="0" y="0"/>
                      <a:ext cx="2493010" cy="635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-1390015</wp:posOffset>
            </wp:positionV>
            <wp:extent cx="2493010"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4">
                      <a:extLst>
                        <a:ext uri="{28A0092B-C50C-407E-A947-70E740481C1C}"/>
                      </a:extLst>
                    </a:blip>
                    <a:srcRect/>
                    <a:stretch>
                      <a:fillRect/>
                    </a:stretch>
                  </pic:blipFill>
                  <pic:spPr bwMode="auto">
                    <a:xfrm>
                      <a:off x="0" y="0"/>
                      <a:ext cx="2493010" cy="635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-784860</wp:posOffset>
            </wp:positionV>
            <wp:extent cx="2493010"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5">
                      <a:extLst>
                        <a:ext uri="{28A0092B-C50C-407E-A947-70E740481C1C}"/>
                      </a:extLst>
                    </a:blip>
                    <a:srcRect/>
                    <a:stretch>
                      <a:fillRect/>
                    </a:stretch>
                  </pic:blipFill>
                  <pic:spPr bwMode="auto">
                    <a:xfrm>
                      <a:off x="0" y="0"/>
                      <a:ext cx="2493010" cy="635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-179705</wp:posOffset>
            </wp:positionV>
            <wp:extent cx="2493010"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6">
                      <a:extLst>
                        <a:ext uri="{28A0092B-C50C-407E-A947-70E740481C1C}"/>
                      </a:extLst>
                    </a:blip>
                    <a:srcRect/>
                    <a:stretch>
                      <a:fillRect/>
                    </a:stretch>
                  </pic:blipFill>
                  <pic:spPr bwMode="auto">
                    <a:xfrm>
                      <a:off x="0" y="0"/>
                      <a:ext cx="2493010" cy="635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26035</wp:posOffset>
            </wp:positionV>
            <wp:extent cx="2493010" cy="285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7">
                      <a:extLst>
                        <a:ext uri="{28A0092B-C50C-407E-A947-70E740481C1C}"/>
                      </a:extLst>
                    </a:blip>
                    <a:srcRect/>
                    <a:stretch>
                      <a:fillRect/>
                    </a:stretch>
                  </pic:blipFill>
                  <pic:spPr bwMode="auto">
                    <a:xfrm>
                      <a:off x="0" y="0"/>
                      <a:ext cx="249301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257810</wp:posOffset>
            </wp:positionV>
            <wp:extent cx="795655"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28">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26" w:right="60" w:hanging="226"/>
        <w:spacing w:after="0" w:line="386" w:lineRule="auto"/>
        <w:tabs>
          <w:tab w:leader="none" w:pos="226"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goodwill associated with the TRANZACT sale was reduced by $261 million resulting from a relative fair value allocation of the impairment of goodwill on the BDO reporting unit. Therefore the accumulated impairment losses at December 31, 2024 have been reduced by this amount.</w:t>
      </w:r>
    </w:p>
    <w:p>
      <w:pPr>
        <w:spacing w:after="0" w:line="14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Other Intangible Assets</w:t>
      </w:r>
    </w:p>
    <w:p>
      <w:pPr>
        <w:spacing w:after="0" w:line="260" w:lineRule="exact"/>
        <w:rPr>
          <w:sz w:val="20"/>
          <w:szCs w:val="20"/>
          <w:color w:val="auto"/>
        </w:rPr>
      </w:pPr>
    </w:p>
    <w:p>
      <w:pPr>
        <w:ind w:left="6" w:right="200"/>
        <w:spacing w:after="0" w:line="302" w:lineRule="auto"/>
        <w:rPr>
          <w:sz w:val="20"/>
          <w:szCs w:val="20"/>
          <w:color w:val="auto"/>
        </w:rPr>
      </w:pPr>
      <w:r>
        <w:rPr>
          <w:rFonts w:ascii="Arial" w:cs="Arial" w:eastAsia="Arial" w:hAnsi="Arial"/>
          <w:sz w:val="20"/>
          <w:szCs w:val="20"/>
          <w:color w:val="auto"/>
        </w:rPr>
        <w:t>The following table reflects changes in the net carrying amounts of the components of finite-lived intangible assets for the years ended December 31, 2025 and 2024:</w:t>
      </w:r>
    </w:p>
    <w:p>
      <w:pPr>
        <w:spacing w:after="0" w:line="350"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gridSpan w:val="2"/>
          </w:tcPr>
          <w:p>
            <w:pPr>
              <w:jc w:val="center"/>
              <w:ind w:right="26"/>
              <w:spacing w:after="0"/>
              <w:rPr>
                <w:sz w:val="20"/>
                <w:szCs w:val="20"/>
                <w:color w:val="auto"/>
              </w:rPr>
            </w:pPr>
            <w:r>
              <w:rPr>
                <w:rFonts w:ascii="Arial" w:cs="Arial" w:eastAsia="Arial" w:hAnsi="Arial"/>
                <w:sz w:val="16"/>
                <w:szCs w:val="16"/>
                <w:b w:val="1"/>
                <w:bCs w:val="1"/>
                <w:color w:val="auto"/>
                <w:w w:val="95"/>
              </w:rPr>
              <w:t>Trademark</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0"/>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403"/>
              <w:spacing w:after="0"/>
              <w:rPr>
                <w:sz w:val="20"/>
                <w:szCs w:val="20"/>
                <w:color w:val="auto"/>
              </w:rPr>
            </w:pPr>
            <w:r>
              <w:rPr>
                <w:rFonts w:ascii="Arial" w:cs="Arial" w:eastAsia="Arial" w:hAnsi="Arial"/>
                <w:sz w:val="16"/>
                <w:szCs w:val="16"/>
                <w:b w:val="1"/>
                <w:bCs w:val="1"/>
                <w:color w:val="auto"/>
              </w:rPr>
              <w:t>Client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center"/>
              <w:ind w:right="286"/>
              <w:spacing w:after="0"/>
              <w:rPr>
                <w:sz w:val="20"/>
                <w:szCs w:val="20"/>
                <w:color w:val="auto"/>
              </w:rPr>
            </w:pPr>
            <w:r>
              <w:rPr>
                <w:rFonts w:ascii="Arial" w:cs="Arial" w:eastAsia="Arial" w:hAnsi="Arial"/>
                <w:sz w:val="16"/>
                <w:szCs w:val="16"/>
                <w:b w:val="1"/>
                <w:bCs w:val="1"/>
                <w:color w:val="auto"/>
                <w:w w:val="91"/>
              </w:rPr>
              <w:t>and trade</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0"/>
        </w:trPr>
        <w:tc>
          <w:tcPr>
            <w:tcW w:w="3440" w:type="dxa"/>
            <w:vAlign w:val="bottom"/>
          </w:tcPr>
          <w:p>
            <w:pPr>
              <w:spacing w:after="0"/>
              <w:rPr>
                <w:sz w:val="20"/>
                <w:szCs w:val="20"/>
                <w:color w:val="auto"/>
              </w:rPr>
            </w:pPr>
          </w:p>
        </w:tc>
        <w:tc>
          <w:tcPr>
            <w:tcW w:w="1180" w:type="dxa"/>
            <w:vAlign w:val="bottom"/>
            <w:gridSpan w:val="2"/>
          </w:tcPr>
          <w:p>
            <w:pPr>
              <w:jc w:val="right"/>
              <w:ind w:right="143"/>
              <w:spacing w:after="0"/>
              <w:rPr>
                <w:sz w:val="20"/>
                <w:szCs w:val="20"/>
                <w:color w:val="auto"/>
              </w:rPr>
            </w:pPr>
            <w:r>
              <w:rPr>
                <w:rFonts w:ascii="Arial" w:cs="Arial" w:eastAsia="Arial" w:hAnsi="Arial"/>
                <w:sz w:val="16"/>
                <w:szCs w:val="16"/>
                <w:b w:val="1"/>
                <w:bCs w:val="1"/>
                <w:color w:val="auto"/>
                <w:w w:val="92"/>
              </w:rPr>
              <w:t>relationships</w:t>
            </w:r>
          </w:p>
        </w:tc>
        <w:tc>
          <w:tcPr>
            <w:tcW w:w="260" w:type="dxa"/>
            <w:vAlign w:val="bottom"/>
          </w:tcPr>
          <w:p>
            <w:pPr>
              <w:spacing w:after="0"/>
              <w:rPr>
                <w:sz w:val="20"/>
                <w:szCs w:val="20"/>
                <w:color w:val="auto"/>
              </w:rPr>
            </w:pPr>
          </w:p>
        </w:tc>
        <w:tc>
          <w:tcPr>
            <w:tcW w:w="1000" w:type="dxa"/>
            <w:vAlign w:val="bottom"/>
          </w:tcPr>
          <w:p>
            <w:pPr>
              <w:jc w:val="right"/>
              <w:ind w:right="263"/>
              <w:spacing w:after="0"/>
              <w:rPr>
                <w:sz w:val="20"/>
                <w:szCs w:val="20"/>
                <w:color w:val="auto"/>
              </w:rPr>
            </w:pPr>
            <w:r>
              <w:rPr>
                <w:rFonts w:ascii="Arial" w:cs="Arial" w:eastAsia="Arial" w:hAnsi="Arial"/>
                <w:sz w:val="16"/>
                <w:szCs w:val="16"/>
                <w:b w:val="1"/>
                <w:bCs w:val="1"/>
                <w:color w:val="auto"/>
                <w:w w:val="91"/>
              </w:rPr>
              <w:t>Software</w:t>
            </w:r>
          </w:p>
        </w:tc>
        <w:tc>
          <w:tcPr>
            <w:tcW w:w="260" w:type="dxa"/>
            <w:vAlign w:val="bottom"/>
          </w:tcPr>
          <w:p>
            <w:pPr>
              <w:spacing w:after="0"/>
              <w:rPr>
                <w:sz w:val="20"/>
                <w:szCs w:val="20"/>
                <w:color w:val="auto"/>
              </w:rPr>
            </w:pPr>
          </w:p>
        </w:tc>
        <w:tc>
          <w:tcPr>
            <w:tcW w:w="1040" w:type="dxa"/>
            <w:vAlign w:val="bottom"/>
          </w:tcPr>
          <w:p>
            <w:pPr>
              <w:jc w:val="center"/>
              <w:ind w:right="246"/>
              <w:spacing w:after="0"/>
              <w:rPr>
                <w:sz w:val="20"/>
                <w:szCs w:val="20"/>
                <w:color w:val="auto"/>
              </w:rPr>
            </w:pPr>
            <w:r>
              <w:rPr>
                <w:rFonts w:ascii="Arial" w:cs="Arial" w:eastAsia="Arial" w:hAnsi="Arial"/>
                <w:sz w:val="16"/>
                <w:szCs w:val="16"/>
                <w:b w:val="1"/>
                <w:bCs w:val="1"/>
                <w:color w:val="auto"/>
                <w:w w:val="90"/>
              </w:rPr>
              <w:t>name</w:t>
            </w:r>
          </w:p>
        </w:tc>
        <w:tc>
          <w:tcPr>
            <w:tcW w:w="260" w:type="dxa"/>
            <w:vAlign w:val="bottom"/>
          </w:tcPr>
          <w:p>
            <w:pPr>
              <w:spacing w:after="0"/>
              <w:rPr>
                <w:sz w:val="20"/>
                <w:szCs w:val="20"/>
                <w:color w:val="auto"/>
              </w:rPr>
            </w:pPr>
          </w:p>
        </w:tc>
        <w:tc>
          <w:tcPr>
            <w:tcW w:w="800" w:type="dxa"/>
            <w:vAlign w:val="bottom"/>
          </w:tcPr>
          <w:p>
            <w:pPr>
              <w:jc w:val="right"/>
              <w:ind w:right="263"/>
              <w:spacing w:after="0"/>
              <w:rPr>
                <w:sz w:val="20"/>
                <w:szCs w:val="20"/>
                <w:color w:val="auto"/>
              </w:rPr>
            </w:pPr>
            <w:r>
              <w:rPr>
                <w:rFonts w:ascii="Arial" w:cs="Arial" w:eastAsia="Arial" w:hAnsi="Arial"/>
                <w:sz w:val="16"/>
                <w:szCs w:val="16"/>
                <w:b w:val="1"/>
                <w:bCs w:val="1"/>
                <w:color w:val="auto"/>
                <w:w w:val="98"/>
              </w:rPr>
              <w:t>Other</w:t>
            </w:r>
          </w:p>
        </w:tc>
        <w:tc>
          <w:tcPr>
            <w:tcW w:w="340" w:type="dxa"/>
            <w:vAlign w:val="bottom"/>
          </w:tcPr>
          <w:p>
            <w:pPr>
              <w:spacing w:after="0"/>
              <w:rPr>
                <w:sz w:val="20"/>
                <w:szCs w:val="20"/>
                <w:color w:val="auto"/>
              </w:rPr>
            </w:pPr>
          </w:p>
        </w:tc>
        <w:tc>
          <w:tcPr>
            <w:tcW w:w="820" w:type="dxa"/>
            <w:vAlign w:val="bottom"/>
          </w:tcPr>
          <w:p>
            <w:pPr>
              <w:jc w:val="right"/>
              <w:ind w:right="283"/>
              <w:spacing w:after="0"/>
              <w:rPr>
                <w:sz w:val="20"/>
                <w:szCs w:val="20"/>
                <w:color w:val="auto"/>
              </w:rPr>
            </w:pPr>
            <w:r>
              <w:rPr>
                <w:rFonts w:ascii="Arial" w:cs="Arial" w:eastAsia="Arial" w:hAnsi="Arial"/>
                <w:sz w:val="16"/>
                <w:szCs w:val="16"/>
                <w:b w:val="1"/>
                <w:bCs w:val="1"/>
                <w:color w:val="auto"/>
              </w:rPr>
              <w:t>Total</w:t>
            </w:r>
          </w:p>
        </w:tc>
      </w:tr>
      <w:tr>
        <w:trPr>
          <w:trHeight w:val="42"/>
        </w:trPr>
        <w:tc>
          <w:tcPr>
            <w:tcW w:w="3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94"/>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December 31, 2023:</w:t>
            </w:r>
          </w:p>
        </w:tc>
        <w:tc>
          <w:tcPr>
            <w:tcW w:w="2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r>
      <w:tr>
        <w:trPr>
          <w:trHeight w:val="274"/>
        </w:trPr>
        <w:tc>
          <w:tcPr>
            <w:tcW w:w="3440" w:type="dxa"/>
            <w:vAlign w:val="bottom"/>
          </w:tcPr>
          <w:p>
            <w:pPr>
              <w:ind w:left="60"/>
              <w:spacing w:after="0"/>
              <w:rPr>
                <w:sz w:val="20"/>
                <w:szCs w:val="20"/>
                <w:color w:val="auto"/>
              </w:rPr>
            </w:pPr>
            <w:r>
              <w:rPr>
                <w:rFonts w:ascii="Arial" w:cs="Arial" w:eastAsia="Arial" w:hAnsi="Arial"/>
                <w:sz w:val="20"/>
                <w:szCs w:val="20"/>
                <w:color w:val="auto"/>
              </w:rPr>
              <w:t>Intangible assets, gross</w:t>
            </w:r>
          </w:p>
        </w:tc>
        <w:tc>
          <w:tcPr>
            <w:tcW w:w="20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Pr>
          <w:p>
            <w:pPr>
              <w:jc w:val="right"/>
              <w:ind w:right="123"/>
              <w:spacing w:after="0"/>
              <w:rPr>
                <w:sz w:val="20"/>
                <w:szCs w:val="20"/>
                <w:color w:val="auto"/>
              </w:rPr>
            </w:pPr>
            <w:r>
              <w:rPr>
                <w:rFonts w:ascii="Arial" w:cs="Arial" w:eastAsia="Arial" w:hAnsi="Arial"/>
                <w:sz w:val="20"/>
                <w:szCs w:val="20"/>
                <w:color w:val="auto"/>
              </w:rPr>
              <w:t>3,807</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123"/>
              <w:spacing w:after="0"/>
              <w:rPr>
                <w:sz w:val="20"/>
                <w:szCs w:val="20"/>
                <w:color w:val="auto"/>
              </w:rPr>
            </w:pPr>
            <w:r>
              <w:rPr>
                <w:rFonts w:ascii="Arial" w:cs="Arial" w:eastAsia="Arial" w:hAnsi="Arial"/>
                <w:sz w:val="20"/>
                <w:szCs w:val="20"/>
                <w:color w:val="auto"/>
              </w:rPr>
              <w:t>729</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126"/>
              <w:spacing w:after="0"/>
              <w:rPr>
                <w:sz w:val="20"/>
                <w:szCs w:val="20"/>
                <w:color w:val="auto"/>
              </w:rPr>
            </w:pPr>
            <w:r>
              <w:rPr>
                <w:rFonts w:ascii="Arial" w:cs="Arial" w:eastAsia="Arial" w:hAnsi="Arial"/>
                <w:sz w:val="20"/>
                <w:szCs w:val="20"/>
                <w:color w:val="auto"/>
              </w:rPr>
              <w:t>1,039</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ind w:right="123"/>
              <w:spacing w:after="0"/>
              <w:rPr>
                <w:sz w:val="20"/>
                <w:szCs w:val="20"/>
                <w:color w:val="auto"/>
              </w:rPr>
            </w:pPr>
            <w:r>
              <w:rPr>
                <w:rFonts w:ascii="Arial" w:cs="Arial" w:eastAsia="Arial" w:hAnsi="Arial"/>
                <w:sz w:val="20"/>
                <w:szCs w:val="20"/>
                <w:color w:val="auto"/>
              </w:rPr>
              <w:t>63</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23"/>
              <w:spacing w:after="0"/>
              <w:rPr>
                <w:sz w:val="20"/>
                <w:szCs w:val="20"/>
                <w:color w:val="auto"/>
              </w:rPr>
            </w:pPr>
            <w:r>
              <w:rPr>
                <w:rFonts w:ascii="Arial" w:cs="Arial" w:eastAsia="Arial" w:hAnsi="Arial"/>
                <w:sz w:val="20"/>
                <w:szCs w:val="20"/>
                <w:color w:val="auto"/>
              </w:rPr>
              <w:t>5,638</w:t>
            </w:r>
          </w:p>
        </w:tc>
      </w:tr>
      <w:tr>
        <w:trPr>
          <w:trHeight w:val="41"/>
        </w:trPr>
        <w:tc>
          <w:tcPr>
            <w:tcW w:w="3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304"/>
        </w:trPr>
        <w:tc>
          <w:tcPr>
            <w:tcW w:w="34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Accumulated amortization</w:t>
            </w:r>
          </w:p>
        </w:tc>
        <w:tc>
          <w:tcPr>
            <w:tcW w:w="2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20"/>
                <w:szCs w:val="20"/>
                <w:color w:val="auto"/>
              </w:rPr>
              <w:t>(2,514)</w:t>
            </w:r>
          </w:p>
        </w:tc>
        <w:tc>
          <w:tcPr>
            <w:tcW w:w="2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20"/>
                <w:szCs w:val="20"/>
                <w:color w:val="auto"/>
              </w:rPr>
              <w:t>(726)</w:t>
            </w:r>
          </w:p>
        </w:tc>
        <w:tc>
          <w:tcPr>
            <w:tcW w:w="2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20"/>
                <w:szCs w:val="20"/>
                <w:color w:val="auto"/>
              </w:rPr>
              <w:t>(342)</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20"/>
                <w:szCs w:val="20"/>
                <w:color w:val="auto"/>
              </w:rPr>
              <w:t>(40)</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(3,622)</w:t>
            </w:r>
          </w:p>
        </w:tc>
      </w:tr>
      <w:tr>
        <w:trPr>
          <w:trHeight w:val="274"/>
        </w:trPr>
        <w:tc>
          <w:tcPr>
            <w:tcW w:w="3440" w:type="dxa"/>
            <w:vAlign w:val="bottom"/>
          </w:tcPr>
          <w:p>
            <w:pPr>
              <w:spacing w:after="0"/>
              <w:rPr>
                <w:sz w:val="20"/>
                <w:szCs w:val="20"/>
                <w:color w:val="auto"/>
              </w:rPr>
            </w:pPr>
            <w:r>
              <w:rPr>
                <w:rFonts w:ascii="Arial" w:cs="Arial" w:eastAsia="Arial" w:hAnsi="Arial"/>
                <w:sz w:val="20"/>
                <w:szCs w:val="20"/>
                <w:color w:val="auto"/>
                <w:w w:val="89"/>
              </w:rPr>
              <w:t>Intangible assets, net - December 31, 2023</w:t>
            </w:r>
          </w:p>
        </w:tc>
        <w:tc>
          <w:tcPr>
            <w:tcW w:w="200" w:type="dxa"/>
            <w:vAlign w:val="bottom"/>
          </w:tcPr>
          <w:p>
            <w:pPr>
              <w:spacing w:after="0"/>
              <w:rPr>
                <w:sz w:val="23"/>
                <w:szCs w:val="23"/>
                <w:color w:val="auto"/>
              </w:rPr>
            </w:pPr>
          </w:p>
        </w:tc>
        <w:tc>
          <w:tcPr>
            <w:tcW w:w="980" w:type="dxa"/>
            <w:vAlign w:val="bottom"/>
          </w:tcPr>
          <w:p>
            <w:pPr>
              <w:jc w:val="right"/>
              <w:ind w:right="123"/>
              <w:spacing w:after="0"/>
              <w:rPr>
                <w:sz w:val="20"/>
                <w:szCs w:val="20"/>
                <w:color w:val="auto"/>
              </w:rPr>
            </w:pPr>
            <w:r>
              <w:rPr>
                <w:rFonts w:ascii="Arial" w:cs="Arial" w:eastAsia="Arial" w:hAnsi="Arial"/>
                <w:sz w:val="20"/>
                <w:szCs w:val="20"/>
                <w:color w:val="auto"/>
              </w:rPr>
              <w:t>1,293</w:t>
            </w:r>
          </w:p>
        </w:tc>
        <w:tc>
          <w:tcPr>
            <w:tcW w:w="260" w:type="dxa"/>
            <w:vAlign w:val="bottom"/>
          </w:tcPr>
          <w:p>
            <w:pPr>
              <w:spacing w:after="0"/>
              <w:rPr>
                <w:sz w:val="23"/>
                <w:szCs w:val="23"/>
                <w:color w:val="auto"/>
              </w:rPr>
            </w:pPr>
          </w:p>
        </w:tc>
        <w:tc>
          <w:tcPr>
            <w:tcW w:w="1000" w:type="dxa"/>
            <w:vAlign w:val="bottom"/>
          </w:tcPr>
          <w:p>
            <w:pPr>
              <w:jc w:val="right"/>
              <w:ind w:right="123"/>
              <w:spacing w:after="0"/>
              <w:rPr>
                <w:sz w:val="20"/>
                <w:szCs w:val="20"/>
                <w:color w:val="auto"/>
              </w:rPr>
            </w:pPr>
            <w:r>
              <w:rPr>
                <w:rFonts w:ascii="Arial" w:cs="Arial" w:eastAsia="Arial" w:hAnsi="Arial"/>
                <w:sz w:val="20"/>
                <w:szCs w:val="20"/>
                <w:color w:val="auto"/>
              </w:rPr>
              <w:t>3</w:t>
            </w:r>
          </w:p>
        </w:tc>
        <w:tc>
          <w:tcPr>
            <w:tcW w:w="260" w:type="dxa"/>
            <w:vAlign w:val="bottom"/>
          </w:tcPr>
          <w:p>
            <w:pPr>
              <w:spacing w:after="0"/>
              <w:rPr>
                <w:sz w:val="23"/>
                <w:szCs w:val="23"/>
                <w:color w:val="auto"/>
              </w:rPr>
            </w:pPr>
          </w:p>
        </w:tc>
        <w:tc>
          <w:tcPr>
            <w:tcW w:w="1040" w:type="dxa"/>
            <w:vAlign w:val="bottom"/>
          </w:tcPr>
          <w:p>
            <w:pPr>
              <w:jc w:val="right"/>
              <w:ind w:right="126"/>
              <w:spacing w:after="0"/>
              <w:rPr>
                <w:sz w:val="20"/>
                <w:szCs w:val="20"/>
                <w:color w:val="auto"/>
              </w:rPr>
            </w:pPr>
            <w:r>
              <w:rPr>
                <w:rFonts w:ascii="Arial" w:cs="Arial" w:eastAsia="Arial" w:hAnsi="Arial"/>
                <w:sz w:val="20"/>
                <w:szCs w:val="20"/>
                <w:color w:val="auto"/>
              </w:rPr>
              <w:t>697</w:t>
            </w:r>
          </w:p>
        </w:tc>
        <w:tc>
          <w:tcPr>
            <w:tcW w:w="260" w:type="dxa"/>
            <w:vAlign w:val="bottom"/>
          </w:tcPr>
          <w:p>
            <w:pPr>
              <w:spacing w:after="0"/>
              <w:rPr>
                <w:sz w:val="23"/>
                <w:szCs w:val="23"/>
                <w:color w:val="auto"/>
              </w:rPr>
            </w:pPr>
          </w:p>
        </w:tc>
        <w:tc>
          <w:tcPr>
            <w:tcW w:w="800" w:type="dxa"/>
            <w:vAlign w:val="bottom"/>
          </w:tcPr>
          <w:p>
            <w:pPr>
              <w:jc w:val="right"/>
              <w:ind w:right="123"/>
              <w:spacing w:after="0"/>
              <w:rPr>
                <w:sz w:val="20"/>
                <w:szCs w:val="20"/>
                <w:color w:val="auto"/>
              </w:rPr>
            </w:pPr>
            <w:r>
              <w:rPr>
                <w:rFonts w:ascii="Arial" w:cs="Arial" w:eastAsia="Arial" w:hAnsi="Arial"/>
                <w:sz w:val="20"/>
                <w:szCs w:val="20"/>
                <w:color w:val="auto"/>
              </w:rPr>
              <w:t>23</w:t>
            </w:r>
          </w:p>
        </w:tc>
        <w:tc>
          <w:tcPr>
            <w:tcW w:w="340" w:type="dxa"/>
            <w:vAlign w:val="bottom"/>
          </w:tcPr>
          <w:p>
            <w:pPr>
              <w:spacing w:after="0"/>
              <w:rPr>
                <w:sz w:val="23"/>
                <w:szCs w:val="23"/>
                <w:color w:val="auto"/>
              </w:rPr>
            </w:pPr>
          </w:p>
        </w:tc>
        <w:tc>
          <w:tcPr>
            <w:tcW w:w="820" w:type="dxa"/>
            <w:vAlign w:val="bottom"/>
          </w:tcPr>
          <w:p>
            <w:pPr>
              <w:jc w:val="right"/>
              <w:ind w:right="23"/>
              <w:spacing w:after="0"/>
              <w:rPr>
                <w:sz w:val="20"/>
                <w:szCs w:val="20"/>
                <w:color w:val="auto"/>
              </w:rPr>
            </w:pPr>
            <w:r>
              <w:rPr>
                <w:rFonts w:ascii="Arial" w:cs="Arial" w:eastAsia="Arial" w:hAnsi="Arial"/>
                <w:sz w:val="20"/>
                <w:szCs w:val="20"/>
                <w:color w:val="auto"/>
              </w:rPr>
              <w:t>2,016</w:t>
            </w:r>
          </w:p>
        </w:tc>
      </w:tr>
      <w:tr>
        <w:trPr>
          <w:trHeight w:val="41"/>
        </w:trPr>
        <w:tc>
          <w:tcPr>
            <w:tcW w:w="3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94"/>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Intangible assets acquired</w:t>
            </w:r>
          </w:p>
        </w:tc>
        <w:tc>
          <w:tcPr>
            <w:tcW w:w="2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123"/>
              <w:spacing w:after="0"/>
              <w:rPr>
                <w:sz w:val="20"/>
                <w:szCs w:val="20"/>
                <w:color w:val="auto"/>
              </w:rPr>
            </w:pPr>
            <w:r>
              <w:rPr>
                <w:rFonts w:ascii="Arial" w:cs="Arial" w:eastAsia="Arial" w:hAnsi="Arial"/>
                <w:sz w:val="20"/>
                <w:szCs w:val="20"/>
                <w:color w:val="auto"/>
              </w:rPr>
              <w:t>22</w:t>
            </w:r>
          </w:p>
        </w:tc>
        <w:tc>
          <w:tcPr>
            <w:tcW w:w="2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123"/>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126"/>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23"/>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22</w:t>
            </w:r>
          </w:p>
        </w:tc>
      </w:tr>
      <w:tr>
        <w:trPr>
          <w:trHeight w:val="274"/>
        </w:trPr>
        <w:tc>
          <w:tcPr>
            <w:tcW w:w="3440" w:type="dxa"/>
            <w:vAlign w:val="bottom"/>
          </w:tcPr>
          <w:p>
            <w:pPr>
              <w:spacing w:after="0"/>
              <w:rPr>
                <w:sz w:val="20"/>
                <w:szCs w:val="20"/>
                <w:color w:val="auto"/>
              </w:rPr>
            </w:pPr>
            <w:r>
              <w:rPr>
                <w:rFonts w:ascii="Arial" w:cs="Arial" w:eastAsia="Arial" w:hAnsi="Arial"/>
                <w:sz w:val="20"/>
                <w:szCs w:val="20"/>
                <w:color w:val="auto"/>
              </w:rPr>
              <w:t>Intangible asset disposals</w:t>
            </w:r>
          </w:p>
        </w:tc>
        <w:tc>
          <w:tcPr>
            <w:tcW w:w="200" w:type="dxa"/>
            <w:vAlign w:val="bottom"/>
          </w:tcPr>
          <w:p>
            <w:pPr>
              <w:spacing w:after="0"/>
              <w:rPr>
                <w:sz w:val="23"/>
                <w:szCs w:val="23"/>
                <w:color w:val="auto"/>
              </w:rPr>
            </w:pPr>
          </w:p>
        </w:tc>
        <w:tc>
          <w:tcPr>
            <w:tcW w:w="980" w:type="dxa"/>
            <w:vAlign w:val="bottom"/>
          </w:tcPr>
          <w:p>
            <w:pPr>
              <w:jc w:val="right"/>
              <w:ind w:right="43"/>
              <w:spacing w:after="0"/>
              <w:rPr>
                <w:sz w:val="20"/>
                <w:szCs w:val="20"/>
                <w:color w:val="auto"/>
              </w:rPr>
            </w:pPr>
            <w:r>
              <w:rPr>
                <w:rFonts w:ascii="Arial" w:cs="Arial" w:eastAsia="Arial" w:hAnsi="Arial"/>
                <w:sz w:val="20"/>
                <w:szCs w:val="20"/>
                <w:color w:val="auto"/>
              </w:rPr>
              <w:t>(484)</w:t>
            </w:r>
          </w:p>
        </w:tc>
        <w:tc>
          <w:tcPr>
            <w:tcW w:w="260" w:type="dxa"/>
            <w:vAlign w:val="bottom"/>
          </w:tcPr>
          <w:p>
            <w:pPr>
              <w:spacing w:after="0"/>
              <w:rPr>
                <w:sz w:val="23"/>
                <w:szCs w:val="23"/>
                <w:color w:val="auto"/>
              </w:rPr>
            </w:pPr>
          </w:p>
        </w:tc>
        <w:tc>
          <w:tcPr>
            <w:tcW w:w="1000" w:type="dxa"/>
            <w:vAlign w:val="bottom"/>
          </w:tcPr>
          <w:p>
            <w:pPr>
              <w:jc w:val="right"/>
              <w:ind w:right="123"/>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3"/>
                <w:szCs w:val="23"/>
                <w:color w:val="auto"/>
              </w:rPr>
            </w:pPr>
          </w:p>
        </w:tc>
        <w:tc>
          <w:tcPr>
            <w:tcW w:w="1040" w:type="dxa"/>
            <w:vAlign w:val="bottom"/>
          </w:tcPr>
          <w:p>
            <w:pPr>
              <w:jc w:val="right"/>
              <w:ind w:right="126"/>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20"/>
                <w:szCs w:val="20"/>
                <w:color w:val="auto"/>
              </w:rPr>
              <w:t>(17)</w:t>
            </w:r>
          </w:p>
        </w:tc>
        <w:tc>
          <w:tcPr>
            <w:tcW w:w="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2204720</wp:posOffset>
            </wp:positionH>
            <wp:positionV relativeFrom="paragraph">
              <wp:posOffset>-1184275</wp:posOffset>
            </wp:positionV>
            <wp:extent cx="3763010"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29">
                      <a:extLst>
                        <a:ext uri="{28A0092B-C50C-407E-A947-70E740481C1C}"/>
                      </a:extLst>
                    </a:blip>
                    <a:srcRect/>
                    <a:stretch>
                      <a:fillRect/>
                    </a:stretch>
                  </pic:blipFill>
                  <pic:spPr bwMode="auto">
                    <a:xfrm>
                      <a:off x="0" y="0"/>
                      <a:ext cx="3763010" cy="6350"/>
                    </a:xfrm>
                    <a:prstGeom prst="rect">
                      <a:avLst/>
                    </a:prstGeom>
                    <a:noFill/>
                  </pic:spPr>
                </pic:pic>
              </a:graphicData>
            </a:graphic>
          </wp:anchor>
        </w:drawing>
        <w:drawing>
          <wp:anchor simplePos="0" relativeHeight="251657728" behindDoc="1" locked="0" layoutInCell="0" allowOverlap="1">
            <wp:simplePos x="0" y="0"/>
            <wp:positionH relativeFrom="column">
              <wp:posOffset>2204720</wp:posOffset>
            </wp:positionH>
            <wp:positionV relativeFrom="paragraph">
              <wp:posOffset>-579120</wp:posOffset>
            </wp:positionV>
            <wp:extent cx="3763010"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0">
                      <a:extLst>
                        <a:ext uri="{28A0092B-C50C-407E-A947-70E740481C1C}"/>
                      </a:extLst>
                    </a:blip>
                    <a:srcRect/>
                    <a:stretch>
                      <a:fillRect/>
                    </a:stretch>
                  </pic:blipFill>
                  <pic:spPr bwMode="auto">
                    <a:xfrm>
                      <a:off x="0" y="0"/>
                      <a:ext cx="3763010" cy="63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 / 21</w:t>
      </w:r>
    </w:p>
    <w:p>
      <w:pPr>
        <w:sectPr>
          <w:pgSz w:w="11900" w:h="16838" w:orient="portrait"/>
          <w:cols w:equalWidth="0" w:num="1">
            <w:col w:w="9406"/>
          </w:cols>
          <w:pgMar w:left="1254" w:top="1440" w:right="1246" w:bottom="0" w:gutter="0" w:footer="0" w:header="0"/>
          <w:type w:val="continuous"/>
        </w:sectPr>
      </w:pPr>
    </w:p>
    <w:bookmarkStart w:id="202" w:name="page203"/>
    <w:bookmarkEnd w:id="202"/>
    <w:tbl>
      <w:tblPr>
        <w:tblLayout w:type="fixed"/>
        <w:tblInd w:w="0" w:type="dxa"/>
        <w:tblCellMar>
          <w:top w:w="0" w:type="dxa"/>
          <w:left w:w="0" w:type="dxa"/>
          <w:bottom w:w="0" w:type="dxa"/>
          <w:right w:w="0" w:type="dxa"/>
        </w:tblCellMar>
      </w:tblPr>
      <w:tr>
        <w:trPr>
          <w:trHeight w:val="294"/>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Amortization</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(177)</w:t>
            </w:r>
          </w:p>
        </w:tc>
        <w:tc>
          <w:tcPr>
            <w:tcW w:w="4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w:t>
            </w:r>
          </w:p>
        </w:tc>
        <w:tc>
          <w:tcPr>
            <w:tcW w:w="4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(43)</w:t>
            </w:r>
          </w:p>
        </w:tc>
        <w:tc>
          <w:tcPr>
            <w:tcW w:w="4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w:t>
            </w:r>
          </w:p>
        </w:tc>
        <w:tc>
          <w:tcPr>
            <w:tcW w:w="3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(226)</w:t>
            </w:r>
          </w:p>
        </w:tc>
      </w:tr>
      <w:tr>
        <w:trPr>
          <w:trHeight w:val="274"/>
        </w:trPr>
        <w:tc>
          <w:tcPr>
            <w:tcW w:w="3440" w:type="dxa"/>
            <w:vAlign w:val="bottom"/>
          </w:tcPr>
          <w:p>
            <w:pPr>
              <w:spacing w:after="0"/>
              <w:rPr>
                <w:sz w:val="20"/>
                <w:szCs w:val="20"/>
                <w:color w:val="auto"/>
              </w:rPr>
            </w:pPr>
            <w:r>
              <w:rPr>
                <w:rFonts w:ascii="Arial" w:cs="Arial" w:eastAsia="Arial" w:hAnsi="Arial"/>
                <w:sz w:val="20"/>
                <w:szCs w:val="20"/>
                <w:color w:val="auto"/>
              </w:rPr>
              <w:t>Foreign exchange</w:t>
            </w:r>
          </w:p>
        </w:tc>
        <w:tc>
          <w:tcPr>
            <w:tcW w:w="28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20"/>
                <w:szCs w:val="20"/>
                <w:color w:val="auto"/>
              </w:rPr>
              <w:t>(16)</w:t>
            </w:r>
          </w:p>
        </w:tc>
        <w:tc>
          <w:tcPr>
            <w:tcW w:w="460" w:type="dxa"/>
            <w:vAlign w:val="bottom"/>
          </w:tcPr>
          <w:p>
            <w:pPr>
              <w:spacing w:after="0"/>
              <w:rPr>
                <w:sz w:val="23"/>
                <w:szCs w:val="23"/>
                <w:color w:val="auto"/>
              </w:rPr>
            </w:pPr>
          </w:p>
        </w:tc>
        <w:tc>
          <w:tcPr>
            <w:tcW w:w="800" w:type="dxa"/>
            <w:vAlign w:val="bottom"/>
          </w:tcPr>
          <w:p>
            <w:pPr>
              <w:jc w:val="right"/>
              <w:ind w:right="120"/>
              <w:spacing w:after="0"/>
              <w:rPr>
                <w:sz w:val="20"/>
                <w:szCs w:val="20"/>
                <w:color w:val="auto"/>
              </w:rPr>
            </w:pPr>
            <w:r>
              <w:rPr>
                <w:rFonts w:ascii="Arial" w:cs="Arial" w:eastAsia="Arial" w:hAnsi="Arial"/>
                <w:sz w:val="20"/>
                <w:szCs w:val="20"/>
                <w:color w:val="auto"/>
              </w:rPr>
              <w:t>2</w:t>
            </w:r>
          </w:p>
        </w:tc>
        <w:tc>
          <w:tcPr>
            <w:tcW w:w="440" w:type="dxa"/>
            <w:vAlign w:val="bottom"/>
          </w:tcPr>
          <w:p>
            <w:pPr>
              <w:spacing w:after="0"/>
              <w:rPr>
                <w:sz w:val="23"/>
                <w:szCs w:val="23"/>
                <w:color w:val="auto"/>
              </w:rPr>
            </w:pPr>
          </w:p>
        </w:tc>
        <w:tc>
          <w:tcPr>
            <w:tcW w:w="86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3"/>
                <w:szCs w:val="23"/>
                <w:color w:val="auto"/>
              </w:rPr>
            </w:pPr>
          </w:p>
        </w:tc>
        <w:tc>
          <w:tcPr>
            <w:tcW w:w="660" w:type="dxa"/>
            <w:vAlign w:val="bottom"/>
          </w:tcPr>
          <w:p>
            <w:pPr>
              <w:jc w:val="right"/>
              <w:ind w:right="40"/>
              <w:spacing w:after="0"/>
              <w:rPr>
                <w:sz w:val="20"/>
                <w:szCs w:val="20"/>
                <w:color w:val="auto"/>
              </w:rPr>
            </w:pPr>
            <w:r>
              <w:rPr>
                <w:rFonts w:ascii="Arial" w:cs="Arial" w:eastAsia="Arial" w:hAnsi="Arial"/>
                <w:sz w:val="20"/>
                <w:szCs w:val="20"/>
                <w:color w:val="auto"/>
              </w:rPr>
              <w:t>(2)</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51"/>
        </w:trPr>
        <w:tc>
          <w:tcPr>
            <w:tcW w:w="3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94"/>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December 31, 2024:</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r>
      <w:tr>
        <w:trPr>
          <w:trHeight w:val="274"/>
        </w:trPr>
        <w:tc>
          <w:tcPr>
            <w:tcW w:w="3440" w:type="dxa"/>
            <w:vAlign w:val="bottom"/>
          </w:tcPr>
          <w:p>
            <w:pPr>
              <w:ind w:left="60"/>
              <w:spacing w:after="0"/>
              <w:rPr>
                <w:sz w:val="20"/>
                <w:szCs w:val="20"/>
                <w:color w:val="auto"/>
              </w:rPr>
            </w:pPr>
            <w:r>
              <w:rPr>
                <w:rFonts w:ascii="Arial" w:cs="Arial" w:eastAsia="Arial" w:hAnsi="Arial"/>
                <w:sz w:val="20"/>
                <w:szCs w:val="20"/>
                <w:color w:val="auto"/>
              </w:rPr>
              <w:t>Intangible assets, gross</w:t>
            </w:r>
          </w:p>
        </w:tc>
        <w:tc>
          <w:tcPr>
            <w:tcW w:w="280" w:type="dxa"/>
            <w:vAlign w:val="bottom"/>
          </w:tcPr>
          <w:p>
            <w:pPr>
              <w:spacing w:after="0"/>
              <w:rPr>
                <w:sz w:val="23"/>
                <w:szCs w:val="23"/>
                <w:color w:val="auto"/>
              </w:rPr>
            </w:pPr>
          </w:p>
        </w:tc>
        <w:tc>
          <w:tcPr>
            <w:tcW w:w="900" w:type="dxa"/>
            <w:vAlign w:val="bottom"/>
          </w:tcPr>
          <w:p>
            <w:pPr>
              <w:jc w:val="right"/>
              <w:ind w:right="120"/>
              <w:spacing w:after="0"/>
              <w:rPr>
                <w:sz w:val="20"/>
                <w:szCs w:val="20"/>
                <w:color w:val="auto"/>
              </w:rPr>
            </w:pPr>
            <w:r>
              <w:rPr>
                <w:rFonts w:ascii="Arial" w:cs="Arial" w:eastAsia="Arial" w:hAnsi="Arial"/>
                <w:sz w:val="20"/>
                <w:szCs w:val="20"/>
                <w:color w:val="auto"/>
              </w:rPr>
              <w:t>3,135</w:t>
            </w:r>
          </w:p>
        </w:tc>
        <w:tc>
          <w:tcPr>
            <w:tcW w:w="460" w:type="dxa"/>
            <w:vAlign w:val="bottom"/>
          </w:tcPr>
          <w:p>
            <w:pPr>
              <w:spacing w:after="0"/>
              <w:rPr>
                <w:sz w:val="23"/>
                <w:szCs w:val="23"/>
                <w:color w:val="auto"/>
              </w:rPr>
            </w:pPr>
          </w:p>
        </w:tc>
        <w:tc>
          <w:tcPr>
            <w:tcW w:w="800" w:type="dxa"/>
            <w:vAlign w:val="bottom"/>
          </w:tcPr>
          <w:p>
            <w:pPr>
              <w:jc w:val="right"/>
              <w:ind w:right="120"/>
              <w:spacing w:after="0"/>
              <w:rPr>
                <w:sz w:val="20"/>
                <w:szCs w:val="20"/>
                <w:color w:val="auto"/>
              </w:rPr>
            </w:pPr>
            <w:r>
              <w:rPr>
                <w:rFonts w:ascii="Arial" w:cs="Arial" w:eastAsia="Arial" w:hAnsi="Arial"/>
                <w:sz w:val="20"/>
                <w:szCs w:val="20"/>
                <w:color w:val="auto"/>
              </w:rPr>
              <w:t>730</w:t>
            </w:r>
          </w:p>
        </w:tc>
        <w:tc>
          <w:tcPr>
            <w:tcW w:w="440" w:type="dxa"/>
            <w:vAlign w:val="bottom"/>
          </w:tcPr>
          <w:p>
            <w:pPr>
              <w:spacing w:after="0"/>
              <w:rPr>
                <w:sz w:val="23"/>
                <w:szCs w:val="23"/>
                <w:color w:val="auto"/>
              </w:rPr>
            </w:pPr>
          </w:p>
        </w:tc>
        <w:tc>
          <w:tcPr>
            <w:tcW w:w="860" w:type="dxa"/>
            <w:vAlign w:val="bottom"/>
          </w:tcPr>
          <w:p>
            <w:pPr>
              <w:jc w:val="right"/>
              <w:ind w:right="120"/>
              <w:spacing w:after="0"/>
              <w:rPr>
                <w:sz w:val="20"/>
                <w:szCs w:val="20"/>
                <w:color w:val="auto"/>
              </w:rPr>
            </w:pPr>
            <w:r>
              <w:rPr>
                <w:rFonts w:ascii="Arial" w:cs="Arial" w:eastAsia="Arial" w:hAnsi="Arial"/>
                <w:sz w:val="20"/>
                <w:szCs w:val="20"/>
                <w:color w:val="auto"/>
              </w:rPr>
              <w:t>1,036</w:t>
            </w:r>
          </w:p>
        </w:tc>
        <w:tc>
          <w:tcPr>
            <w:tcW w:w="400" w:type="dxa"/>
            <w:vAlign w:val="bottom"/>
          </w:tcPr>
          <w:p>
            <w:pPr>
              <w:spacing w:after="0"/>
              <w:rPr>
                <w:sz w:val="23"/>
                <w:szCs w:val="23"/>
                <w:color w:val="auto"/>
              </w:rPr>
            </w:pPr>
          </w:p>
        </w:tc>
        <w:tc>
          <w:tcPr>
            <w:tcW w:w="660" w:type="dxa"/>
            <w:vAlign w:val="bottom"/>
          </w:tcPr>
          <w:p>
            <w:pPr>
              <w:jc w:val="right"/>
              <w:ind w:right="120"/>
              <w:spacing w:after="0"/>
              <w:rPr>
                <w:sz w:val="20"/>
                <w:szCs w:val="20"/>
                <w:color w:val="auto"/>
              </w:rPr>
            </w:pPr>
            <w:r>
              <w:rPr>
                <w:rFonts w:ascii="Arial" w:cs="Arial" w:eastAsia="Arial" w:hAnsi="Arial"/>
                <w:sz w:val="20"/>
                <w:szCs w:val="20"/>
                <w:color w:val="auto"/>
              </w:rPr>
              <w:t>29</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20"/>
                <w:szCs w:val="20"/>
                <w:color w:val="auto"/>
              </w:rPr>
              <w:t>4,930</w:t>
            </w:r>
          </w:p>
        </w:tc>
      </w:tr>
      <w:tr>
        <w:trPr>
          <w:trHeight w:val="41"/>
        </w:trPr>
        <w:tc>
          <w:tcPr>
            <w:tcW w:w="3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304"/>
        </w:trPr>
        <w:tc>
          <w:tcPr>
            <w:tcW w:w="34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Accumulated amortization</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(2,497)</w:t>
            </w:r>
          </w:p>
        </w:tc>
        <w:tc>
          <w:tcPr>
            <w:tcW w:w="4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(727)</w:t>
            </w:r>
          </w:p>
        </w:tc>
        <w:tc>
          <w:tcPr>
            <w:tcW w:w="4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(382)</w:t>
            </w:r>
          </w:p>
        </w:tc>
        <w:tc>
          <w:tcPr>
            <w:tcW w:w="4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(29)</w:t>
            </w:r>
          </w:p>
        </w:tc>
        <w:tc>
          <w:tcPr>
            <w:tcW w:w="3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(3,635)</w:t>
            </w:r>
          </w:p>
        </w:tc>
      </w:tr>
      <w:tr>
        <w:trPr>
          <w:trHeight w:val="274"/>
        </w:trPr>
        <w:tc>
          <w:tcPr>
            <w:tcW w:w="3440" w:type="dxa"/>
            <w:vAlign w:val="bottom"/>
          </w:tcPr>
          <w:p>
            <w:pPr>
              <w:spacing w:after="0"/>
              <w:rPr>
                <w:sz w:val="20"/>
                <w:szCs w:val="20"/>
                <w:color w:val="auto"/>
              </w:rPr>
            </w:pPr>
            <w:r>
              <w:rPr>
                <w:rFonts w:ascii="Arial" w:cs="Arial" w:eastAsia="Arial" w:hAnsi="Arial"/>
                <w:sz w:val="20"/>
                <w:szCs w:val="20"/>
                <w:color w:val="auto"/>
                <w:w w:val="89"/>
              </w:rPr>
              <w:t>Intangible assets, net - December 31, 2024</w:t>
            </w:r>
          </w:p>
        </w:tc>
        <w:tc>
          <w:tcPr>
            <w:tcW w:w="280" w:type="dxa"/>
            <w:vAlign w:val="bottom"/>
          </w:tcPr>
          <w:p>
            <w:pPr>
              <w:spacing w:after="0"/>
              <w:rPr>
                <w:sz w:val="23"/>
                <w:szCs w:val="23"/>
                <w:color w:val="auto"/>
              </w:rPr>
            </w:pPr>
          </w:p>
        </w:tc>
        <w:tc>
          <w:tcPr>
            <w:tcW w:w="900" w:type="dxa"/>
            <w:vAlign w:val="bottom"/>
          </w:tcPr>
          <w:p>
            <w:pPr>
              <w:jc w:val="right"/>
              <w:ind w:right="120"/>
              <w:spacing w:after="0"/>
              <w:rPr>
                <w:sz w:val="20"/>
                <w:szCs w:val="20"/>
                <w:color w:val="auto"/>
              </w:rPr>
            </w:pPr>
            <w:r>
              <w:rPr>
                <w:rFonts w:ascii="Arial" w:cs="Arial" w:eastAsia="Arial" w:hAnsi="Arial"/>
                <w:sz w:val="20"/>
                <w:szCs w:val="20"/>
                <w:color w:val="auto"/>
              </w:rPr>
              <w:t>638</w:t>
            </w:r>
          </w:p>
        </w:tc>
        <w:tc>
          <w:tcPr>
            <w:tcW w:w="460" w:type="dxa"/>
            <w:vAlign w:val="bottom"/>
          </w:tcPr>
          <w:p>
            <w:pPr>
              <w:spacing w:after="0"/>
              <w:rPr>
                <w:sz w:val="23"/>
                <w:szCs w:val="23"/>
                <w:color w:val="auto"/>
              </w:rPr>
            </w:pPr>
          </w:p>
        </w:tc>
        <w:tc>
          <w:tcPr>
            <w:tcW w:w="800" w:type="dxa"/>
            <w:vAlign w:val="bottom"/>
          </w:tcPr>
          <w:p>
            <w:pPr>
              <w:jc w:val="right"/>
              <w:ind w:right="120"/>
              <w:spacing w:after="0"/>
              <w:rPr>
                <w:sz w:val="20"/>
                <w:szCs w:val="20"/>
                <w:color w:val="auto"/>
              </w:rPr>
            </w:pPr>
            <w:r>
              <w:rPr>
                <w:rFonts w:ascii="Arial" w:cs="Arial" w:eastAsia="Arial" w:hAnsi="Arial"/>
                <w:sz w:val="20"/>
                <w:szCs w:val="20"/>
                <w:color w:val="auto"/>
              </w:rPr>
              <w:t>3</w:t>
            </w:r>
          </w:p>
        </w:tc>
        <w:tc>
          <w:tcPr>
            <w:tcW w:w="440" w:type="dxa"/>
            <w:vAlign w:val="bottom"/>
          </w:tcPr>
          <w:p>
            <w:pPr>
              <w:spacing w:after="0"/>
              <w:rPr>
                <w:sz w:val="23"/>
                <w:szCs w:val="23"/>
                <w:color w:val="auto"/>
              </w:rPr>
            </w:pPr>
          </w:p>
        </w:tc>
        <w:tc>
          <w:tcPr>
            <w:tcW w:w="860" w:type="dxa"/>
            <w:vAlign w:val="bottom"/>
          </w:tcPr>
          <w:p>
            <w:pPr>
              <w:jc w:val="right"/>
              <w:ind w:right="120"/>
              <w:spacing w:after="0"/>
              <w:rPr>
                <w:sz w:val="20"/>
                <w:szCs w:val="20"/>
                <w:color w:val="auto"/>
              </w:rPr>
            </w:pPr>
            <w:r>
              <w:rPr>
                <w:rFonts w:ascii="Arial" w:cs="Arial" w:eastAsia="Arial" w:hAnsi="Arial"/>
                <w:sz w:val="20"/>
                <w:szCs w:val="20"/>
                <w:color w:val="auto"/>
              </w:rPr>
              <w:t>654</w:t>
            </w:r>
          </w:p>
        </w:tc>
        <w:tc>
          <w:tcPr>
            <w:tcW w:w="400" w:type="dxa"/>
            <w:vAlign w:val="bottom"/>
          </w:tcPr>
          <w:p>
            <w:pPr>
              <w:spacing w:after="0"/>
              <w:rPr>
                <w:sz w:val="23"/>
                <w:szCs w:val="23"/>
                <w:color w:val="auto"/>
              </w:rPr>
            </w:pPr>
          </w:p>
        </w:tc>
        <w:tc>
          <w:tcPr>
            <w:tcW w:w="66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20"/>
                <w:szCs w:val="20"/>
                <w:color w:val="auto"/>
              </w:rPr>
              <w:t>1,295</w:t>
            </w:r>
          </w:p>
        </w:tc>
      </w:tr>
      <w:tr>
        <w:trPr>
          <w:trHeight w:val="41"/>
        </w:trPr>
        <w:tc>
          <w:tcPr>
            <w:tcW w:w="3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94"/>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Intangible assets acquired</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14</w:t>
            </w:r>
          </w:p>
        </w:tc>
        <w:tc>
          <w:tcPr>
            <w:tcW w:w="4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14</w:t>
            </w:r>
          </w:p>
        </w:tc>
      </w:tr>
      <w:tr>
        <w:trPr>
          <w:trHeight w:val="274"/>
        </w:trPr>
        <w:tc>
          <w:tcPr>
            <w:tcW w:w="3440" w:type="dxa"/>
            <w:vAlign w:val="bottom"/>
          </w:tcPr>
          <w:p>
            <w:pPr>
              <w:spacing w:after="0"/>
              <w:rPr>
                <w:sz w:val="20"/>
                <w:szCs w:val="20"/>
                <w:color w:val="auto"/>
              </w:rPr>
            </w:pPr>
            <w:r>
              <w:rPr>
                <w:rFonts w:ascii="Arial" w:cs="Arial" w:eastAsia="Arial" w:hAnsi="Arial"/>
                <w:sz w:val="20"/>
                <w:szCs w:val="20"/>
                <w:color w:val="auto"/>
              </w:rPr>
              <w:t>Amortization</w:t>
            </w:r>
          </w:p>
        </w:tc>
        <w:tc>
          <w:tcPr>
            <w:tcW w:w="28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20"/>
                <w:szCs w:val="20"/>
                <w:color w:val="auto"/>
              </w:rPr>
              <w:t>(147)</w:t>
            </w:r>
          </w:p>
        </w:tc>
        <w:tc>
          <w:tcPr>
            <w:tcW w:w="46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20"/>
                <w:szCs w:val="20"/>
                <w:color w:val="auto"/>
              </w:rPr>
              <w:t>(2)</w:t>
            </w:r>
          </w:p>
        </w:tc>
        <w:tc>
          <w:tcPr>
            <w:tcW w:w="44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(43)</w:t>
            </w:r>
          </w:p>
        </w:tc>
        <w:tc>
          <w:tcPr>
            <w:tcW w:w="400" w:type="dxa"/>
            <w:vAlign w:val="bottom"/>
          </w:tcPr>
          <w:p>
            <w:pPr>
              <w:spacing w:after="0"/>
              <w:rPr>
                <w:sz w:val="23"/>
                <w:szCs w:val="23"/>
                <w:color w:val="auto"/>
              </w:rPr>
            </w:pPr>
          </w:p>
        </w:tc>
        <w:tc>
          <w:tcPr>
            <w:tcW w:w="66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(192)</w:t>
            </w:r>
          </w:p>
        </w:tc>
      </w:tr>
      <w:tr>
        <w:trPr>
          <w:trHeight w:val="41"/>
        </w:trPr>
        <w:tc>
          <w:tcPr>
            <w:tcW w:w="3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304"/>
        </w:trPr>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Foreign exchange</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24</w:t>
            </w:r>
          </w:p>
        </w:tc>
        <w:tc>
          <w:tcPr>
            <w:tcW w:w="4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24</w:t>
            </w:r>
          </w:p>
        </w:tc>
      </w:tr>
      <w:tr>
        <w:trPr>
          <w:trHeight w:val="274"/>
        </w:trPr>
        <w:tc>
          <w:tcPr>
            <w:tcW w:w="3440" w:type="dxa"/>
            <w:vAlign w:val="bottom"/>
          </w:tcPr>
          <w:p>
            <w:pPr>
              <w:spacing w:after="0"/>
              <w:rPr>
                <w:sz w:val="20"/>
                <w:szCs w:val="20"/>
                <w:color w:val="auto"/>
              </w:rPr>
            </w:pPr>
            <w:r>
              <w:rPr>
                <w:rFonts w:ascii="Arial" w:cs="Arial" w:eastAsia="Arial" w:hAnsi="Arial"/>
                <w:sz w:val="20"/>
                <w:szCs w:val="20"/>
                <w:color w:val="auto"/>
              </w:rPr>
              <w:t>Balance at December 31, 2025:</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41"/>
        </w:trPr>
        <w:tc>
          <w:tcPr>
            <w:tcW w:w="3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94"/>
        </w:trPr>
        <w:tc>
          <w:tcPr>
            <w:tcW w:w="34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Intangible assets, gross</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3,239</w:t>
            </w:r>
          </w:p>
        </w:tc>
        <w:tc>
          <w:tcPr>
            <w:tcW w:w="46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750</w:t>
            </w:r>
          </w:p>
        </w:tc>
        <w:tc>
          <w:tcPr>
            <w:tcW w:w="4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1,041</w:t>
            </w:r>
          </w:p>
        </w:tc>
        <w:tc>
          <w:tcPr>
            <w:tcW w:w="40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29</w:t>
            </w:r>
          </w:p>
        </w:tc>
        <w:tc>
          <w:tcPr>
            <w:tcW w:w="3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5,059</w:t>
            </w:r>
          </w:p>
        </w:tc>
      </w:tr>
      <w:tr>
        <w:trPr>
          <w:trHeight w:val="274"/>
        </w:trPr>
        <w:tc>
          <w:tcPr>
            <w:tcW w:w="3440" w:type="dxa"/>
            <w:vAlign w:val="bottom"/>
          </w:tcPr>
          <w:p>
            <w:pPr>
              <w:ind w:left="60"/>
              <w:spacing w:after="0"/>
              <w:rPr>
                <w:sz w:val="20"/>
                <w:szCs w:val="20"/>
                <w:color w:val="auto"/>
              </w:rPr>
            </w:pPr>
            <w:r>
              <w:rPr>
                <w:rFonts w:ascii="Arial" w:cs="Arial" w:eastAsia="Arial" w:hAnsi="Arial"/>
                <w:sz w:val="20"/>
                <w:szCs w:val="20"/>
                <w:color w:val="auto"/>
              </w:rPr>
              <w:t>Accumulated amortization</w:t>
            </w:r>
          </w:p>
        </w:tc>
        <w:tc>
          <w:tcPr>
            <w:tcW w:w="28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20"/>
                <w:szCs w:val="20"/>
                <w:color w:val="auto"/>
              </w:rPr>
              <w:t>(2,710)</w:t>
            </w:r>
          </w:p>
        </w:tc>
        <w:tc>
          <w:tcPr>
            <w:tcW w:w="46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20"/>
                <w:szCs w:val="20"/>
                <w:color w:val="auto"/>
              </w:rPr>
              <w:t>(749)</w:t>
            </w:r>
          </w:p>
        </w:tc>
        <w:tc>
          <w:tcPr>
            <w:tcW w:w="440" w:type="dxa"/>
            <w:vAlign w:val="bottom"/>
          </w:tcPr>
          <w:p>
            <w:pPr>
              <w:spacing w:after="0"/>
              <w:rPr>
                <w:sz w:val="23"/>
                <w:szCs w:val="23"/>
                <w:color w:val="auto"/>
              </w:rPr>
            </w:pP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(430)</w:t>
            </w:r>
          </w:p>
        </w:tc>
        <w:tc>
          <w:tcPr>
            <w:tcW w:w="400" w:type="dxa"/>
            <w:vAlign w:val="bottom"/>
          </w:tcPr>
          <w:p>
            <w:pPr>
              <w:spacing w:after="0"/>
              <w:rPr>
                <w:sz w:val="23"/>
                <w:szCs w:val="23"/>
                <w:color w:val="auto"/>
              </w:rPr>
            </w:pPr>
          </w:p>
        </w:tc>
        <w:tc>
          <w:tcPr>
            <w:tcW w:w="660" w:type="dxa"/>
            <w:vAlign w:val="bottom"/>
          </w:tcPr>
          <w:p>
            <w:pPr>
              <w:jc w:val="right"/>
              <w:ind w:right="40"/>
              <w:spacing w:after="0"/>
              <w:rPr>
                <w:sz w:val="20"/>
                <w:szCs w:val="20"/>
                <w:color w:val="auto"/>
              </w:rPr>
            </w:pPr>
            <w:r>
              <w:rPr>
                <w:rFonts w:ascii="Arial" w:cs="Arial" w:eastAsia="Arial" w:hAnsi="Arial"/>
                <w:sz w:val="20"/>
                <w:szCs w:val="20"/>
                <w:color w:val="auto"/>
              </w:rPr>
              <w:t>(29)</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(3,918)</w:t>
            </w:r>
          </w:p>
        </w:tc>
      </w:tr>
      <w:tr>
        <w:trPr>
          <w:trHeight w:val="51"/>
        </w:trPr>
        <w:tc>
          <w:tcPr>
            <w:tcW w:w="3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74"/>
        </w:trPr>
        <w:tc>
          <w:tcPr>
            <w:tcW w:w="3440" w:type="dxa"/>
            <w:vAlign w:val="bottom"/>
            <w:shd w:val="clear" w:color="auto" w:fill="CFF0FC"/>
          </w:tcPr>
          <w:p>
            <w:pPr>
              <w:spacing w:after="0"/>
              <w:rPr>
                <w:sz w:val="20"/>
                <w:szCs w:val="20"/>
                <w:color w:val="auto"/>
              </w:rPr>
            </w:pPr>
            <w:r>
              <w:rPr>
                <w:rFonts w:ascii="Arial" w:cs="Arial" w:eastAsia="Arial" w:hAnsi="Arial"/>
                <w:sz w:val="20"/>
                <w:szCs w:val="20"/>
                <w:color w:val="auto"/>
                <w:w w:val="89"/>
              </w:rPr>
              <w:t>Intangible assets, net - December 31, 2025</w:t>
            </w:r>
          </w:p>
        </w:tc>
        <w:tc>
          <w:tcPr>
            <w:tcW w:w="28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w w:val="89"/>
              </w:rPr>
              <w:t>$</w:t>
            </w:r>
          </w:p>
        </w:tc>
        <w:tc>
          <w:tcPr>
            <w:tcW w:w="90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529</w:t>
            </w:r>
          </w:p>
        </w:tc>
        <w:tc>
          <w:tcPr>
            <w:tcW w:w="46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1</w:t>
            </w:r>
          </w:p>
        </w:tc>
        <w:tc>
          <w:tcPr>
            <w:tcW w:w="44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611</w:t>
            </w:r>
          </w:p>
        </w:tc>
        <w:tc>
          <w:tcPr>
            <w:tcW w:w="40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66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1,141</w:t>
            </w:r>
          </w:p>
        </w:tc>
      </w:tr>
      <w:tr>
        <w:trPr>
          <w:trHeight w:val="86"/>
        </w:trPr>
        <w:tc>
          <w:tcPr>
            <w:tcW w:w="344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800" w:type="dxa"/>
            <w:vAlign w:val="bottom"/>
            <w:shd w:val="clear" w:color="auto" w:fill="CFF0FC"/>
          </w:tcPr>
          <w:p>
            <w:pPr>
              <w:spacing w:after="0"/>
              <w:rPr>
                <w:sz w:val="7"/>
                <w:szCs w:val="7"/>
                <w:color w:val="auto"/>
              </w:rPr>
            </w:pPr>
          </w:p>
        </w:tc>
        <w:tc>
          <w:tcPr>
            <w:tcW w:w="44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66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-2249170</wp:posOffset>
            </wp:positionV>
            <wp:extent cx="3763010"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1">
                      <a:extLst>
                        <a:ext uri="{28A0092B-C50C-407E-A947-70E740481C1C}"/>
                      </a:extLst>
                    </a:blip>
                    <a:srcRect/>
                    <a:stretch>
                      <a:fillRect/>
                    </a:stretch>
                  </pic:blipFill>
                  <pic:spPr bwMode="auto">
                    <a:xfrm>
                      <a:off x="0" y="0"/>
                      <a:ext cx="3763010" cy="635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-1644015</wp:posOffset>
            </wp:positionV>
            <wp:extent cx="3763010"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2">
                      <a:extLst>
                        <a:ext uri="{28A0092B-C50C-407E-A947-70E740481C1C}"/>
                      </a:extLst>
                    </a:blip>
                    <a:srcRect/>
                    <a:stretch>
                      <a:fillRect/>
                    </a:stretch>
                  </pic:blipFill>
                  <pic:spPr bwMode="auto">
                    <a:xfrm>
                      <a:off x="0" y="0"/>
                      <a:ext cx="3763010" cy="635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-839470</wp:posOffset>
            </wp:positionV>
            <wp:extent cx="3763010"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3">
                      <a:extLst>
                        <a:ext uri="{28A0092B-C50C-407E-A947-70E740481C1C}"/>
                      </a:extLst>
                    </a:blip>
                    <a:srcRect/>
                    <a:stretch>
                      <a:fillRect/>
                    </a:stretch>
                  </pic:blipFill>
                  <pic:spPr bwMode="auto">
                    <a:xfrm>
                      <a:off x="0" y="0"/>
                      <a:ext cx="3763010" cy="635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-233680</wp:posOffset>
            </wp:positionV>
            <wp:extent cx="3763010"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4">
                      <a:extLst>
                        <a:ext uri="{28A0092B-C50C-407E-A947-70E740481C1C}"/>
                      </a:extLst>
                    </a:blip>
                    <a:srcRect/>
                    <a:stretch>
                      <a:fillRect/>
                    </a:stretch>
                  </pic:blipFill>
                  <pic:spPr bwMode="auto">
                    <a:xfrm>
                      <a:off x="0" y="0"/>
                      <a:ext cx="3763010" cy="635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-27940</wp:posOffset>
            </wp:positionV>
            <wp:extent cx="3763010" cy="285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5">
                      <a:extLst>
                        <a:ext uri="{28A0092B-C50C-407E-A947-70E740481C1C}"/>
                      </a:extLst>
                    </a:blip>
                    <a:srcRect/>
                    <a:stretch>
                      <a:fillRect/>
                    </a:stretch>
                  </pic:blipFill>
                  <pic:spPr bwMode="auto">
                    <a:xfrm>
                      <a:off x="0" y="0"/>
                      <a:ext cx="3763010" cy="2857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The weighted-average remaining life of amortizable intangible assets at December 31, 2025 was 10.7 years.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21</w:t>
      </w:r>
    </w:p>
    <w:p>
      <w:pPr>
        <w:sectPr>
          <w:pgSz w:w="11900" w:h="16838" w:orient="portrait"/>
          <w:cols w:equalWidth="0" w:num="1">
            <w:col w:w="9400"/>
          </w:cols>
          <w:pgMar w:left="1260" w:top="1133" w:right="1246" w:bottom="0" w:gutter="0" w:footer="0" w:header="0"/>
          <w:type w:val="continuous"/>
        </w:sectPr>
      </w:pPr>
    </w:p>
    <w:bookmarkStart w:id="203" w:name="page204"/>
    <w:bookmarkEnd w:id="2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00"/>
        <w:spacing w:after="0" w:line="302" w:lineRule="auto"/>
        <w:rPr>
          <w:sz w:val="20"/>
          <w:szCs w:val="20"/>
          <w:color w:val="auto"/>
        </w:rPr>
      </w:pPr>
      <w:r>
        <w:rPr>
          <w:rFonts w:ascii="Arial" w:cs="Arial" w:eastAsia="Arial" w:hAnsi="Arial"/>
          <w:sz w:val="20"/>
          <w:szCs w:val="20"/>
          <w:color w:val="auto"/>
        </w:rPr>
        <w:t>The table below reflects the future estimated amortization expense for amortizable intangible assets for the next five years and thereafter:</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tcPr>
          <w:p>
            <w:pPr>
              <w:spacing w:after="0"/>
              <w:rPr>
                <w:sz w:val="20"/>
                <w:szCs w:val="20"/>
                <w:color w:val="auto"/>
              </w:rPr>
            </w:pPr>
            <w:r>
              <w:rPr>
                <w:rFonts w:ascii="Arial" w:cs="Arial" w:eastAsia="Arial" w:hAnsi="Arial"/>
                <w:sz w:val="16"/>
                <w:szCs w:val="16"/>
                <w:b w:val="1"/>
                <w:bCs w:val="1"/>
                <w:color w:val="auto"/>
              </w:rPr>
              <w:t>Years ended December 31,</w:t>
            </w:r>
          </w:p>
        </w:tc>
        <w:tc>
          <w:tcPr>
            <w:tcW w:w="3160" w:type="dxa"/>
            <w:vAlign w:val="bottom"/>
          </w:tcPr>
          <w:p>
            <w:pPr>
              <w:spacing w:after="0"/>
              <w:rPr>
                <w:sz w:val="16"/>
                <w:szCs w:val="16"/>
                <w:color w:val="auto"/>
              </w:rPr>
            </w:pPr>
          </w:p>
        </w:tc>
        <w:tc>
          <w:tcPr>
            <w:tcW w:w="1480" w:type="dxa"/>
            <w:vAlign w:val="bottom"/>
          </w:tcPr>
          <w:p>
            <w:pPr>
              <w:jc w:val="right"/>
              <w:ind w:right="343"/>
              <w:spacing w:after="0"/>
              <w:rPr>
                <w:sz w:val="20"/>
                <w:szCs w:val="20"/>
                <w:color w:val="auto"/>
              </w:rPr>
            </w:pPr>
            <w:r>
              <w:rPr>
                <w:rFonts w:ascii="Arial" w:cs="Arial" w:eastAsia="Arial" w:hAnsi="Arial"/>
                <w:sz w:val="16"/>
                <w:szCs w:val="16"/>
                <w:b w:val="1"/>
                <w:bCs w:val="1"/>
                <w:color w:val="auto"/>
              </w:rPr>
              <w:t>Amortization</w:t>
            </w:r>
          </w:p>
        </w:tc>
      </w:tr>
      <w:tr>
        <w:trPr>
          <w:trHeight w:val="42"/>
        </w:trPr>
        <w:tc>
          <w:tcPr>
            <w:tcW w:w="47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80"/>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3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172</w:t>
            </w:r>
          </w:p>
        </w:tc>
      </w:tr>
      <w:tr>
        <w:trPr>
          <w:trHeight w:val="259"/>
        </w:trPr>
        <w:tc>
          <w:tcPr>
            <w:tcW w:w="4760" w:type="dxa"/>
            <w:vAlign w:val="bottom"/>
          </w:tcPr>
          <w:p>
            <w:pPr>
              <w:spacing w:after="0"/>
              <w:rPr>
                <w:sz w:val="20"/>
                <w:szCs w:val="20"/>
                <w:color w:val="auto"/>
              </w:rPr>
            </w:pPr>
            <w:r>
              <w:rPr>
                <w:rFonts w:ascii="Arial" w:cs="Arial" w:eastAsia="Arial" w:hAnsi="Arial"/>
                <w:sz w:val="20"/>
                <w:szCs w:val="20"/>
                <w:color w:val="auto"/>
              </w:rPr>
              <w:t>2027</w:t>
            </w:r>
          </w:p>
        </w:tc>
        <w:tc>
          <w:tcPr>
            <w:tcW w:w="3160" w:type="dxa"/>
            <w:vAlign w:val="bottom"/>
          </w:tcPr>
          <w:p>
            <w:pPr>
              <w:spacing w:after="0"/>
              <w:rPr>
                <w:sz w:val="22"/>
                <w:szCs w:val="22"/>
                <w:color w:val="auto"/>
              </w:rPr>
            </w:pPr>
          </w:p>
        </w:tc>
        <w:tc>
          <w:tcPr>
            <w:tcW w:w="1480" w:type="dxa"/>
            <w:vAlign w:val="bottom"/>
          </w:tcPr>
          <w:p>
            <w:pPr>
              <w:jc w:val="right"/>
              <w:ind w:right="3"/>
              <w:spacing w:after="0"/>
              <w:rPr>
                <w:sz w:val="20"/>
                <w:szCs w:val="20"/>
                <w:color w:val="auto"/>
              </w:rPr>
            </w:pPr>
            <w:r>
              <w:rPr>
                <w:rFonts w:ascii="Arial" w:cs="Arial" w:eastAsia="Arial" w:hAnsi="Arial"/>
                <w:sz w:val="20"/>
                <w:szCs w:val="20"/>
                <w:color w:val="auto"/>
              </w:rPr>
              <w:t>154</w:t>
            </w:r>
          </w:p>
        </w:tc>
      </w:tr>
      <w:tr>
        <w:trPr>
          <w:trHeight w:val="41"/>
        </w:trPr>
        <w:tc>
          <w:tcPr>
            <w:tcW w:w="47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80"/>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2028</w:t>
            </w:r>
          </w:p>
        </w:tc>
        <w:tc>
          <w:tcPr>
            <w:tcW w:w="316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138</w:t>
            </w:r>
          </w:p>
        </w:tc>
      </w:tr>
      <w:tr>
        <w:trPr>
          <w:trHeight w:val="259"/>
        </w:trPr>
        <w:tc>
          <w:tcPr>
            <w:tcW w:w="4760" w:type="dxa"/>
            <w:vAlign w:val="bottom"/>
          </w:tcPr>
          <w:p>
            <w:pPr>
              <w:spacing w:after="0"/>
              <w:rPr>
                <w:sz w:val="20"/>
                <w:szCs w:val="20"/>
                <w:color w:val="auto"/>
              </w:rPr>
            </w:pPr>
            <w:r>
              <w:rPr>
                <w:rFonts w:ascii="Arial" w:cs="Arial" w:eastAsia="Arial" w:hAnsi="Arial"/>
                <w:sz w:val="20"/>
                <w:szCs w:val="20"/>
                <w:color w:val="auto"/>
              </w:rPr>
              <w:t>2029</w:t>
            </w:r>
          </w:p>
        </w:tc>
        <w:tc>
          <w:tcPr>
            <w:tcW w:w="3160" w:type="dxa"/>
            <w:vAlign w:val="bottom"/>
          </w:tcPr>
          <w:p>
            <w:pPr>
              <w:spacing w:after="0"/>
              <w:rPr>
                <w:sz w:val="22"/>
                <w:szCs w:val="22"/>
                <w:color w:val="auto"/>
              </w:rPr>
            </w:pPr>
          </w:p>
        </w:tc>
        <w:tc>
          <w:tcPr>
            <w:tcW w:w="1480" w:type="dxa"/>
            <w:vAlign w:val="bottom"/>
          </w:tcPr>
          <w:p>
            <w:pPr>
              <w:jc w:val="right"/>
              <w:ind w:right="3"/>
              <w:spacing w:after="0"/>
              <w:rPr>
                <w:sz w:val="20"/>
                <w:szCs w:val="20"/>
                <w:color w:val="auto"/>
              </w:rPr>
            </w:pPr>
            <w:r>
              <w:rPr>
                <w:rFonts w:ascii="Arial" w:cs="Arial" w:eastAsia="Arial" w:hAnsi="Arial"/>
                <w:sz w:val="20"/>
                <w:szCs w:val="20"/>
                <w:color w:val="auto"/>
              </w:rPr>
              <w:t>117</w:t>
            </w:r>
          </w:p>
        </w:tc>
      </w:tr>
      <w:tr>
        <w:trPr>
          <w:trHeight w:val="41"/>
        </w:trPr>
        <w:tc>
          <w:tcPr>
            <w:tcW w:w="4760" w:type="dxa"/>
            <w:vAlign w:val="bottom"/>
          </w:tcPr>
          <w:p>
            <w:pPr>
              <w:spacing w:after="0"/>
              <w:rPr>
                <w:sz w:val="3"/>
                <w:szCs w:val="3"/>
                <w:color w:val="auto"/>
              </w:rPr>
            </w:pPr>
          </w:p>
        </w:tc>
        <w:tc>
          <w:tcPr>
            <w:tcW w:w="31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80"/>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2030</w:t>
            </w:r>
          </w:p>
        </w:tc>
        <w:tc>
          <w:tcPr>
            <w:tcW w:w="316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100</w:t>
            </w:r>
          </w:p>
        </w:tc>
      </w:tr>
      <w:tr>
        <w:trPr>
          <w:trHeight w:val="259"/>
        </w:trPr>
        <w:tc>
          <w:tcPr>
            <w:tcW w:w="4760" w:type="dxa"/>
            <w:vAlign w:val="bottom"/>
          </w:tcPr>
          <w:p>
            <w:pPr>
              <w:spacing w:after="0"/>
              <w:rPr>
                <w:sz w:val="20"/>
                <w:szCs w:val="20"/>
                <w:color w:val="auto"/>
              </w:rPr>
            </w:pPr>
            <w:r>
              <w:rPr>
                <w:rFonts w:ascii="Arial" w:cs="Arial" w:eastAsia="Arial" w:hAnsi="Arial"/>
                <w:sz w:val="20"/>
                <w:szCs w:val="20"/>
                <w:color w:val="auto"/>
              </w:rPr>
              <w:t>Thereafter</w:t>
            </w:r>
          </w:p>
        </w:tc>
        <w:tc>
          <w:tcPr>
            <w:tcW w:w="3160" w:type="dxa"/>
            <w:vAlign w:val="bottom"/>
          </w:tcPr>
          <w:p>
            <w:pPr>
              <w:spacing w:after="0"/>
              <w:rPr>
                <w:sz w:val="22"/>
                <w:szCs w:val="22"/>
                <w:color w:val="auto"/>
              </w:rPr>
            </w:pPr>
          </w:p>
        </w:tc>
        <w:tc>
          <w:tcPr>
            <w:tcW w:w="1480" w:type="dxa"/>
            <w:vAlign w:val="bottom"/>
          </w:tcPr>
          <w:p>
            <w:pPr>
              <w:jc w:val="right"/>
              <w:ind w:right="3"/>
              <w:spacing w:after="0"/>
              <w:rPr>
                <w:sz w:val="20"/>
                <w:szCs w:val="20"/>
                <w:color w:val="auto"/>
              </w:rPr>
            </w:pPr>
            <w:r>
              <w:rPr>
                <w:rFonts w:ascii="Arial" w:cs="Arial" w:eastAsia="Arial" w:hAnsi="Arial"/>
                <w:sz w:val="20"/>
                <w:szCs w:val="20"/>
                <w:color w:val="auto"/>
              </w:rPr>
              <w:t>460</w:t>
            </w:r>
          </w:p>
        </w:tc>
      </w:tr>
      <w:tr>
        <w:trPr>
          <w:trHeight w:val="51"/>
        </w:trPr>
        <w:tc>
          <w:tcPr>
            <w:tcW w:w="47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59"/>
        </w:trPr>
        <w:tc>
          <w:tcPr>
            <w:tcW w:w="4760" w:type="dxa"/>
            <w:vAlign w:val="bottom"/>
            <w:shd w:val="clear" w:color="auto" w:fill="CFF0FC"/>
          </w:tcPr>
          <w:p>
            <w:pPr>
              <w:spacing w:after="0"/>
              <w:rPr>
                <w:sz w:val="20"/>
                <w:szCs w:val="20"/>
                <w:color w:val="auto"/>
              </w:rPr>
            </w:pPr>
            <w:r>
              <w:rPr>
                <w:rFonts w:ascii="Arial" w:cs="Arial" w:eastAsia="Arial" w:hAnsi="Arial"/>
                <w:sz w:val="20"/>
                <w:szCs w:val="20"/>
                <w:color w:val="auto"/>
              </w:rPr>
              <w:t>Total</w:t>
            </w:r>
          </w:p>
        </w:tc>
        <w:tc>
          <w:tcPr>
            <w:tcW w:w="31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FF0FC"/>
          </w:tcPr>
          <w:p>
            <w:pPr>
              <w:jc w:val="right"/>
              <w:ind w:right="3"/>
              <w:spacing w:after="0"/>
              <w:rPr>
                <w:sz w:val="20"/>
                <w:szCs w:val="20"/>
                <w:color w:val="auto"/>
              </w:rPr>
            </w:pPr>
            <w:r>
              <w:rPr>
                <w:rFonts w:ascii="Arial" w:cs="Arial" w:eastAsia="Arial" w:hAnsi="Arial"/>
                <w:sz w:val="20"/>
                <w:szCs w:val="20"/>
                <w:color w:val="auto"/>
              </w:rPr>
              <w:t>1,141</w:t>
            </w:r>
          </w:p>
        </w:tc>
      </w:tr>
      <w:tr>
        <w:trPr>
          <w:trHeight w:val="86"/>
        </w:trPr>
        <w:tc>
          <w:tcPr>
            <w:tcW w:w="4760" w:type="dxa"/>
            <w:vAlign w:val="bottom"/>
            <w:shd w:val="clear" w:color="auto" w:fill="CFF0FC"/>
          </w:tcPr>
          <w:p>
            <w:pPr>
              <w:spacing w:after="0"/>
              <w:rPr>
                <w:sz w:val="7"/>
                <w:szCs w:val="7"/>
                <w:color w:val="auto"/>
              </w:rPr>
            </w:pPr>
          </w:p>
        </w:tc>
        <w:tc>
          <w:tcPr>
            <w:tcW w:w="316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-1374140</wp:posOffset>
            </wp:positionV>
            <wp:extent cx="1310005"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7">
                      <a:extLst>
                        <a:ext uri="{28A0092B-C50C-407E-A947-70E740481C1C}"/>
                      </a:extLst>
                    </a:blip>
                    <a:srcRect/>
                    <a:stretch>
                      <a:fillRect/>
                    </a:stretch>
                  </pic:blipFill>
                  <pic:spPr bwMode="auto">
                    <a:xfrm>
                      <a:off x="0" y="0"/>
                      <a:ext cx="1310005" cy="6350"/>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-1374140</wp:posOffset>
            </wp:positionV>
            <wp:extent cx="1080770"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38">
                      <a:extLst>
                        <a:ext uri="{28A0092B-C50C-407E-A947-70E740481C1C}"/>
                      </a:extLst>
                    </a:blip>
                    <a:srcRect/>
                    <a:stretch>
                      <a:fillRect/>
                    </a:stretch>
                  </pic:blipFill>
                  <pic:spPr bwMode="auto">
                    <a:xfrm>
                      <a:off x="0" y="0"/>
                      <a:ext cx="1080770" cy="6350"/>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-224790</wp:posOffset>
            </wp:positionV>
            <wp:extent cx="1080770"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39">
                      <a:extLst>
                        <a:ext uri="{28A0092B-C50C-407E-A947-70E740481C1C}"/>
                      </a:extLst>
                    </a:blip>
                    <a:srcRect/>
                    <a:stretch>
                      <a:fillRect/>
                    </a:stretch>
                  </pic:blipFill>
                  <pic:spPr bwMode="auto">
                    <a:xfrm>
                      <a:off x="0" y="0"/>
                      <a:ext cx="1080770" cy="6350"/>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-27940</wp:posOffset>
            </wp:positionV>
            <wp:extent cx="1080770" cy="285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0">
                      <a:extLst>
                        <a:ext uri="{28A0092B-C50C-407E-A947-70E740481C1C}"/>
                      </a:extLst>
                    </a:blip>
                    <a:srcRect/>
                    <a:stretch>
                      <a:fillRect/>
                    </a:stretch>
                  </pic:blipFill>
                  <pic:spPr bwMode="auto">
                    <a:xfrm>
                      <a:off x="0" y="0"/>
                      <a:ext cx="1080770" cy="2857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 Derivative Financial Instruments</w:t>
      </w:r>
    </w:p>
    <w:p>
      <w:pPr>
        <w:spacing w:after="0" w:line="260"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2 — Basis of Presentation, Significant Accounting Policies and Recent Accounting Pronouncements, Note 12 — Fair Value Measurements and Investments and Note 18 — Accumulated Other Comprehensive Loss.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Risk</w:t>
      </w:r>
    </w:p>
    <w:p>
      <w:pPr>
        <w:spacing w:after="0" w:line="260" w:lineRule="exact"/>
        <w:rPr>
          <w:sz w:val="20"/>
          <w:szCs w:val="20"/>
          <w:color w:val="auto"/>
        </w:rPr>
      </w:pPr>
    </w:p>
    <w:p>
      <w:pPr>
        <w:ind w:right="120"/>
        <w:spacing w:after="0" w:line="329" w:lineRule="auto"/>
        <w:rPr>
          <w:sz w:val="20"/>
          <w:szCs w:val="20"/>
          <w:color w:val="auto"/>
        </w:rPr>
      </w:pPr>
      <w:r>
        <w:rPr>
          <w:rFonts w:ascii="Arial" w:cs="Arial" w:eastAsia="Arial" w:hAnsi="Arial"/>
          <w:sz w:val="19"/>
          <w:szCs w:val="19"/>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consolidated balance sheets. To reduce such variability, we use foreign exchange contracts to hedge against this currency risk.</w:t>
      </w:r>
    </w:p>
    <w:p>
      <w:pPr>
        <w:spacing w:after="0" w:line="183" w:lineRule="exact"/>
        <w:rPr>
          <w:sz w:val="20"/>
          <w:szCs w:val="20"/>
          <w:color w:val="auto"/>
        </w:rPr>
      </w:pPr>
    </w:p>
    <w:p>
      <w:pPr>
        <w:ind w:right="140"/>
        <w:spacing w:after="0" w:line="307" w:lineRule="auto"/>
        <w:rPr>
          <w:sz w:val="20"/>
          <w:szCs w:val="20"/>
          <w:color w:val="auto"/>
        </w:rPr>
      </w:pPr>
      <w:r>
        <w:rPr>
          <w:rFonts w:ascii="Arial" w:cs="Arial" w:eastAsia="Arial" w:hAnsi="Arial"/>
          <w:sz w:val="20"/>
          <w:szCs w:val="20"/>
          <w:color w:val="auto"/>
        </w:rPr>
        <w:t>These derivatives were designated as hedging instruments and at December 31, 2025 and December 31, 2024 had total notional amounts of $165 million and $176 million, respectively, with a net fair value asset of $3 million and a net fair value liability of $2 million, respectively.</w:t>
      </w:r>
    </w:p>
    <w:p>
      <w:pPr>
        <w:spacing w:after="0" w:line="197" w:lineRule="exact"/>
        <w:rPr>
          <w:sz w:val="20"/>
          <w:szCs w:val="20"/>
          <w:color w:val="auto"/>
        </w:rPr>
      </w:pPr>
    </w:p>
    <w:p>
      <w:pPr>
        <w:ind w:right="340"/>
        <w:spacing w:after="0" w:line="309" w:lineRule="auto"/>
        <w:rPr>
          <w:sz w:val="20"/>
          <w:szCs w:val="20"/>
          <w:color w:val="auto"/>
        </w:rPr>
      </w:pPr>
      <w:r>
        <w:rPr>
          <w:rFonts w:ascii="Arial" w:cs="Arial" w:eastAsia="Arial" w:hAnsi="Arial"/>
          <w:sz w:val="20"/>
          <w:szCs w:val="20"/>
          <w:color w:val="auto"/>
        </w:rPr>
        <w:t>At December 31, 2025, the Company estimates, based on current exchange rates, there will be $2 million of net derivative gains on forward exchange rates reclassified from accumulated other comprehensive loss into earnings within the next twelve months as the forecast transactions affect earnings. At December 31, 2025, our longest outstanding maturity was 1.7 years.</w:t>
      </w:r>
    </w:p>
    <w:p>
      <w:pPr>
        <w:spacing w:after="0" w:line="196" w:lineRule="exact"/>
        <w:rPr>
          <w:sz w:val="20"/>
          <w:szCs w:val="20"/>
          <w:color w:val="auto"/>
        </w:rPr>
      </w:pPr>
    </w:p>
    <w:p>
      <w:pPr>
        <w:ind w:right="220"/>
        <w:spacing w:after="0" w:line="330" w:lineRule="auto"/>
        <w:rPr>
          <w:sz w:val="20"/>
          <w:szCs w:val="20"/>
          <w:color w:val="auto"/>
        </w:rPr>
      </w:pPr>
      <w:r>
        <w:rPr>
          <w:rFonts w:ascii="Arial" w:cs="Arial" w:eastAsia="Arial" w:hAnsi="Arial"/>
          <w:sz w:val="19"/>
          <w:szCs w:val="19"/>
          <w:color w:val="auto"/>
        </w:rPr>
        <w:t>The effects of the material derivative instruments that are designated as hedging instruments on the consolidated statements of comprehensive income for the years ended December 31, 2025, 2024 and 2023 are below. Amounts pertaining to the ineffective portion of hedging instruments and those excluded from effectiveness testing were not material for the years ended December 31, 2025, 2024 and 2023.</w:t>
      </w:r>
    </w:p>
    <w:p>
      <w:pPr>
        <w:spacing w:after="0" w:line="313"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Gain/(loss) recognized in OCL (effective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2708910</wp:posOffset>
            </wp:positionH>
            <wp:positionV relativeFrom="paragraph">
              <wp:posOffset>20320</wp:posOffset>
            </wp:positionV>
            <wp:extent cx="3255010" cy="63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1">
                      <a:extLst>
                        <a:ext uri="{28A0092B-C50C-407E-A947-70E740481C1C}"/>
                      </a:extLst>
                    </a:blip>
                    <a:srcRect/>
                    <a:stretch>
                      <a:fillRect/>
                    </a:stretch>
                  </pic:blipFill>
                  <pic:spPr bwMode="auto">
                    <a:xfrm>
                      <a:off x="0" y="0"/>
                      <a:ext cx="325501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21</w:t>
      </w:r>
    </w:p>
    <w:p>
      <w:pPr>
        <w:sectPr>
          <w:pgSz w:w="11900" w:h="16838" w:orient="portrait"/>
          <w:cols w:equalWidth="0" w:num="1">
            <w:col w:w="9400"/>
          </w:cols>
          <w:pgMar w:left="1260" w:top="1440" w:right="1246" w:bottom="0" w:gutter="0" w:footer="0" w:header="0"/>
          <w:type w:val="continuous"/>
        </w:sectPr>
      </w:pPr>
    </w:p>
    <w:bookmarkStart w:id="204" w:name="page205"/>
    <w:bookmarkEnd w:id="204"/>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340" w:type="dxa"/>
            <w:vAlign w:val="bottom"/>
          </w:tcPr>
          <w:p>
            <w:pPr>
              <w:jc w:val="right"/>
              <w:ind w:right="118"/>
              <w:spacing w:after="0"/>
              <w:rPr>
                <w:sz w:val="20"/>
                <w:szCs w:val="20"/>
                <w:color w:val="auto"/>
              </w:rPr>
            </w:pPr>
            <w:r>
              <w:rPr>
                <w:rFonts w:ascii="Arial" w:cs="Arial" w:eastAsia="Arial" w:hAnsi="Arial"/>
                <w:sz w:val="14"/>
                <w:szCs w:val="14"/>
                <w:b w:val="1"/>
                <w:bCs w:val="1"/>
                <w:color w:val="auto"/>
              </w:rPr>
              <w:t>2025</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jc w:val="right"/>
              <w:ind w:right="696"/>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14"/>
                <w:szCs w:val="14"/>
                <w:color w:val="auto"/>
              </w:rPr>
            </w:pPr>
          </w:p>
        </w:tc>
        <w:tc>
          <w:tcPr>
            <w:tcW w:w="1260" w:type="dxa"/>
            <w:vAlign w:val="bottom"/>
          </w:tcPr>
          <w:p>
            <w:pPr>
              <w:jc w:val="right"/>
              <w:ind w:right="63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5"/>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340" w:type="dxa"/>
            <w:vAlign w:val="bottom"/>
            <w:tcBorders>
              <w:bottom w:val="single" w:sz="8" w:color="CFF0FC"/>
            </w:tcBorders>
            <w:shd w:val="clear" w:color="auto" w:fill="CFF0FC"/>
          </w:tcPr>
          <w:p>
            <w:pPr>
              <w:jc w:val="right"/>
              <w:ind w:right="91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527"/>
        </w:trPr>
        <w:tc>
          <w:tcPr>
            <w:tcW w:w="4020" w:type="dxa"/>
            <w:vAlign w:val="bottom"/>
          </w:tcPr>
          <w:p>
            <w:pPr>
              <w:spacing w:after="0"/>
              <w:rPr>
                <w:sz w:val="20"/>
                <w:szCs w:val="20"/>
                <w:color w:val="auto"/>
              </w:rPr>
            </w:pPr>
            <w:r>
              <w:rPr>
                <w:rFonts w:ascii="Arial" w:cs="Arial" w:eastAsia="Arial" w:hAnsi="Arial"/>
                <w:sz w:val="14"/>
                <w:szCs w:val="14"/>
                <w:b w:val="1"/>
                <w:bCs w:val="1"/>
                <w:color w:val="auto"/>
                <w:w w:val="95"/>
              </w:rPr>
              <w:t>Location of gain/(loss) reclassified from Accumulated OCL into</w:t>
            </w:r>
          </w:p>
        </w:tc>
        <w:tc>
          <w:tcPr>
            <w:tcW w:w="5380" w:type="dxa"/>
            <w:vAlign w:val="bottom"/>
            <w:gridSpan w:val="6"/>
            <w:vMerge w:val="restart"/>
          </w:tcPr>
          <w:p>
            <w:pPr>
              <w:jc w:val="right"/>
              <w:ind w:right="196"/>
              <w:spacing w:after="0"/>
              <w:rPr>
                <w:sz w:val="20"/>
                <w:szCs w:val="20"/>
                <w:color w:val="auto"/>
              </w:rPr>
            </w:pPr>
            <w:r>
              <w:rPr>
                <w:rFonts w:ascii="Arial" w:cs="Arial" w:eastAsia="Arial" w:hAnsi="Arial"/>
                <w:sz w:val="16"/>
                <w:szCs w:val="16"/>
                <w:b w:val="1"/>
                <w:bCs w:val="1"/>
                <w:color w:val="auto"/>
                <w:w w:val="96"/>
              </w:rPr>
              <w:t>Gain/(loss) reclassified from Accumulated OCL into income (effective</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4"/>
                <w:szCs w:val="14"/>
                <w:b w:val="1"/>
                <w:bCs w:val="1"/>
                <w:color w:val="auto"/>
              </w:rPr>
              <w:t>income</w:t>
            </w:r>
          </w:p>
        </w:tc>
        <w:tc>
          <w:tcPr>
            <w:tcW w:w="53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4"/>
                <w:szCs w:val="14"/>
                <w:b w:val="1"/>
                <w:bCs w:val="1"/>
                <w:color w:val="auto"/>
              </w:rPr>
              <w:t>(effective element)</w:t>
            </w: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jc w:val="right"/>
              <w:ind w:right="556"/>
              <w:spacing w:after="0"/>
              <w:rPr>
                <w:sz w:val="20"/>
                <w:szCs w:val="20"/>
                <w:color w:val="auto"/>
              </w:rPr>
            </w:pPr>
            <w:r>
              <w:rPr>
                <w:rFonts w:ascii="Arial" w:cs="Arial" w:eastAsia="Arial" w:hAnsi="Arial"/>
                <w:sz w:val="16"/>
                <w:szCs w:val="16"/>
                <w:b w:val="1"/>
                <w:bCs w:val="1"/>
                <w:color w:val="auto"/>
              </w:rPr>
              <w:t>element)</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1340" w:type="dxa"/>
            <w:vAlign w:val="bottom"/>
          </w:tcPr>
          <w:p>
            <w:pPr>
              <w:jc w:val="right"/>
              <w:ind w:right="138"/>
              <w:spacing w:after="0"/>
              <w:rPr>
                <w:sz w:val="20"/>
                <w:szCs w:val="20"/>
                <w:color w:val="auto"/>
              </w:rPr>
            </w:pPr>
            <w:r>
              <w:rPr>
                <w:rFonts w:ascii="Arial" w:cs="Arial" w:eastAsia="Arial" w:hAnsi="Arial"/>
                <w:sz w:val="14"/>
                <w:szCs w:val="14"/>
                <w:b w:val="1"/>
                <w:bCs w:val="1"/>
                <w:color w:val="auto"/>
              </w:rPr>
              <w:t>2025</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716"/>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20"/>
                <w:szCs w:val="20"/>
                <w:color w:val="auto"/>
              </w:rPr>
            </w:pPr>
          </w:p>
        </w:tc>
        <w:tc>
          <w:tcPr>
            <w:tcW w:w="1260" w:type="dxa"/>
            <w:vAlign w:val="bottom"/>
          </w:tcPr>
          <w:p>
            <w:pPr>
              <w:jc w:val="right"/>
              <w:ind w:right="63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6"/>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340" w:type="dxa"/>
            <w:vAlign w:val="bottom"/>
            <w:tcBorders>
              <w:bottom w:val="single" w:sz="8" w:color="CFF0FC"/>
            </w:tcBorders>
            <w:shd w:val="clear" w:color="auto" w:fill="CFF0FC"/>
          </w:tcPr>
          <w:p>
            <w:pPr>
              <w:jc w:val="right"/>
              <w:ind w:right="93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rPr>
              <w:t>Salaries and benefits</w:t>
            </w:r>
          </w:p>
        </w:tc>
        <w:tc>
          <w:tcPr>
            <w:tcW w:w="1340" w:type="dxa"/>
            <w:vAlign w:val="bottom"/>
          </w:tcPr>
          <w:p>
            <w:pPr>
              <w:spacing w:after="0"/>
              <w:rPr>
                <w:sz w:val="24"/>
                <w:szCs w:val="24"/>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4"/>
                <w:szCs w:val="24"/>
                <w:color w:val="auto"/>
              </w:rPr>
            </w:pP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6"/>
        </w:trPr>
        <w:tc>
          <w:tcPr>
            <w:tcW w:w="40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4"/>
        </w:trPr>
        <w:tc>
          <w:tcPr>
            <w:tcW w:w="4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(loss)/income</w:t>
            </w:r>
          </w:p>
        </w:tc>
        <w:tc>
          <w:tcPr>
            <w:tcW w:w="13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jc w:val="right"/>
              <w:ind w:right="11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4020" w:type="dxa"/>
            <w:vAlign w:val="bottom"/>
          </w:tcPr>
          <w:p>
            <w:pPr>
              <w:spacing w:after="0"/>
              <w:rPr>
                <w:sz w:val="24"/>
                <w:szCs w:val="24"/>
                <w:color w:val="auto"/>
              </w:rPr>
            </w:pPr>
          </w:p>
        </w:tc>
        <w:tc>
          <w:tcPr>
            <w:tcW w:w="1340" w:type="dxa"/>
            <w:vAlign w:val="bottom"/>
          </w:tcPr>
          <w:p>
            <w:pPr>
              <w:jc w:val="right"/>
              <w:ind w:right="93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6"/>
              <w:spacing w:after="0"/>
              <w:rPr>
                <w:sz w:val="20"/>
                <w:szCs w:val="20"/>
                <w:color w:val="auto"/>
              </w:rPr>
            </w:pPr>
            <w:r>
              <w:rPr>
                <w:rFonts w:ascii="Arial" w:cs="Arial" w:eastAsia="Arial" w:hAnsi="Arial"/>
                <w:sz w:val="18"/>
                <w:szCs w:val="18"/>
                <w:color w:val="auto"/>
              </w:rPr>
              <w:t>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2708910</wp:posOffset>
            </wp:positionH>
            <wp:positionV relativeFrom="paragraph">
              <wp:posOffset>-1821180</wp:posOffset>
            </wp:positionV>
            <wp:extent cx="3255010" cy="63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2">
                      <a:extLst>
                        <a:ext uri="{28A0092B-C50C-407E-A947-70E740481C1C}"/>
                      </a:extLst>
                    </a:blip>
                    <a:srcRect/>
                    <a:stretch>
                      <a:fillRect/>
                    </a:stretch>
                  </pic:blipFill>
                  <pic:spPr bwMode="auto">
                    <a:xfrm>
                      <a:off x="0" y="0"/>
                      <a:ext cx="3255010" cy="6350"/>
                    </a:xfrm>
                    <a:prstGeom prst="rect">
                      <a:avLst/>
                    </a:prstGeom>
                    <a:noFill/>
                  </pic:spPr>
                </pic:pic>
              </a:graphicData>
            </a:graphic>
          </wp:anchor>
        </w:drawing>
        <w:drawing>
          <wp:anchor simplePos="0" relativeHeight="251657728" behindDoc="1" locked="0" layoutInCell="0" allowOverlap="1">
            <wp:simplePos x="0" y="0"/>
            <wp:positionH relativeFrom="column">
              <wp:posOffset>2708910</wp:posOffset>
            </wp:positionH>
            <wp:positionV relativeFrom="paragraph">
              <wp:posOffset>-1624330</wp:posOffset>
            </wp:positionV>
            <wp:extent cx="3255010" cy="285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3">
                      <a:extLst>
                        <a:ext uri="{28A0092B-C50C-407E-A947-70E740481C1C}"/>
                      </a:extLst>
                    </a:blip>
                    <a:srcRect/>
                    <a:stretch>
                      <a:fillRect/>
                    </a:stretch>
                  </pic:blipFill>
                  <pic:spPr bwMode="auto">
                    <a:xfrm>
                      <a:off x="0" y="0"/>
                      <a:ext cx="325501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-977265</wp:posOffset>
            </wp:positionV>
            <wp:extent cx="5967730"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4">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-828040</wp:posOffset>
            </wp:positionV>
            <wp:extent cx="3265805" cy="6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5">
                      <a:extLst>
                        <a:ext uri="{28A0092B-C50C-407E-A947-70E740481C1C}"/>
                      </a:extLst>
                    </a:blip>
                    <a:srcRect/>
                    <a:stretch>
                      <a:fillRect/>
                    </a:stretch>
                  </pic:blipFill>
                  <pic:spPr bwMode="auto">
                    <a:xfrm>
                      <a:off x="0" y="0"/>
                      <a:ext cx="3265805" cy="635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-182245</wp:posOffset>
            </wp:positionV>
            <wp:extent cx="3265805"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6">
                      <a:extLst>
                        <a:ext uri="{28A0092B-C50C-407E-A947-70E740481C1C}"/>
                      </a:extLst>
                    </a:blip>
                    <a:srcRect/>
                    <a:stretch>
                      <a:fillRect/>
                    </a:stretch>
                  </pic:blipFill>
                  <pic:spPr bwMode="auto">
                    <a:xfrm>
                      <a:off x="0" y="0"/>
                      <a:ext cx="3265805" cy="6350"/>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22860</wp:posOffset>
            </wp:positionV>
            <wp:extent cx="3265805" cy="285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7">
                      <a:extLst>
                        <a:ext uri="{28A0092B-C50C-407E-A947-70E740481C1C}"/>
                      </a:extLst>
                    </a:blip>
                    <a:srcRect/>
                    <a:stretch>
                      <a:fillRect/>
                    </a:stretch>
                  </pic:blipFill>
                  <pic:spPr bwMode="auto">
                    <a:xfrm>
                      <a:off x="0" y="0"/>
                      <a:ext cx="3265805" cy="2857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right="140"/>
        <w:spacing w:after="0" w:line="347" w:lineRule="auto"/>
        <w:rPr>
          <w:sz w:val="20"/>
          <w:szCs w:val="20"/>
          <w:color w:val="auto"/>
        </w:rPr>
      </w:pPr>
      <w:r>
        <w:rPr>
          <w:rFonts w:ascii="Arial" w:cs="Arial" w:eastAsia="Arial" w:hAnsi="Arial"/>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December 31, 2025 and 2024, we had notional amounts of $739 million and</w:t>
      </w:r>
    </w:p>
    <w:p>
      <w:pPr>
        <w:spacing w:after="0" w:line="4" w:lineRule="exact"/>
        <w:rPr>
          <w:sz w:val="20"/>
          <w:szCs w:val="20"/>
          <w:color w:val="auto"/>
        </w:rPr>
      </w:pPr>
    </w:p>
    <w:p>
      <w:pPr>
        <w:ind w:right="780"/>
        <w:spacing w:after="0" w:line="302" w:lineRule="auto"/>
        <w:rPr>
          <w:sz w:val="20"/>
          <w:szCs w:val="20"/>
          <w:color w:val="auto"/>
        </w:rPr>
      </w:pPr>
      <w:r>
        <w:rPr>
          <w:rFonts w:ascii="Arial" w:cs="Arial" w:eastAsia="Arial" w:hAnsi="Arial"/>
          <w:sz w:val="20"/>
          <w:szCs w:val="20"/>
          <w:color w:val="auto"/>
        </w:rPr>
        <w:t>$1.2 billion, respectively, with a net fair value asset of $1 million and a net fair value liability of $3 million, respectively. Such derivatives typically mature within three months.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4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5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21</w:t>
      </w:r>
    </w:p>
    <w:p>
      <w:pPr>
        <w:sectPr>
          <w:pgSz w:w="11900" w:h="16838" w:orient="portrait"/>
          <w:cols w:equalWidth="0" w:num="1">
            <w:col w:w="9400"/>
          </w:cols>
          <w:pgMar w:left="1260" w:top="1155" w:right="1246" w:bottom="0" w:gutter="0" w:footer="0" w:header="0"/>
          <w:type w:val="continuous"/>
        </w:sectPr>
      </w:pPr>
    </w:p>
    <w:bookmarkStart w:id="205" w:name="page206"/>
    <w:bookmarkEnd w:id="2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0"/>
        <w:spacing w:after="0" w:line="330" w:lineRule="auto"/>
        <w:rPr>
          <w:sz w:val="20"/>
          <w:szCs w:val="20"/>
          <w:color w:val="auto"/>
        </w:rPr>
      </w:pPr>
      <w:r>
        <w:rPr>
          <w:rFonts w:ascii="Arial" w:cs="Arial" w:eastAsia="Arial" w:hAnsi="Arial"/>
          <w:sz w:val="19"/>
          <w:szCs w:val="19"/>
          <w:color w:val="auto"/>
        </w:rPr>
        <w:t>The effects of derivatives that have not been designated as hedging instruments on the consolidated statements of comprehensive income for the years ended December 31, 2025, 2024 and 2023 are as follows (see Note 17 — Other (Loss)/Income, Net for the net foreign currency impact on the Company’s consolidated statements of comprehensive income which includes the results of the offset of underlying exposures):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0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9"/>
              </w:rPr>
              <w:t>Location of gain/(loss)</w:t>
            </w:r>
          </w:p>
        </w:tc>
        <w:tc>
          <w:tcPr>
            <w:tcW w:w="380" w:type="dxa"/>
            <w:vAlign w:val="bottom"/>
          </w:tcPr>
          <w:p>
            <w:pPr>
              <w:spacing w:after="0"/>
              <w:rPr>
                <w:sz w:val="16"/>
                <w:szCs w:val="16"/>
                <w:color w:val="auto"/>
              </w:rPr>
            </w:pPr>
          </w:p>
        </w:tc>
        <w:tc>
          <w:tcPr>
            <w:tcW w:w="3220" w:type="dxa"/>
            <w:vAlign w:val="bottom"/>
            <w:gridSpan w:val="6"/>
          </w:tcPr>
          <w:p>
            <w:pPr>
              <w:jc w:val="right"/>
              <w:ind w:right="563"/>
              <w:spacing w:after="0"/>
              <w:rPr>
                <w:sz w:val="20"/>
                <w:szCs w:val="20"/>
                <w:color w:val="auto"/>
              </w:rPr>
            </w:pPr>
            <w:r>
              <w:rPr>
                <w:rFonts w:ascii="Arial" w:cs="Arial" w:eastAsia="Arial" w:hAnsi="Arial"/>
                <w:sz w:val="16"/>
                <w:szCs w:val="16"/>
                <w:b w:val="1"/>
                <w:bCs w:val="1"/>
                <w:color w:val="auto"/>
              </w:rPr>
              <w:t>Gain/(loss) recognized in income</w:t>
            </w:r>
          </w:p>
        </w:tc>
      </w:tr>
      <w:tr>
        <w:trPr>
          <w:trHeight w:val="240"/>
        </w:trPr>
        <w:tc>
          <w:tcPr>
            <w:tcW w:w="350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w:t>
            </w:r>
          </w:p>
        </w:tc>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3500" w:type="dxa"/>
            <w:vAlign w:val="bottom"/>
          </w:tcPr>
          <w:p>
            <w:pPr>
              <w:spacing w:after="0"/>
              <w:rPr>
                <w:sz w:val="20"/>
                <w:szCs w:val="20"/>
                <w:color w:val="auto"/>
              </w:rPr>
            </w:pPr>
            <w:r>
              <w:rPr>
                <w:rFonts w:ascii="Arial" w:cs="Arial" w:eastAsia="Arial" w:hAnsi="Arial"/>
                <w:sz w:val="16"/>
                <w:szCs w:val="16"/>
                <w:b w:val="1"/>
                <w:bCs w:val="1"/>
                <w:color w:val="auto"/>
              </w:rPr>
              <w:t>instruments:</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7"/>
              </w:rPr>
              <w:t>recognized in income</w:t>
            </w:r>
          </w:p>
        </w:tc>
        <w:tc>
          <w:tcPr>
            <w:tcW w:w="380" w:type="dxa"/>
            <w:vAlign w:val="bottom"/>
          </w:tcPr>
          <w:p>
            <w:pPr>
              <w:spacing w:after="0"/>
              <w:rPr>
                <w:sz w:val="20"/>
                <w:szCs w:val="20"/>
                <w:color w:val="auto"/>
              </w:rPr>
            </w:pPr>
          </w:p>
        </w:tc>
        <w:tc>
          <w:tcPr>
            <w:tcW w:w="860" w:type="dxa"/>
            <w:vAlign w:val="bottom"/>
          </w:tcPr>
          <w:p>
            <w:pPr>
              <w:jc w:val="center"/>
              <w:ind w:right="209"/>
              <w:spacing w:after="0"/>
              <w:rPr>
                <w:sz w:val="20"/>
                <w:szCs w:val="20"/>
                <w:color w:val="auto"/>
              </w:rPr>
            </w:pPr>
            <w:r>
              <w:rPr>
                <w:rFonts w:ascii="Arial" w:cs="Arial" w:eastAsia="Arial" w:hAnsi="Arial"/>
                <w:sz w:val="16"/>
                <w:szCs w:val="16"/>
                <w:b w:val="1"/>
                <w:bCs w:val="1"/>
                <w:color w:val="auto"/>
                <w:w w:val="89"/>
              </w:rPr>
              <w:t>2025</w:t>
            </w: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23"/>
              <w:spacing w:after="0"/>
              <w:rPr>
                <w:sz w:val="20"/>
                <w:szCs w:val="20"/>
                <w:color w:val="auto"/>
              </w:rPr>
            </w:pPr>
            <w:r>
              <w:rPr>
                <w:rFonts w:ascii="Arial" w:cs="Arial" w:eastAsia="Arial" w:hAnsi="Arial"/>
                <w:sz w:val="16"/>
                <w:szCs w:val="16"/>
                <w:b w:val="1"/>
                <w:bCs w:val="1"/>
                <w:color w:val="auto"/>
              </w:rPr>
              <w:t>2023</w:t>
            </w:r>
          </w:p>
        </w:tc>
      </w:tr>
      <w:tr>
        <w:trPr>
          <w:trHeight w:val="42"/>
        </w:trPr>
        <w:tc>
          <w:tcPr>
            <w:tcW w:w="35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25"/>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Foreign exchange contracts</w:t>
            </w:r>
          </w:p>
        </w:tc>
        <w:tc>
          <w:tcPr>
            <w:tcW w:w="23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Other (loss)/income, net</w:t>
            </w:r>
          </w:p>
        </w:tc>
        <w:tc>
          <w:tcPr>
            <w:tcW w:w="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ind w:right="9"/>
              <w:spacing w:after="0"/>
              <w:rPr>
                <w:sz w:val="20"/>
                <w:szCs w:val="20"/>
                <w:color w:val="auto"/>
              </w:rPr>
            </w:pPr>
            <w:r>
              <w:rPr>
                <w:rFonts w:ascii="Arial" w:cs="Arial" w:eastAsia="Arial" w:hAnsi="Arial"/>
                <w:sz w:val="20"/>
                <w:szCs w:val="20"/>
                <w:color w:val="auto"/>
              </w:rPr>
              <w:t>9</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center"/>
              <w:ind w:right="20"/>
              <w:spacing w:after="0"/>
              <w:rPr>
                <w:sz w:val="20"/>
                <w:szCs w:val="20"/>
                <w:color w:val="auto"/>
              </w:rPr>
            </w:pPr>
            <w:r>
              <w:rPr>
                <w:rFonts w:ascii="Arial" w:cs="Arial" w:eastAsia="Arial" w:hAnsi="Arial"/>
                <w:sz w:val="20"/>
                <w:szCs w:val="20"/>
                <w:color w:val="auto"/>
                <w:w w:val="95"/>
              </w:rPr>
              <w:t>(16)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96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11</w:t>
            </w:r>
          </w:p>
        </w:tc>
      </w:tr>
      <w:tr>
        <w:trPr>
          <w:trHeight w:val="679"/>
        </w:trPr>
        <w:tc>
          <w:tcPr>
            <w:tcW w:w="3500" w:type="dxa"/>
            <w:vAlign w:val="bottom"/>
          </w:tcPr>
          <w:p>
            <w:pPr>
              <w:spacing w:after="0"/>
              <w:rPr>
                <w:sz w:val="20"/>
                <w:szCs w:val="20"/>
                <w:color w:val="auto"/>
              </w:rPr>
            </w:pPr>
            <w:r>
              <w:rPr>
                <w:rFonts w:ascii="Arial" w:cs="Arial" w:eastAsia="Arial" w:hAnsi="Arial"/>
                <w:sz w:val="20"/>
                <w:szCs w:val="20"/>
                <w:b w:val="1"/>
                <w:bCs w:val="1"/>
                <w:color w:val="auto"/>
              </w:rPr>
              <w:t>Note 11 — Debt</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80"/>
        </w:trPr>
        <w:tc>
          <w:tcPr>
            <w:tcW w:w="3500" w:type="dxa"/>
            <w:vAlign w:val="bottom"/>
          </w:tcPr>
          <w:p>
            <w:pPr>
              <w:spacing w:after="0"/>
              <w:rPr>
                <w:sz w:val="20"/>
                <w:szCs w:val="20"/>
                <w:color w:val="auto"/>
              </w:rPr>
            </w:pPr>
            <w:r>
              <w:rPr>
                <w:rFonts w:ascii="Arial" w:cs="Arial" w:eastAsia="Arial" w:hAnsi="Arial"/>
                <w:sz w:val="20"/>
                <w:szCs w:val="20"/>
                <w:color w:val="auto"/>
              </w:rPr>
              <w:t>Current debt consists of the following:</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79"/>
        </w:trPr>
        <w:tc>
          <w:tcPr>
            <w:tcW w:w="3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w w:val="86"/>
              </w:rPr>
              <w:t>December 31,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35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503"/>
              <w:spacing w:after="0"/>
              <w:rPr>
                <w:sz w:val="20"/>
                <w:szCs w:val="20"/>
                <w:color w:val="auto"/>
              </w:rPr>
            </w:pPr>
            <w:r>
              <w:rPr>
                <w:rFonts w:ascii="Arial" w:cs="Arial" w:eastAsia="Arial" w:hAnsi="Arial"/>
                <w:sz w:val="16"/>
                <w:szCs w:val="16"/>
                <w:b w:val="1"/>
                <w:bCs w:val="1"/>
                <w:color w:val="auto"/>
                <w:w w:val="95"/>
              </w:rPr>
              <w:t>2024</w:t>
            </w:r>
          </w:p>
        </w:tc>
      </w:tr>
      <w:tr>
        <w:trPr>
          <w:trHeight w:val="42"/>
        </w:trPr>
        <w:tc>
          <w:tcPr>
            <w:tcW w:w="35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0"/>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4.400% senior notes due 2026</w:t>
            </w:r>
          </w:p>
        </w:tc>
        <w:tc>
          <w:tcPr>
            <w:tcW w:w="2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center"/>
              <w:ind w:right="189"/>
              <w:spacing w:after="0"/>
              <w:rPr>
                <w:sz w:val="20"/>
                <w:szCs w:val="20"/>
                <w:color w:val="auto"/>
              </w:rPr>
            </w:pPr>
            <w:r>
              <w:rPr>
                <w:rFonts w:ascii="Arial" w:cs="Arial" w:eastAsia="Arial" w:hAnsi="Arial"/>
                <w:sz w:val="20"/>
                <w:szCs w:val="20"/>
                <w:color w:val="auto"/>
                <w:w w:val="89"/>
              </w:rPr>
              <w:t>$</w:t>
            </w:r>
          </w:p>
        </w:tc>
        <w:tc>
          <w:tcPr>
            <w:tcW w:w="2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550</w:t>
            </w:r>
          </w:p>
        </w:tc>
        <w:tc>
          <w:tcPr>
            <w:tcW w:w="5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w:t>
            </w:r>
          </w:p>
        </w:tc>
        <w:tc>
          <w:tcPr>
            <w:tcW w:w="1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w:t>
            </w:r>
          </w:p>
        </w:tc>
      </w:tr>
      <w:tr>
        <w:trPr>
          <w:trHeight w:val="259"/>
        </w:trPr>
        <w:tc>
          <w:tcPr>
            <w:tcW w:w="35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center"/>
              <w:ind w:right="189"/>
              <w:spacing w:after="0"/>
              <w:rPr>
                <w:sz w:val="20"/>
                <w:szCs w:val="20"/>
                <w:color w:val="auto"/>
              </w:rPr>
            </w:pPr>
            <w:r>
              <w:rPr>
                <w:rFonts w:ascii="Arial" w:cs="Arial" w:eastAsia="Arial" w:hAnsi="Arial"/>
                <w:sz w:val="20"/>
                <w:szCs w:val="20"/>
                <w:color w:val="auto"/>
                <w:w w:val="89"/>
              </w:rPr>
              <w:t>$</w:t>
            </w:r>
          </w:p>
        </w:tc>
        <w:tc>
          <w:tcPr>
            <w:tcW w:w="220" w:type="dxa"/>
            <w:vAlign w:val="bottom"/>
          </w:tcPr>
          <w:p>
            <w:pPr>
              <w:spacing w:after="0"/>
              <w:rPr>
                <w:sz w:val="22"/>
                <w:szCs w:val="22"/>
                <w:color w:val="auto"/>
              </w:rPr>
            </w:pPr>
          </w:p>
        </w:tc>
        <w:tc>
          <w:tcPr>
            <w:tcW w:w="560" w:type="dxa"/>
            <w:vAlign w:val="bottom"/>
          </w:tcPr>
          <w:p>
            <w:pPr>
              <w:jc w:val="right"/>
              <w:ind w:right="3"/>
              <w:spacing w:after="0"/>
              <w:rPr>
                <w:sz w:val="20"/>
                <w:szCs w:val="20"/>
                <w:color w:val="auto"/>
              </w:rPr>
            </w:pPr>
            <w:r>
              <w:rPr>
                <w:rFonts w:ascii="Arial" w:cs="Arial" w:eastAsia="Arial" w:hAnsi="Arial"/>
                <w:sz w:val="20"/>
                <w:szCs w:val="20"/>
                <w:color w:val="auto"/>
              </w:rPr>
              <w:t>550</w:t>
            </w:r>
          </w:p>
        </w:tc>
        <w:tc>
          <w:tcPr>
            <w:tcW w:w="50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120" w:type="dxa"/>
            <w:vAlign w:val="bottom"/>
          </w:tcPr>
          <w:p>
            <w:pPr>
              <w:spacing w:after="0"/>
              <w:rPr>
                <w:sz w:val="22"/>
                <w:szCs w:val="22"/>
                <w:color w:val="auto"/>
              </w:rPr>
            </w:pPr>
          </w:p>
        </w:tc>
        <w:tc>
          <w:tcPr>
            <w:tcW w:w="960" w:type="dxa"/>
            <w:vAlign w:val="bottom"/>
          </w:tcPr>
          <w:p>
            <w:pPr>
              <w:jc w:val="right"/>
              <w:ind w:right="3"/>
              <w:spacing w:after="0"/>
              <w:rPr>
                <w:sz w:val="20"/>
                <w:szCs w:val="20"/>
                <w:color w:val="auto"/>
              </w:rPr>
            </w:pPr>
            <w:r>
              <w:rPr>
                <w:rFonts w:ascii="Arial" w:cs="Arial" w:eastAsia="Arial" w:hAnsi="Arial"/>
                <w:sz w:val="20"/>
                <w:szCs w:val="20"/>
                <w:color w:val="auto"/>
              </w:rPr>
              <w:t>—</w:t>
            </w:r>
          </w:p>
        </w:tc>
      </w:tr>
      <w:tr>
        <w:trPr>
          <w:trHeight w:val="645"/>
        </w:trPr>
        <w:tc>
          <w:tcPr>
            <w:tcW w:w="3500" w:type="dxa"/>
            <w:vAlign w:val="bottom"/>
          </w:tcPr>
          <w:p>
            <w:pPr>
              <w:spacing w:after="0"/>
              <w:rPr>
                <w:sz w:val="20"/>
                <w:szCs w:val="20"/>
                <w:color w:val="auto"/>
              </w:rPr>
            </w:pPr>
            <w:r>
              <w:rPr>
                <w:rFonts w:ascii="Arial" w:cs="Arial" w:eastAsia="Arial" w:hAnsi="Arial"/>
                <w:sz w:val="20"/>
                <w:szCs w:val="20"/>
                <w:color w:val="auto"/>
                <w:w w:val="97"/>
              </w:rPr>
              <w:t>Long-term debt consists of the following:</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93"/>
        </w:trPr>
        <w:tc>
          <w:tcPr>
            <w:tcW w:w="3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w w:val="88"/>
              </w:rPr>
              <w:t>December 31,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64"/>
        </w:trPr>
        <w:tc>
          <w:tcPr>
            <w:tcW w:w="35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523"/>
              <w:spacing w:after="0"/>
              <w:rPr>
                <w:sz w:val="20"/>
                <w:szCs w:val="20"/>
                <w:color w:val="auto"/>
              </w:rPr>
            </w:pPr>
            <w:r>
              <w:rPr>
                <w:rFonts w:ascii="Arial" w:cs="Arial" w:eastAsia="Arial" w:hAnsi="Arial"/>
                <w:sz w:val="16"/>
                <w:szCs w:val="16"/>
                <w:b w:val="1"/>
                <w:bCs w:val="1"/>
                <w:color w:val="auto"/>
                <w:w w:val="89"/>
              </w:rPr>
              <w:t>2024</w:t>
            </w:r>
          </w:p>
        </w:tc>
      </w:tr>
      <w:tr>
        <w:trPr>
          <w:trHeight w:val="42"/>
        </w:trPr>
        <w:tc>
          <w:tcPr>
            <w:tcW w:w="35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Revolving $1.5 billion credit facility</w:t>
            </w:r>
          </w:p>
        </w:tc>
        <w:tc>
          <w:tcPr>
            <w:tcW w:w="2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center"/>
              <w:ind w:right="229"/>
              <w:spacing w:after="0"/>
              <w:rPr>
                <w:sz w:val="20"/>
                <w:szCs w:val="20"/>
                <w:color w:val="auto"/>
              </w:rPr>
            </w:pPr>
            <w:r>
              <w:rPr>
                <w:rFonts w:ascii="Arial" w:cs="Arial" w:eastAsia="Arial" w:hAnsi="Arial"/>
                <w:sz w:val="20"/>
                <w:szCs w:val="20"/>
                <w:color w:val="auto"/>
                <w:w w:val="89"/>
              </w:rPr>
              <w:t>$</w:t>
            </w:r>
          </w:p>
        </w:tc>
        <w:tc>
          <w:tcPr>
            <w:tcW w:w="2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9"/>
              </w:rPr>
              <w:t>$</w:t>
            </w:r>
          </w:p>
        </w:tc>
        <w:tc>
          <w:tcPr>
            <w:tcW w:w="1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w:t>
            </w:r>
          </w:p>
        </w:tc>
      </w:tr>
      <w:tr>
        <w:trPr>
          <w:trHeight w:val="274"/>
        </w:trPr>
        <w:tc>
          <w:tcPr>
            <w:tcW w:w="3500" w:type="dxa"/>
            <w:vAlign w:val="bottom"/>
          </w:tcPr>
          <w:p>
            <w:pPr>
              <w:spacing w:after="0"/>
              <w:rPr>
                <w:sz w:val="20"/>
                <w:szCs w:val="20"/>
                <w:color w:val="auto"/>
              </w:rPr>
            </w:pPr>
            <w:r>
              <w:rPr>
                <w:rFonts w:ascii="Arial" w:cs="Arial" w:eastAsia="Arial" w:hAnsi="Arial"/>
                <w:sz w:val="20"/>
                <w:szCs w:val="20"/>
                <w:color w:val="auto"/>
              </w:rPr>
              <w:t>4.400% senior notes due 2026</w:t>
            </w:r>
          </w:p>
        </w:tc>
        <w:tc>
          <w:tcPr>
            <w:tcW w:w="2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3"/>
              <w:spacing w:after="0"/>
              <w:rPr>
                <w:sz w:val="20"/>
                <w:szCs w:val="20"/>
                <w:color w:val="auto"/>
              </w:rPr>
            </w:pPr>
            <w:r>
              <w:rPr>
                <w:rFonts w:ascii="Arial" w:cs="Arial" w:eastAsia="Arial" w:hAnsi="Arial"/>
                <w:sz w:val="20"/>
                <w:szCs w:val="20"/>
                <w:color w:val="auto"/>
              </w:rPr>
              <w:t>—</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20"/>
                <w:szCs w:val="20"/>
                <w:color w:val="auto"/>
              </w:rPr>
              <w:t>549</w:t>
            </w:r>
          </w:p>
        </w:tc>
      </w:tr>
      <w:tr>
        <w:trPr>
          <w:trHeight w:val="41"/>
        </w:trPr>
        <w:tc>
          <w:tcPr>
            <w:tcW w:w="35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4.650% senior notes due 2027</w:t>
            </w:r>
          </w:p>
        </w:tc>
        <w:tc>
          <w:tcPr>
            <w:tcW w:w="2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748</w:t>
            </w:r>
          </w:p>
        </w:tc>
        <w:tc>
          <w:tcPr>
            <w:tcW w:w="5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746</w:t>
            </w:r>
          </w:p>
        </w:tc>
      </w:tr>
      <w:tr>
        <w:trPr>
          <w:trHeight w:val="274"/>
        </w:trPr>
        <w:tc>
          <w:tcPr>
            <w:tcW w:w="3500" w:type="dxa"/>
            <w:vAlign w:val="bottom"/>
          </w:tcPr>
          <w:p>
            <w:pPr>
              <w:spacing w:after="0"/>
              <w:rPr>
                <w:sz w:val="20"/>
                <w:szCs w:val="20"/>
                <w:color w:val="auto"/>
              </w:rPr>
            </w:pPr>
            <w:r>
              <w:rPr>
                <w:rFonts w:ascii="Arial" w:cs="Arial" w:eastAsia="Arial" w:hAnsi="Arial"/>
                <w:sz w:val="20"/>
                <w:szCs w:val="20"/>
                <w:color w:val="auto"/>
              </w:rPr>
              <w:t>4.500% senior notes due 2028</w:t>
            </w:r>
          </w:p>
        </w:tc>
        <w:tc>
          <w:tcPr>
            <w:tcW w:w="2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3"/>
              <w:spacing w:after="0"/>
              <w:rPr>
                <w:sz w:val="20"/>
                <w:szCs w:val="20"/>
                <w:color w:val="auto"/>
              </w:rPr>
            </w:pPr>
            <w:r>
              <w:rPr>
                <w:rFonts w:ascii="Arial" w:cs="Arial" w:eastAsia="Arial" w:hAnsi="Arial"/>
                <w:sz w:val="20"/>
                <w:szCs w:val="20"/>
                <w:color w:val="auto"/>
              </w:rPr>
              <w:t>598</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20"/>
                <w:szCs w:val="20"/>
                <w:color w:val="auto"/>
              </w:rPr>
              <w:t>598</w:t>
            </w:r>
          </w:p>
        </w:tc>
      </w:tr>
      <w:tr>
        <w:trPr>
          <w:trHeight w:val="41"/>
        </w:trPr>
        <w:tc>
          <w:tcPr>
            <w:tcW w:w="35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2.950% senior notes due 2029</w:t>
            </w:r>
          </w:p>
        </w:tc>
        <w:tc>
          <w:tcPr>
            <w:tcW w:w="2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725</w:t>
            </w:r>
          </w:p>
        </w:tc>
        <w:tc>
          <w:tcPr>
            <w:tcW w:w="5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725</w:t>
            </w:r>
          </w:p>
        </w:tc>
      </w:tr>
      <w:tr>
        <w:trPr>
          <w:trHeight w:val="274"/>
        </w:trPr>
        <w:tc>
          <w:tcPr>
            <w:tcW w:w="3500" w:type="dxa"/>
            <w:vAlign w:val="bottom"/>
          </w:tcPr>
          <w:p>
            <w:pPr>
              <w:spacing w:after="0"/>
              <w:rPr>
                <w:sz w:val="20"/>
                <w:szCs w:val="20"/>
                <w:color w:val="auto"/>
              </w:rPr>
            </w:pPr>
            <w:r>
              <w:rPr>
                <w:rFonts w:ascii="Arial" w:cs="Arial" w:eastAsia="Arial" w:hAnsi="Arial"/>
                <w:sz w:val="20"/>
                <w:szCs w:val="20"/>
                <w:color w:val="auto"/>
              </w:rPr>
              <w:t>4.550% senior notes due 2031</w:t>
            </w:r>
          </w:p>
        </w:tc>
        <w:tc>
          <w:tcPr>
            <w:tcW w:w="2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3"/>
              <w:spacing w:after="0"/>
              <w:rPr>
                <w:sz w:val="20"/>
                <w:szCs w:val="20"/>
                <w:color w:val="auto"/>
              </w:rPr>
            </w:pPr>
            <w:r>
              <w:rPr>
                <w:rFonts w:ascii="Arial" w:cs="Arial" w:eastAsia="Arial" w:hAnsi="Arial"/>
                <w:sz w:val="20"/>
                <w:szCs w:val="20"/>
                <w:color w:val="auto"/>
              </w:rPr>
              <w:t>695</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20"/>
                <w:szCs w:val="20"/>
                <w:color w:val="auto"/>
              </w:rPr>
              <w:t>—</w:t>
            </w:r>
          </w:p>
        </w:tc>
      </w:tr>
      <w:tr>
        <w:trPr>
          <w:trHeight w:val="41"/>
        </w:trPr>
        <w:tc>
          <w:tcPr>
            <w:tcW w:w="35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5.350% senior notes due 2033</w:t>
            </w:r>
          </w:p>
        </w:tc>
        <w:tc>
          <w:tcPr>
            <w:tcW w:w="2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743</w:t>
            </w:r>
          </w:p>
        </w:tc>
        <w:tc>
          <w:tcPr>
            <w:tcW w:w="5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742</w:t>
            </w:r>
          </w:p>
        </w:tc>
      </w:tr>
      <w:tr>
        <w:trPr>
          <w:trHeight w:val="274"/>
        </w:trPr>
        <w:tc>
          <w:tcPr>
            <w:tcW w:w="3500" w:type="dxa"/>
            <w:vAlign w:val="bottom"/>
          </w:tcPr>
          <w:p>
            <w:pPr>
              <w:spacing w:after="0"/>
              <w:rPr>
                <w:sz w:val="20"/>
                <w:szCs w:val="20"/>
                <w:color w:val="auto"/>
              </w:rPr>
            </w:pPr>
            <w:r>
              <w:rPr>
                <w:rFonts w:ascii="Arial" w:cs="Arial" w:eastAsia="Arial" w:hAnsi="Arial"/>
                <w:sz w:val="20"/>
                <w:szCs w:val="20"/>
                <w:color w:val="auto"/>
              </w:rPr>
              <w:t>5.150% senior notes due 2036</w:t>
            </w:r>
          </w:p>
        </w:tc>
        <w:tc>
          <w:tcPr>
            <w:tcW w:w="2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3"/>
              <w:spacing w:after="0"/>
              <w:rPr>
                <w:sz w:val="20"/>
                <w:szCs w:val="20"/>
                <w:color w:val="auto"/>
              </w:rPr>
            </w:pPr>
            <w:r>
              <w:rPr>
                <w:rFonts w:ascii="Arial" w:cs="Arial" w:eastAsia="Arial" w:hAnsi="Arial"/>
                <w:sz w:val="20"/>
                <w:szCs w:val="20"/>
                <w:color w:val="auto"/>
              </w:rPr>
              <w:t>298</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20"/>
                <w:szCs w:val="20"/>
                <w:color w:val="auto"/>
              </w:rPr>
              <w:t>—</w:t>
            </w:r>
          </w:p>
        </w:tc>
      </w:tr>
      <w:tr>
        <w:trPr>
          <w:trHeight w:val="41"/>
        </w:trPr>
        <w:tc>
          <w:tcPr>
            <w:tcW w:w="35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6.125% senior notes due 2043</w:t>
            </w:r>
          </w:p>
        </w:tc>
        <w:tc>
          <w:tcPr>
            <w:tcW w:w="2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272</w:t>
            </w:r>
          </w:p>
        </w:tc>
        <w:tc>
          <w:tcPr>
            <w:tcW w:w="5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272</w:t>
            </w:r>
          </w:p>
        </w:tc>
      </w:tr>
      <w:tr>
        <w:trPr>
          <w:trHeight w:val="274"/>
        </w:trPr>
        <w:tc>
          <w:tcPr>
            <w:tcW w:w="3500" w:type="dxa"/>
            <w:vAlign w:val="bottom"/>
          </w:tcPr>
          <w:p>
            <w:pPr>
              <w:spacing w:after="0"/>
              <w:rPr>
                <w:sz w:val="20"/>
                <w:szCs w:val="20"/>
                <w:color w:val="auto"/>
              </w:rPr>
            </w:pPr>
            <w:r>
              <w:rPr>
                <w:rFonts w:ascii="Arial" w:cs="Arial" w:eastAsia="Arial" w:hAnsi="Arial"/>
                <w:sz w:val="20"/>
                <w:szCs w:val="20"/>
                <w:color w:val="auto"/>
              </w:rPr>
              <w:t>5.050% senior notes due 2048</w:t>
            </w:r>
          </w:p>
        </w:tc>
        <w:tc>
          <w:tcPr>
            <w:tcW w:w="2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3"/>
              <w:spacing w:after="0"/>
              <w:rPr>
                <w:sz w:val="20"/>
                <w:szCs w:val="20"/>
                <w:color w:val="auto"/>
              </w:rPr>
            </w:pPr>
            <w:r>
              <w:rPr>
                <w:rFonts w:ascii="Arial" w:cs="Arial" w:eastAsia="Arial" w:hAnsi="Arial"/>
                <w:sz w:val="20"/>
                <w:szCs w:val="20"/>
                <w:color w:val="auto"/>
              </w:rPr>
              <w:t>396</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20"/>
                <w:szCs w:val="20"/>
                <w:color w:val="auto"/>
              </w:rPr>
              <w:t>396</w:t>
            </w:r>
          </w:p>
        </w:tc>
      </w:tr>
      <w:tr>
        <w:trPr>
          <w:trHeight w:val="41"/>
        </w:trPr>
        <w:tc>
          <w:tcPr>
            <w:tcW w:w="3500" w:type="dxa"/>
            <w:vAlign w:val="bottom"/>
          </w:tcPr>
          <w:p>
            <w:pPr>
              <w:spacing w:after="0"/>
              <w:rPr>
                <w:sz w:val="3"/>
                <w:szCs w:val="3"/>
                <w:color w:val="auto"/>
              </w:rPr>
            </w:pPr>
          </w:p>
        </w:tc>
        <w:tc>
          <w:tcPr>
            <w:tcW w:w="2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94"/>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3.875% senior notes due 2049</w:t>
            </w:r>
          </w:p>
        </w:tc>
        <w:tc>
          <w:tcPr>
            <w:tcW w:w="2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543</w:t>
            </w:r>
          </w:p>
        </w:tc>
        <w:tc>
          <w:tcPr>
            <w:tcW w:w="5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543</w:t>
            </w:r>
          </w:p>
        </w:tc>
      </w:tr>
      <w:tr>
        <w:trPr>
          <w:trHeight w:val="274"/>
        </w:trPr>
        <w:tc>
          <w:tcPr>
            <w:tcW w:w="3500" w:type="dxa"/>
            <w:vAlign w:val="bottom"/>
          </w:tcPr>
          <w:p>
            <w:pPr>
              <w:spacing w:after="0"/>
              <w:rPr>
                <w:sz w:val="20"/>
                <w:szCs w:val="20"/>
                <w:color w:val="auto"/>
              </w:rPr>
            </w:pPr>
            <w:r>
              <w:rPr>
                <w:rFonts w:ascii="Arial" w:cs="Arial" w:eastAsia="Arial" w:hAnsi="Arial"/>
                <w:sz w:val="20"/>
                <w:szCs w:val="20"/>
                <w:color w:val="auto"/>
              </w:rPr>
              <w:t>5.900% senior notes due 2054</w:t>
            </w:r>
          </w:p>
        </w:tc>
        <w:tc>
          <w:tcPr>
            <w:tcW w:w="2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23"/>
              <w:spacing w:after="0"/>
              <w:rPr>
                <w:sz w:val="20"/>
                <w:szCs w:val="20"/>
                <w:color w:val="auto"/>
              </w:rPr>
            </w:pPr>
            <w:r>
              <w:rPr>
                <w:rFonts w:ascii="Arial" w:cs="Arial" w:eastAsia="Arial" w:hAnsi="Arial"/>
                <w:sz w:val="20"/>
                <w:szCs w:val="20"/>
                <w:color w:val="auto"/>
              </w:rPr>
              <w:t>738</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20"/>
                <w:szCs w:val="20"/>
                <w:color w:val="auto"/>
              </w:rPr>
              <w:t>738</w:t>
            </w:r>
          </w:p>
        </w:tc>
      </w:tr>
      <w:tr>
        <w:trPr>
          <w:trHeight w:val="51"/>
        </w:trPr>
        <w:tc>
          <w:tcPr>
            <w:tcW w:w="3500" w:type="dxa"/>
            <w:vAlign w:val="bottom"/>
          </w:tcPr>
          <w:p>
            <w:pPr>
              <w:spacing w:after="0"/>
              <w:rPr>
                <w:sz w:val="4"/>
                <w:szCs w:val="4"/>
                <w:color w:val="auto"/>
              </w:rPr>
            </w:pPr>
          </w:p>
        </w:tc>
        <w:tc>
          <w:tcPr>
            <w:tcW w:w="2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4"/>
        </w:trPr>
        <w:tc>
          <w:tcPr>
            <w:tcW w:w="3500" w:type="dxa"/>
            <w:vAlign w:val="bottom"/>
            <w:shd w:val="clear" w:color="auto" w:fill="CFF0FC"/>
          </w:tcPr>
          <w:p>
            <w:pPr>
              <w:spacing w:after="0"/>
              <w:rPr>
                <w:sz w:val="23"/>
                <w:szCs w:val="23"/>
                <w:color w:val="auto"/>
              </w:rPr>
            </w:pPr>
          </w:p>
        </w:tc>
        <w:tc>
          <w:tcPr>
            <w:tcW w:w="230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860" w:type="dxa"/>
            <w:vAlign w:val="bottom"/>
            <w:shd w:val="clear" w:color="auto" w:fill="CFF0FC"/>
          </w:tcPr>
          <w:p>
            <w:pPr>
              <w:jc w:val="center"/>
              <w:ind w:right="229"/>
              <w:spacing w:after="0"/>
              <w:rPr>
                <w:sz w:val="20"/>
                <w:szCs w:val="20"/>
                <w:color w:val="auto"/>
              </w:rPr>
            </w:pPr>
            <w:r>
              <w:rPr>
                <w:rFonts w:ascii="Arial" w:cs="Arial" w:eastAsia="Arial" w:hAnsi="Arial"/>
                <w:sz w:val="20"/>
                <w:szCs w:val="20"/>
                <w:color w:val="auto"/>
                <w:w w:val="89"/>
              </w:rPr>
              <w:t>$</w:t>
            </w:r>
          </w:p>
        </w:tc>
        <w:tc>
          <w:tcPr>
            <w:tcW w:w="220" w:type="dxa"/>
            <w:vAlign w:val="bottom"/>
            <w:shd w:val="clear" w:color="auto" w:fill="CFF0FC"/>
          </w:tcPr>
          <w:p>
            <w:pPr>
              <w:spacing w:after="0"/>
              <w:rPr>
                <w:sz w:val="23"/>
                <w:szCs w:val="23"/>
                <w:color w:val="auto"/>
              </w:rPr>
            </w:pPr>
          </w:p>
        </w:tc>
        <w:tc>
          <w:tcPr>
            <w:tcW w:w="560" w:type="dxa"/>
            <w:vAlign w:val="bottom"/>
            <w:shd w:val="clear" w:color="auto" w:fill="CFF0FC"/>
          </w:tcPr>
          <w:p>
            <w:pPr>
              <w:jc w:val="right"/>
              <w:ind w:right="23"/>
              <w:spacing w:after="0"/>
              <w:rPr>
                <w:sz w:val="20"/>
                <w:szCs w:val="20"/>
                <w:color w:val="auto"/>
              </w:rPr>
            </w:pPr>
            <w:r>
              <w:rPr>
                <w:rFonts w:ascii="Arial" w:cs="Arial" w:eastAsia="Arial" w:hAnsi="Arial"/>
                <w:sz w:val="20"/>
                <w:szCs w:val="20"/>
                <w:color w:val="auto"/>
                <w:w w:val="83"/>
              </w:rPr>
              <w:t>5,756</w:t>
            </w:r>
          </w:p>
        </w:tc>
        <w:tc>
          <w:tcPr>
            <w:tcW w:w="5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w:t>
            </w:r>
          </w:p>
        </w:tc>
        <w:tc>
          <w:tcPr>
            <w:tcW w:w="120" w:type="dxa"/>
            <w:vAlign w:val="bottom"/>
            <w:shd w:val="clear" w:color="auto" w:fill="CFF0FC"/>
          </w:tcPr>
          <w:p>
            <w:pPr>
              <w:spacing w:after="0"/>
              <w:rPr>
                <w:sz w:val="23"/>
                <w:szCs w:val="23"/>
                <w:color w:val="auto"/>
              </w:rPr>
            </w:pPr>
          </w:p>
        </w:tc>
        <w:tc>
          <w:tcPr>
            <w:tcW w:w="960" w:type="dxa"/>
            <w:vAlign w:val="bottom"/>
            <w:shd w:val="clear" w:color="auto" w:fill="CFF0FC"/>
          </w:tcPr>
          <w:p>
            <w:pPr>
              <w:jc w:val="right"/>
              <w:ind w:right="23"/>
              <w:spacing w:after="0"/>
              <w:rPr>
                <w:sz w:val="20"/>
                <w:szCs w:val="20"/>
                <w:color w:val="auto"/>
              </w:rPr>
            </w:pPr>
            <w:r>
              <w:rPr>
                <w:rFonts w:ascii="Arial" w:cs="Arial" w:eastAsia="Arial" w:hAnsi="Arial"/>
                <w:sz w:val="20"/>
                <w:szCs w:val="20"/>
                <w:color w:val="auto"/>
              </w:rPr>
              <w:t>5,309</w:t>
            </w:r>
          </w:p>
        </w:tc>
      </w:tr>
      <w:tr>
        <w:trPr>
          <w:trHeight w:val="86"/>
        </w:trPr>
        <w:tc>
          <w:tcPr>
            <w:tcW w:w="3500" w:type="dxa"/>
            <w:vAlign w:val="bottom"/>
            <w:shd w:val="clear" w:color="auto" w:fill="CFF0FC"/>
          </w:tcPr>
          <w:p>
            <w:pPr>
              <w:spacing w:after="0"/>
              <w:rPr>
                <w:sz w:val="7"/>
                <w:szCs w:val="7"/>
                <w:color w:val="auto"/>
              </w:rPr>
            </w:pPr>
          </w:p>
        </w:tc>
        <w:tc>
          <w:tcPr>
            <w:tcW w:w="230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r>
      <w:tr>
        <w:trPr>
          <w:trHeight w:val="799"/>
        </w:trPr>
        <w:tc>
          <w:tcPr>
            <w:tcW w:w="3500" w:type="dxa"/>
            <w:vAlign w:val="bottom"/>
          </w:tcPr>
          <w:p>
            <w:pPr>
              <w:spacing w:after="0"/>
              <w:rPr>
                <w:sz w:val="24"/>
                <w:szCs w:val="24"/>
                <w:color w:val="auto"/>
              </w:rPr>
            </w:pPr>
          </w:p>
        </w:tc>
        <w:tc>
          <w:tcPr>
            <w:tcW w:w="2300" w:type="dxa"/>
            <w:vAlign w:val="bottom"/>
          </w:tcPr>
          <w:p>
            <w:pPr>
              <w:jc w:val="right"/>
              <w:ind w:right="870"/>
              <w:spacing w:after="0"/>
              <w:rPr>
                <w:sz w:val="20"/>
                <w:szCs w:val="20"/>
                <w:color w:val="auto"/>
              </w:rPr>
            </w:pPr>
            <w:r>
              <w:rPr>
                <w:rFonts w:ascii="Arial" w:cs="Arial" w:eastAsia="Arial" w:hAnsi="Arial"/>
                <w:sz w:val="20"/>
                <w:szCs w:val="20"/>
                <w:color w:val="auto"/>
              </w:rPr>
              <w:t>105</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91"/>
        </w:trPr>
        <w:tc>
          <w:tcPr>
            <w:tcW w:w="350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4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-6883400</wp:posOffset>
            </wp:positionV>
            <wp:extent cx="2176780"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1">
                      <a:extLst>
                        <a:ext uri="{28A0092B-C50C-407E-A947-70E740481C1C}"/>
                      </a:extLst>
                    </a:blip>
                    <a:srcRect/>
                    <a:stretch>
                      <a:fillRect/>
                    </a:stretch>
                  </pic:blipFill>
                  <pic:spPr bwMode="auto">
                    <a:xfrm>
                      <a:off x="0" y="0"/>
                      <a:ext cx="217678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-6572250</wp:posOffset>
            </wp:positionV>
            <wp:extent cx="5967730"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2">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-6375400</wp:posOffset>
            </wp:positionV>
            <wp:extent cx="2176780" cy="285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3">
                      <a:extLst>
                        <a:ext uri="{28A0092B-C50C-407E-A947-70E740481C1C}"/>
                      </a:extLst>
                    </a:blip>
                    <a:srcRect/>
                    <a:stretch>
                      <a:fillRect/>
                    </a:stretch>
                  </pic:blipFill>
                  <pic:spPr bwMode="auto">
                    <a:xfrm>
                      <a:off x="0" y="0"/>
                      <a:ext cx="2176780" cy="28575"/>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-5222875</wp:posOffset>
            </wp:positionV>
            <wp:extent cx="1889760" cy="6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4">
                      <a:extLst>
                        <a:ext uri="{28A0092B-C50C-407E-A947-70E740481C1C}"/>
                      </a:extLst>
                    </a:blip>
                    <a:srcRect/>
                    <a:stretch>
                      <a:fillRect/>
                    </a:stretch>
                  </pic:blipFill>
                  <pic:spPr bwMode="auto">
                    <a:xfrm>
                      <a:off x="0" y="0"/>
                      <a:ext cx="1889760"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-5064125</wp:posOffset>
            </wp:positionV>
            <wp:extent cx="1889760"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5">
                      <a:extLst>
                        <a:ext uri="{28A0092B-C50C-407E-A947-70E740481C1C}"/>
                      </a:extLst>
                    </a:blip>
                    <a:srcRect/>
                    <a:stretch>
                      <a:fillRect/>
                    </a:stretch>
                  </pic:blipFill>
                  <pic:spPr bwMode="auto">
                    <a:xfrm>
                      <a:off x="0" y="0"/>
                      <a:ext cx="1889760"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-4867275</wp:posOffset>
            </wp:positionV>
            <wp:extent cx="1889760"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6">
                      <a:extLst>
                        <a:ext uri="{28A0092B-C50C-407E-A947-70E740481C1C}"/>
                      </a:extLst>
                    </a:blip>
                    <a:srcRect/>
                    <a:stretch>
                      <a:fillRect/>
                    </a:stretch>
                  </pic:blipFill>
                  <pic:spPr bwMode="auto">
                    <a:xfrm>
                      <a:off x="0" y="0"/>
                      <a:ext cx="1889760"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-4670425</wp:posOffset>
            </wp:positionV>
            <wp:extent cx="1889760" cy="285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7">
                      <a:extLst>
                        <a:ext uri="{28A0092B-C50C-407E-A947-70E740481C1C}"/>
                      </a:extLst>
                    </a:blip>
                    <a:srcRect/>
                    <a:stretch>
                      <a:fillRect/>
                    </a:stretch>
                  </pic:blipFill>
                  <pic:spPr bwMode="auto">
                    <a:xfrm>
                      <a:off x="0" y="0"/>
                      <a:ext cx="1889760" cy="2857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-3890010</wp:posOffset>
            </wp:positionV>
            <wp:extent cx="1903095"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58">
                      <a:extLst>
                        <a:ext uri="{28A0092B-C50C-407E-A947-70E740481C1C}"/>
                      </a:extLst>
                    </a:blip>
                    <a:srcRect/>
                    <a:stretch>
                      <a:fillRect/>
                    </a:stretch>
                  </pic:blipFill>
                  <pic:spPr bwMode="auto">
                    <a:xfrm>
                      <a:off x="0" y="0"/>
                      <a:ext cx="1903095" cy="6350"/>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-3721735</wp:posOffset>
            </wp:positionV>
            <wp:extent cx="1903095"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59">
                      <a:extLst>
                        <a:ext uri="{28A0092B-C50C-407E-A947-70E740481C1C}"/>
                      </a:extLst>
                    </a:blip>
                    <a:srcRect/>
                    <a:stretch>
                      <a:fillRect/>
                    </a:stretch>
                  </pic:blipFill>
                  <pic:spPr bwMode="auto">
                    <a:xfrm>
                      <a:off x="0" y="0"/>
                      <a:ext cx="1903095" cy="6350"/>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-1319530</wp:posOffset>
            </wp:positionV>
            <wp:extent cx="1903095"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0">
                      <a:extLst>
                        <a:ext uri="{28A0092B-C50C-407E-A947-70E740481C1C}"/>
                      </a:extLst>
                    </a:blip>
                    <a:srcRect/>
                    <a:stretch>
                      <a:fillRect/>
                    </a:stretch>
                  </pic:blipFill>
                  <pic:spPr bwMode="auto">
                    <a:xfrm>
                      <a:off x="0" y="0"/>
                      <a:ext cx="1903095" cy="6350"/>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-1113790</wp:posOffset>
            </wp:positionV>
            <wp:extent cx="1903095" cy="285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1">
                      <a:extLst>
                        <a:ext uri="{28A0092B-C50C-407E-A947-70E740481C1C}"/>
                      </a:extLst>
                    </a:blip>
                    <a:srcRect/>
                    <a:stretch>
                      <a:fillRect/>
                    </a:stretch>
                  </pic:blipFill>
                  <pic:spPr bwMode="auto">
                    <a:xfrm>
                      <a:off x="0" y="0"/>
                      <a:ext cx="1903095"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21</w:t>
      </w:r>
    </w:p>
    <w:p>
      <w:pPr>
        <w:sectPr>
          <w:pgSz w:w="11900" w:h="16838" w:orient="portrait"/>
          <w:cols w:equalWidth="0" w:num="1">
            <w:col w:w="9400"/>
          </w:cols>
          <w:pgMar w:left="1260" w:top="1440" w:right="1246" w:bottom="0" w:gutter="0" w:footer="0" w:header="0"/>
          <w:type w:val="continuous"/>
        </w:sectPr>
      </w:pPr>
    </w:p>
    <w:bookmarkStart w:id="206" w:name="page207"/>
    <w:bookmarkEnd w:id="2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Guarantees</w:t>
      </w:r>
    </w:p>
    <w:p>
      <w:pPr>
        <w:spacing w:after="0" w:line="260" w:lineRule="exact"/>
        <w:rPr>
          <w:sz w:val="20"/>
          <w:szCs w:val="20"/>
          <w:color w:val="auto"/>
        </w:rPr>
      </w:pPr>
    </w:p>
    <w:p>
      <w:pPr>
        <w:ind w:right="20"/>
        <w:spacing w:after="0" w:line="311" w:lineRule="auto"/>
        <w:rPr>
          <w:sz w:val="20"/>
          <w:szCs w:val="20"/>
          <w:color w:val="auto"/>
        </w:rPr>
      </w:pPr>
      <w:r>
        <w:rPr>
          <w:rFonts w:ascii="Arial" w:cs="Arial" w:eastAsia="Arial" w:hAnsi="Arial"/>
          <w:sz w:val="20"/>
          <w:szCs w:val="20"/>
          <w:color w:val="auto"/>
        </w:rPr>
        <w:t>The following table presents a summary of the entities that issued each note or entered into the revolving credit facility and those wholly-owned and consolidated subsidiaries of the Company that guarantee each respective note and the revolving credit facility on a joint and several basis as of December 31, 2025. On December 16, 2024, TA I Limited, Willis Towers Watson UK Holdings Limited and Willis Netherlands Holdings B.V. ceased to be guarantors of our notes, following the transfer of their respective properties and assets to other existing guarantors. Further, Willis Towers Watson UK Holdings Limited was released from its guarantees under our revolving credit facility. TA I Limited and Willis Netherlands Holdings B.V. were released from their guarantees under our revolving credit facility in 2025.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4.650% due 2027</w:t>
            </w:r>
          </w:p>
        </w:tc>
      </w:tr>
      <w:tr>
        <w:trPr>
          <w:trHeight w:val="240"/>
        </w:trPr>
        <w:tc>
          <w:tcPr>
            <w:tcW w:w="4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4.500% due 2028</w:t>
            </w:r>
          </w:p>
        </w:tc>
      </w:tr>
      <w:tr>
        <w:trPr>
          <w:trHeight w:val="240"/>
        </w:trPr>
        <w:tc>
          <w:tcPr>
            <w:tcW w:w="4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60" w:type="dxa"/>
            <w:vAlign w:val="bottom"/>
          </w:tcPr>
          <w:p>
            <w:pPr>
              <w:jc w:val="center"/>
              <w:ind w:left="12"/>
              <w:spacing w:after="0"/>
              <w:rPr>
                <w:sz w:val="20"/>
                <w:szCs w:val="20"/>
                <w:color w:val="auto"/>
              </w:rPr>
            </w:pPr>
            <w:r>
              <w:rPr>
                <w:rFonts w:ascii="Arial" w:cs="Arial" w:eastAsia="Arial" w:hAnsi="Arial"/>
                <w:sz w:val="16"/>
                <w:szCs w:val="16"/>
                <w:b w:val="1"/>
                <w:bCs w:val="1"/>
                <w:color w:val="auto"/>
                <w:w w:val="92"/>
              </w:rPr>
              <w:t>2.950% due 2029</w:t>
            </w:r>
          </w:p>
        </w:tc>
      </w:tr>
      <w:tr>
        <w:trPr>
          <w:trHeight w:val="240"/>
        </w:trPr>
        <w:tc>
          <w:tcPr>
            <w:tcW w:w="4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4.550% due 2031</w:t>
            </w:r>
          </w:p>
        </w:tc>
      </w:tr>
      <w:tr>
        <w:trPr>
          <w:trHeight w:val="240"/>
        </w:trPr>
        <w:tc>
          <w:tcPr>
            <w:tcW w:w="4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5.350% due 2033</w:t>
            </w:r>
          </w:p>
        </w:tc>
      </w:tr>
      <w:tr>
        <w:trPr>
          <w:trHeight w:val="240"/>
        </w:trPr>
        <w:tc>
          <w:tcPr>
            <w:tcW w:w="4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5.150% due 2036</w:t>
            </w:r>
          </w:p>
        </w:tc>
      </w:tr>
      <w:tr>
        <w:trPr>
          <w:trHeight w:val="240"/>
        </w:trPr>
        <w:tc>
          <w:tcPr>
            <w:tcW w:w="4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5.050% due 2048</w:t>
            </w:r>
          </w:p>
        </w:tc>
      </w:tr>
      <w:tr>
        <w:trPr>
          <w:trHeight w:val="240"/>
        </w:trPr>
        <w:tc>
          <w:tcPr>
            <w:tcW w:w="4300" w:type="dxa"/>
            <w:vAlign w:val="bottom"/>
          </w:tcPr>
          <w:p>
            <w:pPr>
              <w:spacing w:after="0"/>
              <w:rPr>
                <w:sz w:val="20"/>
                <w:szCs w:val="20"/>
                <w:color w:val="auto"/>
              </w:rPr>
            </w:pPr>
          </w:p>
        </w:tc>
        <w:tc>
          <w:tcPr>
            <w:tcW w:w="1880" w:type="dxa"/>
            <w:vAlign w:val="bottom"/>
          </w:tcPr>
          <w:p>
            <w:pPr>
              <w:jc w:val="center"/>
              <w:ind w:left="185"/>
              <w:spacing w:after="0"/>
              <w:rPr>
                <w:sz w:val="20"/>
                <w:szCs w:val="20"/>
                <w:color w:val="auto"/>
              </w:rPr>
            </w:pPr>
            <w:r>
              <w:rPr>
                <w:rFonts w:ascii="Arial" w:cs="Arial" w:eastAsia="Arial" w:hAnsi="Arial"/>
                <w:sz w:val="16"/>
                <w:szCs w:val="16"/>
                <w:b w:val="1"/>
                <w:bCs w:val="1"/>
                <w:color w:val="auto"/>
                <w:w w:val="89"/>
              </w:rPr>
              <w:t>Revolving credit</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1"/>
              </w:rPr>
              <w:t>4.400% due 2026</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3.875% due 2049</w:t>
            </w:r>
          </w:p>
        </w:tc>
      </w:tr>
      <w:tr>
        <w:trPr>
          <w:trHeight w:val="240"/>
        </w:trPr>
        <w:tc>
          <w:tcPr>
            <w:tcW w:w="4300" w:type="dxa"/>
            <w:vAlign w:val="bottom"/>
          </w:tcPr>
          <w:p>
            <w:pPr>
              <w:spacing w:after="0"/>
              <w:rPr>
                <w:sz w:val="20"/>
                <w:szCs w:val="20"/>
                <w:color w:val="auto"/>
              </w:rPr>
            </w:pPr>
            <w:r>
              <w:rPr>
                <w:rFonts w:ascii="Arial" w:cs="Arial" w:eastAsia="Arial" w:hAnsi="Arial"/>
                <w:sz w:val="16"/>
                <w:szCs w:val="16"/>
                <w:b w:val="1"/>
                <w:bCs w:val="1"/>
                <w:color w:val="auto"/>
              </w:rPr>
              <w:t>Entity</w:t>
            </w:r>
          </w:p>
        </w:tc>
        <w:tc>
          <w:tcPr>
            <w:tcW w:w="1880" w:type="dxa"/>
            <w:vAlign w:val="bottom"/>
          </w:tcPr>
          <w:p>
            <w:pPr>
              <w:jc w:val="center"/>
              <w:ind w:left="225"/>
              <w:spacing w:after="0"/>
              <w:rPr>
                <w:sz w:val="20"/>
                <w:szCs w:val="20"/>
                <w:color w:val="auto"/>
              </w:rPr>
            </w:pPr>
            <w:r>
              <w:rPr>
                <w:rFonts w:ascii="Arial" w:cs="Arial" w:eastAsia="Arial" w:hAnsi="Arial"/>
                <w:sz w:val="16"/>
                <w:szCs w:val="16"/>
                <w:b w:val="1"/>
                <w:bCs w:val="1"/>
                <w:color w:val="auto"/>
                <w:w w:val="94"/>
              </w:rPr>
              <w:t>facility</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1"/>
              </w:rPr>
              <w:t>6.125% due 2043</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5.900% due 2054</w:t>
            </w:r>
          </w:p>
        </w:tc>
      </w:tr>
      <w:tr>
        <w:trPr>
          <w:trHeight w:val="42"/>
        </w:trPr>
        <w:tc>
          <w:tcPr>
            <w:tcW w:w="43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94"/>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plc</w:t>
            </w:r>
          </w:p>
        </w:tc>
        <w:tc>
          <w:tcPr>
            <w:tcW w:w="1880" w:type="dxa"/>
            <w:vAlign w:val="bottom"/>
            <w:tcBorders>
              <w:bottom w:val="single" w:sz="8" w:color="CFF0FC"/>
            </w:tcBorders>
            <w:shd w:val="clear" w:color="auto" w:fill="CFF0FC"/>
          </w:tcPr>
          <w:p>
            <w:pPr>
              <w:jc w:val="center"/>
              <w:ind w:left="205"/>
              <w:spacing w:after="0"/>
              <w:rPr>
                <w:sz w:val="20"/>
                <w:szCs w:val="20"/>
                <w:color w:val="auto"/>
              </w:rPr>
            </w:pPr>
            <w:r>
              <w:rPr>
                <w:rFonts w:ascii="Arial" w:cs="Arial" w:eastAsia="Arial" w:hAnsi="Arial"/>
                <w:sz w:val="20"/>
                <w:szCs w:val="20"/>
                <w:color w:val="auto"/>
                <w:w w:val="91"/>
              </w:rPr>
              <w:t>Guarantor</w:t>
            </w:r>
          </w:p>
        </w:tc>
        <w:tc>
          <w:tcPr>
            <w:tcW w:w="1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8"/>
              </w:rPr>
              <w:t>Guarantor</w:t>
            </w:r>
          </w:p>
        </w:tc>
        <w:tc>
          <w:tcPr>
            <w:tcW w:w="15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1"/>
              </w:rPr>
              <w:t>Guarantor</w:t>
            </w:r>
          </w:p>
        </w:tc>
      </w:tr>
      <w:tr>
        <w:trPr>
          <w:trHeight w:val="274"/>
        </w:trPr>
        <w:tc>
          <w:tcPr>
            <w:tcW w:w="4300" w:type="dxa"/>
            <w:vAlign w:val="bottom"/>
          </w:tcPr>
          <w:p>
            <w:pPr>
              <w:spacing w:after="0"/>
              <w:rPr>
                <w:sz w:val="20"/>
                <w:szCs w:val="20"/>
                <w:color w:val="auto"/>
              </w:rPr>
            </w:pPr>
            <w:r>
              <w:rPr>
                <w:rFonts w:ascii="Arial" w:cs="Arial" w:eastAsia="Arial" w:hAnsi="Arial"/>
                <w:sz w:val="20"/>
                <w:szCs w:val="20"/>
                <w:color w:val="auto"/>
              </w:rPr>
              <w:t>Trinity Acquisition plc</w:t>
            </w:r>
          </w:p>
        </w:tc>
        <w:tc>
          <w:tcPr>
            <w:tcW w:w="1880" w:type="dxa"/>
            <w:vAlign w:val="bottom"/>
          </w:tcPr>
          <w:p>
            <w:pPr>
              <w:jc w:val="center"/>
              <w:ind w:left="225"/>
              <w:spacing w:after="0"/>
              <w:rPr>
                <w:sz w:val="20"/>
                <w:szCs w:val="20"/>
                <w:color w:val="auto"/>
              </w:rPr>
            </w:pPr>
            <w:r>
              <w:rPr>
                <w:rFonts w:ascii="Arial" w:cs="Arial" w:eastAsia="Arial" w:hAnsi="Arial"/>
                <w:sz w:val="20"/>
                <w:szCs w:val="20"/>
                <w:color w:val="auto"/>
                <w:w w:val="88"/>
              </w:rPr>
              <w:t>Issuer</w:t>
            </w:r>
          </w:p>
        </w:tc>
        <w:tc>
          <w:tcPr>
            <w:tcW w:w="1660" w:type="dxa"/>
            <w:vAlign w:val="bottom"/>
          </w:tcPr>
          <w:p>
            <w:pPr>
              <w:jc w:val="center"/>
              <w:spacing w:after="0"/>
              <w:rPr>
                <w:sz w:val="20"/>
                <w:szCs w:val="20"/>
                <w:color w:val="auto"/>
              </w:rPr>
            </w:pPr>
            <w:r>
              <w:rPr>
                <w:rFonts w:ascii="Arial" w:cs="Arial" w:eastAsia="Arial" w:hAnsi="Arial"/>
                <w:sz w:val="20"/>
                <w:szCs w:val="20"/>
                <w:color w:val="auto"/>
                <w:w w:val="88"/>
              </w:rPr>
              <w:t>Issuer</w:t>
            </w:r>
          </w:p>
        </w:tc>
        <w:tc>
          <w:tcPr>
            <w:tcW w:w="1560" w:type="dxa"/>
            <w:vAlign w:val="bottom"/>
          </w:tcPr>
          <w:p>
            <w:pPr>
              <w:jc w:val="center"/>
              <w:spacing w:after="0"/>
              <w:rPr>
                <w:sz w:val="20"/>
                <w:szCs w:val="20"/>
                <w:color w:val="auto"/>
              </w:rPr>
            </w:pPr>
            <w:r>
              <w:rPr>
                <w:rFonts w:ascii="Arial" w:cs="Arial" w:eastAsia="Arial" w:hAnsi="Arial"/>
                <w:sz w:val="20"/>
                <w:szCs w:val="20"/>
                <w:color w:val="auto"/>
                <w:w w:val="91"/>
              </w:rPr>
              <w:t>Guarantor</w:t>
            </w:r>
          </w:p>
        </w:tc>
      </w:tr>
      <w:tr>
        <w:trPr>
          <w:trHeight w:val="41"/>
        </w:trPr>
        <w:tc>
          <w:tcPr>
            <w:tcW w:w="43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94"/>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North America Inc.</w:t>
            </w:r>
          </w:p>
        </w:tc>
        <w:tc>
          <w:tcPr>
            <w:tcW w:w="1880" w:type="dxa"/>
            <w:vAlign w:val="bottom"/>
            <w:tcBorders>
              <w:bottom w:val="single" w:sz="8" w:color="CFF0FC"/>
            </w:tcBorders>
            <w:shd w:val="clear" w:color="auto" w:fill="CFF0FC"/>
          </w:tcPr>
          <w:p>
            <w:pPr>
              <w:jc w:val="center"/>
              <w:ind w:left="205"/>
              <w:spacing w:after="0"/>
              <w:rPr>
                <w:sz w:val="20"/>
                <w:szCs w:val="20"/>
                <w:color w:val="auto"/>
              </w:rPr>
            </w:pPr>
            <w:r>
              <w:rPr>
                <w:rFonts w:ascii="Arial" w:cs="Arial" w:eastAsia="Arial" w:hAnsi="Arial"/>
                <w:sz w:val="20"/>
                <w:szCs w:val="20"/>
                <w:color w:val="auto"/>
                <w:w w:val="91"/>
              </w:rPr>
              <w:t>Guarantor</w:t>
            </w:r>
          </w:p>
        </w:tc>
        <w:tc>
          <w:tcPr>
            <w:tcW w:w="1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8"/>
              </w:rPr>
              <w:t>Guarantor</w:t>
            </w:r>
          </w:p>
        </w:tc>
        <w:tc>
          <w:tcPr>
            <w:tcW w:w="15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8"/>
              </w:rPr>
              <w:t>Issuer</w:t>
            </w:r>
          </w:p>
        </w:tc>
      </w:tr>
      <w:tr>
        <w:trPr>
          <w:trHeight w:val="274"/>
        </w:trPr>
        <w:tc>
          <w:tcPr>
            <w:tcW w:w="4300" w:type="dxa"/>
            <w:vAlign w:val="bottom"/>
          </w:tcPr>
          <w:p>
            <w:pPr>
              <w:spacing w:after="0"/>
              <w:rPr>
                <w:sz w:val="20"/>
                <w:szCs w:val="20"/>
                <w:color w:val="auto"/>
              </w:rPr>
            </w:pPr>
            <w:r>
              <w:rPr>
                <w:rFonts w:ascii="Arial" w:cs="Arial" w:eastAsia="Arial" w:hAnsi="Arial"/>
                <w:sz w:val="20"/>
                <w:szCs w:val="20"/>
                <w:color w:val="auto"/>
              </w:rPr>
              <w:t>Willis Investment UK Holdings Limited</w:t>
            </w:r>
          </w:p>
        </w:tc>
        <w:tc>
          <w:tcPr>
            <w:tcW w:w="1880" w:type="dxa"/>
            <w:vAlign w:val="bottom"/>
          </w:tcPr>
          <w:p>
            <w:pPr>
              <w:jc w:val="center"/>
              <w:ind w:left="205"/>
              <w:spacing w:after="0"/>
              <w:rPr>
                <w:sz w:val="20"/>
                <w:szCs w:val="20"/>
                <w:color w:val="auto"/>
              </w:rPr>
            </w:pPr>
            <w:r>
              <w:rPr>
                <w:rFonts w:ascii="Arial" w:cs="Arial" w:eastAsia="Arial" w:hAnsi="Arial"/>
                <w:sz w:val="20"/>
                <w:szCs w:val="20"/>
                <w:color w:val="auto"/>
                <w:w w:val="91"/>
              </w:rPr>
              <w:t>Guarantor</w:t>
            </w:r>
          </w:p>
        </w:tc>
        <w:tc>
          <w:tcPr>
            <w:tcW w:w="1660" w:type="dxa"/>
            <w:vAlign w:val="bottom"/>
          </w:tcPr>
          <w:p>
            <w:pPr>
              <w:jc w:val="center"/>
              <w:spacing w:after="0"/>
              <w:rPr>
                <w:sz w:val="20"/>
                <w:szCs w:val="20"/>
                <w:color w:val="auto"/>
              </w:rPr>
            </w:pPr>
            <w:r>
              <w:rPr>
                <w:rFonts w:ascii="Arial" w:cs="Arial" w:eastAsia="Arial" w:hAnsi="Arial"/>
                <w:sz w:val="20"/>
                <w:szCs w:val="20"/>
                <w:color w:val="auto"/>
                <w:w w:val="88"/>
              </w:rPr>
              <w:t>Guarantor</w:t>
            </w:r>
          </w:p>
        </w:tc>
        <w:tc>
          <w:tcPr>
            <w:tcW w:w="1560" w:type="dxa"/>
            <w:vAlign w:val="bottom"/>
          </w:tcPr>
          <w:p>
            <w:pPr>
              <w:jc w:val="center"/>
              <w:spacing w:after="0"/>
              <w:rPr>
                <w:sz w:val="20"/>
                <w:szCs w:val="20"/>
                <w:color w:val="auto"/>
              </w:rPr>
            </w:pPr>
            <w:r>
              <w:rPr>
                <w:rFonts w:ascii="Arial" w:cs="Arial" w:eastAsia="Arial" w:hAnsi="Arial"/>
                <w:sz w:val="20"/>
                <w:szCs w:val="20"/>
                <w:color w:val="auto"/>
                <w:w w:val="91"/>
              </w:rPr>
              <w:t>Guarantor</w:t>
            </w:r>
          </w:p>
        </w:tc>
      </w:tr>
      <w:tr>
        <w:trPr>
          <w:trHeight w:val="41"/>
        </w:trPr>
        <w:tc>
          <w:tcPr>
            <w:tcW w:w="43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94"/>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Group Limited</w:t>
            </w:r>
          </w:p>
        </w:tc>
        <w:tc>
          <w:tcPr>
            <w:tcW w:w="1880" w:type="dxa"/>
            <w:vAlign w:val="bottom"/>
            <w:tcBorders>
              <w:bottom w:val="single" w:sz="8" w:color="CFF0FC"/>
            </w:tcBorders>
            <w:shd w:val="clear" w:color="auto" w:fill="CFF0FC"/>
          </w:tcPr>
          <w:p>
            <w:pPr>
              <w:jc w:val="center"/>
              <w:ind w:left="205"/>
              <w:spacing w:after="0"/>
              <w:rPr>
                <w:sz w:val="20"/>
                <w:szCs w:val="20"/>
                <w:color w:val="auto"/>
              </w:rPr>
            </w:pPr>
            <w:r>
              <w:rPr>
                <w:rFonts w:ascii="Arial" w:cs="Arial" w:eastAsia="Arial" w:hAnsi="Arial"/>
                <w:sz w:val="20"/>
                <w:szCs w:val="20"/>
                <w:color w:val="auto"/>
                <w:w w:val="91"/>
              </w:rPr>
              <w:t>Guarantor</w:t>
            </w:r>
          </w:p>
        </w:tc>
        <w:tc>
          <w:tcPr>
            <w:tcW w:w="1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8"/>
              </w:rPr>
              <w:t>Guarantor</w:t>
            </w:r>
          </w:p>
        </w:tc>
        <w:tc>
          <w:tcPr>
            <w:tcW w:w="15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1"/>
              </w:rPr>
              <w:t>Guarantor</w:t>
            </w:r>
          </w:p>
        </w:tc>
      </w:tr>
      <w:tr>
        <w:trPr>
          <w:trHeight w:val="274"/>
        </w:trPr>
        <w:tc>
          <w:tcPr>
            <w:tcW w:w="4300" w:type="dxa"/>
            <w:vAlign w:val="bottom"/>
          </w:tcPr>
          <w:p>
            <w:pPr>
              <w:spacing w:after="0"/>
              <w:rPr>
                <w:sz w:val="20"/>
                <w:szCs w:val="20"/>
                <w:color w:val="auto"/>
              </w:rPr>
            </w:pPr>
            <w:r>
              <w:rPr>
                <w:rFonts w:ascii="Arial" w:cs="Arial" w:eastAsia="Arial" w:hAnsi="Arial"/>
                <w:sz w:val="20"/>
                <w:szCs w:val="20"/>
                <w:color w:val="auto"/>
              </w:rPr>
              <w:t>Willis Towers Watson Sub Holdings Unlimited</w:t>
            </w:r>
          </w:p>
        </w:tc>
        <w:tc>
          <w:tcPr>
            <w:tcW w:w="18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300"/>
        </w:trPr>
        <w:tc>
          <w:tcPr>
            <w:tcW w:w="4300" w:type="dxa"/>
            <w:vAlign w:val="bottom"/>
          </w:tcPr>
          <w:p>
            <w:pPr>
              <w:spacing w:after="0"/>
              <w:rPr>
                <w:sz w:val="20"/>
                <w:szCs w:val="20"/>
                <w:color w:val="auto"/>
              </w:rPr>
            </w:pPr>
            <w:r>
              <w:rPr>
                <w:rFonts w:ascii="Arial" w:cs="Arial" w:eastAsia="Arial" w:hAnsi="Arial"/>
                <w:sz w:val="20"/>
                <w:szCs w:val="20"/>
                <w:color w:val="auto"/>
              </w:rPr>
              <w:t>Company</w:t>
            </w:r>
          </w:p>
        </w:tc>
        <w:tc>
          <w:tcPr>
            <w:tcW w:w="1880" w:type="dxa"/>
            <w:vAlign w:val="bottom"/>
          </w:tcPr>
          <w:p>
            <w:pPr>
              <w:jc w:val="center"/>
              <w:ind w:left="205"/>
              <w:spacing w:after="0"/>
              <w:rPr>
                <w:sz w:val="20"/>
                <w:szCs w:val="20"/>
                <w:color w:val="auto"/>
              </w:rPr>
            </w:pPr>
            <w:r>
              <w:rPr>
                <w:rFonts w:ascii="Arial" w:cs="Arial" w:eastAsia="Arial" w:hAnsi="Arial"/>
                <w:sz w:val="20"/>
                <w:szCs w:val="20"/>
                <w:color w:val="auto"/>
                <w:w w:val="91"/>
              </w:rPr>
              <w:t>Guarantor</w:t>
            </w:r>
          </w:p>
        </w:tc>
        <w:tc>
          <w:tcPr>
            <w:tcW w:w="1660" w:type="dxa"/>
            <w:vAlign w:val="bottom"/>
          </w:tcPr>
          <w:p>
            <w:pPr>
              <w:jc w:val="center"/>
              <w:spacing w:after="0"/>
              <w:rPr>
                <w:sz w:val="20"/>
                <w:szCs w:val="20"/>
                <w:color w:val="auto"/>
              </w:rPr>
            </w:pPr>
            <w:r>
              <w:rPr>
                <w:rFonts w:ascii="Arial" w:cs="Arial" w:eastAsia="Arial" w:hAnsi="Arial"/>
                <w:sz w:val="20"/>
                <w:szCs w:val="20"/>
                <w:color w:val="auto"/>
                <w:w w:val="88"/>
              </w:rPr>
              <w:t>Guarantor</w:t>
            </w:r>
          </w:p>
        </w:tc>
        <w:tc>
          <w:tcPr>
            <w:tcW w:w="1560" w:type="dxa"/>
            <w:vAlign w:val="bottom"/>
          </w:tcPr>
          <w:p>
            <w:pPr>
              <w:jc w:val="center"/>
              <w:spacing w:after="0"/>
              <w:rPr>
                <w:sz w:val="20"/>
                <w:szCs w:val="20"/>
                <w:color w:val="auto"/>
              </w:rPr>
            </w:pPr>
            <w:r>
              <w:rPr>
                <w:rFonts w:ascii="Arial" w:cs="Arial" w:eastAsia="Arial" w:hAnsi="Arial"/>
                <w:sz w:val="20"/>
                <w:szCs w:val="20"/>
                <w:color w:val="auto"/>
                <w:w w:val="91"/>
              </w:rPr>
              <w:t>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-1368425</wp:posOffset>
            </wp:positionV>
            <wp:extent cx="5967730" cy="6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2">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Revolving Credit Facility</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$1.5 billion revolving credit facility</w:t>
      </w:r>
    </w:p>
    <w:p>
      <w:pPr>
        <w:spacing w:after="0" w:line="260" w:lineRule="exact"/>
        <w:rPr>
          <w:sz w:val="20"/>
          <w:szCs w:val="20"/>
          <w:color w:val="auto"/>
        </w:rPr>
      </w:pPr>
    </w:p>
    <w:p>
      <w:pPr>
        <w:ind w:right="140"/>
        <w:spacing w:after="0" w:line="355" w:lineRule="auto"/>
        <w:rPr>
          <w:sz w:val="20"/>
          <w:szCs w:val="20"/>
          <w:color w:val="auto"/>
        </w:rPr>
      </w:pPr>
      <w:r>
        <w:rPr>
          <w:rFonts w:ascii="Arial" w:cs="Arial" w:eastAsia="Arial" w:hAnsi="Arial"/>
          <w:sz w:val="18"/>
          <w:szCs w:val="18"/>
          <w:color w:val="auto"/>
        </w:rPr>
        <w:t>On October 17, 2025, Trinity Acquisition plc entered into a third amended and restated revolving credit facility (the ‘Third A&amp;R RCF’) for $1.5 billion that will mature on October 17, 2030. The Third A&amp;R RCF supersedes and replaces the Company’s previous $1.5 billion revolving credit facility which was due to expire in October 2026.</w:t>
      </w:r>
    </w:p>
    <w:p>
      <w:pPr>
        <w:spacing w:after="0" w:line="162" w:lineRule="exact"/>
        <w:rPr>
          <w:sz w:val="20"/>
          <w:szCs w:val="20"/>
          <w:color w:val="auto"/>
        </w:rPr>
      </w:pPr>
    </w:p>
    <w:p>
      <w:pPr>
        <w:ind w:right="100"/>
        <w:spacing w:after="0" w:line="330" w:lineRule="auto"/>
        <w:rPr>
          <w:sz w:val="20"/>
          <w:szCs w:val="20"/>
          <w:color w:val="auto"/>
        </w:rPr>
      </w:pPr>
      <w:r>
        <w:rPr>
          <w:rFonts w:ascii="Arial" w:cs="Arial" w:eastAsia="Arial" w:hAnsi="Arial"/>
          <w:sz w:val="19"/>
          <w:szCs w:val="19"/>
          <w:color w:val="auto"/>
        </w:rPr>
        <w:t>Borrowing costs under the Third A&amp;R RCF differ if the borrowing is a ‘base rate’ borrowing or a ‘Term Benchmark’ borrowing, both as defined in the Third A&amp;R RCF, and equal the sum of the relevant benchmark plus a margin based on the Company’s senior unsecured long-term debt rating as described below:</w:t>
      </w:r>
    </w:p>
    <w:p>
      <w:pPr>
        <w:spacing w:after="0" w:line="224" w:lineRule="exact"/>
        <w:rPr>
          <w:sz w:val="20"/>
          <w:szCs w:val="20"/>
          <w:color w:val="auto"/>
        </w:rPr>
      </w:pPr>
    </w:p>
    <w:p>
      <w:pPr>
        <w:ind w:left="620" w:hanging="313"/>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base rate borrowings, the benchmark rate will be the greatest of (a) the Prime Rate in effect on such day,</w:t>
      </w:r>
    </w:p>
    <w:p>
      <w:pPr>
        <w:spacing w:after="0" w:line="153" w:lineRule="exact"/>
        <w:rPr>
          <w:rFonts w:ascii="Arial" w:cs="Arial" w:eastAsia="Arial" w:hAnsi="Arial"/>
          <w:sz w:val="18"/>
          <w:szCs w:val="18"/>
          <w:color w:val="auto"/>
        </w:rPr>
      </w:pPr>
    </w:p>
    <w:p>
      <w:pPr>
        <w:ind w:left="620" w:right="120"/>
        <w:spacing w:after="0" w:line="372" w:lineRule="auto"/>
        <w:rPr>
          <w:rFonts w:ascii="Arial" w:cs="Arial" w:eastAsia="Arial" w:hAnsi="Arial"/>
          <w:sz w:val="18"/>
          <w:szCs w:val="18"/>
          <w:color w:val="auto"/>
        </w:rPr>
      </w:pPr>
      <w:r>
        <w:rPr>
          <w:rFonts w:ascii="Arial" w:cs="Arial" w:eastAsia="Arial" w:hAnsi="Arial"/>
          <w:sz w:val="20"/>
          <w:szCs w:val="20"/>
          <w:color w:val="auto"/>
        </w:rPr>
        <w:t>(b) the Federal Funds Effective Rate in effect on such day plus 0.50%, and (c) the term secured overnight financing rate (‘Term SOFR’, as further defined in the Third A&amp;R RCF) for an interest period of one month plus 1.0%. The margin on the base rate benchmark is 0.00% to 0.375% depending on the Company’s senior unsecured long-term debt rating.</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21</w:t>
      </w:r>
    </w:p>
    <w:p>
      <w:pPr>
        <w:sectPr>
          <w:pgSz w:w="11900" w:h="16838" w:orient="portrait"/>
          <w:cols w:equalWidth="0" w:num="1">
            <w:col w:w="9400"/>
          </w:cols>
          <w:pgMar w:left="1260" w:top="1440" w:right="1246" w:bottom="0" w:gutter="0" w:footer="0" w:header="0"/>
          <w:type w:val="continuous"/>
        </w:sectPr>
      </w:pPr>
    </w:p>
    <w:bookmarkStart w:id="207" w:name="page208"/>
    <w:bookmarkEnd w:id="207"/>
    <w:p>
      <w:pPr>
        <w:ind w:left="620" w:right="20" w:hanging="313"/>
        <w:spacing w:after="0" w:line="396" w:lineRule="auto"/>
        <w:tabs>
          <w:tab w:leader="none" w:pos="6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For Term Benchmark or Daily Simple Risk-Free Rate (‘RFR’) borrowings, the rate will be the applicable secured overnight financing rate (‘SOFR’, as further defined in the Third A&amp;R RCF) or the applicable Daily Simple RFR (as applicable based on the currency of the borrowing) plus a margin of 0.75% to 1.375% depending on the Company’s guaranteed unsecured long-term debt rating.</w:t>
      </w:r>
    </w:p>
    <w:p>
      <w:pPr>
        <w:spacing w:after="0" w:line="132" w:lineRule="exact"/>
        <w:rPr>
          <w:sz w:val="20"/>
          <w:szCs w:val="20"/>
          <w:color w:val="auto"/>
        </w:rPr>
      </w:pPr>
    </w:p>
    <w:p>
      <w:pPr>
        <w:ind w:right="580"/>
        <w:spacing w:after="0" w:line="302" w:lineRule="auto"/>
        <w:rPr>
          <w:sz w:val="20"/>
          <w:szCs w:val="20"/>
          <w:color w:val="auto"/>
        </w:rPr>
      </w:pPr>
      <w:r>
        <w:rPr>
          <w:rFonts w:ascii="Arial" w:cs="Arial" w:eastAsia="Arial" w:hAnsi="Arial"/>
          <w:sz w:val="20"/>
          <w:szCs w:val="20"/>
          <w:color w:val="auto"/>
        </w:rPr>
        <w:t>The Third A&amp;R RCF also carries a commitment (unused) fee of 0.065% to 0.15%, which is also based on the Company’s senior unsecured long-term debt rating.</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Notes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4.550% senior notes due 2031 and 5.150% senior notes due 2036</w:t>
      </w:r>
    </w:p>
    <w:p>
      <w:pPr>
        <w:spacing w:after="0" w:line="260" w:lineRule="exact"/>
        <w:rPr>
          <w:sz w:val="20"/>
          <w:szCs w:val="20"/>
          <w:color w:val="auto"/>
        </w:rPr>
      </w:pPr>
    </w:p>
    <w:p>
      <w:pPr>
        <w:spacing w:after="0" w:line="311" w:lineRule="auto"/>
        <w:rPr>
          <w:sz w:val="20"/>
          <w:szCs w:val="20"/>
          <w:color w:val="auto"/>
        </w:rPr>
      </w:pPr>
      <w:r>
        <w:rPr>
          <w:rFonts w:ascii="Arial" w:cs="Arial" w:eastAsia="Arial" w:hAnsi="Arial"/>
          <w:sz w:val="20"/>
          <w:szCs w:val="20"/>
          <w:color w:val="auto"/>
        </w:rPr>
        <w:t>On December 22, 2025, the Company, together with its wholly-owned subsidiary, Willis North America Inc., as issuer, completed an offering of $700 million aggregate principal amount of 4.550% senior notes due 2031 (‘2031 senior notes’) and $300 million aggregate principal amount of 5.150% senior notes due 2036 (‘2036 senior notes’; collectively, the ‘2025 senior notes offering’). The effective interest rates of the 2031 senior notes and 2036 senior notes are 4.71% and 5.24%, respectively, which include the impact of the discount upon issuance. The 2031 senior notes will mature on March 15, 2031 and the 2036 senior notes will mature on March 15, 2036. Interest has accrued on both the 2031 senior notes and 2036 senior notes from December 22, 2025 and is paid in cash on March 15 and September 15 of each year, beginning on September 15, 2026. The net proceeds from the 2025 senior notes offering, after</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338"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 / 21</w:t>
      </w:r>
    </w:p>
    <w:p>
      <w:pPr>
        <w:sectPr>
          <w:pgSz w:w="11900" w:h="16838" w:orient="portrait"/>
          <w:cols w:equalWidth="0" w:num="1">
            <w:col w:w="9340"/>
          </w:cols>
          <w:pgMar w:left="1260" w:top="1338" w:right="1306" w:bottom="0" w:gutter="0" w:footer="0" w:header="0"/>
          <w:type w:val="continuous"/>
        </w:sectPr>
      </w:pPr>
    </w:p>
    <w:bookmarkStart w:id="208" w:name="page209"/>
    <w:bookmarkEnd w:id="2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80"/>
        <w:spacing w:after="0" w:line="310" w:lineRule="auto"/>
        <w:rPr>
          <w:sz w:val="20"/>
          <w:szCs w:val="20"/>
          <w:color w:val="auto"/>
        </w:rPr>
      </w:pPr>
      <w:r>
        <w:rPr>
          <w:rFonts w:ascii="Arial" w:cs="Arial" w:eastAsia="Arial" w:hAnsi="Arial"/>
          <w:sz w:val="20"/>
          <w:szCs w:val="20"/>
          <w:color w:val="auto"/>
        </w:rPr>
        <w:t>deducting underwriter discounts and commissions and estimated offering expenses, were $989 million and, together with our new $775 million delayed draw term loan facility (see Note 22 — Subsequent Events), was used to pay the consideration for the Newfront acquisition and related fees, costs and expenses (see Note 3 — Acquisitions and Divestitures) and will be used to repay in full the $550 million aggregate principal amount of the 4.400% senior notes due 2026 and related accrued interest.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5.900% senior notes due 2054</w:t>
      </w:r>
    </w:p>
    <w:p>
      <w:pPr>
        <w:spacing w:after="0" w:line="260" w:lineRule="exact"/>
        <w:rPr>
          <w:sz w:val="20"/>
          <w:szCs w:val="20"/>
          <w:color w:val="auto"/>
        </w:rPr>
      </w:pPr>
    </w:p>
    <w:p>
      <w:pPr>
        <w:ind w:right="60"/>
        <w:spacing w:after="0" w:line="309" w:lineRule="auto"/>
        <w:rPr>
          <w:sz w:val="20"/>
          <w:szCs w:val="20"/>
          <w:color w:val="auto"/>
        </w:rPr>
      </w:pPr>
      <w:r>
        <w:rPr>
          <w:rFonts w:ascii="Arial" w:cs="Arial" w:eastAsia="Arial" w:hAnsi="Arial"/>
          <w:sz w:val="20"/>
          <w:szCs w:val="20"/>
          <w:color w:val="auto"/>
        </w:rPr>
        <w:t>On March 5, 2024, the Company, together with its wholly-owned subsidiary, Willis North America Inc., as issuer, completed an offering of $750 million aggregate principal amount of 5.900% senior notes due 2054 (‘2054 senior notes’). The effective interest rate of the 2054 senior notes is 6.00%, which includes the impact of the discount upon issuance. The 2054 senior notes will mature on March 5,</w:t>
      </w:r>
    </w:p>
    <w:p>
      <w:pPr>
        <w:spacing w:after="0" w:line="16" w:lineRule="exact"/>
        <w:rPr>
          <w:sz w:val="20"/>
          <w:szCs w:val="20"/>
          <w:color w:val="auto"/>
        </w:rPr>
      </w:pPr>
    </w:p>
    <w:p>
      <w:pPr>
        <w:ind w:right="60"/>
        <w:spacing w:after="0" w:line="311" w:lineRule="auto"/>
        <w:rPr>
          <w:sz w:val="20"/>
          <w:szCs w:val="20"/>
          <w:color w:val="auto"/>
        </w:rPr>
      </w:pPr>
      <w:r>
        <w:rPr>
          <w:rFonts w:ascii="Arial" w:cs="Arial" w:eastAsia="Arial" w:hAnsi="Arial"/>
          <w:sz w:val="20"/>
          <w:szCs w:val="20"/>
          <w:color w:val="auto"/>
        </w:rPr>
        <w:t>2054. Interest on the 2054 senior notes accrues from March 5, 2024 and will be paid in cash on March 5 and September 5 of each year, commencing on September 5, 2024. The net proceeds from this offering, after deducting the underwriting discount and offering expenses, were approximately $737 million, of which $662 million was used to fully repay the $650 million aggregate principal amount and related accrued interest of the 3.600% senior notes at maturity during the second quarter of 2024. The Company used the remaining net proceeds for general corporate purposes.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5.350% senior notes due 2033</w:t>
      </w:r>
    </w:p>
    <w:p>
      <w:pPr>
        <w:spacing w:after="0" w:line="260" w:lineRule="exact"/>
        <w:rPr>
          <w:sz w:val="20"/>
          <w:szCs w:val="20"/>
          <w:color w:val="auto"/>
        </w:rPr>
      </w:pPr>
    </w:p>
    <w:p>
      <w:pPr>
        <w:ind w:right="60"/>
        <w:spacing w:after="0" w:line="329" w:lineRule="auto"/>
        <w:rPr>
          <w:sz w:val="20"/>
          <w:szCs w:val="20"/>
          <w:color w:val="auto"/>
        </w:rPr>
      </w:pPr>
      <w:r>
        <w:rPr>
          <w:rFonts w:ascii="Arial" w:cs="Arial" w:eastAsia="Arial" w:hAnsi="Arial"/>
          <w:sz w:val="19"/>
          <w:szCs w:val="19"/>
          <w:color w:val="auto"/>
        </w:rPr>
        <w:t>On May 17, 2023, the Company, together with its wholly-owned subsidiary, Willis North America Inc. as issuer, completed an offering of $750 million aggregate principal amount of 5.350% senior notes due 2033 (‘2033 senior notes’). The effective interest rate of the 2033 senior notes is 5.47%, which includes the impact of the discount upon issuance. The 2033 senior notes will mature on May 15, 2033. Interest on the 2033 senior notes accrues from May 17, 2023 and will be paid in cash on May 15 and November 15 of each year, commencing on November 15, 2023. The net proceeds from this offering, after deducting the underwriting discount and offering expenses, were $741 million, of which $256 million was used to fully repay the $250 million aggregate principal amount and related accrued interest of the 4.625% senior notes at maturity during the third quarter of 2023. The Company used the remaining net proceeds for general corporate purposes.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4.650% senior notes due 2027</w:t>
      </w:r>
    </w:p>
    <w:p>
      <w:pPr>
        <w:spacing w:after="0" w:line="260"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On May 19, 2022, the Company, together with its wholly-owned subsidiary, Willis North America Inc. as issuer, completed an offering of $750 million aggregate principal amount of 4.650% senior notes due 2027 (‘2027 senior notes’). The effective interest rate of the 2027 senior notes is 4.79%, which includes the impact of the discount upon issuance. The 2027 senior notes will mature on June 15, 2027. Interest on the 2027 senior notes accrues from May 19, 2022 and will be paid in cash on June 15 and December 15 of each year, commencing on December 15, 2022. The net proceeds from this offering, after deducting the underwriting discount and estimated offering expenses, were approximately $744 million and were used to fully repay the €540 million ($582 million on the date of repayment) aggregate principal amount of the 2.125% Senior Notes due 2022 and related accrued interest, and for general corporate purposes.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2.950% senior notes due 2029 and 3.875% senior notes due 2049</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 / 21</w:t>
      </w:r>
    </w:p>
    <w:p>
      <w:pPr>
        <w:sectPr>
          <w:pgSz w:w="11900" w:h="16838" w:orient="portrait"/>
          <w:cols w:equalWidth="0" w:num="1">
            <w:col w:w="9360"/>
          </w:cols>
          <w:pgMar w:left="1260" w:top="1440" w:right="1286" w:bottom="0" w:gutter="0" w:footer="0" w:header="0"/>
          <w:type w:val="continuous"/>
        </w:sectPr>
      </w:pPr>
    </w:p>
    <w:bookmarkStart w:id="209" w:name="page210"/>
    <w:bookmarkEnd w:id="209"/>
    <w:p>
      <w:pPr>
        <w:spacing w:after="0" w:line="311" w:lineRule="auto"/>
        <w:rPr>
          <w:sz w:val="20"/>
          <w:szCs w:val="20"/>
          <w:color w:val="auto"/>
        </w:rPr>
      </w:pPr>
      <w:r>
        <w:rPr>
          <w:rFonts w:ascii="Arial" w:cs="Arial" w:eastAsia="Arial" w:hAnsi="Arial"/>
          <w:sz w:val="20"/>
          <w:szCs w:val="20"/>
          <w:color w:val="auto"/>
        </w:rPr>
        <w:t>On September 10, 2019, the Company, together with its wholly-owned subsidiary, Willis North America Inc., as issuer, completed an offering of $450 million aggregate principal amount of 2.950% senior notes due 2029 (the ‘initial 2029 senior notes’) and $550 million aggregate principal amount of 3.875% senior notes due 2049 (‘2049 senior notes’; collectively, the ‘2019 senior notes offering’). On May 29, 2020, the Company, together with its wholly-owned subsidiary, Willis North America Inc., as issuer, completed an offering of an additional $275 million aggregate principal amount of 2.950% senior notes due 2029 (the ‘additional 2029 senior notes’). The additional 2029 senior notes will be treated as a single class with, and otherwise identical to, the initial 2029 senior notes other than with respect to the date of issuance, the issue price and the amounts paid to holders for each class of note on the first interest payment date. The effective interest rates of the initial 2029 senior notes and 2049 senior notes are 2.971% and</w:t>
      </w:r>
    </w:p>
    <w:p>
      <w:pPr>
        <w:spacing w:after="0" w:line="20" w:lineRule="exact"/>
        <w:rPr>
          <w:sz w:val="20"/>
          <w:szCs w:val="20"/>
          <w:color w:val="auto"/>
        </w:rPr>
      </w:pPr>
    </w:p>
    <w:p>
      <w:pPr>
        <w:spacing w:after="0" w:line="310" w:lineRule="auto"/>
        <w:rPr>
          <w:sz w:val="20"/>
          <w:szCs w:val="20"/>
          <w:color w:val="auto"/>
        </w:rPr>
      </w:pPr>
      <w:r>
        <w:rPr>
          <w:rFonts w:ascii="Arial" w:cs="Arial" w:eastAsia="Arial" w:hAnsi="Arial"/>
          <w:sz w:val="20"/>
          <w:szCs w:val="20"/>
          <w:color w:val="auto"/>
        </w:rPr>
        <w:t>3.898%, respectively, which include the impact of the discount upon issuance. The effective interest rate of the additional 2029 senior notes is 2.697%, which includes the impact of the premium upon issuance. Both 2029 senior notes offerings will mature on September 15, 2029, and the 2049 senior notes will mature on September 15, 2049. Interest on the 2019 senior notes offering has accrued from September 10, 2019 and is paid in cash on March 15 and September 15 of each year.</w:t>
      </w:r>
    </w:p>
    <w:p>
      <w:pPr>
        <w:spacing w:after="0" w:line="15" w:lineRule="exact"/>
        <w:rPr>
          <w:sz w:val="20"/>
          <w:szCs w:val="20"/>
          <w:color w:val="auto"/>
        </w:rPr>
      </w:pPr>
    </w:p>
    <w:p>
      <w:pPr>
        <w:ind w:right="80"/>
        <w:spacing w:after="0" w:line="330" w:lineRule="auto"/>
        <w:rPr>
          <w:sz w:val="20"/>
          <w:szCs w:val="20"/>
          <w:color w:val="auto"/>
        </w:rPr>
      </w:pPr>
      <w:r>
        <w:rPr>
          <w:rFonts w:ascii="Arial" w:cs="Arial" w:eastAsia="Arial" w:hAnsi="Arial"/>
          <w:sz w:val="19"/>
          <w:szCs w:val="19"/>
          <w:color w:val="auto"/>
        </w:rPr>
        <w:t>Interest on the additional 2029 senior notes has accrued from March 15, 2020 and is paid in cash on March 15 and September 15 of each year. The net proceeds from these offerings, after deducting underwriter discounts and commissions and estimated offering expenses, were approximately $988 million, and were used to prepay a portion of the amount outstanding under the Company’s previously-held one-year term loan commitment and to repay borrowings under a revolving credit facility previously held by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4.500% senior notes due 2028 and 5.050% senior notes due 2048</w:t>
      </w:r>
    </w:p>
    <w:p>
      <w:pPr>
        <w:spacing w:after="0" w:line="260" w:lineRule="exact"/>
        <w:rPr>
          <w:sz w:val="20"/>
          <w:szCs w:val="20"/>
          <w:color w:val="auto"/>
        </w:rPr>
      </w:pPr>
    </w:p>
    <w:p>
      <w:pPr>
        <w:ind w:right="360"/>
        <w:spacing w:after="0" w:line="307" w:lineRule="auto"/>
        <w:rPr>
          <w:sz w:val="20"/>
          <w:szCs w:val="20"/>
          <w:color w:val="auto"/>
        </w:rPr>
      </w:pPr>
      <w:r>
        <w:rPr>
          <w:rFonts w:ascii="Arial" w:cs="Arial" w:eastAsia="Arial" w:hAnsi="Arial"/>
          <w:sz w:val="20"/>
          <w:szCs w:val="20"/>
          <w:color w:val="auto"/>
        </w:rPr>
        <w:t>On September 10, 2018, the Company, together with its wholly-owned subsidiary, Willis North America Inc. as issuer, completed an offering of $600 million of 4.500% senior notes due 2028 (‘2028 senior notes’) and $400 million of 5.050% senior notes due 2048</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 / 21</w:t>
      </w:r>
    </w:p>
    <w:p>
      <w:pPr>
        <w:sectPr>
          <w:pgSz w:w="11900" w:h="16838" w:orient="portrait"/>
          <w:cols w:equalWidth="0" w:num="1">
            <w:col w:w="9320"/>
          </w:cols>
          <w:pgMar w:left="1260" w:top="1173" w:right="1326" w:bottom="0" w:gutter="0" w:footer="0" w:header="0"/>
          <w:type w:val="continuous"/>
        </w:sectPr>
      </w:pPr>
    </w:p>
    <w:bookmarkStart w:id="210" w:name="page211"/>
    <w:bookmarkEnd w:id="2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(‘2048 senior notes’). The effective interest rates of the 2028 senior notes and 2048 senior notes are 4.504% and</w:t>
      </w:r>
    </w:p>
    <w:p>
      <w:pPr>
        <w:spacing w:after="0" w:line="93" w:lineRule="exact"/>
        <w:rPr>
          <w:sz w:val="20"/>
          <w:szCs w:val="20"/>
          <w:color w:val="auto"/>
        </w:rPr>
      </w:pPr>
    </w:p>
    <w:p>
      <w:pPr>
        <w:spacing w:after="0" w:line="311" w:lineRule="auto"/>
        <w:rPr>
          <w:sz w:val="20"/>
          <w:szCs w:val="20"/>
          <w:color w:val="auto"/>
        </w:rPr>
      </w:pPr>
      <w:r>
        <w:rPr>
          <w:rFonts w:ascii="Arial" w:cs="Arial" w:eastAsia="Arial" w:hAnsi="Arial"/>
          <w:sz w:val="20"/>
          <w:szCs w:val="20"/>
          <w:color w:val="auto"/>
        </w:rPr>
        <w:t>5.073%, respectively, which include the impact of the discount upon issuance. The 2028 senior notes will mature on September 15, 2028 and the 2048 senior notes will mature on September 15, 2048. Interest has accrued on both the 2028 senior notes and 2048 senior notes from September 10, 2018 and is paid in cash on March 15 and September 15 of each year. The net proceeds from this offering, after deducting underwriter discounts and commissions and estimated offering expenses, were $989 million and were used to prepay in full $127 million outstanding under the Company’s term loan due December 2019 and to repay a portion of the amount outstanding under the Company’s RCF.</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4.400% senior notes due 2026</w:t>
      </w:r>
    </w:p>
    <w:p>
      <w:pPr>
        <w:spacing w:after="0" w:line="260" w:lineRule="exact"/>
        <w:rPr>
          <w:sz w:val="20"/>
          <w:szCs w:val="20"/>
          <w:color w:val="auto"/>
        </w:rPr>
      </w:pPr>
    </w:p>
    <w:p>
      <w:pPr>
        <w:ind w:right="180"/>
        <w:spacing w:after="0" w:line="351" w:lineRule="auto"/>
        <w:rPr>
          <w:sz w:val="20"/>
          <w:szCs w:val="20"/>
          <w:color w:val="auto"/>
        </w:rPr>
      </w:pPr>
      <w:r>
        <w:rPr>
          <w:rFonts w:ascii="Arial" w:cs="Arial" w:eastAsia="Arial" w:hAnsi="Arial"/>
          <w:sz w:val="18"/>
          <w:szCs w:val="18"/>
          <w:color w:val="auto"/>
        </w:rPr>
        <w:t>On March 22, 2016, Trinity Acquisition plc issued $550 million of 4.400% senior notes due 2026 (‘2026 senior notes’). The effective interest rate on the 2026 senior notes is 4.572%, which includes the impact of the discount upon issuance. The 2026 senior notes will mature on March 15, 2026. Interest on the 2026 senior notes has accrued from March 22, 2016 and is paid in cash on March 15 and September 15 of each year. The net proceeds from this offering were used primarily to repay a revolving credit facility previously held by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4.625% senior notes due 2023 (repaid in August 2023) and 6.125% senior notes due 2043</w:t>
      </w:r>
    </w:p>
    <w:p>
      <w:pPr>
        <w:spacing w:after="0" w:line="260" w:lineRule="exact"/>
        <w:rPr>
          <w:sz w:val="20"/>
          <w:szCs w:val="20"/>
          <w:color w:val="auto"/>
        </w:rPr>
      </w:pPr>
    </w:p>
    <w:p>
      <w:pPr>
        <w:jc w:val="both"/>
        <w:ind w:right="60"/>
        <w:spacing w:after="0" w:line="350" w:lineRule="auto"/>
        <w:rPr>
          <w:sz w:val="20"/>
          <w:szCs w:val="20"/>
          <w:color w:val="auto"/>
        </w:rPr>
      </w:pPr>
      <w:r>
        <w:rPr>
          <w:rFonts w:ascii="Arial" w:cs="Arial" w:eastAsia="Arial" w:hAnsi="Arial"/>
          <w:sz w:val="18"/>
          <w:szCs w:val="18"/>
          <w:color w:val="auto"/>
        </w:rPr>
        <w:t>On August 15, 2013, Trinity Acquisition plc issued $250 million of 4.625% senior notes due 2023 (‘2023 senior notes’) and $275 million of 6.125% senior notes due 2043 (‘2043 senior notes’). The effective interest rate of the 2023 senior notes was 4.696% and the effective interest rate of the 2043 senior notes is 6.154%, which includes the impact of the discount upon issuance. The proceeds were used to repurchase other previously-issued senior notes. The 2023 senior notes matured on August 15, 2023; the 2043 senior notes will mature on August 15, 2043. In August 2023, the Company repaid in full the principal and related accrued interest associated with the 2023 senior notes using, in part, the proceeds from the issuance of the 2033 senior notes discussed above.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Regarding Fully Repaid Senior Notes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3.600% senior notes due 2024</w:t>
      </w:r>
    </w:p>
    <w:p>
      <w:pPr>
        <w:spacing w:after="0" w:line="260" w:lineRule="exact"/>
        <w:rPr>
          <w:sz w:val="20"/>
          <w:szCs w:val="20"/>
          <w:color w:val="auto"/>
        </w:rPr>
      </w:pPr>
    </w:p>
    <w:p>
      <w:pPr>
        <w:ind w:right="240"/>
        <w:spacing w:after="0" w:line="347" w:lineRule="auto"/>
        <w:rPr>
          <w:sz w:val="20"/>
          <w:szCs w:val="20"/>
          <w:color w:val="auto"/>
        </w:rPr>
      </w:pPr>
      <w:r>
        <w:rPr>
          <w:rFonts w:ascii="Arial" w:cs="Arial" w:eastAsia="Arial" w:hAnsi="Arial"/>
          <w:sz w:val="18"/>
          <w:szCs w:val="18"/>
          <w:color w:val="auto"/>
        </w:rPr>
        <w:t>On May 16, 2017, Willis North America Inc. issued $650 million of 3.600% senior notes due 2024 (‘2024 senior notes’). The effective interest rate of the 2024 senior notes was 3.614%, which included the impact of the discount upon issuance. The 2024 senior notes matured on May 15, 2024, and interest had accrued on the 2024 senior notes from May 16, 2017 and was paid in cash on May 15 and November 15 of each year. The net proceeds from this offering, after deducting underwriter discounts and commissions and estimated offering expenses, were</w:t>
      </w:r>
    </w:p>
    <w:p>
      <w:pPr>
        <w:spacing w:after="0" w:line="4" w:lineRule="exact"/>
        <w:rPr>
          <w:sz w:val="20"/>
          <w:szCs w:val="20"/>
          <w:color w:val="auto"/>
        </w:rPr>
      </w:pPr>
    </w:p>
    <w:p>
      <w:pPr>
        <w:ind w:right="120"/>
        <w:spacing w:after="0" w:line="307" w:lineRule="auto"/>
        <w:rPr>
          <w:sz w:val="20"/>
          <w:szCs w:val="20"/>
          <w:color w:val="auto"/>
        </w:rPr>
      </w:pPr>
      <w:r>
        <w:rPr>
          <w:rFonts w:ascii="Arial" w:cs="Arial" w:eastAsia="Arial" w:hAnsi="Arial"/>
          <w:sz w:val="20"/>
          <w:szCs w:val="20"/>
          <w:color w:val="auto"/>
        </w:rPr>
        <w:t>$644 million and were used to pay down amounts outstanding under the RCF and for general corporate purposes. In May 2024, the 2024 senior notes were repaid in full using the net proceeds from the 2054 senior notes offering discussed above.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Covenants</w:t>
      </w:r>
    </w:p>
    <w:p>
      <w:pPr>
        <w:spacing w:after="0" w:line="260" w:lineRule="exact"/>
        <w:rPr>
          <w:sz w:val="20"/>
          <w:szCs w:val="20"/>
          <w:color w:val="auto"/>
        </w:rPr>
      </w:pPr>
    </w:p>
    <w:p>
      <w:pPr>
        <w:ind w:right="100"/>
        <w:spacing w:after="0" w:line="352" w:lineRule="auto"/>
        <w:rPr>
          <w:sz w:val="20"/>
          <w:szCs w:val="20"/>
          <w:color w:val="auto"/>
        </w:rPr>
      </w:pPr>
      <w:r>
        <w:rPr>
          <w:rFonts w:ascii="Arial" w:cs="Arial" w:eastAsia="Arial" w:hAnsi="Arial"/>
          <w:sz w:val="18"/>
          <w:szCs w:val="18"/>
          <w:color w:val="auto"/>
        </w:rPr>
        <w:t>The terms of our current financings also include certain limitations. For example, the agreements relating to the debt arrangements and credit facilities generally contain numerous operating and financial covenants, including requirements to maintain minimum ratios of consolidated EBITDA to consolidated cash interest expense and maximum levels of consolidated funded indebtedness in relation to consolidated EBITDA, in each case subject to</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21</w:t>
      </w:r>
    </w:p>
    <w:p>
      <w:pPr>
        <w:sectPr>
          <w:pgSz w:w="11900" w:h="16838" w:orient="portrait"/>
          <w:cols w:equalWidth="0" w:num="1">
            <w:col w:w="9400"/>
          </w:cols>
          <w:pgMar w:left="1260" w:top="1440" w:right="1246" w:bottom="0" w:gutter="0" w:footer="0" w:header="0"/>
          <w:type w:val="continuous"/>
        </w:sectPr>
      </w:pPr>
    </w:p>
    <w:bookmarkStart w:id="211" w:name="page212"/>
    <w:bookmarkEnd w:id="211"/>
    <w:p>
      <w:pPr>
        <w:ind w:right="140"/>
        <w:spacing w:after="0" w:line="355" w:lineRule="auto"/>
        <w:rPr>
          <w:sz w:val="20"/>
          <w:szCs w:val="20"/>
          <w:color w:val="auto"/>
        </w:rPr>
      </w:pPr>
      <w:r>
        <w:rPr>
          <w:rFonts w:ascii="Arial" w:cs="Arial" w:eastAsia="Arial" w:hAnsi="Arial"/>
          <w:sz w:val="18"/>
          <w:szCs w:val="18"/>
          <w:color w:val="auto"/>
        </w:rPr>
        <w:t>certain adjustments. The operating restrictions and financial covenants in our current credit facilities do, and any future financing agreements may, limit our ability to finance future operations or capital needs or to engage in other business activities. At December 31, 2025 and 2024, we were in compliance with all financial covenants.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Maturity</w:t>
      </w:r>
    </w:p>
    <w:p>
      <w:pPr>
        <w:spacing w:after="0" w:line="260" w:lineRule="exact"/>
        <w:rPr>
          <w:sz w:val="20"/>
          <w:szCs w:val="20"/>
          <w:color w:val="auto"/>
        </w:rPr>
      </w:pPr>
    </w:p>
    <w:p>
      <w:pPr>
        <w:ind w:right="120"/>
        <w:spacing w:after="0" w:line="302" w:lineRule="auto"/>
        <w:rPr>
          <w:sz w:val="20"/>
          <w:szCs w:val="20"/>
          <w:color w:val="auto"/>
        </w:rPr>
      </w:pPr>
      <w:r>
        <w:rPr>
          <w:rFonts w:ascii="Arial" w:cs="Arial" w:eastAsia="Arial" w:hAnsi="Arial"/>
          <w:sz w:val="20"/>
          <w:szCs w:val="20"/>
          <w:color w:val="auto"/>
        </w:rPr>
        <w:t>The following table summarizes the maturity of our debt and interest on senior notes and excludes any reduction for debt issuance costs: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184"/>
              <w:spacing w:after="0"/>
              <w:rPr>
                <w:sz w:val="20"/>
                <w:szCs w:val="20"/>
                <w:color w:val="auto"/>
              </w:rPr>
            </w:pPr>
            <w:r>
              <w:rPr>
                <w:rFonts w:ascii="Arial" w:cs="Arial" w:eastAsia="Arial" w:hAnsi="Arial"/>
                <w:sz w:val="16"/>
                <w:szCs w:val="16"/>
                <w:b w:val="1"/>
                <w:bCs w:val="1"/>
                <w:color w:val="auto"/>
                <w:w w:val="95"/>
              </w:rPr>
              <w:t>2026</w:t>
            </w:r>
          </w:p>
        </w:tc>
        <w:tc>
          <w:tcPr>
            <w:tcW w:w="240" w:type="dxa"/>
            <w:vAlign w:val="bottom"/>
          </w:tcPr>
          <w:p>
            <w:pPr>
              <w:spacing w:after="0"/>
              <w:rPr>
                <w:sz w:val="16"/>
                <w:szCs w:val="16"/>
                <w:color w:val="auto"/>
              </w:rPr>
            </w:pPr>
          </w:p>
        </w:tc>
        <w:tc>
          <w:tcPr>
            <w:tcW w:w="640" w:type="dxa"/>
            <w:vAlign w:val="bottom"/>
          </w:tcPr>
          <w:p>
            <w:pPr>
              <w:jc w:val="right"/>
              <w:ind w:right="183"/>
              <w:spacing w:after="0"/>
              <w:rPr>
                <w:sz w:val="20"/>
                <w:szCs w:val="20"/>
                <w:color w:val="auto"/>
              </w:rPr>
            </w:pPr>
            <w:r>
              <w:rPr>
                <w:rFonts w:ascii="Arial" w:cs="Arial" w:eastAsia="Arial" w:hAnsi="Arial"/>
                <w:sz w:val="16"/>
                <w:szCs w:val="16"/>
                <w:b w:val="1"/>
                <w:bCs w:val="1"/>
                <w:color w:val="auto"/>
                <w:w w:val="95"/>
              </w:rPr>
              <w:t>2027</w:t>
            </w:r>
          </w:p>
        </w:tc>
        <w:tc>
          <w:tcPr>
            <w:tcW w:w="240" w:type="dxa"/>
            <w:vAlign w:val="bottom"/>
          </w:tcPr>
          <w:p>
            <w:pPr>
              <w:spacing w:after="0"/>
              <w:rPr>
                <w:sz w:val="16"/>
                <w:szCs w:val="16"/>
                <w:color w:val="auto"/>
              </w:rPr>
            </w:pPr>
          </w:p>
        </w:tc>
        <w:tc>
          <w:tcPr>
            <w:tcW w:w="640" w:type="dxa"/>
            <w:vAlign w:val="bottom"/>
          </w:tcPr>
          <w:p>
            <w:pPr>
              <w:jc w:val="right"/>
              <w:ind w:right="184"/>
              <w:spacing w:after="0"/>
              <w:rPr>
                <w:sz w:val="20"/>
                <w:szCs w:val="20"/>
                <w:color w:val="auto"/>
              </w:rPr>
            </w:pPr>
            <w:r>
              <w:rPr>
                <w:rFonts w:ascii="Arial" w:cs="Arial" w:eastAsia="Arial" w:hAnsi="Arial"/>
                <w:sz w:val="16"/>
                <w:szCs w:val="16"/>
                <w:b w:val="1"/>
                <w:bCs w:val="1"/>
                <w:color w:val="auto"/>
                <w:w w:val="95"/>
              </w:rPr>
              <w:t>2028</w:t>
            </w:r>
          </w:p>
        </w:tc>
        <w:tc>
          <w:tcPr>
            <w:tcW w:w="240" w:type="dxa"/>
            <w:vAlign w:val="bottom"/>
          </w:tcPr>
          <w:p>
            <w:pPr>
              <w:spacing w:after="0"/>
              <w:rPr>
                <w:sz w:val="16"/>
                <w:szCs w:val="16"/>
                <w:color w:val="auto"/>
              </w:rPr>
            </w:pPr>
          </w:p>
        </w:tc>
        <w:tc>
          <w:tcPr>
            <w:tcW w:w="640" w:type="dxa"/>
            <w:vAlign w:val="bottom"/>
          </w:tcPr>
          <w:p>
            <w:pPr>
              <w:jc w:val="right"/>
              <w:ind w:right="184"/>
              <w:spacing w:after="0"/>
              <w:rPr>
                <w:sz w:val="20"/>
                <w:szCs w:val="20"/>
                <w:color w:val="auto"/>
              </w:rPr>
            </w:pPr>
            <w:r>
              <w:rPr>
                <w:rFonts w:ascii="Arial" w:cs="Arial" w:eastAsia="Arial" w:hAnsi="Arial"/>
                <w:sz w:val="16"/>
                <w:szCs w:val="16"/>
                <w:b w:val="1"/>
                <w:bCs w:val="1"/>
                <w:color w:val="auto"/>
                <w:w w:val="95"/>
              </w:rPr>
              <w:t>2029</w:t>
            </w:r>
          </w:p>
        </w:tc>
        <w:tc>
          <w:tcPr>
            <w:tcW w:w="220" w:type="dxa"/>
            <w:vAlign w:val="bottom"/>
          </w:tcPr>
          <w:p>
            <w:pPr>
              <w:spacing w:after="0"/>
              <w:rPr>
                <w:sz w:val="16"/>
                <w:szCs w:val="16"/>
                <w:color w:val="auto"/>
              </w:rPr>
            </w:pPr>
          </w:p>
        </w:tc>
        <w:tc>
          <w:tcPr>
            <w:tcW w:w="640" w:type="dxa"/>
            <w:vAlign w:val="bottom"/>
          </w:tcPr>
          <w:p>
            <w:pPr>
              <w:jc w:val="right"/>
              <w:ind w:right="184"/>
              <w:spacing w:after="0"/>
              <w:rPr>
                <w:sz w:val="20"/>
                <w:szCs w:val="20"/>
                <w:color w:val="auto"/>
              </w:rPr>
            </w:pPr>
            <w:r>
              <w:rPr>
                <w:rFonts w:ascii="Arial" w:cs="Arial" w:eastAsia="Arial" w:hAnsi="Arial"/>
                <w:sz w:val="16"/>
                <w:szCs w:val="16"/>
                <w:b w:val="1"/>
                <w:bCs w:val="1"/>
                <w:color w:val="auto"/>
                <w:w w:val="95"/>
              </w:rPr>
              <w:t>2030</w:t>
            </w:r>
          </w:p>
        </w:tc>
        <w:tc>
          <w:tcPr>
            <w:tcW w:w="940" w:type="dxa"/>
            <w:vAlign w:val="bottom"/>
            <w:gridSpan w:val="2"/>
          </w:tcPr>
          <w:p>
            <w:pPr>
              <w:ind w:left="10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16"/>
                <w:szCs w:val="16"/>
                <w:color w:val="auto"/>
              </w:rPr>
            </w:pPr>
          </w:p>
        </w:tc>
        <w:tc>
          <w:tcPr>
            <w:tcW w:w="660" w:type="dxa"/>
            <w:vAlign w:val="bottom"/>
          </w:tcPr>
          <w:p>
            <w:pPr>
              <w:jc w:val="right"/>
              <w:ind w:right="164"/>
              <w:spacing w:after="0"/>
              <w:rPr>
                <w:sz w:val="20"/>
                <w:szCs w:val="20"/>
                <w:color w:val="auto"/>
              </w:rPr>
            </w:pPr>
            <w:r>
              <w:rPr>
                <w:rFonts w:ascii="Arial" w:cs="Arial" w:eastAsia="Arial" w:hAnsi="Arial"/>
                <w:sz w:val="16"/>
                <w:szCs w:val="16"/>
                <w:b w:val="1"/>
                <w:bCs w:val="1"/>
                <w:color w:val="auto"/>
                <w:w w:val="99"/>
              </w:rPr>
              <w:t>Total</w:t>
            </w:r>
          </w:p>
        </w:tc>
      </w:tr>
      <w:tr>
        <w:trPr>
          <w:trHeight w:val="42"/>
        </w:trPr>
        <w:tc>
          <w:tcPr>
            <w:tcW w:w="3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80"/>
        </w:trPr>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Senior notes</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550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750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600</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725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3,725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6,350</w:t>
            </w:r>
          </w:p>
        </w:tc>
      </w:tr>
      <w:tr>
        <w:trPr>
          <w:trHeight w:val="259"/>
        </w:trPr>
        <w:tc>
          <w:tcPr>
            <w:tcW w:w="3120" w:type="dxa"/>
            <w:vAlign w:val="bottom"/>
          </w:tcPr>
          <w:p>
            <w:pPr>
              <w:spacing w:after="0"/>
              <w:rPr>
                <w:sz w:val="20"/>
                <w:szCs w:val="20"/>
                <w:color w:val="auto"/>
              </w:rPr>
            </w:pPr>
            <w:r>
              <w:rPr>
                <w:rFonts w:ascii="Arial" w:cs="Arial" w:eastAsia="Arial" w:hAnsi="Arial"/>
                <w:sz w:val="20"/>
                <w:szCs w:val="20"/>
                <w:color w:val="auto"/>
              </w:rPr>
              <w:t>Interest on senior notes</w:t>
            </w:r>
          </w:p>
        </w:tc>
        <w:tc>
          <w:tcPr>
            <w:tcW w:w="3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278</w:t>
            </w:r>
          </w:p>
        </w:tc>
        <w:tc>
          <w:tcPr>
            <w:tcW w:w="2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254</w:t>
            </w:r>
          </w:p>
        </w:tc>
        <w:tc>
          <w:tcPr>
            <w:tcW w:w="240" w:type="dxa"/>
            <w:vAlign w:val="bottom"/>
          </w:tcPr>
          <w:p>
            <w:pPr>
              <w:spacing w:after="0"/>
              <w:rPr>
                <w:sz w:val="22"/>
                <w:szCs w:val="22"/>
                <w:color w:val="auto"/>
              </w:rPr>
            </w:pPr>
          </w:p>
        </w:tc>
        <w:tc>
          <w:tcPr>
            <w:tcW w:w="640" w:type="dxa"/>
            <w:vAlign w:val="bottom"/>
          </w:tcPr>
          <w:p>
            <w:pPr>
              <w:jc w:val="right"/>
              <w:ind w:right="4"/>
              <w:spacing w:after="0"/>
              <w:rPr>
                <w:sz w:val="20"/>
                <w:szCs w:val="20"/>
                <w:color w:val="auto"/>
              </w:rPr>
            </w:pPr>
            <w:r>
              <w:rPr>
                <w:rFonts w:ascii="Arial" w:cs="Arial" w:eastAsia="Arial" w:hAnsi="Arial"/>
                <w:sz w:val="20"/>
                <w:szCs w:val="20"/>
                <w:color w:val="auto"/>
              </w:rPr>
              <w:t>231</w:t>
            </w:r>
          </w:p>
        </w:tc>
        <w:tc>
          <w:tcPr>
            <w:tcW w:w="240" w:type="dxa"/>
            <w:vAlign w:val="bottom"/>
          </w:tcPr>
          <w:p>
            <w:pPr>
              <w:spacing w:after="0"/>
              <w:rPr>
                <w:sz w:val="22"/>
                <w:szCs w:val="22"/>
                <w:color w:val="auto"/>
              </w:rPr>
            </w:pPr>
          </w:p>
        </w:tc>
        <w:tc>
          <w:tcPr>
            <w:tcW w:w="640" w:type="dxa"/>
            <w:vAlign w:val="bottom"/>
          </w:tcPr>
          <w:p>
            <w:pPr>
              <w:jc w:val="right"/>
              <w:ind w:right="4"/>
              <w:spacing w:after="0"/>
              <w:rPr>
                <w:sz w:val="20"/>
                <w:szCs w:val="20"/>
                <w:color w:val="auto"/>
              </w:rPr>
            </w:pPr>
            <w:r>
              <w:rPr>
                <w:rFonts w:ascii="Arial" w:cs="Arial" w:eastAsia="Arial" w:hAnsi="Arial"/>
                <w:sz w:val="20"/>
                <w:szCs w:val="20"/>
                <w:color w:val="auto"/>
              </w:rPr>
              <w:t>205</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190</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2,177</w:t>
            </w:r>
          </w:p>
        </w:tc>
        <w:tc>
          <w:tcPr>
            <w:tcW w:w="220" w:type="dxa"/>
            <w:vAlign w:val="bottom"/>
          </w:tcPr>
          <w:p>
            <w:pPr>
              <w:spacing w:after="0"/>
              <w:rPr>
                <w:sz w:val="22"/>
                <w:szCs w:val="22"/>
                <w:color w:val="auto"/>
              </w:rPr>
            </w:pPr>
          </w:p>
        </w:tc>
        <w:tc>
          <w:tcPr>
            <w:tcW w:w="660" w:type="dxa"/>
            <w:vAlign w:val="bottom"/>
          </w:tcPr>
          <w:p>
            <w:pPr>
              <w:jc w:val="right"/>
              <w:ind w:right="4"/>
              <w:spacing w:after="0"/>
              <w:rPr>
                <w:sz w:val="20"/>
                <w:szCs w:val="20"/>
                <w:color w:val="auto"/>
              </w:rPr>
            </w:pPr>
            <w:r>
              <w:rPr>
                <w:rFonts w:ascii="Arial" w:cs="Arial" w:eastAsia="Arial" w:hAnsi="Arial"/>
                <w:sz w:val="20"/>
                <w:szCs w:val="20"/>
                <w:color w:val="auto"/>
              </w:rPr>
              <w:t>3,335</w:t>
            </w:r>
          </w:p>
        </w:tc>
      </w:tr>
      <w:tr>
        <w:trPr>
          <w:trHeight w:val="41"/>
        </w:trPr>
        <w:tc>
          <w:tcPr>
            <w:tcW w:w="3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90"/>
        </w:trPr>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Revolving $1.5 billion credit facility</w:t>
            </w:r>
          </w:p>
        </w:tc>
        <w:tc>
          <w:tcPr>
            <w:tcW w:w="3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w:t>
            </w:r>
          </w:p>
        </w:tc>
      </w:tr>
      <w:tr>
        <w:trPr>
          <w:trHeight w:val="259"/>
        </w:trPr>
        <w:tc>
          <w:tcPr>
            <w:tcW w:w="3120" w:type="dxa"/>
            <w:vAlign w:val="bottom"/>
          </w:tcPr>
          <w:p>
            <w:pPr>
              <w:spacing w:after="0"/>
              <w:rPr>
                <w:sz w:val="20"/>
                <w:szCs w:val="20"/>
                <w:color w:val="auto"/>
              </w:rPr>
            </w:pPr>
            <w:r>
              <w:rPr>
                <w:rFonts w:ascii="Arial" w:cs="Arial" w:eastAsia="Arial" w:hAnsi="Arial"/>
                <w:sz w:val="20"/>
                <w:szCs w:val="20"/>
                <w:color w:val="auto"/>
              </w:rPr>
              <w:t>Total</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828</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1,004</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ind w:right="4"/>
              <w:spacing w:after="0"/>
              <w:rPr>
                <w:sz w:val="20"/>
                <w:szCs w:val="20"/>
                <w:color w:val="auto"/>
              </w:rPr>
            </w:pPr>
            <w:r>
              <w:rPr>
                <w:rFonts w:ascii="Arial" w:cs="Arial" w:eastAsia="Arial" w:hAnsi="Arial"/>
                <w:sz w:val="20"/>
                <w:szCs w:val="20"/>
                <w:color w:val="auto"/>
              </w:rPr>
              <w:t>831</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ind w:right="4"/>
              <w:spacing w:after="0"/>
              <w:rPr>
                <w:sz w:val="20"/>
                <w:szCs w:val="20"/>
                <w:color w:val="auto"/>
              </w:rPr>
            </w:pPr>
            <w:r>
              <w:rPr>
                <w:rFonts w:ascii="Arial" w:cs="Arial" w:eastAsia="Arial" w:hAnsi="Arial"/>
                <w:sz w:val="20"/>
                <w:szCs w:val="20"/>
                <w:color w:val="auto"/>
              </w:rPr>
              <w:t>930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190</w:t>
            </w:r>
          </w:p>
        </w:tc>
        <w:tc>
          <w:tcPr>
            <w:tcW w:w="300" w:type="dxa"/>
            <w:vAlign w:val="bottom"/>
          </w:tcPr>
          <w:p>
            <w:pPr>
              <w:ind w:left="100"/>
              <w:spacing w:after="0"/>
              <w:rPr>
                <w:sz w:val="20"/>
                <w:szCs w:val="20"/>
                <w:color w:val="auto"/>
              </w:rPr>
            </w:pPr>
            <w:r>
              <w:rPr>
                <w:rFonts w:ascii="Arial" w:cs="Arial" w:eastAsia="Arial" w:hAnsi="Arial"/>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20"/>
                <w:szCs w:val="20"/>
                <w:color w:val="auto"/>
              </w:rPr>
              <w:t>5,902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4"/>
              <w:spacing w:after="0"/>
              <w:rPr>
                <w:sz w:val="20"/>
                <w:szCs w:val="20"/>
                <w:color w:val="auto"/>
              </w:rPr>
            </w:pPr>
            <w:r>
              <w:rPr>
                <w:rFonts w:ascii="Arial" w:cs="Arial" w:eastAsia="Arial" w:hAnsi="Arial"/>
                <w:sz w:val="20"/>
                <w:szCs w:val="20"/>
                <w:color w:val="auto"/>
              </w:rPr>
              <w:t>9,685</w:t>
            </w:r>
          </w:p>
        </w:tc>
      </w:tr>
      <w:tr>
        <w:trPr>
          <w:trHeight w:val="925"/>
        </w:trPr>
        <w:tc>
          <w:tcPr>
            <w:tcW w:w="3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23"/>
              <w:spacing w:after="0"/>
              <w:rPr>
                <w:sz w:val="20"/>
                <w:szCs w:val="20"/>
                <w:color w:val="auto"/>
              </w:rPr>
            </w:pPr>
            <w:r>
              <w:rPr>
                <w:rFonts w:ascii="Arial" w:cs="Arial" w:eastAsia="Arial" w:hAnsi="Arial"/>
                <w:sz w:val="20"/>
                <w:szCs w:val="20"/>
                <w:color w:val="auto"/>
              </w:rPr>
              <w:t>108</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891"/>
        </w:trPr>
        <w:tc>
          <w:tcPr>
            <w:tcW w:w="31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5">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6">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-1913890</wp:posOffset>
            </wp:positionV>
            <wp:extent cx="3865245"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7">
                      <a:extLst>
                        <a:ext uri="{28A0092B-C50C-407E-A947-70E740481C1C}"/>
                      </a:extLst>
                    </a:blip>
                    <a:srcRect/>
                    <a:stretch>
                      <a:fillRect/>
                    </a:stretch>
                  </pic:blipFill>
                  <pic:spPr bwMode="auto">
                    <a:xfrm>
                      <a:off x="0" y="0"/>
                      <a:ext cx="3865245" cy="63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-1336040</wp:posOffset>
            </wp:positionV>
            <wp:extent cx="3865245"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68">
                      <a:extLst>
                        <a:ext uri="{28A0092B-C50C-407E-A947-70E740481C1C}"/>
                      </a:extLst>
                    </a:blip>
                    <a:srcRect/>
                    <a:stretch>
                      <a:fillRect/>
                    </a:stretch>
                  </pic:blipFill>
                  <pic:spPr bwMode="auto">
                    <a:xfrm>
                      <a:off x="0" y="0"/>
                      <a:ext cx="3865245" cy="6350"/>
                    </a:xfrm>
                    <a:prstGeom prst="rect">
                      <a:avLst/>
                    </a:prstGeom>
                    <a:noFill/>
                  </pic:spPr>
                </pic:pic>
              </a:graphicData>
            </a:graphic>
          </wp:anchor>
        </w:drawing>
        <w:drawing>
          <wp:anchor simplePos="0" relativeHeight="251657728" behindDoc="1" locked="0" layoutInCell="0" allowOverlap="1">
            <wp:simplePos x="0" y="0"/>
            <wp:positionH relativeFrom="column">
              <wp:posOffset>2098040</wp:posOffset>
            </wp:positionH>
            <wp:positionV relativeFrom="paragraph">
              <wp:posOffset>-1139190</wp:posOffset>
            </wp:positionV>
            <wp:extent cx="3865245" cy="285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69">
                      <a:extLst>
                        <a:ext uri="{28A0092B-C50C-407E-A947-70E740481C1C}"/>
                      </a:extLst>
                    </a:blip>
                    <a:srcRect/>
                    <a:stretch>
                      <a:fillRect/>
                    </a:stretch>
                  </pic:blipFill>
                  <pic:spPr bwMode="auto">
                    <a:xfrm>
                      <a:off x="0" y="0"/>
                      <a:ext cx="3865245" cy="28575"/>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21</w:t>
      </w:r>
    </w:p>
    <w:p>
      <w:pPr>
        <w:sectPr>
          <w:pgSz w:w="11900" w:h="16838" w:orient="portrait"/>
          <w:cols w:equalWidth="0" w:num="1">
            <w:col w:w="9400"/>
          </w:cols>
          <w:pgMar w:left="1260" w:top="1173" w:right="1246" w:bottom="0" w:gutter="0" w:footer="0" w:header="0"/>
          <w:type w:val="continuous"/>
        </w:sectPr>
      </w:pPr>
    </w:p>
    <w:bookmarkStart w:id="212" w:name="page213"/>
    <w:bookmarkEnd w:id="212"/>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60" w:lineRule="exact"/>
        <w:rPr>
          <w:sz w:val="20"/>
          <w:szCs w:val="20"/>
          <w:color w:val="auto"/>
        </w:rPr>
      </w:pPr>
    </w:p>
    <w:p>
      <w:pPr>
        <w:ind w:right="460"/>
        <w:spacing w:after="0" w:line="302" w:lineRule="auto"/>
        <w:rPr>
          <w:sz w:val="20"/>
          <w:szCs w:val="20"/>
          <w:color w:val="auto"/>
        </w:rPr>
      </w:pPr>
      <w:r>
        <w:rPr>
          <w:rFonts w:ascii="Arial" w:cs="Arial" w:eastAsia="Arial" w:hAnsi="Arial"/>
          <w:sz w:val="20"/>
          <w:szCs w:val="20"/>
          <w:color w:val="auto"/>
        </w:rPr>
        <w:t>The following table shows an analysis of the interest expense for the years ended December 31, 2025, 2024 and 2023:</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w w:val="99"/>
              </w:rPr>
              <w:t>Years ended December 31,</w:t>
            </w:r>
          </w:p>
        </w:tc>
        <w:tc>
          <w:tcPr>
            <w:tcW w:w="960" w:type="dxa"/>
            <w:vAlign w:val="bottom"/>
          </w:tcPr>
          <w:p>
            <w:pPr>
              <w:spacing w:after="0"/>
              <w:rPr>
                <w:sz w:val="16"/>
                <w:szCs w:val="16"/>
                <w:color w:val="auto"/>
              </w:rPr>
            </w:pPr>
          </w:p>
        </w:tc>
      </w:tr>
      <w:tr>
        <w:trPr>
          <w:trHeight w:val="250"/>
        </w:trPr>
        <w:tc>
          <w:tcPr>
            <w:tcW w:w="372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424"/>
              <w:spacing w:after="0"/>
              <w:rPr>
                <w:sz w:val="20"/>
                <w:szCs w:val="20"/>
                <w:color w:val="auto"/>
              </w:rPr>
            </w:pPr>
            <w:r>
              <w:rPr>
                <w:rFonts w:ascii="Arial" w:cs="Arial" w:eastAsia="Arial" w:hAnsi="Arial"/>
                <w:sz w:val="16"/>
                <w:szCs w:val="16"/>
                <w:b w:val="1"/>
                <w:bCs w:val="1"/>
                <w:color w:val="auto"/>
              </w:rPr>
              <w:t>2024</w:t>
            </w:r>
          </w:p>
        </w:tc>
        <w:tc>
          <w:tcPr>
            <w:tcW w:w="360" w:type="dxa"/>
            <w:vAlign w:val="bottom"/>
          </w:tcPr>
          <w:p>
            <w:pPr>
              <w:spacing w:after="0"/>
              <w:rPr>
                <w:sz w:val="21"/>
                <w:szCs w:val="21"/>
                <w:color w:val="auto"/>
              </w:rPr>
            </w:pPr>
          </w:p>
        </w:tc>
        <w:tc>
          <w:tcPr>
            <w:tcW w:w="960" w:type="dxa"/>
            <w:vAlign w:val="bottom"/>
          </w:tcPr>
          <w:p>
            <w:pPr>
              <w:jc w:val="right"/>
              <w:ind w:right="404"/>
              <w:spacing w:after="0"/>
              <w:rPr>
                <w:sz w:val="20"/>
                <w:szCs w:val="20"/>
                <w:color w:val="auto"/>
              </w:rPr>
            </w:pPr>
            <w:r>
              <w:rPr>
                <w:rFonts w:ascii="Arial" w:cs="Arial" w:eastAsia="Arial" w:hAnsi="Arial"/>
                <w:sz w:val="16"/>
                <w:szCs w:val="16"/>
                <w:b w:val="1"/>
                <w:bCs w:val="1"/>
                <w:color w:val="auto"/>
              </w:rPr>
              <w:t>2023</w:t>
            </w:r>
          </w:p>
        </w:tc>
      </w:tr>
      <w:tr>
        <w:trPr>
          <w:trHeight w:val="42"/>
        </w:trPr>
        <w:tc>
          <w:tcPr>
            <w:tcW w:w="37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80"/>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Senior notes</w:t>
            </w:r>
          </w:p>
        </w:tc>
        <w:tc>
          <w:tcPr>
            <w:tcW w:w="2540" w:type="dxa"/>
            <w:vAlign w:val="bottom"/>
            <w:tcBorders>
              <w:bottom w:val="single" w:sz="8" w:color="CFF0FC"/>
            </w:tcBorders>
            <w:shd w:val="clear" w:color="auto" w:fill="CFF0FC"/>
          </w:tcPr>
          <w:p>
            <w:pPr>
              <w:jc w:val="right"/>
              <w:ind w:right="567"/>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20"/>
                <w:szCs w:val="20"/>
                <w:color w:val="auto"/>
                <w:w w:val="95"/>
              </w:rPr>
              <w:t>256</w:t>
            </w:r>
          </w:p>
        </w:tc>
        <w:tc>
          <w:tcPr>
            <w:tcW w:w="3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20"/>
                <w:szCs w:val="20"/>
                <w:color w:val="auto"/>
              </w:rPr>
              <w:t>256</w:t>
            </w:r>
          </w:p>
        </w:tc>
        <w:tc>
          <w:tcPr>
            <w:tcW w:w="3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227</w:t>
            </w:r>
          </w:p>
        </w:tc>
      </w:tr>
      <w:tr>
        <w:trPr>
          <w:trHeight w:val="259"/>
        </w:trPr>
        <w:tc>
          <w:tcPr>
            <w:tcW w:w="3720" w:type="dxa"/>
            <w:vAlign w:val="bottom"/>
          </w:tcPr>
          <w:p>
            <w:pPr>
              <w:spacing w:after="0"/>
              <w:rPr>
                <w:sz w:val="20"/>
                <w:szCs w:val="20"/>
                <w:color w:val="auto"/>
              </w:rPr>
            </w:pPr>
            <w:r>
              <w:rPr>
                <w:rFonts w:ascii="Arial" w:cs="Arial" w:eastAsia="Arial" w:hAnsi="Arial"/>
                <w:sz w:val="20"/>
                <w:szCs w:val="20"/>
                <w:color w:val="auto"/>
              </w:rPr>
              <w:t>Revolving credit facility</w:t>
            </w:r>
          </w:p>
        </w:tc>
        <w:tc>
          <w:tcPr>
            <w:tcW w:w="2540" w:type="dxa"/>
            <w:vAlign w:val="bottom"/>
          </w:tcPr>
          <w:p>
            <w:pPr>
              <w:spacing w:after="0"/>
              <w:rPr>
                <w:sz w:val="22"/>
                <w:szCs w:val="22"/>
                <w:color w:val="auto"/>
              </w:rPr>
            </w:pPr>
          </w:p>
        </w:tc>
        <w:tc>
          <w:tcPr>
            <w:tcW w:w="460" w:type="dxa"/>
            <w:vAlign w:val="bottom"/>
          </w:tcPr>
          <w:p>
            <w:pPr>
              <w:jc w:val="right"/>
              <w:ind w:right="24"/>
              <w:spacing w:after="0"/>
              <w:rPr>
                <w:sz w:val="20"/>
                <w:szCs w:val="20"/>
                <w:color w:val="auto"/>
              </w:rPr>
            </w:pPr>
            <w:r>
              <w:rPr>
                <w:rFonts w:ascii="Arial" w:cs="Arial" w:eastAsia="Arial" w:hAnsi="Arial"/>
                <w:sz w:val="20"/>
                <w:szCs w:val="20"/>
                <w:color w:val="auto"/>
              </w:rPr>
              <w:t>3</w:t>
            </w:r>
          </w:p>
        </w:tc>
        <w:tc>
          <w:tcPr>
            <w:tcW w:w="380" w:type="dxa"/>
            <w:vAlign w:val="bottom"/>
          </w:tcPr>
          <w:p>
            <w:pPr>
              <w:spacing w:after="0"/>
              <w:rPr>
                <w:sz w:val="22"/>
                <w:szCs w:val="22"/>
                <w:color w:val="auto"/>
              </w:rPr>
            </w:pPr>
          </w:p>
        </w:tc>
        <w:tc>
          <w:tcPr>
            <w:tcW w:w="980" w:type="dxa"/>
            <w:vAlign w:val="bottom"/>
          </w:tcPr>
          <w:p>
            <w:pPr>
              <w:jc w:val="right"/>
              <w:ind w:right="24"/>
              <w:spacing w:after="0"/>
              <w:rPr>
                <w:sz w:val="20"/>
                <w:szCs w:val="20"/>
                <w:color w:val="auto"/>
              </w:rPr>
            </w:pPr>
            <w:r>
              <w:rPr>
                <w:rFonts w:ascii="Arial" w:cs="Arial" w:eastAsia="Arial" w:hAnsi="Arial"/>
                <w:sz w:val="20"/>
                <w:szCs w:val="20"/>
                <w:color w:val="auto"/>
              </w:rPr>
              <w:t>3</w:t>
            </w:r>
          </w:p>
        </w:tc>
        <w:tc>
          <w:tcPr>
            <w:tcW w:w="360" w:type="dxa"/>
            <w:vAlign w:val="bottom"/>
          </w:tcPr>
          <w:p>
            <w:pPr>
              <w:spacing w:after="0"/>
              <w:rPr>
                <w:sz w:val="22"/>
                <w:szCs w:val="22"/>
                <w:color w:val="auto"/>
              </w:rPr>
            </w:pP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3</w:t>
            </w:r>
          </w:p>
        </w:tc>
      </w:tr>
      <w:tr>
        <w:trPr>
          <w:trHeight w:val="41"/>
        </w:trPr>
        <w:tc>
          <w:tcPr>
            <w:tcW w:w="37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10"/>
        </w:trPr>
        <w:tc>
          <w:tcPr>
            <w:tcW w:w="372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Other </w:t>
            </w:r>
            <w:r>
              <w:rPr>
                <w:rFonts w:ascii="Arial" w:cs="Arial" w:eastAsia="Arial" w:hAnsi="Arial"/>
                <w:sz w:val="26"/>
                <w:szCs w:val="26"/>
                <w:color w:val="auto"/>
                <w:vertAlign w:val="superscript"/>
              </w:rPr>
              <w:t>(i)</w:t>
            </w:r>
          </w:p>
        </w:tc>
        <w:tc>
          <w:tcPr>
            <w:tcW w:w="2540" w:type="dxa"/>
            <w:vAlign w:val="bottom"/>
            <w:shd w:val="clear" w:color="auto" w:fill="CFF0FC"/>
          </w:tcPr>
          <w:p>
            <w:pPr>
              <w:spacing w:after="0"/>
              <w:rPr>
                <w:sz w:val="24"/>
                <w:szCs w:val="24"/>
                <w:color w:val="auto"/>
              </w:rPr>
            </w:pPr>
          </w:p>
        </w:tc>
        <w:tc>
          <w:tcPr>
            <w:tcW w:w="460" w:type="dxa"/>
            <w:vAlign w:val="bottom"/>
            <w:shd w:val="clear" w:color="auto" w:fill="CFF0FC"/>
          </w:tcPr>
          <w:p>
            <w:pPr>
              <w:jc w:val="right"/>
              <w:ind w:right="24"/>
              <w:spacing w:after="0"/>
              <w:rPr>
                <w:sz w:val="20"/>
                <w:szCs w:val="20"/>
                <w:color w:val="auto"/>
              </w:rPr>
            </w:pPr>
            <w:r>
              <w:rPr>
                <w:rFonts w:ascii="Arial" w:cs="Arial" w:eastAsia="Arial" w:hAnsi="Arial"/>
                <w:sz w:val="20"/>
                <w:szCs w:val="20"/>
                <w:color w:val="auto"/>
              </w:rPr>
              <w:t>1</w:t>
            </w:r>
          </w:p>
        </w:tc>
        <w:tc>
          <w:tcPr>
            <w:tcW w:w="38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24"/>
              <w:spacing w:after="0"/>
              <w:rPr>
                <w:sz w:val="20"/>
                <w:szCs w:val="20"/>
                <w:color w:val="auto"/>
              </w:rPr>
            </w:pPr>
            <w:r>
              <w:rPr>
                <w:rFonts w:ascii="Arial" w:cs="Arial" w:eastAsia="Arial" w:hAnsi="Arial"/>
                <w:sz w:val="20"/>
                <w:szCs w:val="20"/>
                <w:color w:val="auto"/>
              </w:rPr>
              <w:t>4</w:t>
            </w:r>
          </w:p>
        </w:tc>
        <w:tc>
          <w:tcPr>
            <w:tcW w:w="36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4"/>
              <w:spacing w:after="0"/>
              <w:rPr>
                <w:sz w:val="20"/>
                <w:szCs w:val="20"/>
                <w:color w:val="auto"/>
              </w:rPr>
            </w:pPr>
            <w:r>
              <w:rPr>
                <w:rFonts w:ascii="Arial" w:cs="Arial" w:eastAsia="Arial" w:hAnsi="Arial"/>
                <w:sz w:val="20"/>
                <w:szCs w:val="20"/>
                <w:color w:val="auto"/>
              </w:rPr>
              <w:t>5</w:t>
            </w:r>
          </w:p>
        </w:tc>
      </w:tr>
      <w:tr>
        <w:trPr>
          <w:trHeight w:val="259"/>
        </w:trPr>
        <w:tc>
          <w:tcPr>
            <w:tcW w:w="3720" w:type="dxa"/>
            <w:vAlign w:val="bottom"/>
          </w:tcPr>
          <w:p>
            <w:pPr>
              <w:ind w:left="100"/>
              <w:spacing w:after="0"/>
              <w:rPr>
                <w:sz w:val="20"/>
                <w:szCs w:val="20"/>
                <w:color w:val="auto"/>
              </w:rPr>
            </w:pPr>
            <w:r>
              <w:rPr>
                <w:rFonts w:ascii="Arial" w:cs="Arial" w:eastAsia="Arial" w:hAnsi="Arial"/>
                <w:sz w:val="20"/>
                <w:szCs w:val="20"/>
                <w:color w:val="auto"/>
              </w:rPr>
              <w:t>Total interest expense</w:t>
            </w:r>
          </w:p>
        </w:tc>
        <w:tc>
          <w:tcPr>
            <w:tcW w:w="2540" w:type="dxa"/>
            <w:vAlign w:val="bottom"/>
          </w:tcPr>
          <w:p>
            <w:pPr>
              <w:jc w:val="right"/>
              <w:ind w:right="567"/>
              <w:spacing w:after="0"/>
              <w:rPr>
                <w:sz w:val="20"/>
                <w:szCs w:val="20"/>
                <w:color w:val="auto"/>
              </w:rPr>
            </w:pPr>
            <w:r>
              <w:rPr>
                <w:rFonts w:ascii="Arial" w:cs="Arial" w:eastAsia="Arial" w:hAnsi="Arial"/>
                <w:sz w:val="20"/>
                <w:szCs w:val="20"/>
                <w:color w:val="auto"/>
              </w:rPr>
              <w:t>$</w:t>
            </w:r>
          </w:p>
        </w:tc>
        <w:tc>
          <w:tcPr>
            <w:tcW w:w="460" w:type="dxa"/>
            <w:vAlign w:val="bottom"/>
          </w:tcPr>
          <w:p>
            <w:pPr>
              <w:jc w:val="right"/>
              <w:ind w:right="24"/>
              <w:spacing w:after="0"/>
              <w:rPr>
                <w:sz w:val="20"/>
                <w:szCs w:val="20"/>
                <w:color w:val="auto"/>
              </w:rPr>
            </w:pPr>
            <w:r>
              <w:rPr>
                <w:rFonts w:ascii="Arial" w:cs="Arial" w:eastAsia="Arial" w:hAnsi="Arial"/>
                <w:sz w:val="20"/>
                <w:szCs w:val="20"/>
                <w:color w:val="auto"/>
                <w:w w:val="95"/>
              </w:rPr>
              <w:t>260</w:t>
            </w:r>
          </w:p>
        </w:tc>
        <w:tc>
          <w:tcPr>
            <w:tcW w:w="3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4"/>
              <w:spacing w:after="0"/>
              <w:rPr>
                <w:sz w:val="20"/>
                <w:szCs w:val="20"/>
                <w:color w:val="auto"/>
              </w:rPr>
            </w:pPr>
            <w:r>
              <w:rPr>
                <w:rFonts w:ascii="Arial" w:cs="Arial" w:eastAsia="Arial" w:hAnsi="Arial"/>
                <w:sz w:val="20"/>
                <w:szCs w:val="20"/>
                <w:color w:val="auto"/>
              </w:rPr>
              <w:t>263</w:t>
            </w:r>
          </w:p>
        </w:tc>
        <w:tc>
          <w:tcPr>
            <w:tcW w:w="36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4"/>
              <w:spacing w:after="0"/>
              <w:rPr>
                <w:sz w:val="20"/>
                <w:szCs w:val="20"/>
                <w:color w:val="auto"/>
              </w:rPr>
            </w:pPr>
            <w:r>
              <w:rPr>
                <w:rFonts w:ascii="Arial" w:cs="Arial" w:eastAsia="Arial" w:hAnsi="Arial"/>
                <w:sz w:val="20"/>
                <w:szCs w:val="20"/>
                <w:color w:val="auto"/>
              </w:rPr>
              <w:t>235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3491230</wp:posOffset>
            </wp:positionH>
            <wp:positionV relativeFrom="paragraph">
              <wp:posOffset>-906780</wp:posOffset>
            </wp:positionV>
            <wp:extent cx="2472690"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0">
                      <a:extLst>
                        <a:ext uri="{28A0092B-C50C-407E-A947-70E740481C1C}"/>
                      </a:extLst>
                    </a:blip>
                    <a:srcRect/>
                    <a:stretch>
                      <a:fillRect/>
                    </a:stretch>
                  </pic:blipFill>
                  <pic:spPr bwMode="auto">
                    <a:xfrm>
                      <a:off x="0" y="0"/>
                      <a:ext cx="2472690" cy="6350"/>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-748030</wp:posOffset>
            </wp:positionV>
            <wp:extent cx="2472690"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1">
                      <a:extLst>
                        <a:ext uri="{28A0092B-C50C-407E-A947-70E740481C1C}"/>
                      </a:extLst>
                    </a:blip>
                    <a:srcRect/>
                    <a:stretch>
                      <a:fillRect/>
                    </a:stretch>
                  </pic:blipFill>
                  <pic:spPr bwMode="auto">
                    <a:xfrm>
                      <a:off x="0" y="0"/>
                      <a:ext cx="2472690" cy="6350"/>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-170180</wp:posOffset>
            </wp:positionV>
            <wp:extent cx="2472690"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2">
                      <a:extLst>
                        <a:ext uri="{28A0092B-C50C-407E-A947-70E740481C1C}"/>
                      </a:extLst>
                    </a:blip>
                    <a:srcRect/>
                    <a:stretch>
                      <a:fillRect/>
                    </a:stretch>
                  </pic:blipFill>
                  <pic:spPr bwMode="auto">
                    <a:xfrm>
                      <a:off x="0" y="0"/>
                      <a:ext cx="2472690" cy="6350"/>
                    </a:xfrm>
                    <a:prstGeom prst="rect">
                      <a:avLst/>
                    </a:prstGeom>
                    <a:noFill/>
                  </pic:spPr>
                </pic:pic>
              </a:graphicData>
            </a:graphic>
          </wp:anchor>
        </w:drawing>
        <w:drawing>
          <wp:anchor simplePos="0" relativeHeight="251657728" behindDoc="1" locked="0" layoutInCell="0" allowOverlap="1">
            <wp:simplePos x="0" y="0"/>
            <wp:positionH relativeFrom="column">
              <wp:posOffset>3491230</wp:posOffset>
            </wp:positionH>
            <wp:positionV relativeFrom="paragraph">
              <wp:posOffset>26035</wp:posOffset>
            </wp:positionV>
            <wp:extent cx="2472690" cy="285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3">
                      <a:extLst>
                        <a:ext uri="{28A0092B-C50C-407E-A947-70E740481C1C}"/>
                      </a:extLst>
                    </a:blip>
                    <a:srcRect/>
                    <a:stretch>
                      <a:fillRect/>
                    </a:stretch>
                  </pic:blipFill>
                  <pic:spPr bwMode="auto">
                    <a:xfrm>
                      <a:off x="0" y="0"/>
                      <a:ext cx="247269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257810</wp:posOffset>
            </wp:positionV>
            <wp:extent cx="795655"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4">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(i) Other primarily includes interest expense on finance leases and accretion on deferred and contingent consideration.</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 Fair Value Measurements and Investments</w:t>
      </w:r>
    </w:p>
    <w:p>
      <w:pPr>
        <w:spacing w:after="0" w:line="260" w:lineRule="exact"/>
        <w:rPr>
          <w:sz w:val="20"/>
          <w:szCs w:val="20"/>
          <w:color w:val="auto"/>
        </w:rPr>
      </w:pPr>
    </w:p>
    <w:p>
      <w:pPr>
        <w:ind w:right="420"/>
        <w:spacing w:after="0" w:line="307" w:lineRule="auto"/>
        <w:rPr>
          <w:sz w:val="20"/>
          <w:szCs w:val="20"/>
          <w:color w:val="auto"/>
        </w:rPr>
      </w:pPr>
      <w:r>
        <w:rPr>
          <w:rFonts w:ascii="Arial" w:cs="Arial" w:eastAsia="Arial" w:hAnsi="Arial"/>
          <w:sz w:val="20"/>
          <w:szCs w:val="20"/>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161" w:lineRule="exact"/>
        <w:rPr>
          <w:sz w:val="20"/>
          <w:szCs w:val="20"/>
          <w:color w:val="auto"/>
        </w:rPr>
      </w:pPr>
    </w:p>
    <w:p>
      <w:pPr>
        <w:ind w:left="620" w:hanging="313"/>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Level 1: refers to fair values determined based on quoted market prices in active markets for identical assets;</w:t>
      </w:r>
    </w:p>
    <w:p>
      <w:pPr>
        <w:spacing w:after="0" w:line="243" w:lineRule="exact"/>
        <w:rPr>
          <w:rFonts w:ascii="Arial" w:cs="Arial" w:eastAsia="Arial" w:hAnsi="Arial"/>
          <w:sz w:val="18"/>
          <w:szCs w:val="18"/>
          <w:color w:val="auto"/>
        </w:rPr>
      </w:pPr>
    </w:p>
    <w:p>
      <w:pPr>
        <w:ind w:left="620" w:right="120" w:hanging="313"/>
        <w:spacing w:after="0" w:line="334" w:lineRule="auto"/>
        <w:tabs>
          <w:tab w:leader="none" w:pos="620" w:val="left"/>
        </w:tabs>
        <w:numPr>
          <w:ilvl w:val="0"/>
          <w:numId w:val="71"/>
        </w:numPr>
        <w:rPr>
          <w:rFonts w:ascii="Arial" w:cs="Arial" w:eastAsia="Arial" w:hAnsi="Arial"/>
          <w:sz w:val="20"/>
          <w:szCs w:val="20"/>
          <w:color w:val="auto"/>
        </w:rPr>
      </w:pPr>
      <w:r>
        <w:rPr>
          <w:rFonts w:ascii="Arial" w:cs="Arial" w:eastAsia="Arial" w:hAnsi="Arial"/>
          <w:sz w:val="20"/>
          <w:szCs w:val="20"/>
          <w:color w:val="auto"/>
        </w:rPr>
        <w:t>Level 2: refers to fair values estimated using observable market-based inputs or unobservable inputs that are corroborated by market data; and</w:t>
      </w:r>
    </w:p>
    <w:p>
      <w:pPr>
        <w:spacing w:after="0" w:line="139" w:lineRule="exact"/>
        <w:rPr>
          <w:rFonts w:ascii="Arial" w:cs="Arial" w:eastAsia="Arial" w:hAnsi="Arial"/>
          <w:sz w:val="20"/>
          <w:szCs w:val="20"/>
          <w:color w:val="auto"/>
        </w:rPr>
      </w:pPr>
    </w:p>
    <w:p>
      <w:pPr>
        <w:ind w:left="620" w:hanging="313"/>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Level 3: includes fair values estimated using unobservable inputs that are not corroborated by market data.</w:t>
      </w:r>
    </w:p>
    <w:p>
      <w:pPr>
        <w:spacing w:after="0" w:line="279" w:lineRule="exact"/>
        <w:rPr>
          <w:sz w:val="20"/>
          <w:szCs w:val="20"/>
          <w:color w:val="auto"/>
        </w:rPr>
      </w:pPr>
    </w:p>
    <w:p>
      <w:pPr>
        <w:ind w:right="660"/>
        <w:spacing w:after="0" w:line="302" w:lineRule="auto"/>
        <w:rPr>
          <w:sz w:val="20"/>
          <w:szCs w:val="20"/>
          <w:color w:val="auto"/>
        </w:rPr>
      </w:pPr>
      <w:r>
        <w:rPr>
          <w:rFonts w:ascii="Arial" w:cs="Arial" w:eastAsia="Arial" w:hAnsi="Arial"/>
          <w:sz w:val="20"/>
          <w:szCs w:val="20"/>
          <w:color w:val="auto"/>
        </w:rPr>
        <w:t>The following methods and assumptions were used by the Company in estimating its fair value disclosure for financial instruments:</w:t>
      </w:r>
    </w:p>
    <w:p>
      <w:pPr>
        <w:spacing w:after="0" w:line="165" w:lineRule="exact"/>
        <w:rPr>
          <w:sz w:val="20"/>
          <w:szCs w:val="20"/>
          <w:color w:val="auto"/>
        </w:rPr>
      </w:pPr>
    </w:p>
    <w:p>
      <w:pPr>
        <w:ind w:left="620" w:right="320" w:hanging="313"/>
        <w:spacing w:after="0" w:line="334" w:lineRule="auto"/>
        <w:tabs>
          <w:tab w:leader="none" w:pos="6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Mutual funds and exchange-traded funds are classified as Level 1 because we use quoted market prices in active markets in determining the fair value of these securities.</w:t>
      </w:r>
    </w:p>
    <w:p>
      <w:pPr>
        <w:spacing w:after="0" w:line="139" w:lineRule="exact"/>
        <w:rPr>
          <w:rFonts w:ascii="Arial" w:cs="Arial" w:eastAsia="Arial" w:hAnsi="Arial"/>
          <w:sz w:val="20"/>
          <w:szCs w:val="20"/>
          <w:color w:val="auto"/>
        </w:rPr>
      </w:pPr>
    </w:p>
    <w:p>
      <w:pPr>
        <w:ind w:left="620" w:right="180" w:hanging="313"/>
        <w:spacing w:after="0" w:line="364" w:lineRule="auto"/>
        <w:tabs>
          <w:tab w:leader="none" w:pos="620" w:val="left"/>
        </w:tabs>
        <w:numPr>
          <w:ilvl w:val="0"/>
          <w:numId w:val="72"/>
        </w:numPr>
        <w:rPr>
          <w:rFonts w:ascii="Arial" w:cs="Arial" w:eastAsia="Arial" w:hAnsi="Arial"/>
          <w:sz w:val="19"/>
          <w:szCs w:val="19"/>
          <w:color w:val="auto"/>
        </w:rPr>
      </w:pPr>
      <w:r>
        <w:rPr>
          <w:rFonts w:ascii="Arial" w:cs="Arial" w:eastAsia="Arial" w:hAnsi="Arial"/>
          <w:sz w:val="19"/>
          <w:szCs w:val="19"/>
          <w:color w:val="auto"/>
        </w:rPr>
        <w:t>Commingled funds are not leveled within the fair value hierarchy as the funds are valued at the net value of shares held as reported by the manager of the funds. These funds are not exchange-traded.</w:t>
      </w:r>
    </w:p>
    <w:p>
      <w:pPr>
        <w:spacing w:after="0" w:line="117" w:lineRule="exact"/>
        <w:rPr>
          <w:rFonts w:ascii="Arial" w:cs="Arial" w:eastAsia="Arial" w:hAnsi="Arial"/>
          <w:sz w:val="19"/>
          <w:szCs w:val="19"/>
          <w:color w:val="auto"/>
        </w:rPr>
      </w:pPr>
    </w:p>
    <w:p>
      <w:pPr>
        <w:ind w:left="620" w:right="340" w:hanging="313"/>
        <w:spacing w:after="0" w:line="340" w:lineRule="auto"/>
        <w:tabs>
          <w:tab w:leader="none" w:pos="620" w:val="left"/>
        </w:tabs>
        <w:numPr>
          <w:ilvl w:val="0"/>
          <w:numId w:val="72"/>
        </w:numPr>
        <w:rPr>
          <w:rFonts w:ascii="Arial" w:cs="Arial" w:eastAsia="Arial" w:hAnsi="Arial"/>
          <w:sz w:val="20"/>
          <w:szCs w:val="20"/>
          <w:color w:val="auto"/>
        </w:rPr>
      </w:pPr>
      <w:r>
        <w:rPr>
          <w:rFonts w:ascii="Arial" w:cs="Arial" w:eastAsia="Arial" w:hAnsi="Arial"/>
          <w:sz w:val="20"/>
          <w:szCs w:val="20"/>
          <w:color w:val="auto"/>
        </w:rPr>
        <w:t>Hedge funds are not leveled within the fair value hierarchy as the fair values for these investments are estimated based on the net asset values derived from the latest audited financial statements or most recent capital account statements provided by the funds’ investment manager or third-party administrator, as a practical expedient.</w:t>
      </w:r>
    </w:p>
    <w:p>
      <w:pPr>
        <w:spacing w:after="0" w:line="136" w:lineRule="exact"/>
        <w:rPr>
          <w:rFonts w:ascii="Arial" w:cs="Arial" w:eastAsia="Arial" w:hAnsi="Arial"/>
          <w:sz w:val="20"/>
          <w:szCs w:val="20"/>
          <w:color w:val="auto"/>
        </w:rPr>
      </w:pPr>
    </w:p>
    <w:p>
      <w:pPr>
        <w:jc w:val="both"/>
        <w:ind w:left="620" w:right="160" w:hanging="313"/>
        <w:spacing w:after="0" w:line="405" w:lineRule="auto"/>
        <w:tabs>
          <w:tab w:leader="none" w:pos="6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Market values for our derivative instruments have been used to determine the fair values of forward foreign exchange contracts based on estimated amounts the Company would receive or have to pay to terminate the agreements, taking into account observable information about the current foreign currency forward rates.</w:t>
      </w:r>
    </w:p>
    <w:p>
      <w:pPr>
        <w:ind w:left="620"/>
        <w:spacing w:after="0"/>
        <w:rPr>
          <w:rFonts w:ascii="Arial" w:cs="Arial" w:eastAsia="Arial" w:hAnsi="Arial"/>
          <w:sz w:val="17"/>
          <w:szCs w:val="17"/>
          <w:color w:val="auto"/>
        </w:rPr>
      </w:pPr>
      <w:r>
        <w:rPr>
          <w:rFonts w:ascii="Arial" w:cs="Arial" w:eastAsia="Arial" w:hAnsi="Arial"/>
          <w:sz w:val="20"/>
          <w:szCs w:val="20"/>
          <w:color w:val="auto"/>
        </w:rPr>
        <w:t>Such financial instruments are classified as Level 2.</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21</w:t>
      </w:r>
    </w:p>
    <w:p>
      <w:pPr>
        <w:sectPr>
          <w:pgSz w:w="11900" w:h="16838" w:orient="portrait"/>
          <w:cols w:equalWidth="0" w:num="1">
            <w:col w:w="9400"/>
          </w:cols>
          <w:pgMar w:left="1260" w:top="1440" w:right="1246" w:bottom="0" w:gutter="0" w:footer="0" w:header="0"/>
          <w:type w:val="continuous"/>
        </w:sectPr>
      </w:pPr>
    </w:p>
    <w:bookmarkStart w:id="213" w:name="page214"/>
    <w:bookmarkEnd w:id="213"/>
    <w:p>
      <w:pPr>
        <w:ind w:left="440" w:hanging="313"/>
        <w:spacing w:after="0" w:line="341" w:lineRule="auto"/>
        <w:tabs>
          <w:tab w:leader="none" w:pos="440" w:val="left"/>
        </w:tabs>
        <w:numPr>
          <w:ilvl w:val="0"/>
          <w:numId w:val="73"/>
        </w:numPr>
        <w:rPr>
          <w:rFonts w:ascii="Arial" w:cs="Arial" w:eastAsia="Arial" w:hAnsi="Arial"/>
          <w:sz w:val="20"/>
          <w:szCs w:val="20"/>
          <w:color w:val="auto"/>
        </w:rPr>
      </w:pPr>
      <w:r>
        <w:rPr>
          <w:rFonts w:ascii="Arial" w:cs="Arial" w:eastAsia="Arial" w:hAnsi="Arial"/>
          <w:sz w:val="20"/>
          <w:szCs w:val="20"/>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20"/>
          </w:cols>
          <w:pgMar w:left="1440" w:top="1316"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14 / 21</w:t>
      </w:r>
    </w:p>
    <w:p>
      <w:pPr>
        <w:sectPr>
          <w:pgSz w:w="11900" w:h="16838" w:orient="portrait"/>
          <w:cols w:equalWidth="0" w:num="1">
            <w:col w:w="9120"/>
          </w:cols>
          <w:pgMar w:left="1440" w:top="1316" w:right="1346" w:bottom="0" w:gutter="0" w:footer="0" w:header="0"/>
          <w:type w:val="continuous"/>
        </w:sectPr>
      </w:pPr>
    </w:p>
    <w:bookmarkStart w:id="214" w:name="page215"/>
    <w:bookmarkEnd w:id="2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40"/>
        <w:spacing w:after="0" w:line="302" w:lineRule="auto"/>
        <w:rPr>
          <w:sz w:val="20"/>
          <w:szCs w:val="20"/>
          <w:color w:val="auto"/>
        </w:rPr>
      </w:pPr>
      <w:r>
        <w:rPr>
          <w:rFonts w:ascii="Arial" w:cs="Arial" w:eastAsia="Arial" w:hAnsi="Arial"/>
          <w:sz w:val="20"/>
          <w:szCs w:val="20"/>
          <w:color w:val="auto"/>
        </w:rPr>
        <w:t>The following tables present our assets and liabilities measured at fair value on a recurring basis at December 31, 2025 and December 31, 2024:</w:t>
      </w:r>
    </w:p>
    <w:p>
      <w:pPr>
        <w:spacing w:after="0" w:line="358"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Fair Value Measurements on a Recurring Basis</w:t>
      </w:r>
    </w:p>
    <w:p>
      <w:pPr>
        <w:spacing w:after="0" w:line="72" w:lineRule="exact"/>
        <w:rPr>
          <w:sz w:val="20"/>
          <w:szCs w:val="20"/>
          <w:color w:val="auto"/>
        </w:rPr>
      </w:pPr>
    </w:p>
    <w:p>
      <w:pPr>
        <w:jc w:val="center"/>
        <w:ind w:left="5700"/>
        <w:spacing w:after="0"/>
        <w:rPr>
          <w:sz w:val="20"/>
          <w:szCs w:val="20"/>
          <w:color w:val="auto"/>
        </w:rPr>
      </w:pPr>
      <w:r>
        <w:rPr>
          <w:rFonts w:ascii="Arial" w:cs="Arial" w:eastAsia="Arial" w:hAnsi="Arial"/>
          <w:sz w:val="16"/>
          <w:szCs w:val="16"/>
          <w:b w:val="1"/>
          <w:bCs w:val="1"/>
          <w:color w:val="auto"/>
        </w:rPr>
        <w:t>at</w:t>
      </w:r>
    </w:p>
    <w:p>
      <w:pPr>
        <w:spacing w:after="0" w:line="56" w:lineRule="exact"/>
        <w:rPr>
          <w:sz w:val="20"/>
          <w:szCs w:val="20"/>
          <w:color w:val="auto"/>
        </w:rPr>
      </w:pPr>
    </w:p>
    <w:p>
      <w:pPr>
        <w:ind w:left="6920"/>
        <w:spacing w:after="0"/>
        <w:rPr>
          <w:sz w:val="20"/>
          <w:szCs w:val="20"/>
          <w:color w:val="auto"/>
        </w:rPr>
      </w:pPr>
      <w:r>
        <w:rPr>
          <w:rFonts w:ascii="Arial" w:cs="Arial" w:eastAsia="Arial" w:hAnsi="Arial"/>
          <w:sz w:val="16"/>
          <w:szCs w:val="16"/>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20320</wp:posOffset>
            </wp:positionV>
            <wp:extent cx="2255520" cy="63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6">
                      <a:extLst>
                        <a:ext uri="{28A0092B-C50C-407E-A947-70E740481C1C}"/>
                      </a:extLst>
                    </a:blip>
                    <a:srcRect/>
                    <a:stretch>
                      <a:fillRect/>
                    </a:stretch>
                  </pic:blipFill>
                  <pic:spPr bwMode="auto">
                    <a:xfrm>
                      <a:off x="0" y="0"/>
                      <a:ext cx="2255520" cy="6350"/>
                    </a:xfrm>
                    <a:prstGeom prst="rect">
                      <a:avLst/>
                    </a:prstGeom>
                    <a:noFill/>
                  </pic:spPr>
                </pic:pic>
              </a:graphicData>
            </a:graphic>
          </wp:anchor>
        </w:drawing>
      </w:r>
    </w:p>
    <w:p>
      <w:pPr>
        <w:sectPr>
          <w:pgSz w:w="11900" w:h="16838" w:orient="portrait"/>
          <w:cols w:equalWidth="0" w:num="1">
            <w:col w:w="9300"/>
          </w:cols>
          <w:pgMar w:left="1260" w:top="1440" w:right="1346" w:bottom="0" w:gutter="0" w:footer="0" w:header="0"/>
        </w:sect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securities: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Mutual funds/exchange traded funds </w:t>
      </w:r>
      <w:r>
        <w:rPr>
          <w:rFonts w:ascii="Arial" w:cs="Arial" w:eastAsia="Arial" w:hAnsi="Arial"/>
          <w:sz w:val="21"/>
          <w:szCs w:val="21"/>
          <w:color w:val="auto"/>
          <w:vertAlign w:val="superscript"/>
        </w:rPr>
        <w:t>(i)</w:t>
      </w: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Commingled funds </w:t>
      </w:r>
      <w:r>
        <w:rPr>
          <w:rFonts w:ascii="Arial" w:cs="Arial" w:eastAsia="Arial" w:hAnsi="Arial"/>
          <w:sz w:val="24"/>
          <w:szCs w:val="24"/>
          <w:color w:val="auto"/>
          <w:vertAlign w:val="superscript"/>
        </w:rPr>
        <w:t>(i) (ii)</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Hedge funds </w:t>
      </w:r>
      <w:r>
        <w:rPr>
          <w:rFonts w:ascii="Arial" w:cs="Arial" w:eastAsia="Arial" w:hAnsi="Arial"/>
          <w:sz w:val="24"/>
          <w:szCs w:val="24"/>
          <w:color w:val="auto"/>
          <w:vertAlign w:val="superscript"/>
        </w:rPr>
        <w:t>(i) (iii)</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Derivative financial instruments </w:t>
      </w:r>
      <w:r>
        <w:rPr>
          <w:rFonts w:ascii="Arial" w:cs="Arial" w:eastAsia="Arial" w:hAnsi="Arial"/>
          <w:sz w:val="24"/>
          <w:szCs w:val="24"/>
          <w:color w:val="auto"/>
          <w:vertAlign w:val="superscript"/>
        </w:rPr>
        <w:t>(iv)</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4"/>
          <w:szCs w:val="24"/>
          <w:color w:val="auto"/>
          <w:vertAlign w:val="superscript"/>
        </w:rPr>
        <w:t>(v) (vi)</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Derivative financial instruments </w:t>
      </w:r>
      <w:r>
        <w:rPr>
          <w:rFonts w:ascii="Arial" w:cs="Arial" w:eastAsia="Arial" w:hAnsi="Arial"/>
          <w:sz w:val="24"/>
          <w:szCs w:val="24"/>
          <w:color w:val="auto"/>
          <w:vertAlign w:val="superscript"/>
        </w:rPr>
        <w:t>(iv)</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ind w:left="580"/>
              <w:spacing w:after="0"/>
              <w:rPr>
                <w:sz w:val="20"/>
                <w:szCs w:val="20"/>
                <w:color w:val="auto"/>
              </w:rPr>
            </w:pPr>
            <w:r>
              <w:rPr>
                <w:rFonts w:ascii="Arial" w:cs="Arial" w:eastAsia="Arial" w:hAnsi="Arial"/>
                <w:sz w:val="16"/>
                <w:szCs w:val="16"/>
                <w:b w:val="1"/>
                <w:bCs w:val="1"/>
                <w:color w:val="auto"/>
              </w:rPr>
              <w:t>Balance Sheet Location</w:t>
            </w:r>
          </w:p>
        </w:tc>
        <w:tc>
          <w:tcPr>
            <w:tcW w:w="380" w:type="dxa"/>
            <w:vAlign w:val="bottom"/>
          </w:tcPr>
          <w:p>
            <w:pPr>
              <w:spacing w:after="0"/>
              <w:rPr>
                <w:sz w:val="16"/>
                <w:szCs w:val="16"/>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b w:val="1"/>
                <w:bCs w:val="1"/>
                <w:color w:val="auto"/>
                <w:w w:val="88"/>
              </w:rPr>
              <w:t>Level 1</w:t>
            </w:r>
          </w:p>
        </w:tc>
        <w:tc>
          <w:tcPr>
            <w:tcW w:w="200" w:type="dxa"/>
            <w:vAlign w:val="bottom"/>
          </w:tcPr>
          <w:p>
            <w:pPr>
              <w:spacing w:after="0"/>
              <w:rPr>
                <w:sz w:val="16"/>
                <w:szCs w:val="16"/>
                <w:color w:val="auto"/>
              </w:rPr>
            </w:pPr>
          </w:p>
        </w:tc>
        <w:tc>
          <w:tcPr>
            <w:tcW w:w="720" w:type="dxa"/>
            <w:vAlign w:val="bottom"/>
          </w:tcPr>
          <w:p>
            <w:pPr>
              <w:jc w:val="right"/>
              <w:ind w:right="123"/>
              <w:spacing w:after="0"/>
              <w:rPr>
                <w:sz w:val="20"/>
                <w:szCs w:val="20"/>
                <w:color w:val="auto"/>
              </w:rPr>
            </w:pPr>
            <w:r>
              <w:rPr>
                <w:rFonts w:ascii="Arial" w:cs="Arial" w:eastAsia="Arial" w:hAnsi="Arial"/>
                <w:sz w:val="16"/>
                <w:szCs w:val="16"/>
                <w:b w:val="1"/>
                <w:bCs w:val="1"/>
                <w:color w:val="auto"/>
                <w:w w:val="88"/>
              </w:rPr>
              <w:t>Level 2</w:t>
            </w:r>
          </w:p>
        </w:tc>
        <w:tc>
          <w:tcPr>
            <w:tcW w:w="2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6"/>
                <w:szCs w:val="16"/>
                <w:color w:val="auto"/>
              </w:rPr>
            </w:pPr>
          </w:p>
        </w:tc>
        <w:tc>
          <w:tcPr>
            <w:tcW w:w="560" w:type="dxa"/>
            <w:vAlign w:val="bottom"/>
          </w:tcPr>
          <w:p>
            <w:pPr>
              <w:jc w:val="right"/>
              <w:ind w:right="63"/>
              <w:spacing w:after="0"/>
              <w:rPr>
                <w:sz w:val="20"/>
                <w:szCs w:val="20"/>
                <w:color w:val="auto"/>
              </w:rPr>
            </w:pPr>
            <w:r>
              <w:rPr>
                <w:rFonts w:ascii="Arial" w:cs="Arial" w:eastAsia="Arial" w:hAnsi="Arial"/>
                <w:sz w:val="16"/>
                <w:szCs w:val="16"/>
                <w:b w:val="1"/>
                <w:bCs w:val="1"/>
                <w:color w:val="auto"/>
                <w:w w:val="99"/>
              </w:rPr>
              <w:t>Total</w:t>
            </w:r>
          </w:p>
        </w:tc>
      </w:tr>
      <w:tr>
        <w:trPr>
          <w:trHeight w:val="833"/>
        </w:trPr>
        <w:tc>
          <w:tcPr>
            <w:tcW w:w="2580" w:type="dxa"/>
            <w:vAlign w:val="bottom"/>
          </w:tcPr>
          <w:p>
            <w:pPr>
              <w:spacing w:after="0"/>
              <w:rPr>
                <w:sz w:val="20"/>
                <w:szCs w:val="20"/>
                <w:color w:val="auto"/>
              </w:rPr>
            </w:pPr>
            <w:r>
              <w:rPr>
                <w:rFonts w:ascii="Arial" w:cs="Arial" w:eastAsia="Arial" w:hAnsi="Arial"/>
                <w:sz w:val="16"/>
                <w:szCs w:val="16"/>
                <w:color w:val="auto"/>
                <w:w w:val="97"/>
              </w:rPr>
              <w:t>Prepaid and other current assets and</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0"/>
        </w:trPr>
        <w:tc>
          <w:tcPr>
            <w:tcW w:w="25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3"/>
              <w:spacing w:after="0"/>
              <w:rPr>
                <w:sz w:val="20"/>
                <w:szCs w:val="20"/>
                <w:color w:val="auto"/>
              </w:rPr>
            </w:pPr>
            <w:r>
              <w:rPr>
                <w:rFonts w:ascii="Arial" w:cs="Arial" w:eastAsia="Arial" w:hAnsi="Arial"/>
                <w:sz w:val="20"/>
                <w:szCs w:val="20"/>
                <w:color w:val="auto"/>
              </w:rPr>
              <w:t>145</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ind w:left="420"/>
              <w:spacing w:after="0"/>
              <w:rPr>
                <w:sz w:val="20"/>
                <w:szCs w:val="20"/>
                <w:color w:val="auto"/>
              </w:rPr>
            </w:pPr>
            <w:r>
              <w:rPr>
                <w:rFonts w:ascii="Arial" w:cs="Arial" w:eastAsia="Arial" w:hAnsi="Arial"/>
                <w:sz w:val="20"/>
                <w:szCs w:val="20"/>
                <w:color w:val="auto"/>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145</w:t>
            </w:r>
          </w:p>
        </w:tc>
      </w:tr>
      <w:tr>
        <w:trPr>
          <w:trHeight w:val="314"/>
        </w:trPr>
        <w:tc>
          <w:tcPr>
            <w:tcW w:w="2580" w:type="dxa"/>
            <w:vAlign w:val="bottom"/>
          </w:tcPr>
          <w:p>
            <w:pPr>
              <w:spacing w:after="0"/>
              <w:rPr>
                <w:sz w:val="20"/>
                <w:szCs w:val="20"/>
                <w:color w:val="auto"/>
              </w:rPr>
            </w:pPr>
            <w:r>
              <w:rPr>
                <w:rFonts w:ascii="Arial" w:cs="Arial" w:eastAsia="Arial" w:hAnsi="Arial"/>
                <w:sz w:val="16"/>
                <w:szCs w:val="16"/>
                <w:color w:val="auto"/>
              </w:rPr>
              <w:t>Fiduciary assets</w:t>
            </w:r>
          </w:p>
        </w:tc>
        <w:tc>
          <w:tcPr>
            <w:tcW w:w="380" w:type="dxa"/>
            <w:vAlign w:val="bottom"/>
          </w:tcPr>
          <w:p>
            <w:pPr>
              <w:spacing w:after="0"/>
              <w:rPr>
                <w:sz w:val="24"/>
                <w:szCs w:val="24"/>
                <w:color w:val="auto"/>
              </w:rPr>
            </w:pPr>
          </w:p>
        </w:tc>
        <w:tc>
          <w:tcPr>
            <w:tcW w:w="700" w:type="dxa"/>
            <w:vAlign w:val="bottom"/>
          </w:tcPr>
          <w:p>
            <w:pPr>
              <w:jc w:val="right"/>
              <w:ind w:right="3"/>
              <w:spacing w:after="0"/>
              <w:rPr>
                <w:sz w:val="20"/>
                <w:szCs w:val="20"/>
                <w:color w:val="auto"/>
              </w:rPr>
            </w:pPr>
            <w:r>
              <w:rPr>
                <w:rFonts w:ascii="Arial" w:cs="Arial" w:eastAsia="Arial" w:hAnsi="Arial"/>
                <w:sz w:val="20"/>
                <w:szCs w:val="20"/>
                <w:color w:val="auto"/>
              </w:rPr>
              <w:t>448</w:t>
            </w:r>
          </w:p>
        </w:tc>
        <w:tc>
          <w:tcPr>
            <w:tcW w:w="20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720" w:type="dxa"/>
            <w:vAlign w:val="bottom"/>
          </w:tcPr>
          <w:p>
            <w:pPr>
              <w:ind w:left="4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448</w:t>
            </w:r>
          </w:p>
        </w:tc>
      </w:tr>
      <w:tr>
        <w:trPr>
          <w:trHeight w:val="254"/>
        </w:trPr>
        <w:tc>
          <w:tcPr>
            <w:tcW w:w="2580" w:type="dxa"/>
            <w:vAlign w:val="bottom"/>
          </w:tcPr>
          <w:p>
            <w:pPr>
              <w:spacing w:after="0"/>
              <w:rPr>
                <w:sz w:val="20"/>
                <w:szCs w:val="20"/>
                <w:color w:val="auto"/>
              </w:rPr>
            </w:pPr>
            <w:r>
              <w:rPr>
                <w:rFonts w:ascii="Arial" w:cs="Arial" w:eastAsia="Arial" w:hAnsi="Arial"/>
                <w:sz w:val="16"/>
                <w:szCs w:val="16"/>
                <w:color w:val="auto"/>
                <w:w w:val="97"/>
              </w:rPr>
              <w:t>Prepaid and other current assets and</w:t>
            </w: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40"/>
        </w:trPr>
        <w:tc>
          <w:tcPr>
            <w:tcW w:w="25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380" w:type="dxa"/>
            <w:vAlign w:val="bottom"/>
          </w:tcPr>
          <w:p>
            <w:pPr>
              <w:spacing w:after="0"/>
              <w:rPr>
                <w:sz w:val="20"/>
                <w:szCs w:val="20"/>
                <w:color w:val="auto"/>
              </w:rPr>
            </w:pPr>
          </w:p>
        </w:tc>
        <w:tc>
          <w:tcPr>
            <w:tcW w:w="70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7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720" w:type="dxa"/>
            <w:vAlign w:val="bottom"/>
          </w:tcPr>
          <w:p>
            <w:pPr>
              <w:ind w:left="4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54"/>
        </w:trPr>
        <w:tc>
          <w:tcPr>
            <w:tcW w:w="2580" w:type="dxa"/>
            <w:vAlign w:val="bottom"/>
          </w:tcPr>
          <w:p>
            <w:pPr>
              <w:spacing w:after="0"/>
              <w:rPr>
                <w:sz w:val="20"/>
                <w:szCs w:val="20"/>
                <w:color w:val="auto"/>
              </w:rPr>
            </w:pPr>
            <w:r>
              <w:rPr>
                <w:rFonts w:ascii="Arial" w:cs="Arial" w:eastAsia="Arial" w:hAnsi="Arial"/>
                <w:sz w:val="16"/>
                <w:szCs w:val="16"/>
                <w:color w:val="auto"/>
                <w:w w:val="97"/>
              </w:rPr>
              <w:t>Prepaid and other current assets and</w:t>
            </w: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40"/>
        </w:trPr>
        <w:tc>
          <w:tcPr>
            <w:tcW w:w="25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380" w:type="dxa"/>
            <w:vAlign w:val="bottom"/>
          </w:tcPr>
          <w:p>
            <w:pPr>
              <w:spacing w:after="0"/>
              <w:rPr>
                <w:sz w:val="20"/>
                <w:szCs w:val="20"/>
                <w:color w:val="auto"/>
              </w:rPr>
            </w:pPr>
          </w:p>
        </w:tc>
        <w:tc>
          <w:tcPr>
            <w:tcW w:w="70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7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720" w:type="dxa"/>
            <w:vAlign w:val="bottom"/>
          </w:tcPr>
          <w:p>
            <w:pPr>
              <w:ind w:left="4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539"/>
        </w:trPr>
        <w:tc>
          <w:tcPr>
            <w:tcW w:w="2580" w:type="dxa"/>
            <w:vAlign w:val="bottom"/>
          </w:tcPr>
          <w:p>
            <w:pPr>
              <w:spacing w:after="0"/>
              <w:rPr>
                <w:sz w:val="20"/>
                <w:szCs w:val="20"/>
                <w:color w:val="auto"/>
              </w:rPr>
            </w:pPr>
            <w:r>
              <w:rPr>
                <w:rFonts w:ascii="Arial" w:cs="Arial" w:eastAsia="Arial" w:hAnsi="Arial"/>
                <w:sz w:val="16"/>
                <w:szCs w:val="16"/>
                <w:color w:val="auto"/>
                <w:w w:val="97"/>
              </w:rPr>
              <w:t>Prepaid and other current assets and</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0"/>
        </w:trPr>
        <w:tc>
          <w:tcPr>
            <w:tcW w:w="25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3"/>
              <w:spacing w:after="0"/>
              <w:rPr>
                <w:sz w:val="20"/>
                <w:szCs w:val="20"/>
                <w:color w:val="auto"/>
              </w:rPr>
            </w:pPr>
            <w:r>
              <w:rPr>
                <w:rFonts w:ascii="Arial" w:cs="Arial" w:eastAsia="Arial" w:hAnsi="Arial"/>
                <w:sz w:val="20"/>
                <w:szCs w:val="20"/>
                <w:color w:val="auto"/>
              </w:rPr>
              <w:t>5</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ind w:left="420"/>
              <w:spacing w:after="0"/>
              <w:rPr>
                <w:sz w:val="20"/>
                <w:szCs w:val="20"/>
                <w:color w:val="auto"/>
              </w:rPr>
            </w:pPr>
            <w:r>
              <w:rPr>
                <w:rFonts w:ascii="Arial" w:cs="Arial" w:eastAsia="Arial" w:hAnsi="Arial"/>
                <w:sz w:val="20"/>
                <w:szCs w:val="20"/>
                <w:color w:val="auto"/>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823"/>
        </w:trPr>
        <w:tc>
          <w:tcPr>
            <w:tcW w:w="2580" w:type="dxa"/>
            <w:vAlign w:val="bottom"/>
          </w:tcPr>
          <w:p>
            <w:pPr>
              <w:spacing w:after="0"/>
              <w:rPr>
                <w:sz w:val="20"/>
                <w:szCs w:val="20"/>
                <w:color w:val="auto"/>
              </w:rPr>
            </w:pPr>
            <w:r>
              <w:rPr>
                <w:rFonts w:ascii="Arial" w:cs="Arial" w:eastAsia="Arial" w:hAnsi="Arial"/>
                <w:sz w:val="16"/>
                <w:szCs w:val="16"/>
                <w:color w:val="auto"/>
              </w:rPr>
              <w:t>Other current liabilities and</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0"/>
        </w:trPr>
        <w:tc>
          <w:tcPr>
            <w:tcW w:w="25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ind w:left="420"/>
              <w:spacing w:after="0"/>
              <w:rPr>
                <w:sz w:val="20"/>
                <w:szCs w:val="20"/>
                <w:color w:val="auto"/>
              </w:rPr>
            </w:pPr>
            <w:r>
              <w:rPr>
                <w:rFonts w:ascii="Arial" w:cs="Arial" w:eastAsia="Arial" w:hAnsi="Arial"/>
                <w:sz w:val="20"/>
                <w:szCs w:val="20"/>
                <w:color w:val="auto"/>
              </w:rPr>
              <w:t>14</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539"/>
        </w:trPr>
        <w:tc>
          <w:tcPr>
            <w:tcW w:w="2580" w:type="dxa"/>
            <w:vAlign w:val="bottom"/>
          </w:tcPr>
          <w:p>
            <w:pPr>
              <w:spacing w:after="0"/>
              <w:rPr>
                <w:sz w:val="20"/>
                <w:szCs w:val="20"/>
                <w:color w:val="auto"/>
              </w:rPr>
            </w:pPr>
            <w:r>
              <w:rPr>
                <w:rFonts w:ascii="Arial" w:cs="Arial" w:eastAsia="Arial" w:hAnsi="Arial"/>
                <w:sz w:val="16"/>
                <w:szCs w:val="16"/>
                <w:color w:val="auto"/>
              </w:rPr>
              <w:t>Other current liabilities and</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0"/>
        </w:trPr>
        <w:tc>
          <w:tcPr>
            <w:tcW w:w="25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3"/>
              <w:spacing w:after="0"/>
              <w:rPr>
                <w:sz w:val="20"/>
                <w:szCs w:val="20"/>
                <w:color w:val="auto"/>
              </w:rPr>
            </w:pPr>
            <w:r>
              <w:rPr>
                <w:rFonts w:ascii="Arial" w:cs="Arial" w:eastAsia="Arial" w:hAnsi="Arial"/>
                <w:sz w:val="20"/>
                <w:szCs w:val="20"/>
                <w:color w:val="auto"/>
              </w:rPr>
              <w:t>1</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ind w:left="420"/>
              <w:spacing w:after="0"/>
              <w:rPr>
                <w:sz w:val="20"/>
                <w:szCs w:val="20"/>
                <w:color w:val="auto"/>
              </w:rPr>
            </w:pPr>
            <w:r>
              <w:rPr>
                <w:rFonts w:ascii="Arial" w:cs="Arial" w:eastAsia="Arial" w:hAnsi="Arial"/>
                <w:sz w:val="20"/>
                <w:szCs w:val="20"/>
                <w:color w:val="auto"/>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-1895475</wp:posOffset>
            </wp:positionH>
            <wp:positionV relativeFrom="paragraph">
              <wp:posOffset>-3152140</wp:posOffset>
            </wp:positionV>
            <wp:extent cx="5967730" cy="317309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7">
                      <a:extLst>
                        <a:ext uri="{28A0092B-C50C-407E-A947-70E740481C1C}"/>
                      </a:extLst>
                    </a:blip>
                    <a:srcRect/>
                    <a:stretch>
                      <a:fillRect/>
                    </a:stretch>
                  </pic:blipFill>
                  <pic:spPr bwMode="auto">
                    <a:xfrm>
                      <a:off x="0" y="0"/>
                      <a:ext cx="5967730" cy="3173095"/>
                    </a:xfrm>
                    <a:prstGeom prst="rect">
                      <a:avLst/>
                    </a:prstGeom>
                    <a:noFill/>
                  </pic:spPr>
                </pic:pic>
              </a:graphicData>
            </a:graphic>
          </wp:anchor>
        </w:drawing>
      </w:r>
    </w:p>
    <w:p>
      <w:pPr>
        <w:spacing w:after="0" w:line="373" w:lineRule="exact"/>
        <w:rPr>
          <w:sz w:val="20"/>
          <w:szCs w:val="20"/>
          <w:color w:val="auto"/>
        </w:rPr>
      </w:pPr>
    </w:p>
    <w:p>
      <w:pPr>
        <w:jc w:val="center"/>
        <w:ind w:left="-1479"/>
        <w:spacing w:after="0"/>
        <w:rPr>
          <w:sz w:val="20"/>
          <w:szCs w:val="20"/>
          <w:color w:val="auto"/>
        </w:rPr>
      </w:pPr>
      <w:r>
        <w:rPr>
          <w:rFonts w:ascii="Arial" w:cs="Arial" w:eastAsia="Arial" w:hAnsi="Arial"/>
          <w:sz w:val="14"/>
          <w:szCs w:val="14"/>
          <w:b w:val="1"/>
          <w:bCs w:val="1"/>
          <w:color w:val="auto"/>
        </w:rPr>
        <w:t>Fair Value Measurements on a Recurring Basis at</w:t>
      </w:r>
    </w:p>
    <w:p>
      <w:pPr>
        <w:spacing w:after="0" w:line="72" w:lineRule="exact"/>
        <w:rPr>
          <w:sz w:val="20"/>
          <w:szCs w:val="20"/>
          <w:color w:val="auto"/>
        </w:rPr>
      </w:pPr>
    </w:p>
    <w:p>
      <w:pPr>
        <w:jc w:val="center"/>
        <w:ind w:left="-1519"/>
        <w:spacing w:after="0"/>
        <w:rPr>
          <w:sz w:val="20"/>
          <w:szCs w:val="20"/>
          <w:color w:val="auto"/>
        </w:rPr>
      </w:pPr>
      <w:r>
        <w:rPr>
          <w:rFonts w:ascii="Arial" w:cs="Arial" w:eastAsia="Arial" w:hAnsi="Arial"/>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20320</wp:posOffset>
            </wp:positionV>
            <wp:extent cx="2256155" cy="63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78">
                      <a:extLst>
                        <a:ext uri="{28A0092B-C50C-407E-A947-70E740481C1C}"/>
                      </a:extLst>
                    </a:blip>
                    <a:srcRect/>
                    <a:stretch>
                      <a:fillRect/>
                    </a:stretch>
                  </pic:blipFill>
                  <pic:spPr bwMode="auto">
                    <a:xfrm>
                      <a:off x="0" y="0"/>
                      <a:ext cx="2256155" cy="6350"/>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2">
            <w:col w:w="2840" w:space="140"/>
            <w:col w:w="6320"/>
          </w:cols>
          <w:pgMar w:left="1260" w:top="1440" w:right="1346" w:bottom="0"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securities: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Mutual funds/exchange traded funds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2"/>
          <w:szCs w:val="12"/>
          <w:color w:val="auto"/>
        </w:rPr>
        <w:t>(i)</w:t>
      </w:r>
    </w:p>
    <w:p>
      <w:pPr>
        <w:spacing w:after="0" w:line="200" w:lineRule="exact"/>
        <w:rPr>
          <w:sz w:val="20"/>
          <w:szCs w:val="20"/>
          <w:color w:val="auto"/>
        </w:rPr>
      </w:pPr>
    </w:p>
    <w:p>
      <w:pPr>
        <w:spacing w:after="0" w:line="237" w:lineRule="exact"/>
        <w:rPr>
          <w:sz w:val="20"/>
          <w:szCs w:val="20"/>
          <w:color w:val="auto"/>
        </w:rPr>
      </w:pPr>
    </w:p>
    <w:p>
      <w:pPr>
        <w:ind w:right="900" w:firstLine="53"/>
        <w:spacing w:after="0" w:line="275" w:lineRule="auto"/>
        <w:rPr>
          <w:sz w:val="20"/>
          <w:szCs w:val="20"/>
          <w:color w:val="auto"/>
        </w:rPr>
      </w:pPr>
      <w:r>
        <w:rPr>
          <w:rFonts w:ascii="Arial" w:cs="Arial" w:eastAsia="Arial" w:hAnsi="Arial"/>
          <w:sz w:val="18"/>
          <w:szCs w:val="18"/>
          <w:color w:val="auto"/>
        </w:rPr>
        <w:t xml:space="preserve">Commingled funds </w:t>
      </w:r>
      <w:r>
        <w:rPr>
          <w:rFonts w:ascii="Arial" w:cs="Arial" w:eastAsia="Arial" w:hAnsi="Arial"/>
          <w:sz w:val="24"/>
          <w:szCs w:val="24"/>
          <w:color w:val="auto"/>
          <w:vertAlign w:val="superscript"/>
        </w:rPr>
        <w:t>(i) (ii)</w:t>
      </w:r>
      <w:r>
        <w:rPr>
          <w:rFonts w:ascii="Arial" w:cs="Arial" w:eastAsia="Arial" w:hAnsi="Arial"/>
          <w:sz w:val="18"/>
          <w:szCs w:val="18"/>
          <w:color w:val="auto"/>
        </w:rPr>
        <w:t xml:space="preserve"> Hedge funds </w:t>
      </w:r>
      <w:r>
        <w:rPr>
          <w:rFonts w:ascii="Arial" w:cs="Arial" w:eastAsia="Arial" w:hAnsi="Arial"/>
          <w:sz w:val="24"/>
          <w:szCs w:val="24"/>
          <w:color w:val="auto"/>
          <w:vertAlign w:val="superscript"/>
        </w:rPr>
        <w:t>(i) (iii)</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w:t>
      </w:r>
    </w:p>
    <w:p>
      <w:pPr>
        <w:ind w:left="40"/>
        <w:spacing w:after="0"/>
        <w:rPr>
          <w:sz w:val="20"/>
          <w:szCs w:val="20"/>
          <w:color w:val="auto"/>
        </w:rPr>
      </w:pPr>
      <w:r>
        <w:rPr>
          <w:rFonts w:ascii="Arial" w:cs="Arial" w:eastAsia="Arial" w:hAnsi="Arial"/>
          <w:sz w:val="17"/>
          <w:szCs w:val="17"/>
          <w:color w:val="auto"/>
        </w:rPr>
        <w:t xml:space="preserve">Derivative financial instruments </w:t>
      </w:r>
      <w:r>
        <w:rPr>
          <w:rFonts w:ascii="Arial" w:cs="Arial" w:eastAsia="Arial" w:hAnsi="Arial"/>
          <w:sz w:val="23"/>
          <w:szCs w:val="23"/>
          <w:color w:val="auto"/>
          <w:vertAlign w:val="superscript"/>
        </w:rPr>
        <w:t>(iv)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4"/>
          <w:szCs w:val="24"/>
          <w:color w:val="auto"/>
          <w:vertAlign w:val="superscript"/>
        </w:rPr>
        <w:t>(v)</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Derivative financial instruments </w:t>
      </w:r>
      <w:r>
        <w:rPr>
          <w:rFonts w:ascii="Arial" w:cs="Arial" w:eastAsia="Arial" w:hAnsi="Arial"/>
          <w:sz w:val="23"/>
          <w:szCs w:val="23"/>
          <w:color w:val="auto"/>
          <w:vertAlign w:val="superscript"/>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337820</wp:posOffset>
            </wp:positionV>
            <wp:extent cx="795655"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79">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ind w:left="620"/>
              <w:spacing w:after="0"/>
              <w:rPr>
                <w:sz w:val="20"/>
                <w:szCs w:val="20"/>
                <w:color w:val="auto"/>
              </w:rPr>
            </w:pPr>
            <w:r>
              <w:rPr>
                <w:rFonts w:ascii="Arial" w:cs="Arial" w:eastAsia="Arial" w:hAnsi="Arial"/>
                <w:sz w:val="16"/>
                <w:szCs w:val="16"/>
                <w:b w:val="1"/>
                <w:bCs w:val="1"/>
                <w:color w:val="auto"/>
              </w:rPr>
              <w:t>Balance Sheet Location</w:t>
            </w:r>
          </w:p>
        </w:tc>
        <w:tc>
          <w:tcPr>
            <w:tcW w:w="400" w:type="dxa"/>
            <w:vAlign w:val="bottom"/>
          </w:tcPr>
          <w:p>
            <w:pPr>
              <w:spacing w:after="0"/>
              <w:rPr>
                <w:sz w:val="16"/>
                <w:szCs w:val="16"/>
                <w:color w:val="auto"/>
              </w:rPr>
            </w:pPr>
          </w:p>
        </w:tc>
        <w:tc>
          <w:tcPr>
            <w:tcW w:w="720" w:type="dxa"/>
            <w:vAlign w:val="bottom"/>
          </w:tcPr>
          <w:p>
            <w:pPr>
              <w:jc w:val="right"/>
              <w:ind w:right="123"/>
              <w:spacing w:after="0"/>
              <w:rPr>
                <w:sz w:val="20"/>
                <w:szCs w:val="20"/>
                <w:color w:val="auto"/>
              </w:rPr>
            </w:pPr>
            <w:r>
              <w:rPr>
                <w:rFonts w:ascii="Arial" w:cs="Arial" w:eastAsia="Arial" w:hAnsi="Arial"/>
                <w:sz w:val="16"/>
                <w:szCs w:val="16"/>
                <w:b w:val="1"/>
                <w:bCs w:val="1"/>
                <w:color w:val="auto"/>
                <w:w w:val="88"/>
              </w:rPr>
              <w:t>Level 1</w:t>
            </w:r>
          </w:p>
        </w:tc>
        <w:tc>
          <w:tcPr>
            <w:tcW w:w="200" w:type="dxa"/>
            <w:vAlign w:val="bottom"/>
          </w:tcPr>
          <w:p>
            <w:pPr>
              <w:spacing w:after="0"/>
              <w:rPr>
                <w:sz w:val="16"/>
                <w:szCs w:val="16"/>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b w:val="1"/>
                <w:bCs w:val="1"/>
                <w:color w:val="auto"/>
                <w:w w:val="88"/>
              </w:rPr>
              <w:t>Level 2</w:t>
            </w:r>
          </w:p>
        </w:tc>
        <w:tc>
          <w:tcPr>
            <w:tcW w:w="2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6"/>
                <w:szCs w:val="16"/>
                <w:color w:val="auto"/>
              </w:rPr>
            </w:pPr>
          </w:p>
        </w:tc>
        <w:tc>
          <w:tcPr>
            <w:tcW w:w="580" w:type="dxa"/>
            <w:vAlign w:val="bottom"/>
          </w:tcPr>
          <w:p>
            <w:pPr>
              <w:jc w:val="right"/>
              <w:ind w:right="83"/>
              <w:spacing w:after="0"/>
              <w:rPr>
                <w:sz w:val="20"/>
                <w:szCs w:val="20"/>
                <w:color w:val="auto"/>
              </w:rPr>
            </w:pPr>
            <w:r>
              <w:rPr>
                <w:rFonts w:ascii="Arial" w:cs="Arial" w:eastAsia="Arial" w:hAnsi="Arial"/>
                <w:sz w:val="16"/>
                <w:szCs w:val="16"/>
                <w:b w:val="1"/>
                <w:bCs w:val="1"/>
                <w:color w:val="auto"/>
                <w:w w:val="99"/>
              </w:rPr>
              <w:t>Total</w:t>
            </w:r>
          </w:p>
        </w:tc>
      </w:tr>
      <w:tr>
        <w:trPr>
          <w:trHeight w:val="850"/>
        </w:trPr>
        <w:tc>
          <w:tcPr>
            <w:tcW w:w="2620" w:type="dxa"/>
            <w:vAlign w:val="bottom"/>
          </w:tcPr>
          <w:p>
            <w:pPr>
              <w:spacing w:after="0"/>
              <w:rPr>
                <w:sz w:val="20"/>
                <w:szCs w:val="20"/>
                <w:color w:val="auto"/>
              </w:rPr>
            </w:pPr>
            <w:r>
              <w:rPr>
                <w:rFonts w:ascii="Arial" w:cs="Arial" w:eastAsia="Arial" w:hAnsi="Arial"/>
                <w:sz w:val="16"/>
                <w:szCs w:val="16"/>
                <w:color w:val="auto"/>
                <w:w w:val="98"/>
              </w:rPr>
              <w:t>Prepaid and other current assets and</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0"/>
        </w:trPr>
        <w:tc>
          <w:tcPr>
            <w:tcW w:w="26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3"/>
              <w:spacing w:after="0"/>
              <w:rPr>
                <w:sz w:val="20"/>
                <w:szCs w:val="20"/>
                <w:color w:val="auto"/>
              </w:rPr>
            </w:pPr>
            <w:r>
              <w:rPr>
                <w:rFonts w:ascii="Arial" w:cs="Arial" w:eastAsia="Arial" w:hAnsi="Arial"/>
                <w:sz w:val="20"/>
                <w:szCs w:val="20"/>
                <w:color w:val="auto"/>
              </w:rPr>
              <w:t>108</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ind w:left="420"/>
              <w:spacing w:after="0"/>
              <w:rPr>
                <w:sz w:val="20"/>
                <w:szCs w:val="20"/>
                <w:color w:val="auto"/>
              </w:rPr>
            </w:pPr>
            <w:r>
              <w:rPr>
                <w:rFonts w:ascii="Arial" w:cs="Arial" w:eastAsia="Arial" w:hAnsi="Arial"/>
                <w:sz w:val="20"/>
                <w:szCs w:val="20"/>
                <w:color w:val="auto"/>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00"/>
        </w:trPr>
        <w:tc>
          <w:tcPr>
            <w:tcW w:w="2620" w:type="dxa"/>
            <w:vAlign w:val="bottom"/>
          </w:tcPr>
          <w:p>
            <w:pPr>
              <w:spacing w:after="0"/>
              <w:rPr>
                <w:sz w:val="20"/>
                <w:szCs w:val="20"/>
                <w:color w:val="auto"/>
              </w:rPr>
            </w:pPr>
            <w:r>
              <w:rPr>
                <w:rFonts w:ascii="Arial" w:cs="Arial" w:eastAsia="Arial" w:hAnsi="Arial"/>
                <w:sz w:val="16"/>
                <w:szCs w:val="16"/>
                <w:color w:val="auto"/>
              </w:rPr>
              <w:t>Fiduciary assets</w:t>
            </w:r>
          </w:p>
        </w:tc>
        <w:tc>
          <w:tcPr>
            <w:tcW w:w="40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20"/>
                <w:szCs w:val="20"/>
                <w:color w:val="auto"/>
              </w:rPr>
              <w:t>337</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337</w:t>
            </w:r>
          </w:p>
        </w:tc>
      </w:tr>
      <w:tr>
        <w:trPr>
          <w:trHeight w:val="300"/>
        </w:trPr>
        <w:tc>
          <w:tcPr>
            <w:tcW w:w="26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40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300"/>
        </w:trPr>
        <w:tc>
          <w:tcPr>
            <w:tcW w:w="26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400" w:type="dxa"/>
            <w:vAlign w:val="bottom"/>
          </w:tcPr>
          <w:p>
            <w:pPr>
              <w:spacing w:after="0"/>
              <w:rPr>
                <w:sz w:val="24"/>
                <w:szCs w:val="24"/>
                <w:color w:val="auto"/>
              </w:rPr>
            </w:pPr>
          </w:p>
        </w:tc>
        <w:tc>
          <w:tcPr>
            <w:tcW w:w="7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510"/>
        </w:trPr>
        <w:tc>
          <w:tcPr>
            <w:tcW w:w="2620" w:type="dxa"/>
            <w:vAlign w:val="bottom"/>
          </w:tcPr>
          <w:p>
            <w:pPr>
              <w:spacing w:after="0"/>
              <w:rPr>
                <w:sz w:val="20"/>
                <w:szCs w:val="20"/>
                <w:color w:val="auto"/>
              </w:rPr>
            </w:pPr>
            <w:r>
              <w:rPr>
                <w:rFonts w:ascii="Arial" w:cs="Arial" w:eastAsia="Arial" w:hAnsi="Arial"/>
                <w:sz w:val="16"/>
                <w:szCs w:val="16"/>
                <w:color w:val="auto"/>
                <w:w w:val="98"/>
              </w:rPr>
              <w:t>Prepaid and other current assets and</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0"/>
        </w:trPr>
        <w:tc>
          <w:tcPr>
            <w:tcW w:w="26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ind w:left="420"/>
              <w:spacing w:after="0"/>
              <w:rPr>
                <w:sz w:val="20"/>
                <w:szCs w:val="20"/>
                <w:color w:val="auto"/>
              </w:rPr>
            </w:pPr>
            <w:r>
              <w:rPr>
                <w:rFonts w:ascii="Arial" w:cs="Arial" w:eastAsia="Arial" w:hAnsi="Arial"/>
                <w:sz w:val="20"/>
                <w:szCs w:val="20"/>
                <w:color w:val="auto"/>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780"/>
        </w:trPr>
        <w:tc>
          <w:tcPr>
            <w:tcW w:w="2620" w:type="dxa"/>
            <w:vAlign w:val="bottom"/>
          </w:tcPr>
          <w:p>
            <w:pPr>
              <w:spacing w:after="0"/>
              <w:rPr>
                <w:sz w:val="20"/>
                <w:szCs w:val="20"/>
                <w:color w:val="auto"/>
              </w:rPr>
            </w:pPr>
            <w:r>
              <w:rPr>
                <w:rFonts w:ascii="Arial" w:cs="Arial" w:eastAsia="Arial" w:hAnsi="Arial"/>
                <w:sz w:val="16"/>
                <w:szCs w:val="16"/>
                <w:color w:val="auto"/>
              </w:rPr>
              <w:t>Other current liabilities and</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0"/>
        </w:trPr>
        <w:tc>
          <w:tcPr>
            <w:tcW w:w="26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ind w:left="420"/>
              <w:spacing w:after="0"/>
              <w:rPr>
                <w:sz w:val="20"/>
                <w:szCs w:val="20"/>
                <w:color w:val="auto"/>
              </w:rPr>
            </w:pPr>
            <w:r>
              <w:rPr>
                <w:rFonts w:ascii="Arial" w:cs="Arial" w:eastAsia="Arial" w:hAnsi="Arial"/>
                <w:sz w:val="20"/>
                <w:szCs w:val="20"/>
                <w:color w:val="auto"/>
              </w:rPr>
              <w:t>39</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510"/>
        </w:trPr>
        <w:tc>
          <w:tcPr>
            <w:tcW w:w="2620" w:type="dxa"/>
            <w:vAlign w:val="bottom"/>
          </w:tcPr>
          <w:p>
            <w:pPr>
              <w:spacing w:after="0"/>
              <w:rPr>
                <w:sz w:val="20"/>
                <w:szCs w:val="20"/>
                <w:color w:val="auto"/>
              </w:rPr>
            </w:pPr>
            <w:r>
              <w:rPr>
                <w:rFonts w:ascii="Arial" w:cs="Arial" w:eastAsia="Arial" w:hAnsi="Arial"/>
                <w:sz w:val="16"/>
                <w:szCs w:val="16"/>
                <w:color w:val="auto"/>
              </w:rPr>
              <w:t>Other current liabilities and</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0"/>
        </w:trPr>
        <w:tc>
          <w:tcPr>
            <w:tcW w:w="26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6</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ind w:left="420"/>
              <w:spacing w:after="0"/>
              <w:rPr>
                <w:sz w:val="20"/>
                <w:szCs w:val="20"/>
                <w:color w:val="auto"/>
              </w:rPr>
            </w:pPr>
            <w:r>
              <w:rPr>
                <w:rFonts w:ascii="Arial" w:cs="Arial" w:eastAsia="Arial" w:hAnsi="Arial"/>
                <w:sz w:val="20"/>
                <w:szCs w:val="20"/>
                <w:color w:val="auto"/>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-2842895</wp:posOffset>
            </wp:positionV>
            <wp:extent cx="5967730" cy="28638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0">
                      <a:extLst>
                        <a:ext uri="{28A0092B-C50C-407E-A947-70E740481C1C}"/>
                      </a:extLst>
                    </a:blip>
                    <a:srcRect/>
                    <a:stretch>
                      <a:fillRect/>
                    </a:stretch>
                  </pic:blipFill>
                  <pic:spPr bwMode="auto">
                    <a:xfrm>
                      <a:off x="0" y="0"/>
                      <a:ext cx="5967730" cy="2863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240"/>
            <w:col w:w="6380"/>
          </w:cols>
          <w:pgMar w:left="1260" w:top="1440" w:right="13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15 / 21</w:t>
      </w:r>
    </w:p>
    <w:p>
      <w:pPr>
        <w:sectPr>
          <w:pgSz w:w="11900" w:h="16838" w:orient="portrait"/>
          <w:cols w:equalWidth="0" w:num="1">
            <w:col w:w="9300"/>
          </w:cols>
          <w:pgMar w:left="1260" w:top="1440" w:right="1346" w:bottom="0" w:gutter="0" w:footer="0" w:header="0"/>
          <w:type w:val="continuous"/>
        </w:sectPr>
      </w:pPr>
    </w:p>
    <w:bookmarkStart w:id="215" w:name="page216"/>
    <w:bookmarkEnd w:id="215"/>
    <w:p>
      <w:pPr>
        <w:ind w:left="226" w:right="200" w:hanging="226"/>
        <w:spacing w:after="0" w:line="423" w:lineRule="auto"/>
        <w:tabs>
          <w:tab w:leader="none" w:pos="226" w:val="left"/>
        </w:tabs>
        <w:numPr>
          <w:ilvl w:val="0"/>
          <w:numId w:val="74"/>
        </w:numPr>
        <w:rPr>
          <w:rFonts w:ascii="Arial" w:cs="Arial" w:eastAsia="Arial" w:hAnsi="Arial"/>
          <w:sz w:val="15"/>
          <w:szCs w:val="15"/>
          <w:color w:val="auto"/>
        </w:rPr>
      </w:pPr>
      <w:r>
        <w:rPr>
          <w:rFonts w:ascii="Arial" w:cs="Arial" w:eastAsia="Arial" w:hAnsi="Arial"/>
          <w:sz w:val="15"/>
          <w:szCs w:val="15"/>
          <w:color w:val="auto"/>
        </w:rPr>
        <w:t>With the exception of the funds included in fiduciary assets, the majority of these balances are held as part of deferred compensation plans with related liabilities in other current liabilities and other non-current liabilities on the consolidated balance sheets.</w:t>
      </w:r>
    </w:p>
    <w:p>
      <w:pPr>
        <w:spacing w:after="0" w:line="31" w:lineRule="exact"/>
        <w:rPr>
          <w:rFonts w:ascii="Arial" w:cs="Arial" w:eastAsia="Arial" w:hAnsi="Arial"/>
          <w:sz w:val="15"/>
          <w:szCs w:val="15"/>
          <w:color w:val="auto"/>
        </w:rPr>
      </w:pPr>
    </w:p>
    <w:p>
      <w:pPr>
        <w:ind w:left="226" w:right="60" w:hanging="226"/>
        <w:spacing w:after="0" w:line="381" w:lineRule="auto"/>
        <w:tabs>
          <w:tab w:leader="none" w:pos="226"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Consists of the Towers Watson Global Equity Focus Fund, for which redemptions can occur on any business day, and require a minimum of one business day’s notice.</w:t>
      </w:r>
    </w:p>
    <w:p>
      <w:pPr>
        <w:spacing w:after="0" w:line="56" w:lineRule="exact"/>
        <w:rPr>
          <w:sz w:val="20"/>
          <w:szCs w:val="20"/>
          <w:color w:val="auto"/>
        </w:rPr>
      </w:pPr>
    </w:p>
    <w:p>
      <w:pPr>
        <w:ind w:left="226" w:right="160" w:hanging="234"/>
        <w:spacing w:after="0" w:line="381" w:lineRule="auto"/>
        <w:rPr>
          <w:sz w:val="20"/>
          <w:szCs w:val="20"/>
          <w:color w:val="auto"/>
        </w:rPr>
      </w:pPr>
      <w:r>
        <w:rPr>
          <w:rFonts w:ascii="Arial" w:cs="Arial" w:eastAsia="Arial" w:hAnsi="Arial"/>
          <w:sz w:val="16"/>
          <w:szCs w:val="16"/>
          <w:color w:val="auto"/>
        </w:rPr>
        <w:t>(iii)Consists of the Towers Watson Alternative Credit Fund, for which the redemption period is generally quarterly, however requires a 50-day notice.</w:t>
      </w:r>
    </w:p>
    <w:p>
      <w:pPr>
        <w:spacing w:after="0" w:line="48" w:lineRule="exact"/>
        <w:rPr>
          <w:sz w:val="20"/>
          <w:szCs w:val="20"/>
          <w:color w:val="auto"/>
        </w:rPr>
      </w:pPr>
    </w:p>
    <w:p>
      <w:pPr>
        <w:ind w:left="6"/>
        <w:spacing w:after="0"/>
        <w:rPr>
          <w:sz w:val="20"/>
          <w:szCs w:val="20"/>
          <w:color w:val="auto"/>
        </w:rPr>
      </w:pPr>
      <w:r>
        <w:rPr>
          <w:rFonts w:ascii="Arial" w:cs="Arial" w:eastAsia="Arial" w:hAnsi="Arial"/>
          <w:sz w:val="16"/>
          <w:szCs w:val="16"/>
          <w:color w:val="auto"/>
        </w:rPr>
        <w:t>(iv)See Note 10 — Derivative Financial Instruments for further information on our derivative contracts.</w:t>
      </w:r>
    </w:p>
    <w:p>
      <w:pPr>
        <w:spacing w:after="0" w:line="163" w:lineRule="exact"/>
        <w:rPr>
          <w:sz w:val="20"/>
          <w:szCs w:val="20"/>
          <w:color w:val="auto"/>
        </w:rPr>
      </w:pPr>
    </w:p>
    <w:p>
      <w:pPr>
        <w:ind w:left="226" w:hanging="226"/>
        <w:spacing w:after="0" w:line="386" w:lineRule="auto"/>
        <w:tabs>
          <w:tab w:leader="none" w:pos="226" w:val="left"/>
        </w:tabs>
        <w:numPr>
          <w:ilvl w:val="0"/>
          <w:numId w:val="75"/>
        </w:numPr>
        <w:rPr>
          <w:rFonts w:ascii="Arial" w:cs="Arial" w:eastAsia="Arial" w:hAnsi="Arial"/>
          <w:sz w:val="16"/>
          <w:szCs w:val="16"/>
          <w:color w:val="auto"/>
        </w:rPr>
      </w:pPr>
      <w:r>
        <w:rPr>
          <w:rFonts w:ascii="Arial" w:cs="Arial" w:eastAsia="Arial" w:hAnsi="Arial"/>
          <w:sz w:val="16"/>
          <w:szCs w:val="16"/>
          <w:color w:val="auto"/>
        </w:rPr>
        <w:t>Probability weightings are based on our knowledge of the past and planned performance of the acquired entity to which the contingent consideration applies. The fair value weighted-average discount rates used in our material contingent consideration calculations were 11.00% and 13.43% at December 31, 2025 and December 31,</w:t>
      </w:r>
    </w:p>
    <w:p>
      <w:pPr>
        <w:spacing w:after="0" w:line="12" w:lineRule="exact"/>
        <w:rPr>
          <w:rFonts w:ascii="Arial" w:cs="Arial" w:eastAsia="Arial" w:hAnsi="Arial"/>
          <w:sz w:val="16"/>
          <w:szCs w:val="16"/>
          <w:color w:val="auto"/>
        </w:rPr>
      </w:pPr>
    </w:p>
    <w:p>
      <w:pPr>
        <w:ind w:left="226" w:right="560"/>
        <w:spacing w:after="0" w:line="381" w:lineRule="auto"/>
        <w:rPr>
          <w:rFonts w:ascii="Arial" w:cs="Arial" w:eastAsia="Arial" w:hAnsi="Arial"/>
          <w:sz w:val="16"/>
          <w:szCs w:val="16"/>
          <w:color w:val="auto"/>
        </w:rPr>
      </w:pPr>
      <w:r>
        <w:rPr>
          <w:rFonts w:ascii="Arial" w:cs="Arial" w:eastAsia="Arial" w:hAnsi="Arial"/>
          <w:sz w:val="16"/>
          <w:szCs w:val="16"/>
          <w:color w:val="auto"/>
        </w:rPr>
        <w:t>2024, respectively. Using different probability weightings and discount rates could result in an increase or decrease of the contingent consideration payable.</w:t>
      </w:r>
    </w:p>
    <w:p>
      <w:pPr>
        <w:spacing w:after="0" w:line="48" w:lineRule="exact"/>
        <w:rPr>
          <w:sz w:val="20"/>
          <w:szCs w:val="20"/>
          <w:color w:val="auto"/>
        </w:rPr>
      </w:pPr>
    </w:p>
    <w:p>
      <w:pPr>
        <w:ind w:left="6"/>
        <w:spacing w:after="0"/>
        <w:rPr>
          <w:sz w:val="20"/>
          <w:szCs w:val="20"/>
          <w:color w:val="auto"/>
        </w:rPr>
      </w:pPr>
      <w:r>
        <w:rPr>
          <w:rFonts w:ascii="Arial" w:cs="Arial" w:eastAsia="Arial" w:hAnsi="Arial"/>
          <w:sz w:val="16"/>
          <w:szCs w:val="16"/>
          <w:color w:val="auto"/>
        </w:rPr>
        <w:t>(vi)Consideration due to be paid across multiple years until 2029.</w:t>
      </w:r>
    </w:p>
    <w:p>
      <w:pPr>
        <w:spacing w:after="0" w:line="318" w:lineRule="exact"/>
        <w:rPr>
          <w:sz w:val="20"/>
          <w:szCs w:val="20"/>
          <w:color w:val="auto"/>
        </w:rPr>
      </w:pPr>
    </w:p>
    <w:p>
      <w:pPr>
        <w:jc w:val="center"/>
        <w:ind w:right="-125"/>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6"/>
          </w:cols>
          <w:pgMar w:left="1254" w:top="1248"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05"/>
        <w:spacing w:after="0"/>
        <w:rPr>
          <w:sz w:val="20"/>
          <w:szCs w:val="20"/>
          <w:color w:val="auto"/>
        </w:rPr>
      </w:pPr>
      <w:r>
        <w:rPr>
          <w:rFonts w:ascii="Arial" w:cs="Arial" w:eastAsia="Arial" w:hAnsi="Arial"/>
          <w:sz w:val="20"/>
          <w:szCs w:val="20"/>
          <w:color w:val="auto"/>
        </w:rPr>
        <w:t>16 / 21</w:t>
      </w:r>
    </w:p>
    <w:p>
      <w:pPr>
        <w:sectPr>
          <w:pgSz w:w="11900" w:h="16838" w:orient="portrait"/>
          <w:cols w:equalWidth="0" w:num="1">
            <w:col w:w="9286"/>
          </w:cols>
          <w:pgMar w:left="1254" w:top="1248" w:right="1366" w:bottom="0" w:gutter="0" w:footer="0" w:header="0"/>
          <w:type w:val="continuous"/>
        </w:sectPr>
      </w:pPr>
    </w:p>
    <w:bookmarkStart w:id="216" w:name="page217"/>
    <w:bookmarkEnd w:id="2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following table summarizes the change in fair value of the Level 3 liabilities:</w:t>
      </w:r>
    </w:p>
    <w:p>
      <w:pPr>
        <w:spacing w:after="0" w:line="200" w:lineRule="exact"/>
        <w:rPr>
          <w:sz w:val="20"/>
          <w:szCs w:val="20"/>
          <w:color w:val="auto"/>
        </w:rPr>
      </w:pPr>
    </w:p>
    <w:p>
      <w:pPr>
        <w:spacing w:after="0" w:line="217" w:lineRule="exact"/>
        <w:rPr>
          <w:sz w:val="20"/>
          <w:szCs w:val="20"/>
          <w:color w:val="auto"/>
        </w:rPr>
      </w:pPr>
    </w:p>
    <w:tbl>
      <w:tblPr>
        <w:tblLayout w:type="fixed"/>
        <w:tblInd w:w="6" w:type="dxa"/>
        <w:tblCellMar>
          <w:top w:w="0" w:type="dxa"/>
          <w:left w:w="0" w:type="dxa"/>
          <w:bottom w:w="0" w:type="dxa"/>
          <w:right w:w="0" w:type="dxa"/>
        </w:tblCellMar>
      </w:tblPr>
      <w:tr>
        <w:trPr>
          <w:trHeight w:val="217"/>
        </w:trPr>
        <w:tc>
          <w:tcPr>
            <w:tcW w:w="6520" w:type="dxa"/>
            <w:vAlign w:val="bottom"/>
          </w:tcPr>
          <w:p>
            <w:pPr>
              <w:spacing w:after="0"/>
              <w:rPr>
                <w:sz w:val="20"/>
                <w:szCs w:val="20"/>
                <w:color w:val="auto"/>
              </w:rPr>
            </w:pPr>
            <w:r>
              <w:rPr>
                <w:rFonts w:ascii="Arial" w:cs="Arial" w:eastAsia="Arial" w:hAnsi="Arial"/>
                <w:sz w:val="18"/>
                <w:szCs w:val="18"/>
                <w:b w:val="1"/>
                <w:bCs w:val="1"/>
                <w:color w:val="auto"/>
              </w:rPr>
              <w:t>Fair Value Measurements Using Significant Unobservable Inputs (Level 3)</w:t>
            </w:r>
          </w:p>
        </w:tc>
        <w:tc>
          <w:tcPr>
            <w:tcW w:w="980" w:type="dxa"/>
            <w:vAlign w:val="bottom"/>
          </w:tcPr>
          <w:p>
            <w:pPr>
              <w:spacing w:after="0"/>
              <w:rPr>
                <w:sz w:val="18"/>
                <w:szCs w:val="18"/>
                <w:color w:val="auto"/>
              </w:rPr>
            </w:pPr>
          </w:p>
        </w:tc>
        <w:tc>
          <w:tcPr>
            <w:tcW w:w="1900" w:type="dxa"/>
            <w:vAlign w:val="bottom"/>
          </w:tcPr>
          <w:p>
            <w:pPr>
              <w:jc w:val="right"/>
              <w:ind w:right="261"/>
              <w:spacing w:after="0"/>
              <w:rPr>
                <w:sz w:val="20"/>
                <w:szCs w:val="20"/>
                <w:color w:val="auto"/>
              </w:rPr>
            </w:pPr>
            <w:r>
              <w:rPr>
                <w:rFonts w:ascii="Arial" w:cs="Arial" w:eastAsia="Arial" w:hAnsi="Arial"/>
                <w:sz w:val="18"/>
                <w:szCs w:val="18"/>
                <w:b w:val="1"/>
                <w:bCs w:val="1"/>
                <w:color w:val="auto"/>
                <w:w w:val="93"/>
              </w:rPr>
              <w:t>December 31, 2025</w:t>
            </w:r>
          </w:p>
        </w:tc>
      </w:tr>
      <w:tr>
        <w:trPr>
          <w:trHeight w:val="36"/>
        </w:trPr>
        <w:tc>
          <w:tcPr>
            <w:tcW w:w="6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900" w:type="dxa"/>
            <w:vAlign w:val="bottom"/>
          </w:tcPr>
          <w:p>
            <w:pPr>
              <w:spacing w:after="0"/>
              <w:rPr>
                <w:sz w:val="3"/>
                <w:szCs w:val="3"/>
                <w:color w:val="auto"/>
              </w:rPr>
            </w:pPr>
          </w:p>
        </w:tc>
      </w:tr>
      <w:tr>
        <w:trPr>
          <w:trHeight w:val="280"/>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December 31, 2024</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9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39</w:t>
            </w:r>
          </w:p>
        </w:tc>
      </w:tr>
      <w:tr>
        <w:trPr>
          <w:trHeight w:val="259"/>
        </w:trPr>
        <w:tc>
          <w:tcPr>
            <w:tcW w:w="6520" w:type="dxa"/>
            <w:vAlign w:val="bottom"/>
          </w:tcPr>
          <w:p>
            <w:pPr>
              <w:ind w:left="120"/>
              <w:spacing w:after="0"/>
              <w:rPr>
                <w:sz w:val="20"/>
                <w:szCs w:val="20"/>
                <w:color w:val="auto"/>
              </w:rPr>
            </w:pPr>
            <w:r>
              <w:rPr>
                <w:rFonts w:ascii="Arial" w:cs="Arial" w:eastAsia="Arial" w:hAnsi="Arial"/>
                <w:sz w:val="20"/>
                <w:szCs w:val="20"/>
                <w:color w:val="auto"/>
              </w:rPr>
              <w:t>Obligations assumed</w:t>
            </w:r>
          </w:p>
        </w:tc>
        <w:tc>
          <w:tcPr>
            <w:tcW w:w="980" w:type="dxa"/>
            <w:vAlign w:val="bottom"/>
          </w:tcPr>
          <w:p>
            <w:pPr>
              <w:spacing w:after="0"/>
              <w:rPr>
                <w:sz w:val="22"/>
                <w:szCs w:val="22"/>
                <w:color w:val="auto"/>
              </w:rPr>
            </w:pPr>
          </w:p>
        </w:tc>
        <w:tc>
          <w:tcPr>
            <w:tcW w:w="1900" w:type="dxa"/>
            <w:vAlign w:val="bottom"/>
          </w:tcPr>
          <w:p>
            <w:pPr>
              <w:jc w:val="right"/>
              <w:ind w:right="1"/>
              <w:spacing w:after="0"/>
              <w:rPr>
                <w:sz w:val="20"/>
                <w:szCs w:val="20"/>
                <w:color w:val="auto"/>
              </w:rPr>
            </w:pPr>
            <w:r>
              <w:rPr>
                <w:rFonts w:ascii="Arial" w:cs="Arial" w:eastAsia="Arial" w:hAnsi="Arial"/>
                <w:sz w:val="20"/>
                <w:szCs w:val="20"/>
                <w:color w:val="auto"/>
              </w:rPr>
              <w:t>5</w:t>
            </w:r>
          </w:p>
        </w:tc>
      </w:tr>
      <w:tr>
        <w:trPr>
          <w:trHeight w:val="41"/>
        </w:trPr>
        <w:tc>
          <w:tcPr>
            <w:tcW w:w="6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900" w:type="dxa"/>
            <w:vAlign w:val="bottom"/>
          </w:tcPr>
          <w:p>
            <w:pPr>
              <w:spacing w:after="0"/>
              <w:rPr>
                <w:sz w:val="3"/>
                <w:szCs w:val="3"/>
                <w:color w:val="auto"/>
              </w:rPr>
            </w:pPr>
          </w:p>
        </w:tc>
      </w:tr>
      <w:tr>
        <w:trPr>
          <w:trHeight w:val="280"/>
        </w:trPr>
        <w:tc>
          <w:tcPr>
            <w:tcW w:w="6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Payments</w:t>
            </w:r>
          </w:p>
        </w:tc>
        <w:tc>
          <w:tcPr>
            <w:tcW w:w="980" w:type="dxa"/>
            <w:vAlign w:val="bottom"/>
            <w:tcBorders>
              <w:bottom w:val="single" w:sz="8" w:color="CFF0FC"/>
            </w:tcBorders>
            <w:shd w:val="clear" w:color="auto" w:fill="CFF0FC"/>
          </w:tcPr>
          <w:p>
            <w:pPr>
              <w:spacing w:after="0"/>
              <w:rPr>
                <w:sz w:val="24"/>
                <w:szCs w:val="24"/>
                <w:color w:val="auto"/>
              </w:rPr>
            </w:pPr>
          </w:p>
        </w:tc>
        <w:tc>
          <w:tcPr>
            <w:tcW w:w="1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w:t>
            </w:r>
          </w:p>
        </w:tc>
      </w:tr>
      <w:tr>
        <w:trPr>
          <w:trHeight w:val="300"/>
        </w:trPr>
        <w:tc>
          <w:tcPr>
            <w:tcW w:w="6520" w:type="dxa"/>
            <w:vAlign w:val="bottom"/>
          </w:tcPr>
          <w:p>
            <w:pPr>
              <w:ind w:left="120"/>
              <w:spacing w:after="0"/>
              <w:rPr>
                <w:sz w:val="20"/>
                <w:szCs w:val="20"/>
                <w:color w:val="auto"/>
              </w:rPr>
            </w:pPr>
            <w:r>
              <w:rPr>
                <w:rFonts w:ascii="Arial" w:cs="Arial" w:eastAsia="Arial" w:hAnsi="Arial"/>
                <w:sz w:val="20"/>
                <w:szCs w:val="20"/>
                <w:color w:val="auto"/>
              </w:rPr>
              <w:t xml:space="preserve">Realized and unrealized losses </w:t>
            </w:r>
            <w:r>
              <w:rPr>
                <w:rFonts w:ascii="Arial" w:cs="Arial" w:eastAsia="Arial" w:hAnsi="Arial"/>
                <w:sz w:val="26"/>
                <w:szCs w:val="26"/>
                <w:color w:val="auto"/>
                <w:vertAlign w:val="superscript"/>
              </w:rPr>
              <w:t>(i)</w:t>
            </w:r>
          </w:p>
        </w:tc>
        <w:tc>
          <w:tcPr>
            <w:tcW w:w="980" w:type="dxa"/>
            <w:vAlign w:val="bottom"/>
          </w:tcPr>
          <w:p>
            <w:pPr>
              <w:spacing w:after="0"/>
              <w:rPr>
                <w:sz w:val="24"/>
                <w:szCs w:val="24"/>
                <w:color w:val="auto"/>
              </w:rPr>
            </w:pPr>
          </w:p>
        </w:tc>
        <w:tc>
          <w:tcPr>
            <w:tcW w:w="1900" w:type="dxa"/>
            <w:vAlign w:val="bottom"/>
          </w:tcPr>
          <w:p>
            <w:pPr>
              <w:jc w:val="right"/>
              <w:ind w:right="1"/>
              <w:spacing w:after="0"/>
              <w:rPr>
                <w:sz w:val="20"/>
                <w:szCs w:val="20"/>
                <w:color w:val="auto"/>
              </w:rPr>
            </w:pPr>
            <w:r>
              <w:rPr>
                <w:rFonts w:ascii="Arial" w:cs="Arial" w:eastAsia="Arial" w:hAnsi="Arial"/>
                <w:sz w:val="20"/>
                <w:szCs w:val="20"/>
                <w:color w:val="auto"/>
              </w:rPr>
              <w:t>1</w:t>
            </w:r>
          </w:p>
        </w:tc>
      </w:tr>
      <w:tr>
        <w:trPr>
          <w:trHeight w:val="290"/>
        </w:trPr>
        <w:tc>
          <w:tcPr>
            <w:tcW w:w="6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Foreign exchange</w:t>
            </w:r>
          </w:p>
        </w:tc>
        <w:tc>
          <w:tcPr>
            <w:tcW w:w="980" w:type="dxa"/>
            <w:vAlign w:val="bottom"/>
            <w:tcBorders>
              <w:bottom w:val="single" w:sz="8" w:color="CFF0FC"/>
            </w:tcBorders>
            <w:shd w:val="clear" w:color="auto" w:fill="CFF0FC"/>
          </w:tcPr>
          <w:p>
            <w:pPr>
              <w:spacing w:after="0"/>
              <w:rPr>
                <w:sz w:val="24"/>
                <w:szCs w:val="24"/>
                <w:color w:val="auto"/>
              </w:rPr>
            </w:pPr>
          </w:p>
        </w:tc>
        <w:tc>
          <w:tcPr>
            <w:tcW w:w="19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2</w:t>
            </w:r>
          </w:p>
        </w:tc>
      </w:tr>
      <w:tr>
        <w:trPr>
          <w:trHeight w:val="259"/>
        </w:trPr>
        <w:tc>
          <w:tcPr>
            <w:tcW w:w="6520" w:type="dxa"/>
            <w:vAlign w:val="bottom"/>
          </w:tcPr>
          <w:p>
            <w:pPr>
              <w:spacing w:after="0"/>
              <w:rPr>
                <w:sz w:val="20"/>
                <w:szCs w:val="20"/>
                <w:color w:val="auto"/>
              </w:rPr>
            </w:pPr>
            <w:r>
              <w:rPr>
                <w:rFonts w:ascii="Arial" w:cs="Arial" w:eastAsia="Arial" w:hAnsi="Arial"/>
                <w:sz w:val="20"/>
                <w:szCs w:val="20"/>
                <w:color w:val="auto"/>
              </w:rPr>
              <w:t>Balance at December 31, 2025</w:t>
            </w: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1900" w:type="dxa"/>
            <w:vAlign w:val="bottom"/>
          </w:tcPr>
          <w:p>
            <w:pPr>
              <w:jc w:val="right"/>
              <w:ind w:right="1"/>
              <w:spacing w:after="0"/>
              <w:rPr>
                <w:sz w:val="20"/>
                <w:szCs w:val="20"/>
                <w:color w:val="auto"/>
              </w:rPr>
            </w:pPr>
            <w:r>
              <w:rPr>
                <w:rFonts w:ascii="Arial" w:cs="Arial" w:eastAsia="Arial" w:hAnsi="Arial"/>
                <w:sz w:val="20"/>
                <w:szCs w:val="20"/>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4653915</wp:posOffset>
            </wp:positionH>
            <wp:positionV relativeFrom="paragraph">
              <wp:posOffset>-1129030</wp:posOffset>
            </wp:positionV>
            <wp:extent cx="1313180"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2">
                      <a:extLst>
                        <a:ext uri="{28A0092B-C50C-407E-A947-70E740481C1C}"/>
                      </a:extLst>
                    </a:blip>
                    <a:srcRect/>
                    <a:stretch>
                      <a:fillRect/>
                    </a:stretch>
                  </pic:blipFill>
                  <pic:spPr bwMode="auto">
                    <a:xfrm>
                      <a:off x="0" y="0"/>
                      <a:ext cx="1313180" cy="6350"/>
                    </a:xfrm>
                    <a:prstGeom prst="rect">
                      <a:avLst/>
                    </a:prstGeom>
                    <a:noFill/>
                  </pic:spPr>
                </pic:pic>
              </a:graphicData>
            </a:graphic>
          </wp:anchor>
        </w:drawing>
        <w:drawing>
          <wp:anchor simplePos="0" relativeHeight="251657728" behindDoc="1" locked="0" layoutInCell="0" allowOverlap="1">
            <wp:simplePos x="0" y="0"/>
            <wp:positionH relativeFrom="column">
              <wp:posOffset>4653915</wp:posOffset>
            </wp:positionH>
            <wp:positionV relativeFrom="paragraph">
              <wp:posOffset>-170180</wp:posOffset>
            </wp:positionV>
            <wp:extent cx="1313180" cy="63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3">
                      <a:extLst>
                        <a:ext uri="{28A0092B-C50C-407E-A947-70E740481C1C}"/>
                      </a:extLst>
                    </a:blip>
                    <a:srcRect/>
                    <a:stretch>
                      <a:fillRect/>
                    </a:stretch>
                  </pic:blipFill>
                  <pic:spPr bwMode="auto">
                    <a:xfrm>
                      <a:off x="0" y="0"/>
                      <a:ext cx="1313180" cy="6350"/>
                    </a:xfrm>
                    <a:prstGeom prst="rect">
                      <a:avLst/>
                    </a:prstGeom>
                    <a:noFill/>
                  </pic:spPr>
                </pic:pic>
              </a:graphicData>
            </a:graphic>
          </wp:anchor>
        </w:drawing>
        <w:drawing>
          <wp:anchor simplePos="0" relativeHeight="251657728" behindDoc="1" locked="0" layoutInCell="0" allowOverlap="1">
            <wp:simplePos x="0" y="0"/>
            <wp:positionH relativeFrom="column">
              <wp:posOffset>4653915</wp:posOffset>
            </wp:positionH>
            <wp:positionV relativeFrom="paragraph">
              <wp:posOffset>26035</wp:posOffset>
            </wp:positionV>
            <wp:extent cx="1313180" cy="285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4">
                      <a:extLst>
                        <a:ext uri="{28A0092B-C50C-407E-A947-70E740481C1C}"/>
                      </a:extLst>
                    </a:blip>
                    <a:srcRect/>
                    <a:stretch>
                      <a:fillRect/>
                    </a:stretch>
                  </pic:blipFill>
                  <pic:spPr bwMode="auto">
                    <a:xfrm>
                      <a:off x="0" y="0"/>
                      <a:ext cx="131318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257810</wp:posOffset>
            </wp:positionV>
            <wp:extent cx="795655" cy="63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5">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26" w:right="320" w:hanging="226"/>
        <w:spacing w:after="0" w:line="423" w:lineRule="auto"/>
        <w:tabs>
          <w:tab w:leader="none" w:pos="226" w:val="left"/>
        </w:tabs>
        <w:numPr>
          <w:ilvl w:val="0"/>
          <w:numId w:val="76"/>
        </w:numPr>
        <w:rPr>
          <w:rFonts w:ascii="Arial" w:cs="Arial" w:eastAsia="Arial" w:hAnsi="Arial"/>
          <w:sz w:val="15"/>
          <w:szCs w:val="15"/>
          <w:color w:val="auto"/>
        </w:rPr>
      </w:pPr>
      <w:r>
        <w:rPr>
          <w:rFonts w:ascii="Arial" w:cs="Arial" w:eastAsia="Arial" w:hAnsi="Arial"/>
          <w:sz w:val="15"/>
          <w:szCs w:val="15"/>
          <w:color w:val="auto"/>
        </w:rPr>
        <w:t>Realized and unrealized losses include accretion and adjustments to contingent consideration liabilities, which are included within Interest expense and Other operating expenses, respectively, on the consolidated statements of comprehensive income.</w:t>
      </w:r>
    </w:p>
    <w:p>
      <w:pPr>
        <w:spacing w:after="0" w:line="256" w:lineRule="exact"/>
        <w:rPr>
          <w:sz w:val="20"/>
          <w:szCs w:val="20"/>
          <w:color w:val="auto"/>
        </w:rPr>
      </w:pPr>
    </w:p>
    <w:p>
      <w:pPr>
        <w:ind w:left="6"/>
        <w:spacing w:after="0"/>
        <w:rPr>
          <w:sz w:val="20"/>
          <w:szCs w:val="20"/>
          <w:color w:val="auto"/>
        </w:rPr>
      </w:pPr>
      <w:r>
        <w:rPr>
          <w:rFonts w:ascii="Arial" w:cs="Arial" w:eastAsia="Arial" w:hAnsi="Arial"/>
          <w:sz w:val="19"/>
          <w:szCs w:val="19"/>
          <w:color w:val="auto"/>
        </w:rPr>
        <w:t>There were no significant transfers to or from Level 3 during the years ended December 31, 2025 and 2024.</w:t>
      </w:r>
    </w:p>
    <w:p>
      <w:pPr>
        <w:spacing w:after="0" w:line="25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Held-to-Maturity Securities</w:t>
      </w:r>
    </w:p>
    <w:p>
      <w:pPr>
        <w:spacing w:after="0" w:line="260" w:lineRule="exact"/>
        <w:rPr>
          <w:sz w:val="20"/>
          <w:szCs w:val="20"/>
          <w:color w:val="auto"/>
        </w:rPr>
      </w:pPr>
    </w:p>
    <w:p>
      <w:pPr>
        <w:ind w:left="6" w:right="140"/>
        <w:spacing w:after="0" w:line="302" w:lineRule="auto"/>
        <w:rPr>
          <w:sz w:val="20"/>
          <w:szCs w:val="20"/>
          <w:color w:val="auto"/>
        </w:rPr>
      </w:pPr>
      <w:r>
        <w:rPr>
          <w:rFonts w:ascii="Arial" w:cs="Arial" w:eastAsia="Arial" w:hAnsi="Arial"/>
          <w:sz w:val="20"/>
          <w:szCs w:val="20"/>
          <w:color w:val="auto"/>
        </w:rPr>
        <w:t>During the year ended December 31, 2025, the Company invested $50 million in debt securities, which it intends to hold to maturity. The following table summarizes the types of holdings and related values:</w:t>
      </w:r>
    </w:p>
    <w:p>
      <w:pPr>
        <w:spacing w:after="0" w:line="353" w:lineRule="exact"/>
        <w:rPr>
          <w:sz w:val="20"/>
          <w:szCs w:val="20"/>
          <w:color w:val="auto"/>
        </w:rPr>
      </w:pPr>
    </w:p>
    <w:tbl>
      <w:tblPr>
        <w:tblLayout w:type="fixed"/>
        <w:tblInd w:w="6" w:type="dxa"/>
        <w:tblCellMar>
          <w:top w:w="0" w:type="dxa"/>
          <w:left w:w="0" w:type="dxa"/>
          <w:bottom w:w="0" w:type="dxa"/>
          <w:right w:w="0" w:type="dxa"/>
        </w:tblCellMar>
      </w:tblPr>
      <w:tr>
        <w:trPr>
          <w:trHeight w:val="217"/>
        </w:trPr>
        <w:tc>
          <w:tcPr>
            <w:tcW w:w="4920" w:type="dxa"/>
            <w:vAlign w:val="bottom"/>
          </w:tcPr>
          <w:p>
            <w:pPr>
              <w:spacing w:after="0"/>
              <w:rPr>
                <w:sz w:val="20"/>
                <w:szCs w:val="20"/>
                <w:color w:val="auto"/>
              </w:rPr>
            </w:pPr>
            <w:r>
              <w:rPr>
                <w:rFonts w:ascii="Arial" w:cs="Arial" w:eastAsia="Arial" w:hAnsi="Arial"/>
                <w:sz w:val="18"/>
                <w:szCs w:val="18"/>
                <w:b w:val="1"/>
                <w:bCs w:val="1"/>
                <w:color w:val="auto"/>
              </w:rPr>
              <w:t>Held-to-Maturity Securities</w:t>
            </w:r>
          </w:p>
        </w:tc>
        <w:tc>
          <w:tcPr>
            <w:tcW w:w="44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Corporate securities</w:t>
            </w:r>
          </w:p>
        </w:tc>
      </w:tr>
      <w:tr>
        <w:trPr>
          <w:trHeight w:val="36"/>
        </w:trPr>
        <w:tc>
          <w:tcPr>
            <w:tcW w:w="49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Amortized cost basis</w:t>
            </w:r>
          </w:p>
        </w:tc>
        <w:tc>
          <w:tcPr>
            <w:tcW w:w="3500" w:type="dxa"/>
            <w:vAlign w:val="bottom"/>
            <w:tcBorders>
              <w:bottom w:val="single" w:sz="8" w:color="CFF0FC"/>
            </w:tcBorders>
            <w:shd w:val="clear" w:color="auto" w:fill="CFF0FC"/>
          </w:tcPr>
          <w:p>
            <w:pPr>
              <w:jc w:val="right"/>
              <w:ind w:right="563"/>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51</w:t>
            </w:r>
          </w:p>
        </w:tc>
      </w:tr>
      <w:tr>
        <w:trPr>
          <w:trHeight w:val="284"/>
        </w:trPr>
        <w:tc>
          <w:tcPr>
            <w:tcW w:w="4920" w:type="dxa"/>
            <w:vAlign w:val="bottom"/>
          </w:tcPr>
          <w:p>
            <w:pPr>
              <w:spacing w:after="0"/>
              <w:rPr>
                <w:sz w:val="20"/>
                <w:szCs w:val="20"/>
                <w:color w:val="auto"/>
              </w:rPr>
            </w:pPr>
            <w:r>
              <w:rPr>
                <w:rFonts w:ascii="Arial" w:cs="Arial" w:eastAsia="Arial" w:hAnsi="Arial"/>
                <w:sz w:val="20"/>
                <w:szCs w:val="20"/>
                <w:color w:val="auto"/>
              </w:rPr>
              <w:t>Allowance for credit losses</w:t>
            </w:r>
          </w:p>
        </w:tc>
        <w:tc>
          <w:tcPr>
            <w:tcW w:w="350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49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4"/>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carrying amount</w:t>
            </w:r>
          </w:p>
        </w:tc>
        <w:tc>
          <w:tcPr>
            <w:tcW w:w="35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51</w:t>
            </w:r>
          </w:p>
        </w:tc>
      </w:tr>
      <w:tr>
        <w:trPr>
          <w:trHeight w:val="274"/>
        </w:trPr>
        <w:tc>
          <w:tcPr>
            <w:tcW w:w="4920" w:type="dxa"/>
            <w:vAlign w:val="bottom"/>
          </w:tcPr>
          <w:p>
            <w:pPr>
              <w:spacing w:after="0"/>
              <w:rPr>
                <w:sz w:val="20"/>
                <w:szCs w:val="20"/>
                <w:color w:val="auto"/>
              </w:rPr>
            </w:pPr>
            <w:r>
              <w:rPr>
                <w:rFonts w:ascii="Arial" w:cs="Arial" w:eastAsia="Arial" w:hAnsi="Arial"/>
                <w:sz w:val="20"/>
                <w:szCs w:val="20"/>
                <w:color w:val="auto"/>
              </w:rPr>
              <w:t>Gross unrealized gains</w:t>
            </w:r>
          </w:p>
        </w:tc>
        <w:tc>
          <w:tcPr>
            <w:tcW w:w="35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41"/>
        </w:trPr>
        <w:tc>
          <w:tcPr>
            <w:tcW w:w="49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4"/>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Gross unrealized losses</w:t>
            </w:r>
          </w:p>
        </w:tc>
        <w:tc>
          <w:tcPr>
            <w:tcW w:w="35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319"/>
        </w:trPr>
        <w:tc>
          <w:tcPr>
            <w:tcW w:w="4920" w:type="dxa"/>
            <w:vAlign w:val="bottom"/>
          </w:tcPr>
          <w:p>
            <w:pPr>
              <w:spacing w:after="0"/>
              <w:rPr>
                <w:sz w:val="20"/>
                <w:szCs w:val="20"/>
                <w:color w:val="auto"/>
              </w:rPr>
            </w:pPr>
            <w:r>
              <w:rPr>
                <w:rFonts w:ascii="Arial" w:cs="Arial" w:eastAsia="Arial" w:hAnsi="Arial"/>
                <w:sz w:val="20"/>
                <w:szCs w:val="20"/>
                <w:color w:val="auto"/>
              </w:rPr>
              <w:t>Aggregate fair value</w:t>
            </w:r>
          </w:p>
        </w:tc>
        <w:tc>
          <w:tcPr>
            <w:tcW w:w="3500" w:type="dxa"/>
            <w:vAlign w:val="bottom"/>
          </w:tcPr>
          <w:p>
            <w:pPr>
              <w:jc w:val="right"/>
              <w:ind w:right="563"/>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4872355</wp:posOffset>
            </wp:positionH>
            <wp:positionV relativeFrom="paragraph">
              <wp:posOffset>-1219200</wp:posOffset>
            </wp:positionV>
            <wp:extent cx="1095375" cy="63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6">
                      <a:extLst>
                        <a:ext uri="{28A0092B-C50C-407E-A947-70E740481C1C}"/>
                      </a:extLst>
                    </a:blip>
                    <a:srcRect/>
                    <a:stretch>
                      <a:fillRect/>
                    </a:stretch>
                  </pic:blipFill>
                  <pic:spPr bwMode="auto">
                    <a:xfrm>
                      <a:off x="0" y="0"/>
                      <a:ext cx="1095375" cy="6350"/>
                    </a:xfrm>
                    <a:prstGeom prst="rect">
                      <a:avLst/>
                    </a:prstGeom>
                    <a:noFill/>
                  </pic:spPr>
                </pic:pic>
              </a:graphicData>
            </a:graphic>
          </wp:anchor>
        </w:drawing>
        <w:drawing>
          <wp:anchor simplePos="0" relativeHeight="251657728" behindDoc="1" locked="0" layoutInCell="0" allowOverlap="1">
            <wp:simplePos x="0" y="0"/>
            <wp:positionH relativeFrom="column">
              <wp:posOffset>4872355</wp:posOffset>
            </wp:positionH>
            <wp:positionV relativeFrom="paragraph">
              <wp:posOffset>-813435</wp:posOffset>
            </wp:positionV>
            <wp:extent cx="1095375" cy="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7">
                      <a:extLst>
                        <a:ext uri="{28A0092B-C50C-407E-A947-70E740481C1C}"/>
                      </a:extLst>
                    </a:blip>
                    <a:srcRect/>
                    <a:stretch>
                      <a:fillRect/>
                    </a:stretch>
                  </pic:blipFill>
                  <pic:spPr bwMode="auto">
                    <a:xfrm>
                      <a:off x="0" y="0"/>
                      <a:ext cx="1095375" cy="6350"/>
                    </a:xfrm>
                    <a:prstGeom prst="rect">
                      <a:avLst/>
                    </a:prstGeom>
                    <a:noFill/>
                  </pic:spPr>
                </pic:pic>
              </a:graphicData>
            </a:graphic>
          </wp:anchor>
        </w:drawing>
        <w:drawing>
          <wp:anchor simplePos="0" relativeHeight="251657728" behindDoc="1" locked="0" layoutInCell="0" allowOverlap="1">
            <wp:simplePos x="0" y="0"/>
            <wp:positionH relativeFrom="column">
              <wp:posOffset>4872355</wp:posOffset>
            </wp:positionH>
            <wp:positionV relativeFrom="paragraph">
              <wp:posOffset>-208280</wp:posOffset>
            </wp:positionV>
            <wp:extent cx="1095375"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88">
                      <a:extLst>
                        <a:ext uri="{28A0092B-C50C-407E-A947-70E740481C1C}"/>
                      </a:extLst>
                    </a:blip>
                    <a:srcRect/>
                    <a:stretch>
                      <a:fillRect/>
                    </a:stretch>
                  </pic:blipFill>
                  <pic:spPr bwMode="auto">
                    <a:xfrm>
                      <a:off x="0" y="0"/>
                      <a:ext cx="1095375" cy="6350"/>
                    </a:xfrm>
                    <a:prstGeom prst="rect">
                      <a:avLst/>
                    </a:prstGeom>
                    <a:noFill/>
                  </pic:spPr>
                </pic:pic>
              </a:graphicData>
            </a:graphic>
          </wp:anchor>
        </w:drawing>
        <w:drawing>
          <wp:anchor simplePos="0" relativeHeight="251657728" behindDoc="1" locked="0" layoutInCell="0" allowOverlap="1">
            <wp:simplePos x="0" y="0"/>
            <wp:positionH relativeFrom="column">
              <wp:posOffset>4872355</wp:posOffset>
            </wp:positionH>
            <wp:positionV relativeFrom="paragraph">
              <wp:posOffset>-1905</wp:posOffset>
            </wp:positionV>
            <wp:extent cx="1095375" cy="285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89">
                      <a:extLst>
                        <a:ext uri="{28A0092B-C50C-407E-A947-70E740481C1C}"/>
                      </a:extLst>
                    </a:blip>
                    <a:srcRect/>
                    <a:stretch>
                      <a:fillRect/>
                    </a:stretch>
                  </pic:blipFill>
                  <pic:spPr bwMode="auto">
                    <a:xfrm>
                      <a:off x="0" y="0"/>
                      <a:ext cx="1095375" cy="28575"/>
                    </a:xfrm>
                    <a:prstGeom prst="rect">
                      <a:avLst/>
                    </a:prstGeom>
                    <a:noFill/>
                  </pic:spPr>
                </pic:pic>
              </a:graphicData>
            </a:graphic>
          </wp:anchor>
        </w:drawing>
      </w:r>
    </w:p>
    <w:p>
      <w:pPr>
        <w:spacing w:after="0" w:line="23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Non-recurring Fair Value Measurement</w:t>
      </w:r>
    </w:p>
    <w:p>
      <w:pPr>
        <w:spacing w:after="0" w:line="260" w:lineRule="exact"/>
        <w:rPr>
          <w:sz w:val="20"/>
          <w:szCs w:val="20"/>
          <w:color w:val="auto"/>
        </w:rPr>
      </w:pPr>
    </w:p>
    <w:p>
      <w:pPr>
        <w:ind w:left="6" w:right="160"/>
        <w:spacing w:after="0" w:line="329" w:lineRule="auto"/>
        <w:rPr>
          <w:sz w:val="20"/>
          <w:szCs w:val="20"/>
          <w:color w:val="auto"/>
        </w:rPr>
      </w:pPr>
      <w:r>
        <w:rPr>
          <w:rFonts w:ascii="Arial" w:cs="Arial" w:eastAsia="Arial" w:hAnsi="Arial"/>
          <w:sz w:val="19"/>
          <w:szCs w:val="19"/>
          <w:color w:val="auto"/>
        </w:rPr>
        <w:t>The Company has assets that may be required to be recorded at fair value on a non-recurring basis. These assets are evaluated when certain triggering events occur (including the planned disposal of a business or a decrease in estimated future cash flows) that indicate their carrying amounts may not be recoverable. During the year ended December 31, 2024, the Company recorded goodwill impairment charges of $1.0</w:t>
      </w:r>
    </w:p>
    <w:p>
      <w:pPr>
        <w:spacing w:after="0" w:line="2" w:lineRule="exact"/>
        <w:rPr>
          <w:sz w:val="20"/>
          <w:szCs w:val="20"/>
          <w:color w:val="auto"/>
        </w:rPr>
      </w:pPr>
    </w:p>
    <w:p>
      <w:pPr>
        <w:ind w:left="6" w:right="20"/>
        <w:spacing w:after="0" w:line="307" w:lineRule="auto"/>
        <w:rPr>
          <w:sz w:val="20"/>
          <w:szCs w:val="20"/>
          <w:color w:val="auto"/>
        </w:rPr>
      </w:pPr>
      <w:r>
        <w:rPr>
          <w:rFonts w:ascii="Arial" w:cs="Arial" w:eastAsia="Arial" w:hAnsi="Arial"/>
          <w:sz w:val="20"/>
          <w:szCs w:val="20"/>
          <w:color w:val="auto"/>
        </w:rPr>
        <w:t>billion on its BDO reporting unit in connection with the sale of TRANZACT (see Note 3 — Acquisitions and Divestitures). The fair value of the reporting unit was determined in part using discounted future cash flows, which is a Level 3 valuation technique.</w:t>
      </w:r>
    </w:p>
    <w:p>
      <w:pPr>
        <w:spacing w:after="0" w:line="18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Fair Value Information about Financial Instruments Not Measured at Fair Value</w:t>
      </w:r>
    </w:p>
    <w:p>
      <w:pPr>
        <w:spacing w:after="0" w:line="260" w:lineRule="exact"/>
        <w:rPr>
          <w:sz w:val="20"/>
          <w:szCs w:val="20"/>
          <w:color w:val="auto"/>
        </w:rPr>
      </w:pPr>
    </w:p>
    <w:p>
      <w:pPr>
        <w:ind w:left="6" w:right="40"/>
        <w:spacing w:after="0" w:line="302" w:lineRule="auto"/>
        <w:rPr>
          <w:sz w:val="20"/>
          <w:szCs w:val="20"/>
          <w:color w:val="auto"/>
        </w:rPr>
      </w:pPr>
      <w:r>
        <w:rPr>
          <w:rFonts w:ascii="Arial" w:cs="Arial" w:eastAsia="Arial" w:hAnsi="Arial"/>
          <w:sz w:val="20"/>
          <w:szCs w:val="20"/>
          <w:color w:val="auto"/>
        </w:rPr>
        <w:t>The following tables present our assets and liabilities not measured at fair value on a recurring basis at December 31, 2025 and 2024:</w:t>
      </w:r>
    </w:p>
    <w:p>
      <w:pPr>
        <w:spacing w:after="0" w:line="373" w:lineRule="exact"/>
        <w:rPr>
          <w:sz w:val="20"/>
          <w:szCs w:val="20"/>
          <w:color w:val="auto"/>
        </w:rPr>
      </w:pPr>
    </w:p>
    <w:p>
      <w:pPr>
        <w:ind w:left="5086"/>
        <w:spacing w:after="0"/>
        <w:tabs>
          <w:tab w:leader="none" w:pos="7466" w:val="left"/>
        </w:tabs>
        <w:rPr>
          <w:sz w:val="20"/>
          <w:szCs w:val="20"/>
          <w:color w:val="auto"/>
        </w:rPr>
      </w:pPr>
      <w:r>
        <w:rPr>
          <w:rFonts w:ascii="Arial" w:cs="Arial" w:eastAsia="Arial" w:hAnsi="Arial"/>
          <w:sz w:val="18"/>
          <w:szCs w:val="18"/>
          <w:b w:val="1"/>
          <w:bCs w:val="1"/>
          <w:color w:val="auto"/>
        </w:rPr>
        <w:t>December 31, 2025</w:t>
      </w:r>
      <w:r>
        <w:rPr>
          <w:sz w:val="20"/>
          <w:szCs w:val="20"/>
          <w:color w:val="auto"/>
        </w:rPr>
        <w:tab/>
      </w:r>
      <w:r>
        <w:rPr>
          <w:rFonts w:ascii="Arial" w:cs="Arial" w:eastAsia="Arial" w:hAnsi="Arial"/>
          <w:sz w:val="16"/>
          <w:szCs w:val="16"/>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22860</wp:posOffset>
            </wp:positionV>
            <wp:extent cx="2955925"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0">
                      <a:extLst>
                        <a:ext uri="{28A0092B-C50C-407E-A947-70E740481C1C}"/>
                      </a:extLst>
                    </a:blip>
                    <a:srcRect/>
                    <a:stretch>
                      <a:fillRect/>
                    </a:stretch>
                  </pic:blipFill>
                  <pic:spPr bwMode="auto">
                    <a:xfrm>
                      <a:off x="0" y="0"/>
                      <a:ext cx="2955925" cy="6350"/>
                    </a:xfrm>
                    <a:prstGeom prst="rect">
                      <a:avLst/>
                    </a:prstGeom>
                    <a:noFill/>
                  </pic:spPr>
                </pic:pic>
              </a:graphicData>
            </a:graphic>
          </wp:anchor>
        </w:drawing>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17 / 21</w:t>
      </w:r>
    </w:p>
    <w:p>
      <w:pPr>
        <w:sectPr>
          <w:pgSz w:w="11900" w:h="16838" w:orient="portrait"/>
          <w:cols w:equalWidth="0" w:num="1">
            <w:col w:w="9406"/>
          </w:cols>
          <w:pgMar w:left="1254" w:top="1440" w:right="1246" w:bottom="0" w:gutter="0" w:footer="0" w:header="0"/>
          <w:type w:val="continuous"/>
        </w:sectPr>
      </w:pPr>
    </w:p>
    <w:bookmarkStart w:id="217" w:name="page218"/>
    <w:bookmarkEnd w:id="217"/>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jc w:val="right"/>
              <w:ind w:right="163"/>
              <w:spacing w:after="0"/>
              <w:rPr>
                <w:sz w:val="20"/>
                <w:szCs w:val="20"/>
                <w:color w:val="auto"/>
              </w:rPr>
            </w:pPr>
            <w:r>
              <w:rPr>
                <w:rFonts w:ascii="Arial" w:cs="Arial" w:eastAsia="Arial" w:hAnsi="Arial"/>
                <w:sz w:val="18"/>
                <w:szCs w:val="18"/>
                <w:b w:val="1"/>
                <w:bCs w:val="1"/>
                <w:color w:val="auto"/>
                <w:w w:val="94"/>
              </w:rPr>
              <w:t>Carrying</w:t>
            </w:r>
          </w:p>
        </w:tc>
        <w:tc>
          <w:tcPr>
            <w:tcW w:w="300" w:type="dxa"/>
            <w:vAlign w:val="bottom"/>
          </w:tcPr>
          <w:p>
            <w:pPr>
              <w:spacing w:after="0"/>
              <w:rPr>
                <w:sz w:val="17"/>
                <w:szCs w:val="17"/>
                <w:color w:val="auto"/>
              </w:rPr>
            </w:pPr>
          </w:p>
        </w:tc>
        <w:tc>
          <w:tcPr>
            <w:tcW w:w="900" w:type="dxa"/>
            <w:vAlign w:val="bottom"/>
          </w:tcPr>
          <w:p>
            <w:pPr>
              <w:jc w:val="right"/>
              <w:ind w:right="363"/>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980" w:type="dxa"/>
            <w:vAlign w:val="bottom"/>
          </w:tcPr>
          <w:p>
            <w:pPr>
              <w:jc w:val="right"/>
              <w:ind w:right="183"/>
              <w:spacing w:after="0"/>
              <w:rPr>
                <w:sz w:val="20"/>
                <w:szCs w:val="20"/>
                <w:color w:val="auto"/>
              </w:rPr>
            </w:pPr>
            <w:r>
              <w:rPr>
                <w:rFonts w:ascii="Arial" w:cs="Arial" w:eastAsia="Arial" w:hAnsi="Arial"/>
                <w:sz w:val="18"/>
                <w:szCs w:val="18"/>
                <w:b w:val="1"/>
                <w:bCs w:val="1"/>
                <w:color w:val="auto"/>
                <w:w w:val="91"/>
              </w:rPr>
              <w:t>Carrying</w:t>
            </w:r>
          </w:p>
        </w:tc>
        <w:tc>
          <w:tcPr>
            <w:tcW w:w="280" w:type="dxa"/>
            <w:vAlign w:val="bottom"/>
          </w:tcPr>
          <w:p>
            <w:pPr>
              <w:spacing w:after="0"/>
              <w:rPr>
                <w:sz w:val="17"/>
                <w:szCs w:val="17"/>
                <w:color w:val="auto"/>
              </w:rPr>
            </w:pPr>
          </w:p>
        </w:tc>
        <w:tc>
          <w:tcPr>
            <w:tcW w:w="900" w:type="dxa"/>
            <w:vAlign w:val="bottom"/>
          </w:tcPr>
          <w:p>
            <w:pPr>
              <w:jc w:val="right"/>
              <w:ind w:right="363"/>
              <w:spacing w:after="0"/>
              <w:rPr>
                <w:sz w:val="20"/>
                <w:szCs w:val="20"/>
                <w:color w:val="auto"/>
              </w:rPr>
            </w:pPr>
            <w:r>
              <w:rPr>
                <w:rFonts w:ascii="Arial" w:cs="Arial" w:eastAsia="Arial" w:hAnsi="Arial"/>
                <w:sz w:val="18"/>
                <w:szCs w:val="18"/>
                <w:b w:val="1"/>
                <w:bCs w:val="1"/>
                <w:color w:val="auto"/>
              </w:rPr>
              <w:t>Fair</w:t>
            </w:r>
          </w:p>
        </w:tc>
      </w:tr>
      <w:tr>
        <w:trPr>
          <w:trHeight w:val="270"/>
        </w:trPr>
        <w:tc>
          <w:tcPr>
            <w:tcW w:w="38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80" w:type="dxa"/>
            <w:vAlign w:val="bottom"/>
          </w:tcPr>
          <w:p>
            <w:pPr>
              <w:jc w:val="right"/>
              <w:ind w:right="283"/>
              <w:spacing w:after="0"/>
              <w:rPr>
                <w:sz w:val="20"/>
                <w:szCs w:val="20"/>
                <w:color w:val="auto"/>
              </w:rPr>
            </w:pPr>
            <w:r>
              <w:rPr>
                <w:rFonts w:ascii="Arial" w:cs="Arial" w:eastAsia="Arial" w:hAnsi="Arial"/>
                <w:sz w:val="18"/>
                <w:szCs w:val="18"/>
                <w:b w:val="1"/>
                <w:bCs w:val="1"/>
                <w:color w:val="auto"/>
              </w:rPr>
              <w:t>Value</w:t>
            </w:r>
          </w:p>
        </w:tc>
        <w:tc>
          <w:tcPr>
            <w:tcW w:w="300" w:type="dxa"/>
            <w:vAlign w:val="bottom"/>
          </w:tcPr>
          <w:p>
            <w:pPr>
              <w:spacing w:after="0"/>
              <w:rPr>
                <w:sz w:val="23"/>
                <w:szCs w:val="23"/>
                <w:color w:val="auto"/>
              </w:rPr>
            </w:pPr>
          </w:p>
        </w:tc>
        <w:tc>
          <w:tcPr>
            <w:tcW w:w="900" w:type="dxa"/>
            <w:vAlign w:val="bottom"/>
          </w:tcPr>
          <w:p>
            <w:pPr>
              <w:jc w:val="right"/>
              <w:ind w:right="283"/>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3"/>
                <w:szCs w:val="23"/>
                <w:color w:val="auto"/>
              </w:rPr>
            </w:pPr>
          </w:p>
        </w:tc>
        <w:tc>
          <w:tcPr>
            <w:tcW w:w="980" w:type="dxa"/>
            <w:vAlign w:val="bottom"/>
          </w:tcPr>
          <w:p>
            <w:pPr>
              <w:jc w:val="right"/>
              <w:ind w:right="283"/>
              <w:spacing w:after="0"/>
              <w:rPr>
                <w:sz w:val="20"/>
                <w:szCs w:val="20"/>
                <w:color w:val="auto"/>
              </w:rPr>
            </w:pPr>
            <w:r>
              <w:rPr>
                <w:rFonts w:ascii="Arial" w:cs="Arial" w:eastAsia="Arial" w:hAnsi="Arial"/>
                <w:sz w:val="18"/>
                <w:szCs w:val="18"/>
                <w:b w:val="1"/>
                <w:bCs w:val="1"/>
                <w:color w:val="auto"/>
              </w:rPr>
              <w:t>Value</w:t>
            </w:r>
          </w:p>
        </w:tc>
        <w:tc>
          <w:tcPr>
            <w:tcW w:w="280" w:type="dxa"/>
            <w:vAlign w:val="bottom"/>
          </w:tcPr>
          <w:p>
            <w:pPr>
              <w:spacing w:after="0"/>
              <w:rPr>
                <w:sz w:val="23"/>
                <w:szCs w:val="23"/>
                <w:color w:val="auto"/>
              </w:rPr>
            </w:pPr>
          </w:p>
        </w:tc>
        <w:tc>
          <w:tcPr>
            <w:tcW w:w="900" w:type="dxa"/>
            <w:vAlign w:val="bottom"/>
          </w:tcPr>
          <w:p>
            <w:pPr>
              <w:jc w:val="right"/>
              <w:ind w:right="263"/>
              <w:spacing w:after="0"/>
              <w:rPr>
                <w:sz w:val="20"/>
                <w:szCs w:val="20"/>
                <w:color w:val="auto"/>
              </w:rPr>
            </w:pPr>
            <w:r>
              <w:rPr>
                <w:rFonts w:ascii="Arial" w:cs="Arial" w:eastAsia="Arial" w:hAnsi="Arial"/>
                <w:sz w:val="18"/>
                <w:szCs w:val="18"/>
                <w:b w:val="1"/>
                <w:bCs w:val="1"/>
                <w:color w:val="auto"/>
              </w:rPr>
              <w:t>Value</w:t>
            </w:r>
          </w:p>
        </w:tc>
      </w:tr>
      <w:tr>
        <w:trPr>
          <w:trHeight w:val="46"/>
        </w:trPr>
        <w:tc>
          <w:tcPr>
            <w:tcW w:w="3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94"/>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Assets:</w:t>
            </w:r>
          </w:p>
        </w:tc>
        <w:tc>
          <w:tcPr>
            <w:tcW w:w="10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r>
      <w:tr>
        <w:trPr>
          <w:trHeight w:val="314"/>
        </w:trPr>
        <w:tc>
          <w:tcPr>
            <w:tcW w:w="3820" w:type="dxa"/>
            <w:vAlign w:val="bottom"/>
          </w:tcPr>
          <w:p>
            <w:pPr>
              <w:ind w:left="80"/>
              <w:spacing w:after="0"/>
              <w:rPr>
                <w:sz w:val="20"/>
                <w:szCs w:val="20"/>
                <w:color w:val="auto"/>
              </w:rPr>
            </w:pPr>
            <w:r>
              <w:rPr>
                <w:rFonts w:ascii="Arial" w:cs="Arial" w:eastAsia="Arial" w:hAnsi="Arial"/>
                <w:sz w:val="20"/>
                <w:szCs w:val="20"/>
                <w:color w:val="auto"/>
              </w:rPr>
              <w:t xml:space="preserve">Note receivable </w:t>
            </w:r>
            <w:r>
              <w:rPr>
                <w:rFonts w:ascii="Arial" w:cs="Arial" w:eastAsia="Arial" w:hAnsi="Arial"/>
                <w:sz w:val="26"/>
                <w:szCs w:val="26"/>
                <w:color w:val="auto"/>
                <w:vertAlign w:val="superscript"/>
              </w:rPr>
              <w:t>(i)</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3"/>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3"/>
              <w:spacing w:after="0"/>
              <w:rPr>
                <w:sz w:val="20"/>
                <w:szCs w:val="20"/>
                <w:color w:val="auto"/>
              </w:rPr>
            </w:pPr>
            <w:r>
              <w:rPr>
                <w:rFonts w:ascii="Arial" w:cs="Arial" w:eastAsia="Arial" w:hAnsi="Arial"/>
                <w:sz w:val="20"/>
                <w:szCs w:val="20"/>
                <w:color w:val="auto"/>
              </w:rPr>
              <w:t>74</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3"/>
              <w:spacing w:after="0"/>
              <w:rPr>
                <w:sz w:val="20"/>
                <w:szCs w:val="20"/>
                <w:color w:val="auto"/>
              </w:rPr>
            </w:pPr>
            <w:r>
              <w:rPr>
                <w:rFonts w:ascii="Arial" w:cs="Arial" w:eastAsia="Arial" w:hAnsi="Arial"/>
                <w:sz w:val="20"/>
                <w:szCs w:val="20"/>
                <w:color w:val="auto"/>
              </w:rPr>
              <w:t>70</w:t>
            </w:r>
          </w:p>
        </w:tc>
      </w:tr>
      <w:tr>
        <w:trPr>
          <w:trHeight w:val="294"/>
        </w:trPr>
        <w:tc>
          <w:tcPr>
            <w:tcW w:w="38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Held-to-maturity securities:</w:t>
            </w:r>
          </w:p>
        </w:tc>
        <w:tc>
          <w:tcPr>
            <w:tcW w:w="10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r>
      <w:tr>
        <w:trPr>
          <w:trHeight w:val="274"/>
        </w:trPr>
        <w:tc>
          <w:tcPr>
            <w:tcW w:w="3820" w:type="dxa"/>
            <w:vAlign w:val="bottom"/>
          </w:tcPr>
          <w:p>
            <w:pPr>
              <w:ind w:left="120"/>
              <w:spacing w:after="0"/>
              <w:rPr>
                <w:sz w:val="20"/>
                <w:szCs w:val="20"/>
                <w:color w:val="auto"/>
              </w:rPr>
            </w:pPr>
            <w:r>
              <w:rPr>
                <w:rFonts w:ascii="Arial" w:cs="Arial" w:eastAsia="Arial" w:hAnsi="Arial"/>
                <w:sz w:val="20"/>
                <w:szCs w:val="20"/>
                <w:color w:val="auto"/>
              </w:rPr>
              <w:t>Due in one year or less</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3"/>
              <w:spacing w:after="0"/>
              <w:rPr>
                <w:sz w:val="20"/>
                <w:szCs w:val="20"/>
                <w:color w:val="auto"/>
              </w:rPr>
            </w:pPr>
            <w:r>
              <w:rPr>
                <w:rFonts w:ascii="Arial" w:cs="Arial" w:eastAsia="Arial" w:hAnsi="Arial"/>
                <w:sz w:val="20"/>
                <w:szCs w:val="20"/>
                <w:color w:val="auto"/>
              </w:rPr>
              <w:t>8</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3"/>
              <w:spacing w:after="0"/>
              <w:rPr>
                <w:sz w:val="20"/>
                <w:szCs w:val="20"/>
                <w:color w:val="auto"/>
              </w:rPr>
            </w:pPr>
            <w:r>
              <w:rPr>
                <w:rFonts w:ascii="Arial" w:cs="Arial" w:eastAsia="Arial" w:hAnsi="Arial"/>
                <w:sz w:val="20"/>
                <w:szCs w:val="20"/>
                <w:color w:val="auto"/>
              </w:rPr>
              <w:t>8</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3"/>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3"/>
              <w:spacing w:after="0"/>
              <w:rPr>
                <w:sz w:val="20"/>
                <w:szCs w:val="20"/>
                <w:color w:val="auto"/>
              </w:rPr>
            </w:pPr>
            <w:r>
              <w:rPr>
                <w:rFonts w:ascii="Arial" w:cs="Arial" w:eastAsia="Arial" w:hAnsi="Arial"/>
                <w:sz w:val="20"/>
                <w:szCs w:val="20"/>
                <w:color w:val="auto"/>
              </w:rPr>
              <w:t>—</w:t>
            </w:r>
          </w:p>
        </w:tc>
      </w:tr>
      <w:tr>
        <w:trPr>
          <w:trHeight w:val="41"/>
        </w:trPr>
        <w:tc>
          <w:tcPr>
            <w:tcW w:w="3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4"/>
        </w:trPr>
        <w:tc>
          <w:tcPr>
            <w:tcW w:w="38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Due in one year through five years</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42</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42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w:t>
            </w:r>
          </w:p>
        </w:tc>
      </w:tr>
      <w:tr>
        <w:trPr>
          <w:trHeight w:val="274"/>
        </w:trPr>
        <w:tc>
          <w:tcPr>
            <w:tcW w:w="3820" w:type="dxa"/>
            <w:vAlign w:val="bottom"/>
          </w:tcPr>
          <w:p>
            <w:pPr>
              <w:ind w:left="120"/>
              <w:spacing w:after="0"/>
              <w:rPr>
                <w:sz w:val="20"/>
                <w:szCs w:val="20"/>
                <w:color w:val="auto"/>
              </w:rPr>
            </w:pPr>
            <w:r>
              <w:rPr>
                <w:rFonts w:ascii="Arial" w:cs="Arial" w:eastAsia="Arial" w:hAnsi="Arial"/>
                <w:sz w:val="20"/>
                <w:szCs w:val="20"/>
                <w:color w:val="auto"/>
              </w:rPr>
              <w:t>Due in greater than five years</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3"/>
              <w:spacing w:after="0"/>
              <w:rPr>
                <w:sz w:val="20"/>
                <w:szCs w:val="20"/>
                <w:color w:val="auto"/>
              </w:rPr>
            </w:pPr>
            <w:r>
              <w:rPr>
                <w:rFonts w:ascii="Arial" w:cs="Arial" w:eastAsia="Arial" w:hAnsi="Arial"/>
                <w:sz w:val="20"/>
                <w:szCs w:val="20"/>
                <w:color w:val="auto"/>
              </w:rPr>
              <w:t>1</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3"/>
              <w:spacing w:after="0"/>
              <w:rPr>
                <w:sz w:val="20"/>
                <w:szCs w:val="20"/>
                <w:color w:val="auto"/>
              </w:rPr>
            </w:pPr>
            <w:r>
              <w:rPr>
                <w:rFonts w:ascii="Arial" w:cs="Arial" w:eastAsia="Arial" w:hAnsi="Arial"/>
                <w:sz w:val="20"/>
                <w:szCs w:val="20"/>
                <w:color w:val="auto"/>
              </w:rPr>
              <w:t>1</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3"/>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3"/>
              <w:spacing w:after="0"/>
              <w:rPr>
                <w:sz w:val="20"/>
                <w:szCs w:val="20"/>
                <w:color w:val="auto"/>
              </w:rPr>
            </w:pPr>
            <w:r>
              <w:rPr>
                <w:rFonts w:ascii="Arial" w:cs="Arial" w:eastAsia="Arial" w:hAnsi="Arial"/>
                <w:sz w:val="20"/>
                <w:szCs w:val="20"/>
                <w:color w:val="auto"/>
              </w:rPr>
              <w:t>—</w:t>
            </w:r>
          </w:p>
        </w:tc>
      </w:tr>
      <w:tr>
        <w:trPr>
          <w:trHeight w:val="41"/>
        </w:trPr>
        <w:tc>
          <w:tcPr>
            <w:tcW w:w="3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4"/>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Liabilities:</w:t>
            </w:r>
          </w:p>
        </w:tc>
        <w:tc>
          <w:tcPr>
            <w:tcW w:w="10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r>
      <w:tr>
        <w:trPr>
          <w:trHeight w:val="274"/>
        </w:trPr>
        <w:tc>
          <w:tcPr>
            <w:tcW w:w="3820" w:type="dxa"/>
            <w:vAlign w:val="bottom"/>
          </w:tcPr>
          <w:p>
            <w:pPr>
              <w:ind w:left="80"/>
              <w:spacing w:after="0"/>
              <w:rPr>
                <w:sz w:val="20"/>
                <w:szCs w:val="20"/>
                <w:color w:val="auto"/>
              </w:rPr>
            </w:pPr>
            <w:r>
              <w:rPr>
                <w:rFonts w:ascii="Arial" w:cs="Arial" w:eastAsia="Arial" w:hAnsi="Arial"/>
                <w:sz w:val="20"/>
                <w:szCs w:val="20"/>
                <w:color w:val="auto"/>
              </w:rPr>
              <w:t>Current debt</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3"/>
              <w:spacing w:after="0"/>
              <w:rPr>
                <w:sz w:val="20"/>
                <w:szCs w:val="20"/>
                <w:color w:val="auto"/>
              </w:rPr>
            </w:pPr>
            <w:r>
              <w:rPr>
                <w:rFonts w:ascii="Arial" w:cs="Arial" w:eastAsia="Arial" w:hAnsi="Arial"/>
                <w:sz w:val="20"/>
                <w:szCs w:val="20"/>
                <w:color w:val="auto"/>
              </w:rPr>
              <w:t>550</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3"/>
              <w:spacing w:after="0"/>
              <w:rPr>
                <w:sz w:val="20"/>
                <w:szCs w:val="20"/>
                <w:color w:val="auto"/>
              </w:rPr>
            </w:pPr>
            <w:r>
              <w:rPr>
                <w:rFonts w:ascii="Arial" w:cs="Arial" w:eastAsia="Arial" w:hAnsi="Arial"/>
                <w:sz w:val="20"/>
                <w:szCs w:val="20"/>
                <w:color w:val="auto"/>
              </w:rPr>
              <w:t>550</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3"/>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3"/>
              <w:spacing w:after="0"/>
              <w:rPr>
                <w:sz w:val="20"/>
                <w:szCs w:val="20"/>
                <w:color w:val="auto"/>
              </w:rPr>
            </w:pPr>
            <w:r>
              <w:rPr>
                <w:rFonts w:ascii="Arial" w:cs="Arial" w:eastAsia="Arial" w:hAnsi="Arial"/>
                <w:sz w:val="20"/>
                <w:szCs w:val="20"/>
                <w:color w:val="auto"/>
              </w:rPr>
              <w:t>—</w:t>
            </w:r>
          </w:p>
        </w:tc>
      </w:tr>
      <w:tr>
        <w:trPr>
          <w:trHeight w:val="41"/>
        </w:trPr>
        <w:tc>
          <w:tcPr>
            <w:tcW w:w="3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74"/>
        </w:trPr>
        <w:tc>
          <w:tcPr>
            <w:tcW w:w="3820" w:type="dxa"/>
            <w:vAlign w:val="bottom"/>
            <w:shd w:val="clear" w:color="auto" w:fill="CFF0FC"/>
          </w:tcPr>
          <w:p>
            <w:pPr>
              <w:ind w:left="80"/>
              <w:spacing w:after="0"/>
              <w:rPr>
                <w:sz w:val="20"/>
                <w:szCs w:val="20"/>
                <w:color w:val="auto"/>
              </w:rPr>
            </w:pPr>
            <w:r>
              <w:rPr>
                <w:rFonts w:ascii="Arial" w:cs="Arial" w:eastAsia="Arial" w:hAnsi="Arial"/>
                <w:sz w:val="20"/>
                <w:szCs w:val="20"/>
                <w:color w:val="auto"/>
              </w:rPr>
              <w:t>Long-term debt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ind w:right="3"/>
              <w:spacing w:after="0"/>
              <w:rPr>
                <w:sz w:val="20"/>
                <w:szCs w:val="20"/>
                <w:color w:val="auto"/>
              </w:rPr>
            </w:pPr>
            <w:r>
              <w:rPr>
                <w:rFonts w:ascii="Arial" w:cs="Arial" w:eastAsia="Arial" w:hAnsi="Arial"/>
                <w:sz w:val="20"/>
                <w:szCs w:val="20"/>
                <w:color w:val="auto"/>
              </w:rPr>
              <w:t>5,756</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23"/>
              <w:spacing w:after="0"/>
              <w:rPr>
                <w:sz w:val="20"/>
                <w:szCs w:val="20"/>
                <w:color w:val="auto"/>
              </w:rPr>
            </w:pPr>
            <w:r>
              <w:rPr>
                <w:rFonts w:ascii="Arial" w:cs="Arial" w:eastAsia="Arial" w:hAnsi="Arial"/>
                <w:sz w:val="20"/>
                <w:szCs w:val="20"/>
                <w:color w:val="auto"/>
              </w:rPr>
              <w:t>5,618</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ind w:right="23"/>
              <w:spacing w:after="0"/>
              <w:rPr>
                <w:sz w:val="20"/>
                <w:szCs w:val="20"/>
                <w:color w:val="auto"/>
              </w:rPr>
            </w:pPr>
            <w:r>
              <w:rPr>
                <w:rFonts w:ascii="Arial" w:cs="Arial" w:eastAsia="Arial" w:hAnsi="Arial"/>
                <w:sz w:val="20"/>
                <w:szCs w:val="20"/>
                <w:color w:val="auto"/>
              </w:rPr>
              <w:t>5,309</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23"/>
              <w:spacing w:after="0"/>
              <w:rPr>
                <w:sz w:val="20"/>
                <w:szCs w:val="20"/>
                <w:color w:val="auto"/>
              </w:rPr>
            </w:pPr>
            <w:r>
              <w:rPr>
                <w:rFonts w:ascii="Arial" w:cs="Arial" w:eastAsia="Arial" w:hAnsi="Arial"/>
                <w:sz w:val="20"/>
                <w:szCs w:val="20"/>
                <w:color w:val="auto"/>
              </w:rPr>
              <w:t>5,052</w:t>
            </w:r>
          </w:p>
        </w:tc>
      </w:tr>
      <w:tr>
        <w:trPr>
          <w:trHeight w:val="41"/>
        </w:trPr>
        <w:tc>
          <w:tcPr>
            <w:tcW w:w="382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8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-1802765</wp:posOffset>
            </wp:positionV>
            <wp:extent cx="2955925" cy="6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1">
                      <a:extLst>
                        <a:ext uri="{28A0092B-C50C-407E-A947-70E740481C1C}"/>
                      </a:extLst>
                    </a:blip>
                    <a:srcRect/>
                    <a:stretch>
                      <a:fillRect/>
                    </a:stretch>
                  </pic:blipFill>
                  <pic:spPr bwMode="auto">
                    <a:xfrm>
                      <a:off x="0" y="0"/>
                      <a:ext cx="295592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wp:posOffset>
            </wp:positionV>
            <wp:extent cx="795655"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2">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 The note receivable was settled with the Company on April 30, 2025.</w:t>
      </w:r>
    </w:p>
    <w:p>
      <w:pPr>
        <w:spacing w:after="0" w:line="388" w:lineRule="exact"/>
        <w:rPr>
          <w:sz w:val="20"/>
          <w:szCs w:val="20"/>
          <w:color w:val="auto"/>
        </w:rPr>
      </w:pPr>
    </w:p>
    <w:p>
      <w:pPr>
        <w:jc w:val="both"/>
        <w:ind w:right="120"/>
        <w:spacing w:after="0" w:line="309" w:lineRule="auto"/>
        <w:rPr>
          <w:sz w:val="20"/>
          <w:szCs w:val="20"/>
          <w:color w:val="auto"/>
        </w:rPr>
      </w:pPr>
      <w:r>
        <w:rPr>
          <w:rFonts w:ascii="Arial" w:cs="Arial" w:eastAsia="Arial" w:hAnsi="Arial"/>
          <w:sz w:val="20"/>
          <w:szCs w:val="20"/>
          <w:color w:val="auto"/>
        </w:rPr>
        <w:t>The carrying value of our revolving credit facility approximates its fair value. The fair values above, which exclude accrued interest, are not necessarily indicative of the amounts that the Company would realize upon disposition, nor do they indicate the Company’s intent or ability to dispose of the financial instruments. The fair values of our held-to-maturity securities are considered Level 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21</w:t>
      </w:r>
    </w:p>
    <w:p>
      <w:pPr>
        <w:sectPr>
          <w:pgSz w:w="11900" w:h="16838" w:orient="portrait"/>
          <w:cols w:equalWidth="0" w:num="1">
            <w:col w:w="9400"/>
          </w:cols>
          <w:pgMar w:left="1260" w:top="1175" w:right="1246" w:bottom="0" w:gutter="0" w:footer="0" w:header="0"/>
          <w:type w:val="continuous"/>
        </w:sectPr>
      </w:pPr>
    </w:p>
    <w:bookmarkStart w:id="218" w:name="page219"/>
    <w:bookmarkEnd w:id="218"/>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120"/>
        <w:spacing w:after="0" w:line="307" w:lineRule="auto"/>
        <w:rPr>
          <w:sz w:val="20"/>
          <w:szCs w:val="20"/>
          <w:color w:val="auto"/>
        </w:rPr>
      </w:pPr>
      <w:r>
        <w:rPr>
          <w:rFonts w:ascii="Arial" w:cs="Arial" w:eastAsia="Arial" w:hAnsi="Arial"/>
          <w:sz w:val="20"/>
          <w:szCs w:val="20"/>
          <w:color w:val="auto"/>
        </w:rPr>
        <w:t>financial instruments as they are based on quoted market prices in active markets. The fair values of our respective senior notes and short-term note receivable are considered Level 2 financial instruments as they are corroborated by observable market data.</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 Retirement Benefits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Benefit Plans</w:t>
      </w:r>
    </w:p>
    <w:p>
      <w:pPr>
        <w:spacing w:after="0" w:line="260" w:lineRule="exact"/>
        <w:rPr>
          <w:sz w:val="20"/>
          <w:szCs w:val="20"/>
          <w:color w:val="auto"/>
        </w:rPr>
      </w:pPr>
    </w:p>
    <w:p>
      <w:pPr>
        <w:spacing w:after="0" w:line="352" w:lineRule="auto"/>
        <w:rPr>
          <w:sz w:val="20"/>
          <w:szCs w:val="20"/>
          <w:color w:val="auto"/>
        </w:rPr>
      </w:pPr>
      <w:r>
        <w:rPr>
          <w:rFonts w:ascii="Arial" w:cs="Arial" w:eastAsia="Arial" w:hAnsi="Arial"/>
          <w:sz w:val="18"/>
          <w:szCs w:val="18"/>
          <w:color w:val="auto"/>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presented herein.</w:t>
      </w:r>
    </w:p>
    <w:p>
      <w:pPr>
        <w:spacing w:after="0" w:line="166" w:lineRule="exact"/>
        <w:rPr>
          <w:sz w:val="20"/>
          <w:szCs w:val="20"/>
          <w:color w:val="auto"/>
        </w:rPr>
      </w:pPr>
    </w:p>
    <w:p>
      <w:pPr>
        <w:ind w:right="240"/>
        <w:spacing w:after="0" w:line="307" w:lineRule="auto"/>
        <w:rPr>
          <w:sz w:val="20"/>
          <w:szCs w:val="20"/>
          <w:color w:val="auto"/>
        </w:rPr>
      </w:pPr>
      <w:r>
        <w:rPr>
          <w:rFonts w:ascii="Arial" w:cs="Arial" w:eastAsia="Arial" w:hAnsi="Arial"/>
          <w:sz w:val="20"/>
          <w:szCs w:val="20"/>
          <w:color w:val="auto"/>
        </w:rPr>
        <w:t>As part of these obligations, in the U.S., the U.K. and Canada, we have non-qualified plans that provide for the additional pension benefits that would be covered under the qualified plan in the respective country were it not for statutory maximums. The non-qualified plans are unfunded.</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The significant plans within each grouping are described below:</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20"/>
          <w:szCs w:val="20"/>
          <w:i w:val="1"/>
          <w:iCs w:val="1"/>
          <w:color w:val="auto"/>
        </w:rPr>
        <w:t>United States</w:t>
      </w:r>
    </w:p>
    <w:p>
      <w:pPr>
        <w:spacing w:after="0" w:line="260" w:lineRule="exact"/>
        <w:rPr>
          <w:sz w:val="20"/>
          <w:szCs w:val="20"/>
          <w:color w:val="auto"/>
        </w:rPr>
      </w:pPr>
    </w:p>
    <w:p>
      <w:pPr>
        <w:ind w:left="620" w:right="240"/>
        <w:spacing w:after="0" w:line="329" w:lineRule="auto"/>
        <w:rPr>
          <w:sz w:val="20"/>
          <w:szCs w:val="20"/>
          <w:color w:val="auto"/>
        </w:rPr>
      </w:pPr>
      <w:r>
        <w:rPr>
          <w:rFonts w:ascii="Arial" w:cs="Arial" w:eastAsia="Arial" w:hAnsi="Arial"/>
          <w:sz w:val="19"/>
          <w:szCs w:val="19"/>
          <w:u w:val="single" w:color="auto"/>
          <w:color w:val="auto"/>
        </w:rPr>
        <w:t>WTW Plan</w:t>
      </w:r>
      <w:r>
        <w:rPr>
          <w:rFonts w:ascii="Arial" w:cs="Arial" w:eastAsia="Arial" w:hAnsi="Arial"/>
          <w:sz w:val="19"/>
          <w:szCs w:val="19"/>
          <w:color w:val="auto"/>
        </w:rPr>
        <w:t xml:space="preserve"> – Substantially all U.S. employees are eligible to participate in this plan. Benefits are provided under a stable value pension plan design. The original stable value design came into effect on January 1, 2012. Plan participants prior to July 1, 2017 earn benefits without having to make employee contributions, and all newly-eligible employees after that date were required to contribute</w:t>
      </w:r>
    </w:p>
    <w:p>
      <w:pPr>
        <w:spacing w:after="0" w:line="2" w:lineRule="exact"/>
        <w:rPr>
          <w:sz w:val="20"/>
          <w:szCs w:val="20"/>
          <w:color w:val="auto"/>
        </w:rPr>
      </w:pPr>
    </w:p>
    <w:p>
      <w:pPr>
        <w:ind w:left="620" w:right="100"/>
        <w:spacing w:after="0" w:line="330" w:lineRule="auto"/>
        <w:rPr>
          <w:sz w:val="20"/>
          <w:szCs w:val="20"/>
          <w:color w:val="auto"/>
        </w:rPr>
      </w:pPr>
      <w:r>
        <w:rPr>
          <w:rFonts w:ascii="Arial" w:cs="Arial" w:eastAsia="Arial" w:hAnsi="Arial"/>
          <w:sz w:val="19"/>
          <w:szCs w:val="19"/>
          <w:color w:val="auto"/>
        </w:rPr>
        <w:t>2% of pay on an after-tax basis to participate in the plan. Effective January 1, 2024, stable value benefits are earned under the same contributory formula for all eligible colleagues. To participate, plan participants are required to contribute 2% of eligible earnings (base salary only) on an after-tax basis.</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20"/>
          <w:szCs w:val="20"/>
          <w:u w:val="single" w:color="auto"/>
          <w:color w:val="auto"/>
        </w:rPr>
        <w:t>Legacy broking</w:t>
      </w:r>
    </w:p>
    <w:p>
      <w:pPr>
        <w:spacing w:after="0" w:line="80" w:lineRule="exact"/>
        <w:rPr>
          <w:sz w:val="20"/>
          <w:szCs w:val="20"/>
          <w:color w:val="auto"/>
        </w:rPr>
      </w:pPr>
    </w:p>
    <w:p>
      <w:pPr>
        <w:ind w:left="620" w:right="240"/>
        <w:spacing w:after="0" w:line="307" w:lineRule="auto"/>
        <w:rPr>
          <w:sz w:val="20"/>
          <w:szCs w:val="20"/>
          <w:color w:val="auto"/>
        </w:rPr>
      </w:pPr>
      <w:r>
        <w:rPr>
          <w:rFonts w:ascii="Arial" w:cs="Arial" w:eastAsia="Arial" w:hAnsi="Arial"/>
          <w:sz w:val="20"/>
          <w:szCs w:val="20"/>
          <w:u w:val="single" w:color="auto"/>
          <w:color w:val="auto"/>
        </w:rPr>
        <w:t>business</w:t>
      </w:r>
      <w:r>
        <w:rPr>
          <w:rFonts w:ascii="Arial" w:cs="Arial" w:eastAsia="Arial" w:hAnsi="Arial"/>
          <w:sz w:val="20"/>
          <w:szCs w:val="20"/>
          <w:color w:val="auto"/>
        </w:rPr>
        <w:t xml:space="preserve"> – This plan was frozen in 2009. Approximately 550 WTW employees in the United States have a frozen accrued benefit under this plan. On August 31, 2025, this plan, including all of its assets and participants, merged into the WTW Plan.</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United Kingdom</w:t>
      </w:r>
    </w:p>
    <w:p>
      <w:pPr>
        <w:spacing w:after="0" w:line="260" w:lineRule="exact"/>
        <w:rPr>
          <w:sz w:val="20"/>
          <w:szCs w:val="20"/>
          <w:color w:val="auto"/>
        </w:rPr>
      </w:pPr>
    </w:p>
    <w:p>
      <w:pPr>
        <w:ind w:left="620" w:right="40"/>
        <w:spacing w:after="0" w:line="307" w:lineRule="auto"/>
        <w:rPr>
          <w:sz w:val="20"/>
          <w:szCs w:val="20"/>
          <w:color w:val="auto"/>
        </w:rPr>
      </w:pPr>
      <w:r>
        <w:rPr>
          <w:rFonts w:ascii="Arial" w:cs="Arial" w:eastAsia="Arial" w:hAnsi="Arial"/>
          <w:sz w:val="20"/>
          <w:szCs w:val="20"/>
          <w:u w:val="single" w:color="auto"/>
          <w:color w:val="auto"/>
        </w:rPr>
        <w:t>Legacy broking business</w:t>
      </w:r>
      <w:r>
        <w:rPr>
          <w:rFonts w:ascii="Arial" w:cs="Arial" w:eastAsia="Arial" w:hAnsi="Arial"/>
          <w:sz w:val="20"/>
          <w:szCs w:val="20"/>
          <w:color w:val="auto"/>
        </w:rPr>
        <w:t xml:space="preserve"> – This plan covers approximately 400 WTW employees in the U.K. that were historically part of the broking business. The plan is now closed to new entrants. New employees in the U.K. are offered the opportunity to join a defined contribution plan.</w:t>
      </w:r>
    </w:p>
    <w:p>
      <w:pPr>
        <w:spacing w:after="0" w:line="197" w:lineRule="exact"/>
        <w:rPr>
          <w:sz w:val="20"/>
          <w:szCs w:val="20"/>
          <w:color w:val="auto"/>
        </w:rPr>
      </w:pPr>
    </w:p>
    <w:p>
      <w:pPr>
        <w:ind w:left="620" w:right="60"/>
        <w:spacing w:after="0" w:line="351" w:lineRule="auto"/>
        <w:rPr>
          <w:sz w:val="20"/>
          <w:szCs w:val="20"/>
          <w:color w:val="auto"/>
        </w:rPr>
      </w:pPr>
      <w:r>
        <w:rPr>
          <w:rFonts w:ascii="Arial" w:cs="Arial" w:eastAsia="Arial" w:hAnsi="Arial"/>
          <w:sz w:val="18"/>
          <w:szCs w:val="18"/>
          <w:u w:val="single" w:color="auto"/>
          <w:color w:val="auto"/>
        </w:rPr>
        <w:t>Legacy consulting business</w:t>
      </w:r>
      <w:r>
        <w:rPr>
          <w:rFonts w:ascii="Arial" w:cs="Arial" w:eastAsia="Arial" w:hAnsi="Arial"/>
          <w:sz w:val="18"/>
          <w:szCs w:val="18"/>
          <w:color w:val="auto"/>
        </w:rPr>
        <w:t xml:space="preserve"> – There are two benefit formulas covering different legacy consulting populations. Benefit accruals earned under the first plan formula (predominantly pension benefits) ceased on February 28, 2015, although benefits earned prior to January 1, 2008 retain a link to salary until the employee leaves the Company. Benefit accruals earned under the second plan formula (predominantly lump sum benefits) were frozen on March 31, 2008. All participants now accrue defined contribution benefits.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20"/>
          <w:szCs w:val="20"/>
          <w:i w:val="1"/>
          <w:iCs w:val="1"/>
          <w:color w:val="auto"/>
        </w:rPr>
        <w:t>Other</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 / 21</w:t>
      </w:r>
    </w:p>
    <w:p>
      <w:pPr>
        <w:sectPr>
          <w:pgSz w:w="11900" w:h="16838" w:orient="portrait"/>
          <w:cols w:equalWidth="0" w:num="1">
            <w:col w:w="9380"/>
          </w:cols>
          <w:pgMar w:left="1260" w:top="1440" w:right="1266" w:bottom="0" w:gutter="0" w:footer="0" w:header="0"/>
          <w:type w:val="continuous"/>
        </w:sectPr>
      </w:pPr>
    </w:p>
    <w:bookmarkStart w:id="219" w:name="page220"/>
    <w:bookmarkEnd w:id="219"/>
    <w:p>
      <w:pPr>
        <w:ind w:left="440" w:right="120"/>
        <w:spacing w:after="0" w:line="330" w:lineRule="auto"/>
        <w:rPr>
          <w:sz w:val="20"/>
          <w:szCs w:val="20"/>
          <w:color w:val="auto"/>
        </w:rPr>
      </w:pPr>
      <w:r>
        <w:rPr>
          <w:rFonts w:ascii="Arial" w:cs="Arial" w:eastAsia="Arial" w:hAnsi="Arial"/>
          <w:sz w:val="19"/>
          <w:szCs w:val="19"/>
          <w:u w:val="single" w:color="auto"/>
          <w:color w:val="auto"/>
        </w:rPr>
        <w:t>Canada</w:t>
      </w:r>
      <w:r>
        <w:rPr>
          <w:rFonts w:ascii="Arial" w:cs="Arial" w:eastAsia="Arial" w:hAnsi="Arial"/>
          <w:sz w:val="19"/>
          <w:szCs w:val="19"/>
          <w:color w:val="auto"/>
        </w:rPr>
        <w:t xml:space="preserve"> – Participants accrue qualified benefits based on a career-average benefit formula. Benefits earned prior to January 1, 2012 retain a link to final average earnings until the participant leaves the Company. Additionally, participants can choose to make voluntary contributions to purchase enhancements to their pension. Non-qualified benefit accruals ceased on January 1, 2025.</w:t>
      </w:r>
    </w:p>
    <w:p>
      <w:pPr>
        <w:spacing w:after="0" w:line="180" w:lineRule="exact"/>
        <w:rPr>
          <w:sz w:val="20"/>
          <w:szCs w:val="20"/>
          <w:color w:val="auto"/>
        </w:rPr>
      </w:pPr>
    </w:p>
    <w:p>
      <w:pPr>
        <w:ind w:left="440"/>
        <w:spacing w:after="0" w:line="309" w:lineRule="auto"/>
        <w:rPr>
          <w:sz w:val="20"/>
          <w:szCs w:val="20"/>
          <w:color w:val="auto"/>
        </w:rPr>
      </w:pPr>
      <w:r>
        <w:rPr>
          <w:rFonts w:ascii="Arial" w:cs="Arial" w:eastAsia="Arial" w:hAnsi="Arial"/>
          <w:sz w:val="20"/>
          <w:szCs w:val="20"/>
          <w:u w:val="single" w:color="auto"/>
          <w:color w:val="auto"/>
        </w:rPr>
        <w:t>France (legacy broking business)</w:t>
      </w:r>
      <w:r>
        <w:rPr>
          <w:rFonts w:ascii="Arial" w:cs="Arial" w:eastAsia="Arial" w:hAnsi="Arial"/>
          <w:sz w:val="20"/>
          <w:szCs w:val="20"/>
          <w:color w:val="auto"/>
        </w:rPr>
        <w:t xml:space="preserve"> – The mandatory retirement indemnity plan is a termination benefit which provides lump sum benefits at retirement. There is no vesting before the retirement date, and the benefit formula is determined through the collective bargaining agreement and the labor code. All employees with permanent employment contracts are eligible.</w:t>
      </w:r>
    </w:p>
    <w:p>
      <w:pPr>
        <w:spacing w:after="0" w:line="196" w:lineRule="exact"/>
        <w:rPr>
          <w:sz w:val="20"/>
          <w:szCs w:val="20"/>
          <w:color w:val="auto"/>
        </w:rPr>
      </w:pPr>
    </w:p>
    <w:p>
      <w:pPr>
        <w:ind w:left="440" w:right="560"/>
        <w:spacing w:after="0" w:line="383" w:lineRule="auto"/>
        <w:rPr>
          <w:sz w:val="20"/>
          <w:szCs w:val="20"/>
          <w:color w:val="auto"/>
        </w:rPr>
      </w:pPr>
      <w:r>
        <w:rPr>
          <w:rFonts w:ascii="Arial" w:cs="Arial" w:eastAsia="Arial" w:hAnsi="Arial"/>
          <w:sz w:val="17"/>
          <w:szCs w:val="17"/>
          <w:u w:val="single" w:color="auto"/>
          <w:color w:val="auto"/>
        </w:rPr>
        <w:t>Germany</w:t>
      </w:r>
      <w:r>
        <w:rPr>
          <w:rFonts w:ascii="Arial" w:cs="Arial" w:eastAsia="Arial" w:hAnsi="Arial"/>
          <w:sz w:val="17"/>
          <w:szCs w:val="17"/>
          <w:color w:val="auto"/>
        </w:rPr>
        <w:t xml:space="preserve"> – The defined benefit plans are closed to new entrants and include certain legacy employee populations hired before 2011. These benefits are primarily account-based, with some long-service participants continuing to accrue benefits according to grandfathered final-average-pay formulas.</w:t>
      </w:r>
    </w:p>
    <w:p>
      <w:pPr>
        <w:spacing w:after="0" w:line="144" w:lineRule="exact"/>
        <w:rPr>
          <w:sz w:val="20"/>
          <w:szCs w:val="20"/>
          <w:color w:val="auto"/>
        </w:rPr>
      </w:pPr>
    </w:p>
    <w:p>
      <w:pPr>
        <w:ind w:left="440" w:right="280"/>
        <w:spacing w:after="0" w:line="307" w:lineRule="auto"/>
        <w:rPr>
          <w:sz w:val="20"/>
          <w:szCs w:val="20"/>
          <w:color w:val="auto"/>
        </w:rPr>
      </w:pPr>
      <w:r>
        <w:rPr>
          <w:rFonts w:ascii="Arial" w:cs="Arial" w:eastAsia="Arial" w:hAnsi="Arial"/>
          <w:sz w:val="20"/>
          <w:szCs w:val="20"/>
          <w:u w:val="single" w:color="auto"/>
          <w:color w:val="auto"/>
        </w:rPr>
        <w:t>Ireland (legacy broking business)</w:t>
      </w:r>
      <w:r>
        <w:rPr>
          <w:rFonts w:ascii="Arial" w:cs="Arial" w:eastAsia="Arial" w:hAnsi="Arial"/>
          <w:sz w:val="20"/>
          <w:szCs w:val="20"/>
          <w:color w:val="auto"/>
        </w:rPr>
        <w:t xml:space="preserve"> – Benefit accruals ceased effective from December 31, 2019; however accrued benefits for active employees are indexed to salary increases (to a maximum annual salary of €150,000) until the member leaves the Company.</w:t>
      </w: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559435</wp:posOffset>
            </wp:positionV>
            <wp:extent cx="5967730" cy="190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80"/>
          </w:cols>
          <w:pgMar w:left="1440" w:top="1173"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20 / 21</w:t>
      </w:r>
    </w:p>
    <w:p>
      <w:pPr>
        <w:sectPr>
          <w:pgSz w:w="11900" w:h="16838" w:orient="portrait"/>
          <w:cols w:equalWidth="0" w:num="1">
            <w:col w:w="9080"/>
          </w:cols>
          <w:pgMar w:left="1440" w:top="1173" w:right="1386" w:bottom="0" w:gutter="0" w:footer="0" w:header="0"/>
          <w:type w:val="continuous"/>
        </w:sectPr>
      </w:pPr>
    </w:p>
    <w:bookmarkStart w:id="220" w:name="page221"/>
    <w:bookmarkEnd w:id="2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20" w:right="100"/>
        <w:spacing w:after="0" w:line="307" w:lineRule="auto"/>
        <w:rPr>
          <w:sz w:val="20"/>
          <w:szCs w:val="20"/>
          <w:color w:val="auto"/>
        </w:rPr>
      </w:pPr>
      <w:r>
        <w:rPr>
          <w:rFonts w:ascii="Arial" w:cs="Arial" w:eastAsia="Arial" w:hAnsi="Arial"/>
          <w:sz w:val="20"/>
          <w:szCs w:val="20"/>
          <w:u w:val="single" w:color="auto"/>
          <w:color w:val="auto"/>
        </w:rPr>
        <w:t>Ireland (legacy consulting business)</w:t>
      </w:r>
      <w:r>
        <w:rPr>
          <w:rFonts w:ascii="Arial" w:cs="Arial" w:eastAsia="Arial" w:hAnsi="Arial"/>
          <w:sz w:val="20"/>
          <w:szCs w:val="20"/>
          <w:color w:val="auto"/>
        </w:rPr>
        <w:t xml:space="preserve"> – Benefit accruals ceased effective from May 1, 2015; however accrued benefits for active employees are indexed to salary increases (to a maximum annual salary of €160,000) until the member leaves the Company.</w:t>
      </w:r>
    </w:p>
    <w:p>
      <w:pPr>
        <w:spacing w:after="0" w:line="197" w:lineRule="exact"/>
        <w:rPr>
          <w:sz w:val="20"/>
          <w:szCs w:val="20"/>
          <w:color w:val="auto"/>
        </w:rPr>
      </w:pPr>
    </w:p>
    <w:p>
      <w:pPr>
        <w:ind w:left="620" w:right="520"/>
        <w:spacing w:after="0" w:line="309" w:lineRule="auto"/>
        <w:rPr>
          <w:sz w:val="20"/>
          <w:szCs w:val="20"/>
          <w:color w:val="auto"/>
        </w:rPr>
      </w:pPr>
      <w:r>
        <w:rPr>
          <w:rFonts w:ascii="Arial" w:cs="Arial" w:eastAsia="Arial" w:hAnsi="Arial"/>
          <w:sz w:val="20"/>
          <w:szCs w:val="20"/>
          <w:u w:val="single" w:color="auto"/>
          <w:color w:val="auto"/>
        </w:rPr>
        <w:t>Switzerland</w:t>
      </w:r>
      <w:r>
        <w:rPr>
          <w:rFonts w:ascii="Arial" w:cs="Arial" w:eastAsia="Arial" w:hAnsi="Arial"/>
          <w:sz w:val="20"/>
          <w:szCs w:val="20"/>
          <w:color w:val="auto"/>
        </w:rPr>
        <w:t xml:space="preserve"> – The defined benefit plans require all employees with local employment contracts to participate. The Company provides benefits in excess of the mandatory minimum required under Swiss occupational pension law. Participants continue to accrue benefits until retirement or upon leaving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Amounts Recognized in our Consolidated Financial Statements</w:t>
      </w:r>
    </w:p>
    <w:p>
      <w:pPr>
        <w:spacing w:after="0" w:line="260" w:lineRule="exact"/>
        <w:rPr>
          <w:sz w:val="20"/>
          <w:szCs w:val="20"/>
          <w:color w:val="auto"/>
        </w:rPr>
      </w:pPr>
    </w:p>
    <w:p>
      <w:pPr>
        <w:ind w:right="340"/>
        <w:spacing w:after="0" w:line="302" w:lineRule="auto"/>
        <w:rPr>
          <w:sz w:val="20"/>
          <w:szCs w:val="20"/>
          <w:color w:val="auto"/>
        </w:rPr>
      </w:pPr>
      <w:r>
        <w:rPr>
          <w:rFonts w:ascii="Arial" w:cs="Arial" w:eastAsia="Arial" w:hAnsi="Arial"/>
          <w:sz w:val="20"/>
          <w:szCs w:val="20"/>
          <w:color w:val="auto"/>
        </w:rPr>
        <w:t>The following schedules provide information concerning the defined benefit pension plans as of and for the years ended December 31, 2025 and 2024:</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221"/>
              <w:spacing w:after="0"/>
              <w:rPr>
                <w:sz w:val="20"/>
                <w:szCs w:val="20"/>
                <w:color w:val="auto"/>
              </w:rPr>
            </w:pPr>
            <w:r>
              <w:rPr>
                <w:rFonts w:ascii="Arial" w:cs="Arial" w:eastAsia="Arial" w:hAnsi="Arial"/>
                <w:sz w:val="15"/>
                <w:szCs w:val="15"/>
                <w:b w:val="1"/>
                <w:bCs w:val="1"/>
                <w:color w:val="auto"/>
              </w:rPr>
              <w:t>2025</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21"/>
              <w:spacing w:after="0"/>
              <w:rPr>
                <w:sz w:val="20"/>
                <w:szCs w:val="20"/>
                <w:color w:val="auto"/>
              </w:rPr>
            </w:pPr>
            <w:r>
              <w:rPr>
                <w:rFonts w:ascii="Arial" w:cs="Arial" w:eastAsia="Arial" w:hAnsi="Arial"/>
                <w:sz w:val="15"/>
                <w:szCs w:val="15"/>
                <w:b w:val="1"/>
                <w:bCs w:val="1"/>
                <w:color w:val="auto"/>
              </w:rPr>
              <w:t>2024</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49"/>
        </w:trPr>
        <w:tc>
          <w:tcPr>
            <w:tcW w:w="2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jc w:val="right"/>
              <w:ind w:right="340"/>
              <w:spacing w:after="0"/>
              <w:rPr>
                <w:sz w:val="20"/>
                <w:szCs w:val="20"/>
                <w:color w:val="auto"/>
              </w:rPr>
            </w:pPr>
            <w:r>
              <w:rPr>
                <w:rFonts w:ascii="Arial" w:cs="Arial" w:eastAsia="Arial" w:hAnsi="Arial"/>
                <w:sz w:val="15"/>
                <w:szCs w:val="15"/>
                <w:b w:val="1"/>
                <w:bCs w:val="1"/>
                <w:color w:val="auto"/>
              </w:rPr>
              <w:t>U.S.</w:t>
            </w:r>
          </w:p>
        </w:tc>
        <w:tc>
          <w:tcPr>
            <w:tcW w:w="240" w:type="dxa"/>
            <w:vAlign w:val="bottom"/>
          </w:tcPr>
          <w:p>
            <w:pPr>
              <w:spacing w:after="0"/>
              <w:rPr>
                <w:sz w:val="21"/>
                <w:szCs w:val="21"/>
                <w:color w:val="auto"/>
              </w:rPr>
            </w:pPr>
          </w:p>
        </w:tc>
        <w:tc>
          <w:tcPr>
            <w:tcW w:w="780" w:type="dxa"/>
            <w:vAlign w:val="bottom"/>
          </w:tcPr>
          <w:p>
            <w:pPr>
              <w:jc w:val="right"/>
              <w:ind w:right="321"/>
              <w:spacing w:after="0"/>
              <w:rPr>
                <w:sz w:val="20"/>
                <w:szCs w:val="20"/>
                <w:color w:val="auto"/>
              </w:rPr>
            </w:pPr>
            <w:r>
              <w:rPr>
                <w:rFonts w:ascii="Arial" w:cs="Arial" w:eastAsia="Arial" w:hAnsi="Arial"/>
                <w:sz w:val="15"/>
                <w:szCs w:val="15"/>
                <w:b w:val="1"/>
                <w:bCs w:val="1"/>
                <w:color w:val="auto"/>
              </w:rPr>
              <w:t>U.K.</w:t>
            </w:r>
          </w:p>
        </w:tc>
        <w:tc>
          <w:tcPr>
            <w:tcW w:w="220" w:type="dxa"/>
            <w:vAlign w:val="bottom"/>
          </w:tcPr>
          <w:p>
            <w:pPr>
              <w:spacing w:after="0"/>
              <w:rPr>
                <w:sz w:val="21"/>
                <w:szCs w:val="21"/>
                <w:color w:val="auto"/>
              </w:rPr>
            </w:pPr>
          </w:p>
        </w:tc>
        <w:tc>
          <w:tcPr>
            <w:tcW w:w="820" w:type="dxa"/>
            <w:vAlign w:val="bottom"/>
          </w:tcPr>
          <w:p>
            <w:pPr>
              <w:jc w:val="right"/>
              <w:ind w:right="280"/>
              <w:spacing w:after="0"/>
              <w:rPr>
                <w:sz w:val="20"/>
                <w:szCs w:val="20"/>
                <w:color w:val="auto"/>
              </w:rPr>
            </w:pPr>
            <w:r>
              <w:rPr>
                <w:rFonts w:ascii="Arial" w:cs="Arial" w:eastAsia="Arial" w:hAnsi="Arial"/>
                <w:sz w:val="15"/>
                <w:szCs w:val="15"/>
                <w:b w:val="1"/>
                <w:bCs w:val="1"/>
                <w:color w:val="auto"/>
              </w:rPr>
              <w:t>Other</w:t>
            </w:r>
          </w:p>
        </w:tc>
        <w:tc>
          <w:tcPr>
            <w:tcW w:w="240" w:type="dxa"/>
            <w:vAlign w:val="bottom"/>
          </w:tcPr>
          <w:p>
            <w:pPr>
              <w:spacing w:after="0"/>
              <w:rPr>
                <w:sz w:val="21"/>
                <w:szCs w:val="21"/>
                <w:color w:val="auto"/>
              </w:rPr>
            </w:pPr>
          </w:p>
        </w:tc>
        <w:tc>
          <w:tcPr>
            <w:tcW w:w="780" w:type="dxa"/>
            <w:vAlign w:val="bottom"/>
          </w:tcPr>
          <w:p>
            <w:pPr>
              <w:jc w:val="right"/>
              <w:ind w:right="340"/>
              <w:spacing w:after="0"/>
              <w:rPr>
                <w:sz w:val="20"/>
                <w:szCs w:val="20"/>
                <w:color w:val="auto"/>
              </w:rPr>
            </w:pPr>
            <w:r>
              <w:rPr>
                <w:rFonts w:ascii="Arial" w:cs="Arial" w:eastAsia="Arial" w:hAnsi="Arial"/>
                <w:sz w:val="15"/>
                <w:szCs w:val="15"/>
                <w:b w:val="1"/>
                <w:bCs w:val="1"/>
                <w:color w:val="auto"/>
              </w:rPr>
              <w:t>U.S.</w:t>
            </w:r>
          </w:p>
        </w:tc>
        <w:tc>
          <w:tcPr>
            <w:tcW w:w="240" w:type="dxa"/>
            <w:vAlign w:val="bottom"/>
          </w:tcPr>
          <w:p>
            <w:pPr>
              <w:spacing w:after="0"/>
              <w:rPr>
                <w:sz w:val="21"/>
                <w:szCs w:val="21"/>
                <w:color w:val="auto"/>
              </w:rPr>
            </w:pPr>
          </w:p>
        </w:tc>
        <w:tc>
          <w:tcPr>
            <w:tcW w:w="800" w:type="dxa"/>
            <w:vAlign w:val="bottom"/>
          </w:tcPr>
          <w:p>
            <w:pPr>
              <w:jc w:val="right"/>
              <w:ind w:right="321"/>
              <w:spacing w:after="0"/>
              <w:rPr>
                <w:sz w:val="20"/>
                <w:szCs w:val="20"/>
                <w:color w:val="auto"/>
              </w:rPr>
            </w:pPr>
            <w:r>
              <w:rPr>
                <w:rFonts w:ascii="Arial" w:cs="Arial" w:eastAsia="Arial" w:hAnsi="Arial"/>
                <w:sz w:val="15"/>
                <w:szCs w:val="15"/>
                <w:b w:val="1"/>
                <w:bCs w:val="1"/>
                <w:color w:val="auto"/>
              </w:rPr>
              <w:t>U.K.</w:t>
            </w:r>
          </w:p>
        </w:tc>
        <w:tc>
          <w:tcPr>
            <w:tcW w:w="220" w:type="dxa"/>
            <w:vAlign w:val="bottom"/>
          </w:tcPr>
          <w:p>
            <w:pPr>
              <w:spacing w:after="0"/>
              <w:rPr>
                <w:sz w:val="21"/>
                <w:szCs w:val="21"/>
                <w:color w:val="auto"/>
              </w:rPr>
            </w:pPr>
          </w:p>
        </w:tc>
        <w:tc>
          <w:tcPr>
            <w:tcW w:w="780" w:type="dxa"/>
            <w:vAlign w:val="bottom"/>
          </w:tcPr>
          <w:p>
            <w:pPr>
              <w:jc w:val="right"/>
              <w:ind w:right="260"/>
              <w:spacing w:after="0"/>
              <w:rPr>
                <w:sz w:val="20"/>
                <w:szCs w:val="20"/>
                <w:color w:val="auto"/>
              </w:rPr>
            </w:pPr>
            <w:r>
              <w:rPr>
                <w:rFonts w:ascii="Arial" w:cs="Arial" w:eastAsia="Arial" w:hAnsi="Arial"/>
                <w:sz w:val="15"/>
                <w:szCs w:val="15"/>
                <w:b w:val="1"/>
                <w:bCs w:val="1"/>
                <w:color w:val="auto"/>
              </w:rPr>
              <w:t>Other</w:t>
            </w:r>
          </w:p>
        </w:tc>
      </w:tr>
      <w:tr>
        <w:trPr>
          <w:trHeight w:val="40"/>
        </w:trPr>
        <w:tc>
          <w:tcPr>
            <w:tcW w:w="2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4"/>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Change in Benefit Obligation</w:t>
            </w:r>
          </w:p>
        </w:tc>
        <w:tc>
          <w:tcPr>
            <w:tcW w:w="6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r>
      <w:tr>
        <w:trPr>
          <w:trHeight w:val="282"/>
        </w:trPr>
        <w:tc>
          <w:tcPr>
            <w:tcW w:w="2860" w:type="dxa"/>
            <w:vAlign w:val="bottom"/>
          </w:tcPr>
          <w:p>
            <w:pPr>
              <w:ind w:left="20"/>
              <w:spacing w:after="0"/>
              <w:rPr>
                <w:sz w:val="20"/>
                <w:szCs w:val="20"/>
                <w:color w:val="auto"/>
              </w:rPr>
            </w:pPr>
            <w:r>
              <w:rPr>
                <w:rFonts w:ascii="Arial" w:cs="Arial" w:eastAsia="Arial" w:hAnsi="Arial"/>
                <w:sz w:val="16"/>
                <w:szCs w:val="16"/>
                <w:color w:val="auto"/>
              </w:rPr>
              <w:t>Benefit obligation, beginning of year</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3,812</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2,236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712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4,098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2,558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762</w:t>
            </w:r>
          </w:p>
        </w:tc>
      </w:tr>
      <w:tr>
        <w:trPr>
          <w:trHeight w:val="32"/>
        </w:trPr>
        <w:tc>
          <w:tcPr>
            <w:tcW w:w="2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94"/>
        </w:trPr>
        <w:tc>
          <w:tcPr>
            <w:tcW w:w="2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Service cost</w:t>
            </w:r>
          </w:p>
        </w:tc>
        <w:tc>
          <w:tcPr>
            <w:tcW w:w="6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40</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13</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42</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16</w:t>
            </w:r>
          </w:p>
        </w:tc>
      </w:tr>
      <w:tr>
        <w:trPr>
          <w:trHeight w:val="266"/>
        </w:trPr>
        <w:tc>
          <w:tcPr>
            <w:tcW w:w="2860" w:type="dxa"/>
            <w:vAlign w:val="bottom"/>
          </w:tcPr>
          <w:p>
            <w:pPr>
              <w:ind w:left="80"/>
              <w:spacing w:after="0"/>
              <w:rPr>
                <w:sz w:val="20"/>
                <w:szCs w:val="20"/>
                <w:color w:val="auto"/>
              </w:rPr>
            </w:pPr>
            <w:r>
              <w:rPr>
                <w:rFonts w:ascii="Arial" w:cs="Arial" w:eastAsia="Arial" w:hAnsi="Arial"/>
                <w:sz w:val="16"/>
                <w:szCs w:val="16"/>
                <w:color w:val="auto"/>
              </w:rPr>
              <w:t>Interest cost</w:t>
            </w:r>
          </w:p>
        </w:tc>
        <w:tc>
          <w:tcPr>
            <w:tcW w:w="640" w:type="dxa"/>
            <w:vAlign w:val="bottom"/>
          </w:tcPr>
          <w:p>
            <w:pPr>
              <w:spacing w:after="0"/>
              <w:rPr>
                <w:sz w:val="23"/>
                <w:szCs w:val="23"/>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173</w:t>
            </w:r>
          </w:p>
        </w:tc>
        <w:tc>
          <w:tcPr>
            <w:tcW w:w="240" w:type="dxa"/>
            <w:vAlign w:val="bottom"/>
          </w:tcPr>
          <w:p>
            <w:pPr>
              <w:spacing w:after="0"/>
              <w:rPr>
                <w:sz w:val="23"/>
                <w:szCs w:val="23"/>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121</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23"/>
                <w:szCs w:val="23"/>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196</w:t>
            </w:r>
          </w:p>
        </w:tc>
        <w:tc>
          <w:tcPr>
            <w:tcW w:w="240" w:type="dxa"/>
            <w:vAlign w:val="bottom"/>
          </w:tcPr>
          <w:p>
            <w:pPr>
              <w:spacing w:after="0"/>
              <w:rPr>
                <w:sz w:val="23"/>
                <w:szCs w:val="23"/>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23"/>
                <w:szCs w:val="23"/>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27</w:t>
            </w:r>
          </w:p>
        </w:tc>
      </w:tr>
      <w:tr>
        <w:trPr>
          <w:trHeight w:val="49"/>
        </w:trPr>
        <w:tc>
          <w:tcPr>
            <w:tcW w:w="2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94"/>
        </w:trPr>
        <w:tc>
          <w:tcPr>
            <w:tcW w:w="2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Employee contributions</w:t>
            </w:r>
          </w:p>
        </w:tc>
        <w:tc>
          <w:tcPr>
            <w:tcW w:w="6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w:t>
            </w:r>
          </w:p>
        </w:tc>
      </w:tr>
      <w:tr>
        <w:trPr>
          <w:trHeight w:val="282"/>
        </w:trPr>
        <w:tc>
          <w:tcPr>
            <w:tcW w:w="2860" w:type="dxa"/>
            <w:vAlign w:val="bottom"/>
          </w:tcPr>
          <w:p>
            <w:pPr>
              <w:ind w:left="80"/>
              <w:spacing w:after="0"/>
              <w:rPr>
                <w:sz w:val="20"/>
                <w:szCs w:val="20"/>
                <w:color w:val="auto"/>
              </w:rPr>
            </w:pPr>
            <w:r>
              <w:rPr>
                <w:rFonts w:ascii="Arial" w:cs="Arial" w:eastAsia="Arial" w:hAnsi="Arial"/>
                <w:sz w:val="16"/>
                <w:szCs w:val="16"/>
                <w:color w:val="auto"/>
              </w:rPr>
              <w:t>Actuarial losses/(gains)</w:t>
            </w:r>
          </w:p>
        </w:tc>
        <w:tc>
          <w:tcPr>
            <w:tcW w:w="640" w:type="dxa"/>
            <w:vAlign w:val="bottom"/>
          </w:tcPr>
          <w:p>
            <w:pPr>
              <w:spacing w:after="0"/>
              <w:rPr>
                <w:sz w:val="24"/>
                <w:szCs w:val="24"/>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152</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(194)</w:t>
            </w:r>
          </w:p>
        </w:tc>
        <w:tc>
          <w:tcPr>
            <w:tcW w:w="24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(280)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2"/>
        </w:trPr>
        <w:tc>
          <w:tcPr>
            <w:tcW w:w="2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94"/>
        </w:trPr>
        <w:tc>
          <w:tcPr>
            <w:tcW w:w="2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Settlements</w:t>
            </w:r>
          </w:p>
        </w:tc>
        <w:tc>
          <w:tcPr>
            <w:tcW w:w="6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(459)</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(118)</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w:t>
            </w:r>
          </w:p>
        </w:tc>
      </w:tr>
      <w:tr>
        <w:trPr>
          <w:trHeight w:val="282"/>
        </w:trPr>
        <w:tc>
          <w:tcPr>
            <w:tcW w:w="2860" w:type="dxa"/>
            <w:vAlign w:val="bottom"/>
          </w:tcPr>
          <w:p>
            <w:pPr>
              <w:ind w:left="80"/>
              <w:spacing w:after="0"/>
              <w:rPr>
                <w:sz w:val="20"/>
                <w:szCs w:val="20"/>
                <w:color w:val="auto"/>
              </w:rPr>
            </w:pPr>
            <w:r>
              <w:rPr>
                <w:rFonts w:ascii="Arial" w:cs="Arial" w:eastAsia="Arial" w:hAnsi="Arial"/>
                <w:sz w:val="16"/>
                <w:szCs w:val="16"/>
                <w:color w:val="auto"/>
              </w:rPr>
              <w:t>Benefits paid</w:t>
            </w:r>
          </w:p>
        </w:tc>
        <w:tc>
          <w:tcPr>
            <w:tcW w:w="6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(114)</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(238)</w:t>
            </w:r>
          </w:p>
        </w:tc>
        <w:tc>
          <w:tcPr>
            <w:tcW w:w="24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2"/>
        </w:trPr>
        <w:tc>
          <w:tcPr>
            <w:tcW w:w="2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94"/>
        </w:trPr>
        <w:tc>
          <w:tcPr>
            <w:tcW w:w="2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Plan amendments</w:t>
            </w:r>
          </w:p>
        </w:tc>
        <w:tc>
          <w:tcPr>
            <w:tcW w:w="6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rPr>
              <w:t>45</w:t>
            </w: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66"/>
        </w:trPr>
        <w:tc>
          <w:tcPr>
            <w:tcW w:w="2860" w:type="dxa"/>
            <w:vAlign w:val="bottom"/>
          </w:tcPr>
          <w:p>
            <w:pPr>
              <w:ind w:left="80"/>
              <w:spacing w:after="0"/>
              <w:rPr>
                <w:sz w:val="20"/>
                <w:szCs w:val="20"/>
                <w:color w:val="auto"/>
              </w:rPr>
            </w:pPr>
            <w:r>
              <w:rPr>
                <w:rFonts w:ascii="Arial" w:cs="Arial" w:eastAsia="Arial" w:hAnsi="Arial"/>
                <w:sz w:val="16"/>
                <w:szCs w:val="16"/>
                <w:color w:val="auto"/>
              </w:rPr>
              <w:t>Other</w:t>
            </w:r>
          </w:p>
        </w:tc>
        <w:tc>
          <w:tcPr>
            <w:tcW w:w="640" w:type="dxa"/>
            <w:vAlign w:val="bottom"/>
          </w:tcPr>
          <w:p>
            <w:pPr>
              <w:spacing w:after="0"/>
              <w:rPr>
                <w:sz w:val="23"/>
                <w:szCs w:val="23"/>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23"/>
                <w:szCs w:val="23"/>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w:t>
            </w:r>
          </w:p>
        </w:tc>
      </w:tr>
      <w:tr>
        <w:trPr>
          <w:trHeight w:val="49"/>
        </w:trPr>
        <w:tc>
          <w:tcPr>
            <w:tcW w:w="2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04"/>
        </w:trPr>
        <w:tc>
          <w:tcPr>
            <w:tcW w:w="28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Foreign currency changes</w:t>
            </w:r>
          </w:p>
        </w:tc>
        <w:tc>
          <w:tcPr>
            <w:tcW w:w="6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rPr>
              <w:t>168</w:t>
            </w: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65</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rPr>
              <w:t>(42)</w:t>
            </w:r>
          </w:p>
        </w:tc>
        <w:tc>
          <w:tcPr>
            <w:tcW w:w="2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(55)</w:t>
            </w:r>
          </w:p>
        </w:tc>
      </w:tr>
      <w:tr>
        <w:trPr>
          <w:trHeight w:val="282"/>
        </w:trPr>
        <w:tc>
          <w:tcPr>
            <w:tcW w:w="2860" w:type="dxa"/>
            <w:vAlign w:val="bottom"/>
          </w:tcPr>
          <w:p>
            <w:pPr>
              <w:ind w:left="20"/>
              <w:spacing w:after="0"/>
              <w:rPr>
                <w:sz w:val="20"/>
                <w:szCs w:val="20"/>
                <w:color w:val="auto"/>
              </w:rPr>
            </w:pPr>
            <w:r>
              <w:rPr>
                <w:rFonts w:ascii="Arial" w:cs="Arial" w:eastAsia="Arial" w:hAnsi="Arial"/>
                <w:sz w:val="16"/>
                <w:szCs w:val="16"/>
                <w:color w:val="auto"/>
              </w:rPr>
              <w:t>Benefit obligation, end of year</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3,550</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2,438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748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3,812</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2108200</wp:posOffset>
            </wp:positionH>
            <wp:positionV relativeFrom="paragraph">
              <wp:posOffset>-2507615</wp:posOffset>
            </wp:positionV>
            <wp:extent cx="3855720" cy="63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5">
                      <a:extLst>
                        <a:ext uri="{28A0092B-C50C-407E-A947-70E740481C1C}"/>
                      </a:extLst>
                    </a:blip>
                    <a:srcRect/>
                    <a:stretch>
                      <a:fillRect/>
                    </a:stretch>
                  </pic:blipFill>
                  <pic:spPr bwMode="auto">
                    <a:xfrm>
                      <a:off x="0" y="0"/>
                      <a:ext cx="3855720" cy="6350"/>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-2349500</wp:posOffset>
            </wp:positionV>
            <wp:extent cx="3855720" cy="63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6">
                      <a:extLst>
                        <a:ext uri="{28A0092B-C50C-407E-A947-70E740481C1C}"/>
                      </a:extLst>
                    </a:blip>
                    <a:srcRect/>
                    <a:stretch>
                      <a:fillRect/>
                    </a:stretch>
                  </pic:blipFill>
                  <pic:spPr bwMode="auto">
                    <a:xfrm>
                      <a:off x="0" y="0"/>
                      <a:ext cx="3855720" cy="6350"/>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-184785</wp:posOffset>
            </wp:positionV>
            <wp:extent cx="3855720" cy="63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7">
                      <a:extLst>
                        <a:ext uri="{28A0092B-C50C-407E-A947-70E740481C1C}"/>
                      </a:extLst>
                    </a:blip>
                    <a:srcRect/>
                    <a:stretch>
                      <a:fillRect/>
                    </a:stretch>
                  </pic:blipFill>
                  <pic:spPr bwMode="auto">
                    <a:xfrm>
                      <a:off x="0" y="0"/>
                      <a:ext cx="3855720" cy="6350"/>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20320</wp:posOffset>
            </wp:positionV>
            <wp:extent cx="2545080"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98">
                      <a:extLst>
                        <a:ext uri="{28A0092B-C50C-407E-A947-70E740481C1C}"/>
                      </a:extLst>
                    </a:blip>
                    <a:srcRect/>
                    <a:stretch>
                      <a:fillRect/>
                    </a:stretch>
                  </pic:blipFill>
                  <pic:spPr bwMode="auto">
                    <a:xfrm>
                      <a:off x="0" y="0"/>
                      <a:ext cx="254508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21</w:t>
      </w:r>
    </w:p>
    <w:p>
      <w:pPr>
        <w:sectPr>
          <w:pgSz w:w="11900" w:h="16838" w:orient="portrait"/>
          <w:cols w:equalWidth="0" w:num="1">
            <w:col w:w="9400"/>
          </w:cols>
          <w:pgMar w:left="1260" w:top="1440" w:right="1246" w:bottom="0" w:gutter="0" w:footer="0" w:header="0"/>
          <w:type w:val="continuous"/>
        </w:sectPr>
      </w:pPr>
    </w:p>
    <w:bookmarkStart w:id="221" w:name="page222"/>
    <w:bookmarkEnd w:id="221"/>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2,236</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712</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0"/>
        <w:spacing w:after="0"/>
        <w:rPr>
          <w:sz w:val="20"/>
          <w:szCs w:val="20"/>
          <w:color w:val="auto"/>
        </w:rPr>
      </w:pPr>
      <w:r>
        <w:rPr>
          <w:rFonts w:ascii="Arial" w:cs="Arial" w:eastAsia="Arial" w:hAnsi="Arial"/>
          <w:sz w:val="16"/>
          <w:szCs w:val="16"/>
          <w:color w:val="auto"/>
        </w:rPr>
        <w:t>Fair value of plan assets, beginning of</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year</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3,441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2,652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679</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3,803</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3,069</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673</w:t>
      </w:r>
    </w:p>
    <w:p>
      <w:pPr>
        <w:spacing w:after="0" w:line="3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Actual return on plan assets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302</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15</w:t>
      </w:r>
    </w:p>
    <w:p>
      <w:pPr>
        <w:sectPr>
          <w:pgSz w:w="11900" w:h="16838" w:orient="portrait"/>
          <w:cols w:equalWidth="0" w:num="1">
            <w:col w:w="9400"/>
          </w:cols>
          <w:pgMar w:left="1260" w:top="1440" w:right="1246" w:bottom="0" w:gutter="0" w:footer="0" w:header="0"/>
          <w:type w:val="continuous"/>
        </w:sectPr>
      </w:pPr>
    </w:p>
    <w:bookmarkStart w:id="222" w:name="page223"/>
    <w:bookmarkEnd w:id="222"/>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(48</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67</w:t>
      </w:r>
    </w:p>
    <w:p>
      <w:pPr>
        <w:spacing w:after="0" w:line="3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Employer contributions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w:t>
      </w:r>
    </w:p>
    <w:p>
      <w:pPr>
        <w:spacing w:after="0" w:line="3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Employee contributions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15</w:t>
      </w:r>
    </w:p>
    <w:p>
      <w:pPr>
        <w:sectPr>
          <w:pgSz w:w="11900" w:h="16838" w:orient="portrait"/>
          <w:cols w:equalWidth="0" w:num="1">
            <w:col w:w="9400"/>
          </w:cols>
          <w:pgMar w:left="1260" w:top="1440" w:right="1246" w:bottom="0" w:gutter="0" w:footer="0" w:header="0"/>
          <w:type w:val="continuous"/>
        </w:sectPr>
      </w:pPr>
    </w:p>
    <w:bookmarkStart w:id="223" w:name="page224"/>
    <w:bookmarkEnd w:id="223"/>
    <w:p>
      <w:pPr>
        <w:jc w:val="right"/>
        <w:spacing w:after="0"/>
        <w:rPr>
          <w:sz w:val="20"/>
          <w:szCs w:val="20"/>
          <w:color w:val="auto"/>
        </w:rPr>
      </w:pPr>
      <w:r>
        <w:rPr>
          <w:rFonts w:ascii="Arial" w:cs="Arial" w:eastAsia="Arial" w:hAnsi="Arial"/>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pacing w:after="0" w:line="3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Settlements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(118</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Benefits paid</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(238</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400"/>
          </w:cols>
          <w:pgMar w:left="1260" w:top="120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15</w:t>
      </w:r>
    </w:p>
    <w:p>
      <w:pPr>
        <w:sectPr>
          <w:pgSz w:w="11900" w:h="16838" w:orient="portrait"/>
          <w:cols w:equalWidth="0" w:num="1">
            <w:col w:w="9400"/>
          </w:cols>
          <w:pgMar w:left="1260" w:top="1201" w:right="1246" w:bottom="0" w:gutter="0" w:footer="0" w:header="0"/>
          <w:type w:val="continuous"/>
        </w:sectPr>
      </w:pPr>
    </w:p>
    <w:bookmarkStart w:id="224" w:name="page225"/>
    <w:bookmarkEnd w:id="224"/>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3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Foreign currency changes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(52</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15</w:t>
      </w:r>
    </w:p>
    <w:p>
      <w:pPr>
        <w:sectPr>
          <w:pgSz w:w="11900" w:h="16838" w:orient="portrait"/>
          <w:cols w:equalWidth="0" w:num="1">
            <w:col w:w="9400"/>
          </w:cols>
          <w:pgMar w:left="1260" w:top="1440" w:right="1246" w:bottom="0" w:gutter="0" w:footer="0" w:header="0"/>
          <w:type w:val="continuous"/>
        </w:sectPr>
      </w:pPr>
    </w:p>
    <w:bookmarkStart w:id="225" w:name="page226"/>
    <w:bookmarkEnd w:id="225"/>
    <w:p>
      <w:pPr>
        <w:ind w:left="80"/>
        <w:spacing w:after="0"/>
        <w:rPr>
          <w:sz w:val="20"/>
          <w:szCs w:val="20"/>
          <w:color w:val="auto"/>
        </w:rPr>
      </w:pPr>
      <w:r>
        <w:rPr>
          <w:rFonts w:ascii="Arial" w:cs="Arial" w:eastAsia="Arial" w:hAnsi="Arial"/>
          <w:sz w:val="16"/>
          <w:szCs w:val="16"/>
          <w:color w:val="auto"/>
        </w:rPr>
        <w:t>Fair value of plan assets, end of year</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3,143</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2,815</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759</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3,441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2,652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679</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Funded status at end of year</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(407</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377</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416</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Accumulated Benefit Obligation</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3,550</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400"/>
          </w:cols>
          <w:pgMar w:left="1260" w:top="1157" w:right="1246"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15</w:t>
      </w:r>
    </w:p>
    <w:p>
      <w:pPr>
        <w:sectPr>
          <w:pgSz w:w="11900" w:h="16838" w:orient="portrait"/>
          <w:cols w:equalWidth="0" w:num="1">
            <w:col w:w="9400"/>
          </w:cols>
          <w:pgMar w:left="1260" w:top="1157" w:right="1246" w:bottom="0" w:gutter="0" w:footer="0" w:header="0"/>
          <w:type w:val="continuous"/>
        </w:sectPr>
      </w:pPr>
    </w:p>
    <w:bookmarkStart w:id="226" w:name="page227"/>
    <w:bookmarkEnd w:id="226"/>
    <w:p>
      <w:pPr>
        <w:jc w:val="right"/>
        <w:spacing w:after="0"/>
        <w:rPr>
          <w:sz w:val="20"/>
          <w:szCs w:val="20"/>
          <w:color w:val="auto"/>
        </w:rPr>
      </w:pPr>
      <w:r>
        <w:rPr>
          <w:rFonts w:ascii="Arial" w:cs="Arial" w:eastAsia="Arial" w:hAnsi="Arial"/>
          <w:sz w:val="16"/>
          <w:szCs w:val="16"/>
          <w:color w:val="auto"/>
        </w:rPr>
        <w:t>2,438</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726</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3,812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2,236</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688</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on the Consolidated</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Pension benefits assets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130</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420</w:t>
      </w:r>
    </w:p>
    <w:p>
      <w:pPr>
        <w:sectPr>
          <w:pgSz w:w="11900" w:h="16838" w:orient="portrait"/>
          <w:cols w:equalWidth="0" w:num="1">
            <w:col w:w="9400"/>
          </w:cols>
          <w:pgMar w:left="1260" w:top="1201" w:right="1246"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15</w:t>
      </w:r>
    </w:p>
    <w:p>
      <w:pPr>
        <w:sectPr>
          <w:pgSz w:w="11900" w:h="16838" w:orient="portrait"/>
          <w:cols w:equalWidth="0" w:num="1">
            <w:col w:w="9400"/>
          </w:cols>
          <w:pgMar w:left="1260" w:top="1201" w:right="1246" w:bottom="0" w:gutter="0" w:footer="0" w:header="0"/>
          <w:type w:val="continuous"/>
        </w:sectPr>
      </w:pPr>
    </w:p>
    <w:bookmarkStart w:id="227" w:name="page228"/>
    <w:bookmarkEnd w:id="227"/>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91</w:t>
      </w:r>
    </w:p>
    <w:p>
      <w:pPr>
        <w:spacing w:after="0" w:line="31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Current liability for pension benefits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Non-current liability for pension</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benefits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(388</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(349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15</w:t>
      </w:r>
    </w:p>
    <w:p>
      <w:pPr>
        <w:sectPr>
          <w:pgSz w:w="11900" w:h="16838" w:orient="portrait"/>
          <w:cols w:equalWidth="0" w:num="1">
            <w:col w:w="9400"/>
          </w:cols>
          <w:pgMar w:left="1260" w:top="1440" w:right="1246" w:bottom="0" w:gutter="0" w:footer="0" w:header="0"/>
          <w:type w:val="continuous"/>
        </w:sectPr>
      </w:pPr>
    </w:p>
    <w:bookmarkStart w:id="228" w:name="page229"/>
    <w:bookmarkEnd w:id="228"/>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(407</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377</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416</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51" w:lineRule="exact"/>
        <w:rPr>
          <w:sz w:val="20"/>
          <w:szCs w:val="20"/>
          <w:color w:val="auto"/>
        </w:rPr>
      </w:pPr>
    </w:p>
    <w:p>
      <w:pPr>
        <w:ind w:right="100"/>
        <w:spacing w:after="0" w:line="355" w:lineRule="auto"/>
        <w:rPr>
          <w:sz w:val="20"/>
          <w:szCs w:val="20"/>
          <w:color w:val="auto"/>
        </w:rPr>
      </w:pPr>
      <w:r>
        <w:rPr>
          <w:rFonts w:ascii="Arial" w:cs="Arial" w:eastAsia="Arial" w:hAnsi="Arial"/>
          <w:sz w:val="18"/>
          <w:szCs w:val="18"/>
          <w:color w:val="auto"/>
        </w:rPr>
        <w:t>Regarding the drivers for the changes in actuarial losses for the U.S. plans for the year ended December 31, 2025, bond yields decreased which drove decreases in the discount rates, and mortality adjustments increased life expectancy. The U.K. and Other plans had actuarial gains resulting from unfavorable effects from foreign exchange.</w:t>
      </w:r>
    </w:p>
    <w:p>
      <w:pPr>
        <w:spacing w:after="0" w:line="162" w:lineRule="exact"/>
        <w:rPr>
          <w:sz w:val="20"/>
          <w:szCs w:val="20"/>
          <w:color w:val="auto"/>
        </w:rPr>
      </w:pPr>
    </w:p>
    <w:p>
      <w:pPr>
        <w:ind w:right="140"/>
        <w:spacing w:after="0" w:line="347" w:lineRule="auto"/>
        <w:rPr>
          <w:sz w:val="20"/>
          <w:szCs w:val="20"/>
          <w:color w:val="auto"/>
        </w:rPr>
      </w:pPr>
      <w:r>
        <w:rPr>
          <w:rFonts w:ascii="Arial" w:cs="Arial" w:eastAsia="Arial" w:hAnsi="Arial"/>
          <w:sz w:val="18"/>
          <w:szCs w:val="18"/>
          <w:i w:val="1"/>
          <w:iCs w:val="1"/>
          <w:color w:val="auto"/>
        </w:rPr>
        <w:t xml:space="preserve">Annuity Purchase </w:t>
      </w:r>
      <w:r>
        <w:rPr>
          <w:rFonts w:ascii="Arial" w:cs="Arial" w:eastAsia="Arial" w:hAnsi="Arial"/>
          <w:sz w:val="18"/>
          <w:szCs w:val="18"/>
          <w:color w:val="auto"/>
        </w:rPr>
        <w:t>– In February 2025, the U.S. qualified plan purchased a nonparticipating single premium group</w:t>
      </w:r>
      <w:r>
        <w:rPr>
          <w:rFonts w:ascii="Arial" w:cs="Arial" w:eastAsia="Arial" w:hAnsi="Arial"/>
          <w:sz w:val="18"/>
          <w:szCs w:val="18"/>
          <w:i w:val="1"/>
          <w:iCs w:val="1"/>
          <w:color w:val="auto"/>
        </w:rPr>
        <w:t xml:space="preserve"> </w:t>
      </w:r>
      <w:r>
        <w:rPr>
          <w:rFonts w:ascii="Arial" w:cs="Arial" w:eastAsia="Arial" w:hAnsi="Arial"/>
          <w:sz w:val="18"/>
          <w:szCs w:val="18"/>
          <w:color w:val="auto"/>
        </w:rPr>
        <w:t>annuity contract from a third-party insurance company and irrevocably transferred to that insurance company approximately $423 million of the plan’s defined benefit pension obligations and related plan assets, thereby reducing the pension obligations and assets of the plan by this same amount. The group annuity contract was purchased using assets of the plan and no additional funding contribution was required by the Company. As a result of this transaction, the Company recognized a one-time, non-cash pre-tax pension settlement charge of</w:t>
      </w:r>
    </w:p>
    <w:p>
      <w:pPr>
        <w:spacing w:after="0" w:line="4" w:lineRule="exact"/>
        <w:rPr>
          <w:sz w:val="20"/>
          <w:szCs w:val="20"/>
          <w:color w:val="auto"/>
        </w:rPr>
      </w:pPr>
    </w:p>
    <w:p>
      <w:pPr>
        <w:ind w:right="140"/>
        <w:spacing w:after="0" w:line="363" w:lineRule="auto"/>
        <w:rPr>
          <w:sz w:val="20"/>
          <w:szCs w:val="20"/>
          <w:color w:val="auto"/>
        </w:rPr>
      </w:pPr>
      <w:r>
        <w:rPr>
          <w:rFonts w:ascii="Arial" w:cs="Arial" w:eastAsia="Arial" w:hAnsi="Arial"/>
          <w:sz w:val="18"/>
          <w:szCs w:val="18"/>
          <w:color w:val="auto"/>
        </w:rPr>
        <w:t>$82 million in the first quarter of 2025, attributable to the accelerated recognition of accumulated actuarial losses of the plan. An additional true-up to the settlement charge of $5 million was recorded in the fourth quarter of 2025.</w:t>
      </w:r>
    </w:p>
    <w:p>
      <w:pPr>
        <w:spacing w:after="0" w:line="154" w:lineRule="exact"/>
        <w:rPr>
          <w:sz w:val="20"/>
          <w:szCs w:val="20"/>
          <w:color w:val="auto"/>
        </w:rPr>
      </w:pPr>
    </w:p>
    <w:p>
      <w:pPr>
        <w:ind w:right="100"/>
        <w:spacing w:after="0" w:line="398" w:lineRule="auto"/>
        <w:rPr>
          <w:sz w:val="20"/>
          <w:szCs w:val="20"/>
          <w:color w:val="auto"/>
        </w:rPr>
      </w:pPr>
      <w:r>
        <w:rPr>
          <w:rFonts w:ascii="Arial" w:cs="Arial" w:eastAsia="Arial" w:hAnsi="Arial"/>
          <w:sz w:val="17"/>
          <w:szCs w:val="17"/>
          <w:color w:val="auto"/>
        </w:rPr>
        <w:t>For the year ended December 31, 2024, bond yields increased, driving increases in the discount rates and decreasing the benefit obligation for all plans. The U.K. and Other plans also had favorable effects from foreign exchange.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9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39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15</w:t>
      </w:r>
    </w:p>
    <w:p>
      <w:pPr>
        <w:sectPr>
          <w:pgSz w:w="11900" w:h="16838" w:orient="portrait"/>
          <w:cols w:equalWidth="0" w:num="1">
            <w:col w:w="9400"/>
          </w:cols>
          <w:pgMar w:left="1260" w:top="1397" w:right="1246" w:bottom="0" w:gutter="0" w:footer="0" w:header="0"/>
          <w:type w:val="continuous"/>
        </w:sectPr>
      </w:pPr>
    </w:p>
    <w:bookmarkStart w:id="229" w:name="page230"/>
    <w:bookmarkEnd w:id="2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9"/>
          <w:szCs w:val="19"/>
          <w:color w:val="auto"/>
        </w:rPr>
        <w:t>Amounts recognized in accumulated other comprehensive loss as of December 31, 2025 and 2024 consist of:</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6"/>
                <w:szCs w:val="16"/>
                <w:b w:val="1"/>
                <w:bCs w:val="1"/>
                <w:color w:val="auto"/>
              </w:rPr>
              <w:t>2025</w:t>
            </w: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248"/>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50"/>
        </w:trPr>
        <w:tc>
          <w:tcPr>
            <w:tcW w:w="3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265"/>
              <w:spacing w:after="0"/>
              <w:rPr>
                <w:sz w:val="20"/>
                <w:szCs w:val="20"/>
                <w:color w:val="auto"/>
              </w:rPr>
            </w:pPr>
            <w:r>
              <w:rPr>
                <w:rFonts w:ascii="Arial" w:cs="Arial" w:eastAsia="Arial" w:hAnsi="Arial"/>
                <w:sz w:val="16"/>
                <w:szCs w:val="16"/>
                <w:b w:val="1"/>
                <w:bCs w:val="1"/>
                <w:color w:val="auto"/>
              </w:rPr>
              <w:t>U.S.</w:t>
            </w:r>
          </w:p>
        </w:tc>
        <w:tc>
          <w:tcPr>
            <w:tcW w:w="280" w:type="dxa"/>
            <w:vAlign w:val="bottom"/>
          </w:tcPr>
          <w:p>
            <w:pPr>
              <w:spacing w:after="0"/>
              <w:rPr>
                <w:sz w:val="21"/>
                <w:szCs w:val="21"/>
                <w:color w:val="auto"/>
              </w:rPr>
            </w:pPr>
          </w:p>
        </w:tc>
        <w:tc>
          <w:tcPr>
            <w:tcW w:w="740" w:type="dxa"/>
            <w:vAlign w:val="bottom"/>
          </w:tcPr>
          <w:p>
            <w:pPr>
              <w:jc w:val="right"/>
              <w:ind w:right="268"/>
              <w:spacing w:after="0"/>
              <w:rPr>
                <w:sz w:val="20"/>
                <w:szCs w:val="20"/>
                <w:color w:val="auto"/>
              </w:rPr>
            </w:pPr>
            <w:r>
              <w:rPr>
                <w:rFonts w:ascii="Arial" w:cs="Arial" w:eastAsia="Arial" w:hAnsi="Arial"/>
                <w:sz w:val="16"/>
                <w:szCs w:val="16"/>
                <w:b w:val="1"/>
                <w:bCs w:val="1"/>
                <w:color w:val="auto"/>
              </w:rPr>
              <w:t>U.K.</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65"/>
              <w:spacing w:after="0"/>
              <w:rPr>
                <w:sz w:val="20"/>
                <w:szCs w:val="20"/>
                <w:color w:val="auto"/>
              </w:rPr>
            </w:pPr>
            <w:r>
              <w:rPr>
                <w:rFonts w:ascii="Arial" w:cs="Arial" w:eastAsia="Arial" w:hAnsi="Arial"/>
                <w:sz w:val="16"/>
                <w:szCs w:val="16"/>
                <w:b w:val="1"/>
                <w:bCs w:val="1"/>
                <w:color w:val="auto"/>
              </w:rPr>
              <w:t>U.S.</w:t>
            </w:r>
          </w:p>
        </w:tc>
        <w:tc>
          <w:tcPr>
            <w:tcW w:w="280" w:type="dxa"/>
            <w:vAlign w:val="bottom"/>
          </w:tcPr>
          <w:p>
            <w:pPr>
              <w:spacing w:after="0"/>
              <w:rPr>
                <w:sz w:val="21"/>
                <w:szCs w:val="21"/>
                <w:color w:val="auto"/>
              </w:rPr>
            </w:pPr>
          </w:p>
        </w:tc>
        <w:tc>
          <w:tcPr>
            <w:tcW w:w="740" w:type="dxa"/>
            <w:vAlign w:val="bottom"/>
          </w:tcPr>
          <w:p>
            <w:pPr>
              <w:jc w:val="right"/>
              <w:ind w:right="268"/>
              <w:spacing w:after="0"/>
              <w:rPr>
                <w:sz w:val="20"/>
                <w:szCs w:val="20"/>
                <w:color w:val="auto"/>
              </w:rPr>
            </w:pPr>
            <w:r>
              <w:rPr>
                <w:rFonts w:ascii="Arial" w:cs="Arial" w:eastAsia="Arial" w:hAnsi="Arial"/>
                <w:sz w:val="16"/>
                <w:szCs w:val="16"/>
                <w:b w:val="1"/>
                <w:bCs w:val="1"/>
                <w:color w:val="auto"/>
              </w:rPr>
              <w:t>U.K.</w:t>
            </w:r>
          </w:p>
        </w:tc>
        <w:tc>
          <w:tcPr>
            <w:tcW w:w="260" w:type="dxa"/>
            <w:vAlign w:val="bottom"/>
          </w:tcPr>
          <w:p>
            <w:pPr>
              <w:spacing w:after="0"/>
              <w:rPr>
                <w:sz w:val="21"/>
                <w:szCs w:val="21"/>
                <w:color w:val="auto"/>
              </w:rPr>
            </w:pPr>
          </w:p>
        </w:tc>
        <w:tc>
          <w:tcPr>
            <w:tcW w:w="760" w:type="dxa"/>
            <w:vAlign w:val="bottom"/>
          </w:tcPr>
          <w:p>
            <w:pPr>
              <w:jc w:val="right"/>
              <w:ind w:right="205"/>
              <w:spacing w:after="0"/>
              <w:rPr>
                <w:sz w:val="20"/>
                <w:szCs w:val="20"/>
                <w:color w:val="auto"/>
              </w:rPr>
            </w:pPr>
            <w:r>
              <w:rPr>
                <w:rFonts w:ascii="Arial" w:cs="Arial" w:eastAsia="Arial" w:hAnsi="Arial"/>
                <w:sz w:val="16"/>
                <w:szCs w:val="16"/>
                <w:b w:val="1"/>
                <w:bCs w:val="1"/>
                <w:color w:val="auto"/>
              </w:rPr>
              <w:t>Other</w:t>
            </w:r>
          </w:p>
        </w:tc>
      </w:tr>
      <w:tr>
        <w:trPr>
          <w:trHeight w:val="42"/>
        </w:trPr>
        <w:tc>
          <w:tcPr>
            <w:tcW w:w="3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80"/>
        </w:trPr>
        <w:tc>
          <w:tcPr>
            <w:tcW w:w="3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actuarial loss</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20"/>
                <w:szCs w:val="20"/>
                <w:color w:val="auto"/>
              </w:rPr>
              <w:t>982</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20"/>
                <w:szCs w:val="20"/>
                <w:color w:val="auto"/>
              </w:rPr>
              <w:t>1,850</w:t>
            </w:r>
          </w:p>
        </w:tc>
        <w:tc>
          <w:tcPr>
            <w:tcW w:w="720" w:type="dxa"/>
            <w:vAlign w:val="bottom"/>
            <w:tcBorders>
              <w:bottom w:val="single" w:sz="8" w:color="CFF0FC"/>
            </w:tcBorders>
            <w:shd w:val="clear" w:color="auto" w:fill="CFF0FC"/>
          </w:tcPr>
          <w:p>
            <w:pPr>
              <w:jc w:val="right"/>
              <w:ind w:right="427"/>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0"/>
              </w:rPr>
              <w:t>29</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20"/>
                <w:szCs w:val="20"/>
                <w:color w:val="auto"/>
              </w:rPr>
              <w:t>1,013</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20"/>
                <w:szCs w:val="20"/>
                <w:color w:val="auto"/>
              </w:rPr>
              <w:t>1,715</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20"/>
                <w:szCs w:val="20"/>
                <w:color w:val="auto"/>
              </w:rPr>
              <w:t>45</w:t>
            </w:r>
          </w:p>
        </w:tc>
      </w:tr>
      <w:tr>
        <w:trPr>
          <w:trHeight w:val="259"/>
        </w:trPr>
        <w:tc>
          <w:tcPr>
            <w:tcW w:w="3260" w:type="dxa"/>
            <w:vAlign w:val="bottom"/>
          </w:tcPr>
          <w:p>
            <w:pPr>
              <w:spacing w:after="0"/>
              <w:rPr>
                <w:sz w:val="20"/>
                <w:szCs w:val="20"/>
                <w:color w:val="auto"/>
              </w:rPr>
            </w:pPr>
            <w:r>
              <w:rPr>
                <w:rFonts w:ascii="Arial" w:cs="Arial" w:eastAsia="Arial" w:hAnsi="Arial"/>
                <w:sz w:val="20"/>
                <w:szCs w:val="20"/>
                <w:color w:val="auto"/>
              </w:rPr>
              <w:t>Net prior service loss</w:t>
            </w:r>
          </w:p>
        </w:tc>
        <w:tc>
          <w:tcPr>
            <w:tcW w:w="300" w:type="dxa"/>
            <w:vAlign w:val="bottom"/>
          </w:tcPr>
          <w:p>
            <w:pPr>
              <w:spacing w:after="0"/>
              <w:rPr>
                <w:sz w:val="22"/>
                <w:szCs w:val="22"/>
                <w:color w:val="auto"/>
              </w:rPr>
            </w:pPr>
          </w:p>
        </w:tc>
        <w:tc>
          <w:tcPr>
            <w:tcW w:w="740" w:type="dxa"/>
            <w:vAlign w:val="bottom"/>
          </w:tcPr>
          <w:p>
            <w:pPr>
              <w:jc w:val="right"/>
              <w:ind w:right="5"/>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20"/>
                <w:szCs w:val="20"/>
                <w:color w:val="auto"/>
              </w:rPr>
              <w:t>84</w:t>
            </w:r>
          </w:p>
        </w:tc>
        <w:tc>
          <w:tcPr>
            <w:tcW w:w="7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rPr>
              <w:t>7</w:t>
            </w:r>
          </w:p>
        </w:tc>
        <w:tc>
          <w:tcPr>
            <w:tcW w:w="280" w:type="dxa"/>
            <w:vAlign w:val="bottom"/>
          </w:tcPr>
          <w:p>
            <w:pPr>
              <w:spacing w:after="0"/>
              <w:rPr>
                <w:sz w:val="22"/>
                <w:szCs w:val="22"/>
                <w:color w:val="auto"/>
              </w:rPr>
            </w:pPr>
          </w:p>
        </w:tc>
        <w:tc>
          <w:tcPr>
            <w:tcW w:w="740" w:type="dxa"/>
            <w:vAlign w:val="bottom"/>
          </w:tcPr>
          <w:p>
            <w:pPr>
              <w:jc w:val="right"/>
              <w:ind w:right="5"/>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740" w:type="dxa"/>
            <w:vAlign w:val="bottom"/>
          </w:tcPr>
          <w:p>
            <w:pPr>
              <w:jc w:val="right"/>
              <w:ind w:right="8"/>
              <w:spacing w:after="0"/>
              <w:rPr>
                <w:sz w:val="20"/>
                <w:szCs w:val="20"/>
                <w:color w:val="auto"/>
              </w:rPr>
            </w:pPr>
            <w:r>
              <w:rPr>
                <w:rFonts w:ascii="Arial" w:cs="Arial" w:eastAsia="Arial" w:hAnsi="Arial"/>
                <w:sz w:val="20"/>
                <w:szCs w:val="20"/>
                <w:color w:val="auto"/>
              </w:rPr>
              <w:t>31</w:t>
            </w:r>
          </w:p>
        </w:tc>
        <w:tc>
          <w:tcPr>
            <w:tcW w:w="260" w:type="dxa"/>
            <w:vAlign w:val="bottom"/>
          </w:tcPr>
          <w:p>
            <w:pPr>
              <w:spacing w:after="0"/>
              <w:rPr>
                <w:sz w:val="22"/>
                <w:szCs w:val="22"/>
                <w:color w:val="auto"/>
              </w:rPr>
            </w:pPr>
          </w:p>
        </w:tc>
        <w:tc>
          <w:tcPr>
            <w:tcW w:w="760" w:type="dxa"/>
            <w:vAlign w:val="bottom"/>
          </w:tcPr>
          <w:p>
            <w:pPr>
              <w:jc w:val="right"/>
              <w:ind w:right="5"/>
              <w:spacing w:after="0"/>
              <w:rPr>
                <w:sz w:val="20"/>
                <w:szCs w:val="20"/>
                <w:color w:val="auto"/>
              </w:rPr>
            </w:pPr>
            <w:r>
              <w:rPr>
                <w:rFonts w:ascii="Arial" w:cs="Arial" w:eastAsia="Arial" w:hAnsi="Arial"/>
                <w:sz w:val="20"/>
                <w:szCs w:val="20"/>
                <w:color w:val="auto"/>
              </w:rPr>
              <w:t>7</w:t>
            </w:r>
          </w:p>
        </w:tc>
      </w:tr>
      <w:tr>
        <w:trPr>
          <w:trHeight w:val="51"/>
        </w:trPr>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9"/>
        </w:trPr>
        <w:tc>
          <w:tcPr>
            <w:tcW w:w="3260" w:type="dxa"/>
            <w:vAlign w:val="bottom"/>
            <w:shd w:val="clear" w:color="auto" w:fill="CFF0FC"/>
          </w:tcPr>
          <w:p>
            <w:pPr>
              <w:spacing w:after="0"/>
              <w:rPr>
                <w:sz w:val="20"/>
                <w:szCs w:val="20"/>
                <w:color w:val="auto"/>
              </w:rPr>
            </w:pPr>
            <w:r>
              <w:rPr>
                <w:rFonts w:ascii="Arial" w:cs="Arial" w:eastAsia="Arial" w:hAnsi="Arial"/>
                <w:sz w:val="20"/>
                <w:szCs w:val="20"/>
                <w:color w:val="auto"/>
                <w:w w:val="92"/>
              </w:rPr>
              <w:t>Accumulated other comprehensive loss</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5"/>
              <w:spacing w:after="0"/>
              <w:rPr>
                <w:sz w:val="20"/>
                <w:szCs w:val="20"/>
                <w:color w:val="auto"/>
              </w:rPr>
            </w:pPr>
            <w:r>
              <w:rPr>
                <w:rFonts w:ascii="Arial" w:cs="Arial" w:eastAsia="Arial" w:hAnsi="Arial"/>
                <w:sz w:val="20"/>
                <w:szCs w:val="20"/>
                <w:color w:val="auto"/>
              </w:rPr>
              <w:t>982</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20"/>
                <w:szCs w:val="20"/>
                <w:color w:val="auto"/>
              </w:rPr>
              <w:t>1,934</w:t>
            </w:r>
          </w:p>
        </w:tc>
        <w:tc>
          <w:tcPr>
            <w:tcW w:w="720" w:type="dxa"/>
            <w:vAlign w:val="bottom"/>
            <w:shd w:val="clear" w:color="auto" w:fill="CFF0FC"/>
          </w:tcPr>
          <w:p>
            <w:pPr>
              <w:jc w:val="right"/>
              <w:ind w:right="427"/>
              <w:spacing w:after="0"/>
              <w:rPr>
                <w:sz w:val="20"/>
                <w:szCs w:val="20"/>
                <w:color w:val="auto"/>
              </w:rPr>
            </w:pPr>
            <w:r>
              <w:rPr>
                <w:rFonts w:ascii="Arial" w:cs="Arial" w:eastAsia="Arial" w:hAnsi="Arial"/>
                <w:sz w:val="20"/>
                <w:szCs w:val="20"/>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0"/>
              </w:rPr>
              <w:t>36</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5"/>
              <w:spacing w:after="0"/>
              <w:rPr>
                <w:sz w:val="20"/>
                <w:szCs w:val="20"/>
                <w:color w:val="auto"/>
              </w:rPr>
            </w:pPr>
            <w:r>
              <w:rPr>
                <w:rFonts w:ascii="Arial" w:cs="Arial" w:eastAsia="Arial" w:hAnsi="Arial"/>
                <w:sz w:val="20"/>
                <w:szCs w:val="20"/>
                <w:color w:val="auto"/>
              </w:rPr>
              <w:t>1,013</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20"/>
                <w:szCs w:val="20"/>
                <w:color w:val="auto"/>
              </w:rPr>
              <w:t>1,746</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60" w:type="dxa"/>
            <w:vAlign w:val="bottom"/>
            <w:shd w:val="clear" w:color="auto" w:fill="CFF0FC"/>
          </w:tcPr>
          <w:p>
            <w:pPr>
              <w:jc w:val="right"/>
              <w:ind w:right="5"/>
              <w:spacing w:after="0"/>
              <w:rPr>
                <w:sz w:val="20"/>
                <w:szCs w:val="20"/>
                <w:color w:val="auto"/>
              </w:rPr>
            </w:pPr>
            <w:r>
              <w:rPr>
                <w:rFonts w:ascii="Arial" w:cs="Arial" w:eastAsia="Arial" w:hAnsi="Arial"/>
                <w:sz w:val="20"/>
                <w:szCs w:val="20"/>
                <w:color w:val="auto"/>
              </w:rPr>
              <w:t>52</w:t>
            </w:r>
          </w:p>
        </w:tc>
      </w:tr>
      <w:tr>
        <w:trPr>
          <w:trHeight w:val="86"/>
        </w:trPr>
        <w:tc>
          <w:tcPr>
            <w:tcW w:w="326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2151380</wp:posOffset>
            </wp:positionH>
            <wp:positionV relativeFrom="paragraph">
              <wp:posOffset>-770890</wp:posOffset>
            </wp:positionV>
            <wp:extent cx="3811905" cy="63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0">
                      <a:extLst>
                        <a:ext uri="{28A0092B-C50C-407E-A947-70E740481C1C}"/>
                      </a:extLst>
                    </a:blip>
                    <a:srcRect/>
                    <a:stretch>
                      <a:fillRect/>
                    </a:stretch>
                  </pic:blipFill>
                  <pic:spPr bwMode="auto">
                    <a:xfrm>
                      <a:off x="0" y="0"/>
                      <a:ext cx="3811905" cy="6350"/>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-612140</wp:posOffset>
            </wp:positionV>
            <wp:extent cx="3811905" cy="63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1">
                      <a:extLst>
                        <a:ext uri="{28A0092B-C50C-407E-A947-70E740481C1C}"/>
                      </a:extLst>
                    </a:blip>
                    <a:srcRect/>
                    <a:stretch>
                      <a:fillRect/>
                    </a:stretch>
                  </pic:blipFill>
                  <pic:spPr bwMode="auto">
                    <a:xfrm>
                      <a:off x="0" y="0"/>
                      <a:ext cx="3811905" cy="6350"/>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-224790</wp:posOffset>
            </wp:positionV>
            <wp:extent cx="3811905" cy="63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2">
                      <a:extLst>
                        <a:ext uri="{28A0092B-C50C-407E-A947-70E740481C1C}"/>
                      </a:extLst>
                    </a:blip>
                    <a:srcRect/>
                    <a:stretch>
                      <a:fillRect/>
                    </a:stretch>
                  </pic:blipFill>
                  <pic:spPr bwMode="auto">
                    <a:xfrm>
                      <a:off x="0" y="0"/>
                      <a:ext cx="3811905" cy="6350"/>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-27940</wp:posOffset>
            </wp:positionV>
            <wp:extent cx="3811905" cy="285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3">
                      <a:extLst>
                        <a:ext uri="{28A0092B-C50C-407E-A947-70E740481C1C}"/>
                      </a:extLst>
                    </a:blip>
                    <a:srcRect/>
                    <a:stretch>
                      <a:fillRect/>
                    </a:stretch>
                  </pic:blipFill>
                  <pic:spPr bwMode="auto">
                    <a:xfrm>
                      <a:off x="0" y="0"/>
                      <a:ext cx="3811905" cy="28575"/>
                    </a:xfrm>
                    <a:prstGeom prst="rect">
                      <a:avLst/>
                    </a:prstGeom>
                    <a:noFill/>
                  </pic:spPr>
                </pic:pic>
              </a:graphicData>
            </a:graphic>
          </wp:anchor>
        </w:drawing>
      </w:r>
    </w:p>
    <w:p>
      <w:pPr>
        <w:spacing w:after="0" w:line="199" w:lineRule="exact"/>
        <w:rPr>
          <w:sz w:val="20"/>
          <w:szCs w:val="20"/>
          <w:color w:val="auto"/>
        </w:rPr>
      </w:pPr>
    </w:p>
    <w:p>
      <w:pPr>
        <w:ind w:right="300"/>
        <w:spacing w:after="0" w:line="302" w:lineRule="auto"/>
        <w:rPr>
          <w:sz w:val="20"/>
          <w:szCs w:val="20"/>
          <w:color w:val="auto"/>
        </w:rPr>
      </w:pPr>
      <w:r>
        <w:rPr>
          <w:rFonts w:ascii="Arial" w:cs="Arial" w:eastAsia="Arial" w:hAnsi="Arial"/>
          <w:sz w:val="20"/>
          <w:szCs w:val="20"/>
          <w:color w:val="auto"/>
        </w:rPr>
        <w:t>The following table presents the projected benefit obligation and fair value of plan assets for our plans that have a projected benefit obligation in excess of plan assets as of December 31, 2025 and 2024:</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30"/>
              <w:spacing w:after="0"/>
              <w:rPr>
                <w:sz w:val="20"/>
                <w:szCs w:val="20"/>
                <w:color w:val="auto"/>
              </w:rPr>
            </w:pPr>
            <w:r>
              <w:rPr>
                <w:rFonts w:ascii="Arial" w:cs="Arial" w:eastAsia="Arial" w:hAnsi="Arial"/>
                <w:sz w:val="16"/>
                <w:szCs w:val="16"/>
                <w:b w:val="1"/>
                <w:bCs w:val="1"/>
                <w:color w:val="auto"/>
                <w:w w:val="95"/>
              </w:rPr>
              <w:t>2025</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230"/>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0"/>
        </w:trPr>
        <w:tc>
          <w:tcPr>
            <w:tcW w:w="3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jc w:val="right"/>
              <w:ind w:right="247"/>
              <w:spacing w:after="0"/>
              <w:rPr>
                <w:sz w:val="20"/>
                <w:szCs w:val="20"/>
                <w:color w:val="auto"/>
              </w:rPr>
            </w:pPr>
            <w:r>
              <w:rPr>
                <w:rFonts w:ascii="Arial" w:cs="Arial" w:eastAsia="Arial" w:hAnsi="Arial"/>
                <w:sz w:val="16"/>
                <w:szCs w:val="16"/>
                <w:b w:val="1"/>
                <w:bCs w:val="1"/>
                <w:color w:val="auto"/>
              </w:rPr>
              <w:t>U.S.</w:t>
            </w:r>
          </w:p>
        </w:tc>
        <w:tc>
          <w:tcPr>
            <w:tcW w:w="260" w:type="dxa"/>
            <w:vAlign w:val="bottom"/>
          </w:tcPr>
          <w:p>
            <w:pPr>
              <w:spacing w:after="0"/>
              <w:rPr>
                <w:sz w:val="21"/>
                <w:szCs w:val="21"/>
                <w:color w:val="auto"/>
              </w:rPr>
            </w:pPr>
          </w:p>
        </w:tc>
        <w:tc>
          <w:tcPr>
            <w:tcW w:w="680" w:type="dxa"/>
            <w:vAlign w:val="bottom"/>
          </w:tcPr>
          <w:p>
            <w:pPr>
              <w:jc w:val="right"/>
              <w:ind w:right="230"/>
              <w:spacing w:after="0"/>
              <w:rPr>
                <w:sz w:val="20"/>
                <w:szCs w:val="20"/>
                <w:color w:val="auto"/>
              </w:rPr>
            </w:pPr>
            <w:r>
              <w:rPr>
                <w:rFonts w:ascii="Arial" w:cs="Arial" w:eastAsia="Arial" w:hAnsi="Arial"/>
                <w:sz w:val="16"/>
                <w:szCs w:val="16"/>
                <w:b w:val="1"/>
                <w:bCs w:val="1"/>
                <w:color w:val="auto"/>
              </w:rPr>
              <w:t>U.K.</w:t>
            </w:r>
          </w:p>
        </w:tc>
        <w:tc>
          <w:tcPr>
            <w:tcW w:w="240" w:type="dxa"/>
            <w:vAlign w:val="bottom"/>
          </w:tcPr>
          <w:p>
            <w:pPr>
              <w:spacing w:after="0"/>
              <w:rPr>
                <w:sz w:val="21"/>
                <w:szCs w:val="21"/>
                <w:color w:val="auto"/>
              </w:rPr>
            </w:pPr>
          </w:p>
        </w:tc>
        <w:tc>
          <w:tcPr>
            <w:tcW w:w="700" w:type="dxa"/>
            <w:vAlign w:val="bottom"/>
          </w:tcPr>
          <w:p>
            <w:pPr>
              <w:jc w:val="right"/>
              <w:ind w:right="167"/>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21"/>
                <w:szCs w:val="21"/>
                <w:color w:val="auto"/>
              </w:rPr>
            </w:pPr>
          </w:p>
        </w:tc>
        <w:tc>
          <w:tcPr>
            <w:tcW w:w="680" w:type="dxa"/>
            <w:vAlign w:val="bottom"/>
          </w:tcPr>
          <w:p>
            <w:pPr>
              <w:jc w:val="right"/>
              <w:ind w:right="227"/>
              <w:spacing w:after="0"/>
              <w:rPr>
                <w:sz w:val="20"/>
                <w:szCs w:val="20"/>
                <w:color w:val="auto"/>
              </w:rPr>
            </w:pPr>
            <w:r>
              <w:rPr>
                <w:rFonts w:ascii="Arial" w:cs="Arial" w:eastAsia="Arial" w:hAnsi="Arial"/>
                <w:sz w:val="16"/>
                <w:szCs w:val="16"/>
                <w:b w:val="1"/>
                <w:bCs w:val="1"/>
                <w:color w:val="auto"/>
              </w:rPr>
              <w:t>U.S.</w:t>
            </w:r>
          </w:p>
        </w:tc>
        <w:tc>
          <w:tcPr>
            <w:tcW w:w="260" w:type="dxa"/>
            <w:vAlign w:val="bottom"/>
          </w:tcPr>
          <w:p>
            <w:pPr>
              <w:spacing w:after="0"/>
              <w:rPr>
                <w:sz w:val="21"/>
                <w:szCs w:val="21"/>
                <w:color w:val="auto"/>
              </w:rPr>
            </w:pPr>
          </w:p>
        </w:tc>
        <w:tc>
          <w:tcPr>
            <w:tcW w:w="700" w:type="dxa"/>
            <w:vAlign w:val="bottom"/>
          </w:tcPr>
          <w:p>
            <w:pPr>
              <w:jc w:val="right"/>
              <w:ind w:right="230"/>
              <w:spacing w:after="0"/>
              <w:rPr>
                <w:sz w:val="20"/>
                <w:szCs w:val="20"/>
                <w:color w:val="auto"/>
              </w:rPr>
            </w:pPr>
            <w:r>
              <w:rPr>
                <w:rFonts w:ascii="Arial" w:cs="Arial" w:eastAsia="Arial" w:hAnsi="Arial"/>
                <w:sz w:val="16"/>
                <w:szCs w:val="16"/>
                <w:b w:val="1"/>
                <w:bCs w:val="1"/>
                <w:color w:val="auto"/>
              </w:rPr>
              <w:t>U.K.</w:t>
            </w:r>
          </w:p>
        </w:tc>
        <w:tc>
          <w:tcPr>
            <w:tcW w:w="220" w:type="dxa"/>
            <w:vAlign w:val="bottom"/>
          </w:tcPr>
          <w:p>
            <w:pPr>
              <w:spacing w:after="0"/>
              <w:rPr>
                <w:sz w:val="21"/>
                <w:szCs w:val="21"/>
                <w:color w:val="auto"/>
              </w:rPr>
            </w:pPr>
          </w:p>
        </w:tc>
        <w:tc>
          <w:tcPr>
            <w:tcW w:w="720" w:type="dxa"/>
            <w:vAlign w:val="bottom"/>
          </w:tcPr>
          <w:p>
            <w:pPr>
              <w:jc w:val="right"/>
              <w:ind w:right="187"/>
              <w:spacing w:after="0"/>
              <w:rPr>
                <w:sz w:val="20"/>
                <w:szCs w:val="20"/>
                <w:color w:val="auto"/>
              </w:rPr>
            </w:pPr>
            <w:r>
              <w:rPr>
                <w:rFonts w:ascii="Arial" w:cs="Arial" w:eastAsia="Arial" w:hAnsi="Arial"/>
                <w:sz w:val="16"/>
                <w:szCs w:val="16"/>
                <w:b w:val="1"/>
                <w:bCs w:val="1"/>
                <w:color w:val="auto"/>
                <w:w w:val="98"/>
              </w:rPr>
              <w:t>Other</w:t>
            </w:r>
          </w:p>
        </w:tc>
      </w:tr>
      <w:tr>
        <w:trPr>
          <w:trHeight w:val="42"/>
        </w:trPr>
        <w:tc>
          <w:tcPr>
            <w:tcW w:w="3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80"/>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w w:val="96"/>
              </w:rPr>
              <w:t>Projected benefit obligation at end of year</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7"/>
              <w:spacing w:after="0"/>
              <w:rPr>
                <w:sz w:val="20"/>
                <w:szCs w:val="20"/>
                <w:color w:val="auto"/>
              </w:rPr>
            </w:pPr>
            <w:r>
              <w:rPr>
                <w:rFonts w:ascii="Arial" w:cs="Arial" w:eastAsia="Arial" w:hAnsi="Arial"/>
                <w:sz w:val="20"/>
                <w:szCs w:val="20"/>
                <w:color w:val="auto"/>
              </w:rPr>
              <w:t>3,550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20"/>
                <w:szCs w:val="20"/>
                <w:color w:val="auto"/>
              </w:rPr>
              <w:t>4</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CFF0FC"/>
            </w:tcBorders>
            <w:shd w:val="clear" w:color="auto" w:fill="CFF0FC"/>
          </w:tcPr>
          <w:p>
            <w:pPr>
              <w:jc w:val="right"/>
              <w:ind w:right="7"/>
              <w:spacing w:after="0"/>
              <w:rPr>
                <w:sz w:val="20"/>
                <w:szCs w:val="20"/>
                <w:color w:val="auto"/>
              </w:rPr>
            </w:pPr>
            <w:r>
              <w:rPr>
                <w:rFonts w:ascii="Arial" w:cs="Arial" w:eastAsia="Arial" w:hAnsi="Arial"/>
                <w:sz w:val="20"/>
                <w:szCs w:val="20"/>
                <w:color w:val="auto"/>
              </w:rPr>
              <w:t>331</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3,812</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20"/>
                <w:szCs w:val="20"/>
                <w:color w:val="auto"/>
              </w:rPr>
              <w:t>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FF0FC"/>
            </w:tcBorders>
            <w:shd w:val="clear" w:color="auto" w:fill="CFF0FC"/>
          </w:tcPr>
          <w:p>
            <w:pPr>
              <w:jc w:val="right"/>
              <w:ind w:right="7"/>
              <w:spacing w:after="0"/>
              <w:rPr>
                <w:sz w:val="20"/>
                <w:szCs w:val="20"/>
                <w:color w:val="auto"/>
              </w:rPr>
            </w:pPr>
            <w:r>
              <w:rPr>
                <w:rFonts w:ascii="Arial" w:cs="Arial" w:eastAsia="Arial" w:hAnsi="Arial"/>
                <w:sz w:val="20"/>
                <w:szCs w:val="20"/>
                <w:color w:val="auto"/>
              </w:rPr>
              <w:t>303</w:t>
            </w:r>
          </w:p>
        </w:tc>
      </w:tr>
      <w:tr>
        <w:trPr>
          <w:trHeight w:val="259"/>
        </w:trPr>
        <w:tc>
          <w:tcPr>
            <w:tcW w:w="3600" w:type="dxa"/>
            <w:vAlign w:val="bottom"/>
          </w:tcPr>
          <w:p>
            <w:pPr>
              <w:spacing w:after="0"/>
              <w:rPr>
                <w:sz w:val="20"/>
                <w:szCs w:val="20"/>
                <w:color w:val="auto"/>
              </w:rPr>
            </w:pPr>
            <w:r>
              <w:rPr>
                <w:rFonts w:ascii="Arial" w:cs="Arial" w:eastAsia="Arial" w:hAnsi="Arial"/>
                <w:sz w:val="20"/>
                <w:szCs w:val="20"/>
                <w:color w:val="auto"/>
              </w:rPr>
              <w:t>Fair value of plan assets at end of year</w:t>
            </w: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7"/>
              <w:spacing w:after="0"/>
              <w:rPr>
                <w:sz w:val="20"/>
                <w:szCs w:val="20"/>
                <w:color w:val="auto"/>
              </w:rPr>
            </w:pPr>
            <w:r>
              <w:rPr>
                <w:rFonts w:ascii="Arial" w:cs="Arial" w:eastAsia="Arial" w:hAnsi="Arial"/>
                <w:sz w:val="20"/>
                <w:szCs w:val="20"/>
                <w:color w:val="auto"/>
              </w:rPr>
              <w:t>3,143</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10"/>
              <w:spacing w:after="0"/>
              <w:rPr>
                <w:sz w:val="20"/>
                <w:szCs w:val="20"/>
                <w:color w:val="auto"/>
              </w:rPr>
            </w:pPr>
            <w:r>
              <w:rPr>
                <w:rFonts w:ascii="Arial" w:cs="Arial" w:eastAsia="Arial" w:hAnsi="Arial"/>
                <w:sz w:val="20"/>
                <w:szCs w:val="20"/>
                <w:color w:val="auto"/>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7"/>
              <w:spacing w:after="0"/>
              <w:rPr>
                <w:sz w:val="20"/>
                <w:szCs w:val="20"/>
                <w:color w:val="auto"/>
              </w:rPr>
            </w:pPr>
            <w:r>
              <w:rPr>
                <w:rFonts w:ascii="Arial" w:cs="Arial" w:eastAsia="Arial" w:hAnsi="Arial"/>
                <w:sz w:val="20"/>
                <w:szCs w:val="20"/>
                <w:color w:val="auto"/>
              </w:rPr>
              <w:t>212</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3,441</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1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7"/>
              <w:spacing w:after="0"/>
              <w:rPr>
                <w:sz w:val="20"/>
                <w:szCs w:val="20"/>
                <w:color w:val="auto"/>
              </w:rPr>
            </w:pPr>
            <w:r>
              <w:rPr>
                <w:rFonts w:ascii="Arial" w:cs="Arial" w:eastAsia="Arial" w:hAnsi="Arial"/>
                <w:sz w:val="20"/>
                <w:szCs w:val="20"/>
                <w:color w:val="auto"/>
              </w:rPr>
              <w:t>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-519430</wp:posOffset>
            </wp:positionV>
            <wp:extent cx="3531235" cy="63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4">
                      <a:extLst>
                        <a:ext uri="{28A0092B-C50C-407E-A947-70E740481C1C}"/>
                      </a:extLst>
                    </a:blip>
                    <a:srcRect/>
                    <a:stretch>
                      <a:fillRect/>
                    </a:stretch>
                  </pic:blipFill>
                  <pic:spPr bwMode="auto">
                    <a:xfrm>
                      <a:off x="0" y="0"/>
                      <a:ext cx="3531235" cy="63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-360680</wp:posOffset>
            </wp:positionV>
            <wp:extent cx="3531235" cy="63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5">
                      <a:extLst>
                        <a:ext uri="{28A0092B-C50C-407E-A947-70E740481C1C}"/>
                      </a:extLst>
                    </a:blip>
                    <a:srcRect/>
                    <a:stretch>
                      <a:fillRect/>
                    </a:stretch>
                  </pic:blipFill>
                  <pic:spPr bwMode="auto">
                    <a:xfrm>
                      <a:off x="0" y="0"/>
                      <a:ext cx="3531235" cy="6350"/>
                    </a:xfrm>
                    <a:prstGeom prst="rect">
                      <a:avLst/>
                    </a:prstGeom>
                    <a:noFill/>
                  </pic:spPr>
                </pic:pic>
              </a:graphicData>
            </a:graphic>
          </wp:anchor>
        </w:drawing>
      </w:r>
    </w:p>
    <w:p>
      <w:pPr>
        <w:spacing w:after="0" w:line="240" w:lineRule="exact"/>
        <w:rPr>
          <w:sz w:val="20"/>
          <w:szCs w:val="20"/>
          <w:color w:val="auto"/>
        </w:rPr>
      </w:pPr>
    </w:p>
    <w:p>
      <w:pPr>
        <w:ind w:right="240"/>
        <w:spacing w:after="0" w:line="307" w:lineRule="auto"/>
        <w:rPr>
          <w:sz w:val="20"/>
          <w:szCs w:val="20"/>
          <w:color w:val="auto"/>
        </w:rPr>
      </w:pPr>
      <w:r>
        <w:rPr>
          <w:rFonts w:ascii="Arial" w:cs="Arial" w:eastAsia="Arial" w:hAnsi="Arial"/>
          <w:sz w:val="20"/>
          <w:szCs w:val="20"/>
          <w:color w:val="auto"/>
        </w:rPr>
        <w:t>The following table presents the projected benefit obligation, accumulated benefit obligation and fair value of plan assets for our plans that have an accumulated benefit obligation in excess of plan assets as of December 31, 2025 and 2024.</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0"/>
        </w:trPr>
        <w:tc>
          <w:tcPr>
            <w:tcW w:w="3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245"/>
              <w:spacing w:after="0"/>
              <w:rPr>
                <w:sz w:val="20"/>
                <w:szCs w:val="20"/>
                <w:color w:val="auto"/>
              </w:rPr>
            </w:pPr>
            <w:r>
              <w:rPr>
                <w:rFonts w:ascii="Arial" w:cs="Arial" w:eastAsia="Arial" w:hAnsi="Arial"/>
                <w:sz w:val="16"/>
                <w:szCs w:val="16"/>
                <w:b w:val="1"/>
                <w:bCs w:val="1"/>
                <w:color w:val="auto"/>
              </w:rPr>
              <w:t>U.S.</w:t>
            </w:r>
          </w:p>
        </w:tc>
        <w:tc>
          <w:tcPr>
            <w:tcW w:w="260" w:type="dxa"/>
            <w:vAlign w:val="bottom"/>
          </w:tcPr>
          <w:p>
            <w:pPr>
              <w:spacing w:after="0"/>
              <w:rPr>
                <w:sz w:val="21"/>
                <w:szCs w:val="21"/>
                <w:color w:val="auto"/>
              </w:rPr>
            </w:pPr>
          </w:p>
        </w:tc>
        <w:tc>
          <w:tcPr>
            <w:tcW w:w="680" w:type="dxa"/>
            <w:vAlign w:val="bottom"/>
          </w:tcPr>
          <w:p>
            <w:pPr>
              <w:jc w:val="right"/>
              <w:ind w:right="208"/>
              <w:spacing w:after="0"/>
              <w:rPr>
                <w:sz w:val="20"/>
                <w:szCs w:val="20"/>
                <w:color w:val="auto"/>
              </w:rPr>
            </w:pPr>
            <w:r>
              <w:rPr>
                <w:rFonts w:ascii="Arial" w:cs="Arial" w:eastAsia="Arial" w:hAnsi="Arial"/>
                <w:sz w:val="16"/>
                <w:szCs w:val="16"/>
                <w:b w:val="1"/>
                <w:bCs w:val="1"/>
                <w:color w:val="auto"/>
              </w:rPr>
              <w:t>U.K.</w:t>
            </w:r>
          </w:p>
        </w:tc>
        <w:tc>
          <w:tcPr>
            <w:tcW w:w="240" w:type="dxa"/>
            <w:vAlign w:val="bottom"/>
          </w:tcPr>
          <w:p>
            <w:pPr>
              <w:spacing w:after="0"/>
              <w:rPr>
                <w:sz w:val="21"/>
                <w:szCs w:val="21"/>
                <w:color w:val="auto"/>
              </w:rPr>
            </w:pPr>
          </w:p>
        </w:tc>
        <w:tc>
          <w:tcPr>
            <w:tcW w:w="700" w:type="dxa"/>
            <w:vAlign w:val="bottom"/>
          </w:tcPr>
          <w:p>
            <w:pPr>
              <w:jc w:val="right"/>
              <w:ind w:right="165"/>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21"/>
                <w:szCs w:val="21"/>
                <w:color w:val="auto"/>
              </w:rPr>
            </w:pPr>
          </w:p>
        </w:tc>
        <w:tc>
          <w:tcPr>
            <w:tcW w:w="680" w:type="dxa"/>
            <w:vAlign w:val="bottom"/>
          </w:tcPr>
          <w:p>
            <w:pPr>
              <w:jc w:val="right"/>
              <w:ind w:right="225"/>
              <w:spacing w:after="0"/>
              <w:rPr>
                <w:sz w:val="20"/>
                <w:szCs w:val="20"/>
                <w:color w:val="auto"/>
              </w:rPr>
            </w:pPr>
            <w:r>
              <w:rPr>
                <w:rFonts w:ascii="Arial" w:cs="Arial" w:eastAsia="Arial" w:hAnsi="Arial"/>
                <w:sz w:val="16"/>
                <w:szCs w:val="16"/>
                <w:b w:val="1"/>
                <w:bCs w:val="1"/>
                <w:color w:val="auto"/>
              </w:rPr>
              <w:t>U.S.</w:t>
            </w:r>
          </w:p>
        </w:tc>
        <w:tc>
          <w:tcPr>
            <w:tcW w:w="260" w:type="dxa"/>
            <w:vAlign w:val="bottom"/>
          </w:tcPr>
          <w:p>
            <w:pPr>
              <w:spacing w:after="0"/>
              <w:rPr>
                <w:sz w:val="21"/>
                <w:szCs w:val="21"/>
                <w:color w:val="auto"/>
              </w:rPr>
            </w:pPr>
          </w:p>
        </w:tc>
        <w:tc>
          <w:tcPr>
            <w:tcW w:w="700" w:type="dxa"/>
            <w:vAlign w:val="bottom"/>
          </w:tcPr>
          <w:p>
            <w:pPr>
              <w:jc w:val="right"/>
              <w:ind w:right="228"/>
              <w:spacing w:after="0"/>
              <w:rPr>
                <w:sz w:val="20"/>
                <w:szCs w:val="20"/>
                <w:color w:val="auto"/>
              </w:rPr>
            </w:pPr>
            <w:r>
              <w:rPr>
                <w:rFonts w:ascii="Arial" w:cs="Arial" w:eastAsia="Arial" w:hAnsi="Arial"/>
                <w:sz w:val="16"/>
                <w:szCs w:val="16"/>
                <w:b w:val="1"/>
                <w:bCs w:val="1"/>
                <w:color w:val="auto"/>
              </w:rPr>
              <w:t>U.K.</w:t>
            </w:r>
          </w:p>
        </w:tc>
        <w:tc>
          <w:tcPr>
            <w:tcW w:w="220" w:type="dxa"/>
            <w:vAlign w:val="bottom"/>
          </w:tcPr>
          <w:p>
            <w:pPr>
              <w:spacing w:after="0"/>
              <w:rPr>
                <w:sz w:val="21"/>
                <w:szCs w:val="21"/>
                <w:color w:val="auto"/>
              </w:rPr>
            </w:pPr>
          </w:p>
        </w:tc>
        <w:tc>
          <w:tcPr>
            <w:tcW w:w="720" w:type="dxa"/>
            <w:vAlign w:val="bottom"/>
          </w:tcPr>
          <w:p>
            <w:pPr>
              <w:jc w:val="right"/>
              <w:ind w:right="185"/>
              <w:spacing w:after="0"/>
              <w:rPr>
                <w:sz w:val="20"/>
                <w:szCs w:val="20"/>
                <w:color w:val="auto"/>
              </w:rPr>
            </w:pPr>
            <w:r>
              <w:rPr>
                <w:rFonts w:ascii="Arial" w:cs="Arial" w:eastAsia="Arial" w:hAnsi="Arial"/>
                <w:sz w:val="16"/>
                <w:szCs w:val="16"/>
                <w:b w:val="1"/>
                <w:bCs w:val="1"/>
                <w:color w:val="auto"/>
                <w:w w:val="98"/>
              </w:rPr>
              <w:t>Other</w:t>
            </w:r>
          </w:p>
        </w:tc>
      </w:tr>
      <w:tr>
        <w:trPr>
          <w:trHeight w:val="42"/>
        </w:trPr>
        <w:tc>
          <w:tcPr>
            <w:tcW w:w="3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80"/>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Projected benefit obligation at end of year</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20"/>
                <w:szCs w:val="20"/>
                <w:color w:val="auto"/>
              </w:rPr>
              <w:t>3,550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20"/>
                <w:szCs w:val="20"/>
                <w:color w:val="auto"/>
              </w:rPr>
              <w:t>4</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20"/>
                <w:szCs w:val="20"/>
                <w:color w:val="auto"/>
              </w:rPr>
              <w:t>331</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3,812</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20"/>
                <w:szCs w:val="20"/>
                <w:color w:val="auto"/>
              </w:rPr>
              <w:t>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20"/>
                <w:szCs w:val="20"/>
                <w:color w:val="auto"/>
              </w:rPr>
              <w:t>303</w:t>
            </w:r>
          </w:p>
        </w:tc>
      </w:tr>
      <w:tr>
        <w:trPr>
          <w:trHeight w:val="259"/>
        </w:trPr>
        <w:tc>
          <w:tcPr>
            <w:tcW w:w="3760" w:type="dxa"/>
            <w:vAlign w:val="bottom"/>
          </w:tcPr>
          <w:p>
            <w:pPr>
              <w:spacing w:after="0"/>
              <w:rPr>
                <w:sz w:val="20"/>
                <w:szCs w:val="20"/>
                <w:color w:val="auto"/>
              </w:rPr>
            </w:pPr>
            <w:r>
              <w:rPr>
                <w:rFonts w:ascii="Arial" w:cs="Arial" w:eastAsia="Arial" w:hAnsi="Arial"/>
                <w:sz w:val="20"/>
                <w:szCs w:val="20"/>
                <w:color w:val="auto"/>
                <w:w w:val="93"/>
              </w:rPr>
              <w:t>Accumulated benefit obligation at end of year</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5"/>
              <w:spacing w:after="0"/>
              <w:rPr>
                <w:sz w:val="20"/>
                <w:szCs w:val="20"/>
                <w:color w:val="auto"/>
              </w:rPr>
            </w:pPr>
            <w:r>
              <w:rPr>
                <w:rFonts w:ascii="Arial" w:cs="Arial" w:eastAsia="Arial" w:hAnsi="Arial"/>
                <w:sz w:val="20"/>
                <w:szCs w:val="20"/>
                <w:color w:val="auto"/>
              </w:rPr>
              <w:t>3,550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8"/>
              <w:spacing w:after="0"/>
              <w:rPr>
                <w:sz w:val="20"/>
                <w:szCs w:val="20"/>
                <w:color w:val="auto"/>
              </w:rPr>
            </w:pPr>
            <w:r>
              <w:rPr>
                <w:rFonts w:ascii="Arial" w:cs="Arial" w:eastAsia="Arial" w:hAnsi="Arial"/>
                <w:sz w:val="20"/>
                <w:szCs w:val="20"/>
                <w:color w:val="auto"/>
              </w:rPr>
              <w:t>4</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5"/>
              <w:spacing w:after="0"/>
              <w:rPr>
                <w:sz w:val="20"/>
                <w:szCs w:val="20"/>
                <w:color w:val="auto"/>
              </w:rPr>
            </w:pPr>
            <w:r>
              <w:rPr>
                <w:rFonts w:ascii="Arial" w:cs="Arial" w:eastAsia="Arial" w:hAnsi="Arial"/>
                <w:sz w:val="20"/>
                <w:szCs w:val="20"/>
                <w:color w:val="auto"/>
              </w:rPr>
              <w:t>319</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3,812</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8"/>
              <w:spacing w:after="0"/>
              <w:rPr>
                <w:sz w:val="20"/>
                <w:szCs w:val="20"/>
                <w:color w:val="auto"/>
              </w:rPr>
            </w:pPr>
            <w:r>
              <w:rPr>
                <w:rFonts w:ascii="Arial" w:cs="Arial" w:eastAsia="Arial" w:hAnsi="Arial"/>
                <w:sz w:val="20"/>
                <w:szCs w:val="20"/>
                <w:color w:val="auto"/>
              </w:rPr>
              <w:t>4</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5"/>
              <w:spacing w:after="0"/>
              <w:rPr>
                <w:sz w:val="20"/>
                <w:szCs w:val="20"/>
                <w:color w:val="auto"/>
              </w:rPr>
            </w:pPr>
            <w:r>
              <w:rPr>
                <w:rFonts w:ascii="Arial" w:cs="Arial" w:eastAsia="Arial" w:hAnsi="Arial"/>
                <w:sz w:val="20"/>
                <w:szCs w:val="20"/>
                <w:color w:val="auto"/>
              </w:rPr>
              <w:t>289</w:t>
            </w:r>
          </w:p>
        </w:tc>
      </w:tr>
      <w:tr>
        <w:trPr>
          <w:trHeight w:val="41"/>
        </w:trPr>
        <w:tc>
          <w:tcPr>
            <w:tcW w:w="3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59"/>
        </w:trPr>
        <w:tc>
          <w:tcPr>
            <w:tcW w:w="3760" w:type="dxa"/>
            <w:vAlign w:val="bottom"/>
            <w:shd w:val="clear" w:color="auto" w:fill="CFF0FC"/>
          </w:tcPr>
          <w:p>
            <w:pPr>
              <w:spacing w:after="0"/>
              <w:rPr>
                <w:sz w:val="20"/>
                <w:szCs w:val="20"/>
                <w:color w:val="auto"/>
              </w:rPr>
            </w:pPr>
            <w:r>
              <w:rPr>
                <w:rFonts w:ascii="Arial" w:cs="Arial" w:eastAsia="Arial" w:hAnsi="Arial"/>
                <w:sz w:val="20"/>
                <w:szCs w:val="20"/>
                <w:color w:val="auto"/>
              </w:rPr>
              <w:t>Fair value of plan assets at end of year</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5"/>
              <w:spacing w:after="0"/>
              <w:rPr>
                <w:sz w:val="20"/>
                <w:szCs w:val="20"/>
                <w:color w:val="auto"/>
              </w:rPr>
            </w:pPr>
            <w:r>
              <w:rPr>
                <w:rFonts w:ascii="Arial" w:cs="Arial" w:eastAsia="Arial" w:hAnsi="Arial"/>
                <w:sz w:val="20"/>
                <w:szCs w:val="20"/>
                <w:color w:val="auto"/>
              </w:rPr>
              <w:t>3,143</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ind w:right="5"/>
              <w:spacing w:after="0"/>
              <w:rPr>
                <w:sz w:val="20"/>
                <w:szCs w:val="20"/>
                <w:color w:val="auto"/>
              </w:rPr>
            </w:pPr>
            <w:r>
              <w:rPr>
                <w:rFonts w:ascii="Arial" w:cs="Arial" w:eastAsia="Arial" w:hAnsi="Arial"/>
                <w:sz w:val="20"/>
                <w:szCs w:val="20"/>
                <w:color w:val="auto"/>
              </w:rPr>
              <w:t>212</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3,441</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20" w:type="dxa"/>
            <w:vAlign w:val="bottom"/>
            <w:shd w:val="clear" w:color="auto" w:fill="CFF0FC"/>
          </w:tcPr>
          <w:p>
            <w:pPr>
              <w:jc w:val="right"/>
              <w:ind w:right="5"/>
              <w:spacing w:after="0"/>
              <w:rPr>
                <w:sz w:val="20"/>
                <w:szCs w:val="20"/>
                <w:color w:val="auto"/>
              </w:rPr>
            </w:pPr>
            <w:r>
              <w:rPr>
                <w:rFonts w:ascii="Arial" w:cs="Arial" w:eastAsia="Arial" w:hAnsi="Arial"/>
                <w:sz w:val="20"/>
                <w:szCs w:val="20"/>
                <w:color w:val="auto"/>
              </w:rPr>
              <w:t>179</w:t>
            </w:r>
          </w:p>
        </w:tc>
      </w:tr>
      <w:tr>
        <w:trPr>
          <w:trHeight w:val="41"/>
        </w:trPr>
        <w:tc>
          <w:tcPr>
            <w:tcW w:w="376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68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-735965</wp:posOffset>
            </wp:positionV>
            <wp:extent cx="3530600"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6">
                      <a:extLst>
                        <a:ext uri="{28A0092B-C50C-407E-A947-70E740481C1C}"/>
                      </a:extLst>
                    </a:blip>
                    <a:srcRect/>
                    <a:stretch>
                      <a:fillRect/>
                    </a:stretch>
                  </pic:blipFill>
                  <pic:spPr bwMode="auto">
                    <a:xfrm>
                      <a:off x="0" y="0"/>
                      <a:ext cx="3530600" cy="6350"/>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-577215</wp:posOffset>
            </wp:positionV>
            <wp:extent cx="3530600" cy="63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7">
                      <a:extLst>
                        <a:ext uri="{28A0092B-C50C-407E-A947-70E740481C1C}"/>
                      </a:extLst>
                    </a:blip>
                    <a:srcRect/>
                    <a:stretch>
                      <a:fillRect/>
                    </a:stretch>
                  </pic:blipFill>
                  <pic:spPr bwMode="auto">
                    <a:xfrm>
                      <a:off x="0" y="0"/>
                      <a:ext cx="3530600" cy="6350"/>
                    </a:xfrm>
                    <a:prstGeom prst="rect">
                      <a:avLst/>
                    </a:prstGeom>
                    <a:noFill/>
                  </pic:spPr>
                </pic:pic>
              </a:graphicData>
            </a:graphic>
          </wp:anchor>
        </w:drawing>
      </w:r>
    </w:p>
    <w:p>
      <w:pPr>
        <w:spacing w:after="0" w:line="199" w:lineRule="exact"/>
        <w:rPr>
          <w:sz w:val="20"/>
          <w:szCs w:val="20"/>
          <w:color w:val="auto"/>
        </w:rPr>
      </w:pPr>
    </w:p>
    <w:p>
      <w:pPr>
        <w:jc w:val="both"/>
        <w:ind w:right="120"/>
        <w:spacing w:after="0" w:line="363" w:lineRule="auto"/>
        <w:rPr>
          <w:sz w:val="20"/>
          <w:szCs w:val="20"/>
          <w:color w:val="auto"/>
        </w:rPr>
      </w:pPr>
      <w:r>
        <w:rPr>
          <w:rFonts w:ascii="Arial" w:cs="Arial" w:eastAsia="Arial" w:hAnsi="Arial"/>
          <w:sz w:val="18"/>
          <w:szCs w:val="18"/>
          <w:color w:val="auto"/>
        </w:rPr>
        <w:t>The components of the net periodic benefit income and other amounts recognized in other comprehensive (income)/ loss for the years ended December 31, 2025, 2024 and 2023 for the defined benefit pension plans are as follows: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right="300" w:hanging="36"/>
        <w:spacing w:after="0" w:line="352" w:lineRule="auto"/>
        <w:rPr>
          <w:sz w:val="20"/>
          <w:szCs w:val="20"/>
          <w:color w:val="auto"/>
        </w:rPr>
      </w:pPr>
      <w:r>
        <w:rPr>
          <w:rFonts w:ascii="Arial" w:cs="Arial" w:eastAsia="Arial" w:hAnsi="Arial"/>
          <w:sz w:val="13"/>
          <w:szCs w:val="13"/>
          <w:color w:val="auto"/>
        </w:rPr>
        <w:t>Components of net periodic benefit cost/(credit): Service cost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cost</w:t>
      </w:r>
    </w:p>
    <w:p>
      <w:pPr>
        <w:spacing w:after="0" w:line="160" w:lineRule="exact"/>
        <w:rPr>
          <w:sz w:val="20"/>
          <w:szCs w:val="20"/>
          <w:color w:val="auto"/>
        </w:rPr>
      </w:pPr>
    </w:p>
    <w:p>
      <w:pPr>
        <w:ind w:left="140" w:right="480" w:hanging="104"/>
        <w:spacing w:after="0" w:line="303" w:lineRule="auto"/>
        <w:rPr>
          <w:sz w:val="20"/>
          <w:szCs w:val="20"/>
          <w:color w:val="auto"/>
        </w:rPr>
      </w:pPr>
      <w:r>
        <w:rPr>
          <w:rFonts w:ascii="Arial" w:cs="Arial" w:eastAsia="Arial" w:hAnsi="Arial"/>
          <w:sz w:val="14"/>
          <w:szCs w:val="14"/>
          <w:color w:val="auto"/>
        </w:rPr>
        <w:t>Expected return on plan assets</w:t>
      </w:r>
    </w:p>
    <w:p>
      <w:pPr>
        <w:spacing w:after="0" w:line="28" w:lineRule="exact"/>
        <w:rPr>
          <w:sz w:val="20"/>
          <w:szCs w:val="20"/>
          <w:color w:val="auto"/>
        </w:rPr>
      </w:pPr>
    </w:p>
    <w:p>
      <w:pPr>
        <w:jc w:val="center"/>
        <w:ind w:right="100"/>
        <w:spacing w:after="0" w:line="373" w:lineRule="auto"/>
        <w:rPr>
          <w:sz w:val="20"/>
          <w:szCs w:val="20"/>
          <w:color w:val="auto"/>
        </w:rPr>
      </w:pPr>
      <w:r>
        <w:rPr>
          <w:rFonts w:ascii="Arial" w:cs="Arial" w:eastAsia="Arial" w:hAnsi="Arial"/>
          <w:sz w:val="12"/>
          <w:szCs w:val="12"/>
          <w:color w:val="auto"/>
        </w:rPr>
        <w:t>Amortization of unrecognized prior service (credit)/cost Amortization of unrecognized</w:t>
      </w:r>
    </w:p>
    <w:p>
      <w:pPr>
        <w:ind w:left="140"/>
        <w:spacing w:after="0" w:line="232" w:lineRule="auto"/>
        <w:rPr>
          <w:sz w:val="20"/>
          <w:szCs w:val="20"/>
          <w:color w:val="auto"/>
        </w:rPr>
      </w:pPr>
      <w:r>
        <w:rPr>
          <w:rFonts w:ascii="Arial" w:cs="Arial" w:eastAsia="Arial" w:hAnsi="Arial"/>
          <w:sz w:val="14"/>
          <w:szCs w:val="14"/>
          <w:color w:val="auto"/>
        </w:rPr>
        <w:t>actuarial loss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Net periodic benefit cost/(credit)</w:t>
      </w:r>
    </w:p>
    <w:p>
      <w:pPr>
        <w:spacing w:after="0" w:line="175" w:lineRule="exact"/>
        <w:rPr>
          <w:sz w:val="20"/>
          <w:szCs w:val="20"/>
          <w:color w:val="auto"/>
        </w:rPr>
      </w:pPr>
    </w:p>
    <w:p>
      <w:pPr>
        <w:ind w:left="180" w:hanging="139"/>
        <w:spacing w:after="0" w:line="371" w:lineRule="auto"/>
        <w:rPr>
          <w:sz w:val="20"/>
          <w:szCs w:val="20"/>
          <w:color w:val="auto"/>
        </w:rPr>
      </w:pPr>
      <w:r>
        <w:rPr>
          <w:rFonts w:ascii="Arial" w:cs="Arial" w:eastAsia="Arial" w:hAnsi="Arial"/>
          <w:sz w:val="12"/>
          <w:szCs w:val="12"/>
          <w:color w:val="auto"/>
        </w:rPr>
        <w:t>Other changes in plan assets and benefit obligations recognized in other comprehensive (income)/loss:</w:t>
      </w:r>
    </w:p>
    <w:p>
      <w:pPr>
        <w:ind w:left="40"/>
        <w:spacing w:after="0" w:line="232" w:lineRule="auto"/>
        <w:rPr>
          <w:sz w:val="20"/>
          <w:szCs w:val="20"/>
          <w:color w:val="auto"/>
        </w:rPr>
      </w:pPr>
      <w:r>
        <w:rPr>
          <w:rFonts w:ascii="Arial" w:cs="Arial" w:eastAsia="Arial" w:hAnsi="Arial"/>
          <w:sz w:val="14"/>
          <w:szCs w:val="14"/>
          <w:color w:val="auto"/>
        </w:rPr>
        <w:t>Net actuarial loss/(gain)</w:t>
      </w:r>
    </w:p>
    <w:p>
      <w:pPr>
        <w:spacing w:after="0" w:line="160" w:lineRule="exact"/>
        <w:rPr>
          <w:sz w:val="20"/>
          <w:szCs w:val="20"/>
          <w:color w:val="auto"/>
        </w:rPr>
      </w:pPr>
    </w:p>
    <w:p>
      <w:pPr>
        <w:ind w:left="140" w:right="140" w:hanging="104"/>
        <w:spacing w:after="0" w:line="345" w:lineRule="auto"/>
        <w:rPr>
          <w:sz w:val="20"/>
          <w:szCs w:val="20"/>
          <w:color w:val="auto"/>
        </w:rPr>
      </w:pPr>
      <w:r>
        <w:rPr>
          <w:rFonts w:ascii="Arial" w:cs="Arial" w:eastAsia="Arial" w:hAnsi="Arial"/>
          <w:sz w:val="13"/>
          <w:szCs w:val="13"/>
          <w:color w:val="auto"/>
        </w:rPr>
        <w:t>Amortization of unrecognized actuarial loss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01"/>
              <w:spacing w:after="0"/>
              <w:rPr>
                <w:sz w:val="20"/>
                <w:szCs w:val="20"/>
                <w:color w:val="auto"/>
              </w:rPr>
            </w:pPr>
            <w:r>
              <w:rPr>
                <w:rFonts w:ascii="Arial" w:cs="Arial" w:eastAsia="Arial" w:hAnsi="Arial"/>
                <w:sz w:val="15"/>
                <w:szCs w:val="15"/>
                <w:b w:val="1"/>
                <w:bCs w:val="1"/>
                <w:color w:val="auto"/>
              </w:rPr>
              <w:t>2025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81"/>
              <w:spacing w:after="0"/>
              <w:rPr>
                <w:sz w:val="20"/>
                <w:szCs w:val="20"/>
                <w:color w:val="auto"/>
              </w:rPr>
            </w:pPr>
            <w:r>
              <w:rPr>
                <w:rFonts w:ascii="Arial" w:cs="Arial" w:eastAsia="Arial" w:hAnsi="Arial"/>
                <w:sz w:val="15"/>
                <w:szCs w:val="15"/>
                <w:b w:val="1"/>
                <w:bCs w:val="1"/>
                <w:color w:val="auto"/>
              </w:rPr>
              <w:t>2024</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61"/>
              <w:spacing w:after="0"/>
              <w:rPr>
                <w:sz w:val="20"/>
                <w:szCs w:val="20"/>
                <w:color w:val="auto"/>
              </w:rPr>
            </w:pPr>
            <w:r>
              <w:rPr>
                <w:rFonts w:ascii="Arial" w:cs="Arial" w:eastAsia="Arial" w:hAnsi="Arial"/>
                <w:sz w:val="15"/>
                <w:szCs w:val="15"/>
                <w:b w:val="1"/>
                <w:bCs w:val="1"/>
                <w:color w:val="auto"/>
              </w:rPr>
              <w:t>2023</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49"/>
        </w:trPr>
        <w:tc>
          <w:tcPr>
            <w:tcW w:w="120" w:type="dxa"/>
            <w:vAlign w:val="bottom"/>
          </w:tcPr>
          <w:p>
            <w:pPr>
              <w:spacing w:after="0"/>
              <w:rPr>
                <w:sz w:val="21"/>
                <w:szCs w:val="21"/>
                <w:color w:val="auto"/>
              </w:rPr>
            </w:pPr>
          </w:p>
        </w:tc>
        <w:tc>
          <w:tcPr>
            <w:tcW w:w="580" w:type="dxa"/>
            <w:vAlign w:val="bottom"/>
          </w:tcPr>
          <w:p>
            <w:pPr>
              <w:jc w:val="right"/>
              <w:ind w:right="201"/>
              <w:spacing w:after="0"/>
              <w:rPr>
                <w:sz w:val="20"/>
                <w:szCs w:val="20"/>
                <w:color w:val="auto"/>
              </w:rPr>
            </w:pPr>
            <w:r>
              <w:rPr>
                <w:rFonts w:ascii="Arial" w:cs="Arial" w:eastAsia="Arial" w:hAnsi="Arial"/>
                <w:sz w:val="15"/>
                <w:szCs w:val="15"/>
                <w:b w:val="1"/>
                <w:bCs w:val="1"/>
                <w:color w:val="auto"/>
                <w:w w:val="95"/>
              </w:rPr>
              <w:t>U.S.</w:t>
            </w:r>
          </w:p>
        </w:tc>
        <w:tc>
          <w:tcPr>
            <w:tcW w:w="160" w:type="dxa"/>
            <w:vAlign w:val="bottom"/>
          </w:tcPr>
          <w:p>
            <w:pPr>
              <w:spacing w:after="0"/>
              <w:rPr>
                <w:sz w:val="21"/>
                <w:szCs w:val="21"/>
                <w:color w:val="auto"/>
              </w:rPr>
            </w:pPr>
          </w:p>
        </w:tc>
        <w:tc>
          <w:tcPr>
            <w:tcW w:w="600" w:type="dxa"/>
            <w:vAlign w:val="bottom"/>
          </w:tcPr>
          <w:p>
            <w:pPr>
              <w:jc w:val="right"/>
              <w:ind w:right="201"/>
              <w:spacing w:after="0"/>
              <w:rPr>
                <w:sz w:val="20"/>
                <w:szCs w:val="20"/>
                <w:color w:val="auto"/>
              </w:rPr>
            </w:pPr>
            <w:r>
              <w:rPr>
                <w:rFonts w:ascii="Arial" w:cs="Arial" w:eastAsia="Arial" w:hAnsi="Arial"/>
                <w:sz w:val="15"/>
                <w:szCs w:val="15"/>
                <w:b w:val="1"/>
                <w:bCs w:val="1"/>
                <w:color w:val="auto"/>
                <w:w w:val="99"/>
              </w:rPr>
              <w:t>U.K.</w:t>
            </w:r>
          </w:p>
        </w:tc>
        <w:tc>
          <w:tcPr>
            <w:tcW w:w="140" w:type="dxa"/>
            <w:vAlign w:val="bottom"/>
          </w:tcPr>
          <w:p>
            <w:pPr>
              <w:spacing w:after="0"/>
              <w:rPr>
                <w:sz w:val="21"/>
                <w:szCs w:val="21"/>
                <w:color w:val="auto"/>
              </w:rPr>
            </w:pPr>
          </w:p>
        </w:tc>
        <w:tc>
          <w:tcPr>
            <w:tcW w:w="620" w:type="dxa"/>
            <w:vAlign w:val="bottom"/>
          </w:tcPr>
          <w:p>
            <w:pPr>
              <w:jc w:val="right"/>
              <w:ind w:right="141"/>
              <w:spacing w:after="0"/>
              <w:rPr>
                <w:sz w:val="20"/>
                <w:szCs w:val="20"/>
                <w:color w:val="auto"/>
              </w:rPr>
            </w:pPr>
            <w:r>
              <w:rPr>
                <w:rFonts w:ascii="Arial" w:cs="Arial" w:eastAsia="Arial" w:hAnsi="Arial"/>
                <w:sz w:val="15"/>
                <w:szCs w:val="15"/>
                <w:b w:val="1"/>
                <w:bCs w:val="1"/>
                <w:color w:val="auto"/>
                <w:w w:val="94"/>
              </w:rPr>
              <w:t>Other</w:t>
            </w:r>
          </w:p>
        </w:tc>
        <w:tc>
          <w:tcPr>
            <w:tcW w:w="180" w:type="dxa"/>
            <w:vAlign w:val="bottom"/>
          </w:tcPr>
          <w:p>
            <w:pPr>
              <w:spacing w:after="0"/>
              <w:rPr>
                <w:sz w:val="21"/>
                <w:szCs w:val="21"/>
                <w:color w:val="auto"/>
              </w:rPr>
            </w:pPr>
          </w:p>
        </w:tc>
        <w:tc>
          <w:tcPr>
            <w:tcW w:w="580" w:type="dxa"/>
            <w:vAlign w:val="bottom"/>
          </w:tcPr>
          <w:p>
            <w:pPr>
              <w:jc w:val="right"/>
              <w:ind w:right="201"/>
              <w:spacing w:after="0"/>
              <w:rPr>
                <w:sz w:val="20"/>
                <w:szCs w:val="20"/>
                <w:color w:val="auto"/>
              </w:rPr>
            </w:pPr>
            <w:r>
              <w:rPr>
                <w:rFonts w:ascii="Arial" w:cs="Arial" w:eastAsia="Arial" w:hAnsi="Arial"/>
                <w:sz w:val="15"/>
                <w:szCs w:val="15"/>
                <w:b w:val="1"/>
                <w:bCs w:val="1"/>
                <w:color w:val="auto"/>
                <w:w w:val="95"/>
              </w:rPr>
              <w:t>U.S.</w:t>
            </w:r>
          </w:p>
        </w:tc>
        <w:tc>
          <w:tcPr>
            <w:tcW w:w="180" w:type="dxa"/>
            <w:vAlign w:val="bottom"/>
          </w:tcPr>
          <w:p>
            <w:pPr>
              <w:spacing w:after="0"/>
              <w:rPr>
                <w:sz w:val="21"/>
                <w:szCs w:val="21"/>
                <w:color w:val="auto"/>
              </w:rPr>
            </w:pPr>
          </w:p>
        </w:tc>
        <w:tc>
          <w:tcPr>
            <w:tcW w:w="580" w:type="dxa"/>
            <w:vAlign w:val="bottom"/>
          </w:tcPr>
          <w:p>
            <w:pPr>
              <w:jc w:val="right"/>
              <w:ind w:right="181"/>
              <w:spacing w:after="0"/>
              <w:rPr>
                <w:sz w:val="20"/>
                <w:szCs w:val="20"/>
                <w:color w:val="auto"/>
              </w:rPr>
            </w:pPr>
            <w:r>
              <w:rPr>
                <w:rFonts w:ascii="Arial" w:cs="Arial" w:eastAsia="Arial" w:hAnsi="Arial"/>
                <w:sz w:val="15"/>
                <w:szCs w:val="15"/>
                <w:b w:val="1"/>
                <w:bCs w:val="1"/>
                <w:color w:val="auto"/>
                <w:w w:val="99"/>
              </w:rPr>
              <w:t>U.K.</w:t>
            </w:r>
          </w:p>
        </w:tc>
        <w:tc>
          <w:tcPr>
            <w:tcW w:w="160" w:type="dxa"/>
            <w:vAlign w:val="bottom"/>
          </w:tcPr>
          <w:p>
            <w:pPr>
              <w:spacing w:after="0"/>
              <w:rPr>
                <w:sz w:val="21"/>
                <w:szCs w:val="21"/>
                <w:color w:val="auto"/>
              </w:rPr>
            </w:pPr>
          </w:p>
        </w:tc>
        <w:tc>
          <w:tcPr>
            <w:tcW w:w="620" w:type="dxa"/>
            <w:vAlign w:val="bottom"/>
          </w:tcPr>
          <w:p>
            <w:pPr>
              <w:jc w:val="right"/>
              <w:ind w:right="161"/>
              <w:spacing w:after="0"/>
              <w:rPr>
                <w:sz w:val="20"/>
                <w:szCs w:val="20"/>
                <w:color w:val="auto"/>
              </w:rPr>
            </w:pPr>
            <w:r>
              <w:rPr>
                <w:rFonts w:ascii="Arial" w:cs="Arial" w:eastAsia="Arial" w:hAnsi="Arial"/>
                <w:sz w:val="15"/>
                <w:szCs w:val="15"/>
                <w:b w:val="1"/>
                <w:bCs w:val="1"/>
                <w:color w:val="auto"/>
                <w:w w:val="89"/>
              </w:rPr>
              <w:t>Other</w:t>
            </w:r>
          </w:p>
        </w:tc>
        <w:tc>
          <w:tcPr>
            <w:tcW w:w="180" w:type="dxa"/>
            <w:vAlign w:val="bottom"/>
          </w:tcPr>
          <w:p>
            <w:pPr>
              <w:spacing w:after="0"/>
              <w:rPr>
                <w:sz w:val="21"/>
                <w:szCs w:val="21"/>
                <w:color w:val="auto"/>
              </w:rPr>
            </w:pPr>
          </w:p>
        </w:tc>
        <w:tc>
          <w:tcPr>
            <w:tcW w:w="580" w:type="dxa"/>
            <w:vAlign w:val="bottom"/>
          </w:tcPr>
          <w:p>
            <w:pPr>
              <w:jc w:val="right"/>
              <w:ind w:right="201"/>
              <w:spacing w:after="0"/>
              <w:rPr>
                <w:sz w:val="20"/>
                <w:szCs w:val="20"/>
                <w:color w:val="auto"/>
              </w:rPr>
            </w:pPr>
            <w:r>
              <w:rPr>
                <w:rFonts w:ascii="Arial" w:cs="Arial" w:eastAsia="Arial" w:hAnsi="Arial"/>
                <w:sz w:val="15"/>
                <w:szCs w:val="15"/>
                <w:b w:val="1"/>
                <w:bCs w:val="1"/>
                <w:color w:val="auto"/>
                <w:w w:val="95"/>
              </w:rPr>
              <w:t>U.S.</w:t>
            </w:r>
          </w:p>
        </w:tc>
        <w:tc>
          <w:tcPr>
            <w:tcW w:w="160" w:type="dxa"/>
            <w:vAlign w:val="bottom"/>
          </w:tcPr>
          <w:p>
            <w:pPr>
              <w:spacing w:after="0"/>
              <w:rPr>
                <w:sz w:val="21"/>
                <w:szCs w:val="21"/>
                <w:color w:val="auto"/>
              </w:rPr>
            </w:pPr>
          </w:p>
        </w:tc>
        <w:tc>
          <w:tcPr>
            <w:tcW w:w="600" w:type="dxa"/>
            <w:vAlign w:val="bottom"/>
          </w:tcPr>
          <w:p>
            <w:pPr>
              <w:jc w:val="right"/>
              <w:ind w:right="181"/>
              <w:spacing w:after="0"/>
              <w:rPr>
                <w:sz w:val="20"/>
                <w:szCs w:val="20"/>
                <w:color w:val="auto"/>
              </w:rPr>
            </w:pPr>
            <w:r>
              <w:rPr>
                <w:rFonts w:ascii="Arial" w:cs="Arial" w:eastAsia="Arial" w:hAnsi="Arial"/>
                <w:sz w:val="15"/>
                <w:szCs w:val="15"/>
                <w:b w:val="1"/>
                <w:bCs w:val="1"/>
                <w:color w:val="auto"/>
              </w:rPr>
              <w:t>U.K.</w:t>
            </w:r>
          </w:p>
        </w:tc>
        <w:tc>
          <w:tcPr>
            <w:tcW w:w="160" w:type="dxa"/>
            <w:vAlign w:val="bottom"/>
          </w:tcPr>
          <w:p>
            <w:pPr>
              <w:spacing w:after="0"/>
              <w:rPr>
                <w:sz w:val="21"/>
                <w:szCs w:val="21"/>
                <w:color w:val="auto"/>
              </w:rPr>
            </w:pPr>
          </w:p>
        </w:tc>
        <w:tc>
          <w:tcPr>
            <w:tcW w:w="580" w:type="dxa"/>
            <w:vAlign w:val="bottom"/>
          </w:tcPr>
          <w:p>
            <w:pPr>
              <w:jc w:val="right"/>
              <w:ind w:right="101"/>
              <w:spacing w:after="0"/>
              <w:rPr>
                <w:sz w:val="20"/>
                <w:szCs w:val="20"/>
                <w:color w:val="auto"/>
              </w:rPr>
            </w:pPr>
            <w:r>
              <w:rPr>
                <w:rFonts w:ascii="Arial" w:cs="Arial" w:eastAsia="Arial" w:hAnsi="Arial"/>
                <w:sz w:val="15"/>
                <w:szCs w:val="15"/>
                <w:b w:val="1"/>
                <w:bCs w:val="1"/>
                <w:color w:val="auto"/>
                <w:w w:val="94"/>
              </w:rPr>
              <w:t>Other</w:t>
            </w:r>
          </w:p>
        </w:tc>
      </w:tr>
      <w:tr>
        <w:trPr>
          <w:trHeight w:val="757"/>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40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56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14</w:t>
            </w:r>
          </w:p>
        </w:tc>
      </w:tr>
      <w:tr>
        <w:trPr>
          <w:trHeight w:val="298"/>
        </w:trPr>
        <w:tc>
          <w:tcPr>
            <w:tcW w:w="120" w:type="dxa"/>
            <w:vAlign w:val="bottom"/>
          </w:tcPr>
          <w:p>
            <w:pPr>
              <w:spacing w:after="0"/>
              <w:rPr>
                <w:sz w:val="24"/>
                <w:szCs w:val="24"/>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173</w:t>
            </w:r>
          </w:p>
        </w:tc>
        <w:tc>
          <w:tcPr>
            <w:tcW w:w="160" w:type="dxa"/>
            <w:vAlign w:val="bottom"/>
          </w:tcPr>
          <w:p>
            <w:pPr>
              <w:spacing w:after="0"/>
              <w:rPr>
                <w:sz w:val="24"/>
                <w:szCs w:val="24"/>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121</w:t>
            </w:r>
          </w:p>
        </w:tc>
        <w:tc>
          <w:tcPr>
            <w:tcW w:w="14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24"/>
                <w:szCs w:val="24"/>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196</w:t>
            </w:r>
          </w:p>
        </w:tc>
        <w:tc>
          <w:tcPr>
            <w:tcW w:w="180" w:type="dxa"/>
            <w:vAlign w:val="bottom"/>
          </w:tcPr>
          <w:p>
            <w:pPr>
              <w:spacing w:after="0"/>
              <w:rPr>
                <w:sz w:val="24"/>
                <w:szCs w:val="24"/>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115</w:t>
            </w:r>
          </w:p>
        </w:tc>
        <w:tc>
          <w:tcPr>
            <w:tcW w:w="160" w:type="dxa"/>
            <w:vAlign w:val="bottom"/>
          </w:tcPr>
          <w:p>
            <w:pPr>
              <w:spacing w:after="0"/>
              <w:rPr>
                <w:sz w:val="24"/>
                <w:szCs w:val="24"/>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24"/>
                <w:szCs w:val="24"/>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195</w:t>
            </w:r>
          </w:p>
        </w:tc>
        <w:tc>
          <w:tcPr>
            <w:tcW w:w="160" w:type="dxa"/>
            <w:vAlign w:val="bottom"/>
          </w:tcPr>
          <w:p>
            <w:pPr>
              <w:spacing w:after="0"/>
              <w:rPr>
                <w:sz w:val="24"/>
                <w:szCs w:val="24"/>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120</w:t>
            </w:r>
          </w:p>
        </w:tc>
        <w:tc>
          <w:tcPr>
            <w:tcW w:w="160" w:type="dxa"/>
            <w:vAlign w:val="bottom"/>
          </w:tcPr>
          <w:p>
            <w:pPr>
              <w:spacing w:after="0"/>
              <w:rPr>
                <w:sz w:val="24"/>
                <w:szCs w:val="24"/>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28</w:t>
            </w:r>
          </w:p>
        </w:tc>
      </w:tr>
      <w:tr>
        <w:trPr>
          <w:trHeight w:val="451"/>
        </w:trPr>
        <w:tc>
          <w:tcPr>
            <w:tcW w:w="120" w:type="dxa"/>
            <w:vAlign w:val="bottom"/>
          </w:tcPr>
          <w:p>
            <w:pPr>
              <w:spacing w:after="0"/>
              <w:rPr>
                <w:sz w:val="24"/>
                <w:szCs w:val="24"/>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(254)</w:t>
            </w:r>
          </w:p>
        </w:tc>
        <w:tc>
          <w:tcPr>
            <w:tcW w:w="160" w:type="dxa"/>
            <w:vAlign w:val="bottom"/>
          </w:tcPr>
          <w:p>
            <w:pPr>
              <w:spacing w:after="0"/>
              <w:rPr>
                <w:sz w:val="24"/>
                <w:szCs w:val="24"/>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(175)</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(302)</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(159)</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(304)</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(162)</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434"/>
        </w:trPr>
        <w:tc>
          <w:tcPr>
            <w:tcW w:w="120" w:type="dxa"/>
            <w:vAlign w:val="bottom"/>
          </w:tcPr>
          <w:p>
            <w:pPr>
              <w:spacing w:after="0"/>
              <w:rPr>
                <w:sz w:val="24"/>
                <w:szCs w:val="24"/>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4"/>
                <w:szCs w:val="24"/>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24"/>
                <w:szCs w:val="24"/>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4"/>
                <w:szCs w:val="24"/>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24"/>
                <w:szCs w:val="24"/>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1</w:t>
            </w:r>
          </w:p>
        </w:tc>
      </w:tr>
      <w:tr>
        <w:trPr>
          <w:trHeight w:val="418"/>
        </w:trPr>
        <w:tc>
          <w:tcPr>
            <w:tcW w:w="120" w:type="dxa"/>
            <w:vAlign w:val="bottom"/>
          </w:tcPr>
          <w:p>
            <w:pPr>
              <w:spacing w:after="0"/>
              <w:rPr>
                <w:sz w:val="24"/>
                <w:szCs w:val="24"/>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24"/>
                <w:szCs w:val="24"/>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62</w:t>
            </w:r>
          </w:p>
        </w:tc>
        <w:tc>
          <w:tcPr>
            <w:tcW w:w="14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4"/>
                <w:szCs w:val="24"/>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24"/>
                <w:szCs w:val="24"/>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24"/>
                <w:szCs w:val="24"/>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4"/>
                <w:szCs w:val="24"/>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24"/>
                <w:szCs w:val="24"/>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48</w:t>
            </w:r>
          </w:p>
        </w:tc>
        <w:tc>
          <w:tcPr>
            <w:tcW w:w="160" w:type="dxa"/>
            <w:vAlign w:val="bottom"/>
          </w:tcPr>
          <w:p>
            <w:pPr>
              <w:spacing w:after="0"/>
              <w:rPr>
                <w:sz w:val="24"/>
                <w:szCs w:val="24"/>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331"/>
        </w:trPr>
        <w:tc>
          <w:tcPr>
            <w:tcW w:w="120" w:type="dxa"/>
            <w:vAlign w:val="bottom"/>
          </w:tcPr>
          <w:p>
            <w:pPr>
              <w:spacing w:after="0"/>
              <w:rPr>
                <w:sz w:val="24"/>
                <w:szCs w:val="24"/>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89</w:t>
            </w:r>
          </w:p>
        </w:tc>
        <w:tc>
          <w:tcPr>
            <w:tcW w:w="160" w:type="dxa"/>
            <w:vAlign w:val="bottom"/>
          </w:tcPr>
          <w:p>
            <w:pPr>
              <w:spacing w:after="0"/>
              <w:rPr>
                <w:sz w:val="24"/>
                <w:szCs w:val="24"/>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24"/>
                <w:szCs w:val="24"/>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4"/>
                <w:szCs w:val="24"/>
                <w:color w:val="auto"/>
              </w:rPr>
            </w:pP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24"/>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94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15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-1641475</wp:posOffset>
            </wp:positionH>
            <wp:positionV relativeFrom="paragraph">
              <wp:posOffset>-2052320</wp:posOffset>
            </wp:positionV>
            <wp:extent cx="5967730" cy="26219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08">
                      <a:extLst>
                        <a:ext uri="{28A0092B-C50C-407E-A947-70E740481C1C}"/>
                      </a:extLst>
                    </a:blip>
                    <a:srcRect/>
                    <a:stretch>
                      <a:fillRect/>
                    </a:stretch>
                  </pic:blipFill>
                  <pic:spPr bwMode="auto">
                    <a:xfrm>
                      <a:off x="0" y="0"/>
                      <a:ext cx="5967730" cy="262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00" w:type="dxa"/>
            <w:vAlign w:val="bottom"/>
          </w:tcPr>
          <w:p>
            <w:pPr>
              <w:jc w:val="right"/>
              <w:ind w:right="60"/>
              <w:spacing w:after="0"/>
              <w:rPr>
                <w:sz w:val="20"/>
                <w:szCs w:val="20"/>
                <w:color w:val="auto"/>
              </w:rPr>
            </w:pPr>
            <w:r>
              <w:rPr>
                <w:rFonts w:ascii="Arial" w:cs="Arial" w:eastAsia="Arial" w:hAnsi="Arial"/>
                <w:sz w:val="16"/>
                <w:szCs w:val="16"/>
                <w:color w:val="auto"/>
              </w:rPr>
              <w:t>$   104</w:t>
            </w:r>
          </w:p>
        </w:tc>
        <w:tc>
          <w:tcPr>
            <w:tcW w:w="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60"/>
              <w:spacing w:after="0"/>
              <w:rPr>
                <w:sz w:val="20"/>
                <w:szCs w:val="20"/>
                <w:color w:val="auto"/>
              </w:rPr>
            </w:pPr>
            <w:r>
              <w:rPr>
                <w:rFonts w:ascii="Arial" w:cs="Arial" w:eastAsia="Arial" w:hAnsi="Arial"/>
                <w:sz w:val="16"/>
                <w:szCs w:val="16"/>
                <w:color w:val="auto"/>
              </w:rPr>
              <w:t>76</w:t>
            </w:r>
          </w:p>
        </w:tc>
        <w:tc>
          <w:tcPr>
            <w:tcW w:w="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(20)</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156</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129</w:t>
            </w:r>
          </w:p>
        </w:tc>
        <w:tc>
          <w:tcPr>
            <w:tcW w:w="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60"/>
              <w:spacing w:after="0"/>
              <w:rPr>
                <w:sz w:val="20"/>
                <w:szCs w:val="20"/>
                <w:color w:val="auto"/>
              </w:rPr>
            </w:pPr>
            <w:r>
              <w:rPr>
                <w:rFonts w:ascii="Arial" w:cs="Arial" w:eastAsia="Arial" w:hAnsi="Arial"/>
                <w:sz w:val="16"/>
                <w:szCs w:val="16"/>
                <w:color w:val="auto"/>
              </w:rPr>
              <w:t>332</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60"/>
              <w:spacing w:after="0"/>
              <w:rPr>
                <w:sz w:val="20"/>
                <w:szCs w:val="20"/>
                <w:color w:val="auto"/>
              </w:rPr>
            </w:pPr>
            <w:r>
              <w:rPr>
                <w:rFonts w:ascii="Arial" w:cs="Arial" w:eastAsia="Arial" w:hAnsi="Arial"/>
                <w:sz w:val="16"/>
                <w:szCs w:val="16"/>
                <w:color w:val="auto"/>
              </w:rPr>
              <w:t>133</w:t>
            </w:r>
          </w:p>
        </w:tc>
        <w:tc>
          <w:tcPr>
            <w:tcW w:w="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434"/>
        </w:trPr>
        <w:tc>
          <w:tcPr>
            <w:tcW w:w="700" w:type="dxa"/>
            <w:vAlign w:val="bottom"/>
          </w:tcPr>
          <w:p>
            <w:pPr>
              <w:jc w:val="right"/>
              <w:spacing w:after="0"/>
              <w:rPr>
                <w:sz w:val="20"/>
                <w:szCs w:val="20"/>
                <w:color w:val="auto"/>
              </w:rPr>
            </w:pPr>
            <w:r>
              <w:rPr>
                <w:rFonts w:ascii="Arial" w:cs="Arial" w:eastAsia="Arial" w:hAnsi="Arial"/>
                <w:sz w:val="16"/>
                <w:szCs w:val="16"/>
                <w:color w:val="auto"/>
              </w:rPr>
              <w:t>(46)</w:t>
            </w: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(62)</w:t>
            </w: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(55)</w:t>
            </w:r>
          </w:p>
        </w:tc>
        <w:tc>
          <w:tcPr>
            <w:tcW w:w="3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w:t>
            </w:r>
          </w:p>
        </w:tc>
        <w:tc>
          <w:tcPr>
            <w:tcW w:w="3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-1641475</wp:posOffset>
            </wp:positionH>
            <wp:positionV relativeFrom="paragraph">
              <wp:posOffset>-254635</wp:posOffset>
            </wp:positionV>
            <wp:extent cx="5967730" cy="2755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09">
                      <a:extLst>
                        <a:ext uri="{28A0092B-C50C-407E-A947-70E740481C1C}"/>
                      </a:extLst>
                    </a:blip>
                    <a:srcRect/>
                    <a:stretch>
                      <a:fillRect/>
                    </a:stretch>
                  </pic:blipFill>
                  <pic:spPr bwMode="auto">
                    <a:xfrm>
                      <a:off x="0" y="0"/>
                      <a:ext cx="5967730" cy="27559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1860" w:space="720"/>
            <w:col w:w="6820"/>
          </w:cols>
          <w:pgMar w:left="1260" w:top="1440" w:right="1246" w:bottom="0" w:gutter="0" w:footer="0" w:header="0"/>
          <w:type w:val="continuous"/>
        </w:sect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15</w:t>
      </w:r>
    </w:p>
    <w:p>
      <w:pPr>
        <w:sectPr>
          <w:pgSz w:w="11900" w:h="16838" w:orient="portrait"/>
          <w:cols w:equalWidth="0" w:num="1">
            <w:col w:w="9400"/>
          </w:cols>
          <w:pgMar w:left="1260" w:top="1440" w:right="1246" w:bottom="0" w:gutter="0" w:footer="0" w:header="0"/>
          <w:type w:val="continuous"/>
        </w:sectPr>
      </w:pPr>
    </w:p>
    <w:bookmarkStart w:id="230" w:name="page231"/>
    <w:bookmarkEnd w:id="230"/>
    <w:tbl>
      <w:tblPr>
        <w:tblLayout w:type="fixed"/>
        <w:tblInd w:w="0" w:type="dxa"/>
        <w:tblCellMar>
          <w:top w:w="0" w:type="dxa"/>
          <w:left w:w="0" w:type="dxa"/>
          <w:bottom w:w="0" w:type="dxa"/>
          <w:right w:w="0" w:type="dxa"/>
        </w:tblCellMar>
      </w:tblPr>
      <w:tr>
        <w:trPr>
          <w:trHeight w:val="161"/>
        </w:trPr>
        <w:tc>
          <w:tcPr>
            <w:tcW w:w="2180" w:type="dxa"/>
            <w:vAlign w:val="bottom"/>
          </w:tcPr>
          <w:p>
            <w:pPr>
              <w:ind w:left="40"/>
              <w:spacing w:after="0"/>
              <w:rPr>
                <w:sz w:val="20"/>
                <w:szCs w:val="20"/>
                <w:color w:val="auto"/>
              </w:rPr>
            </w:pPr>
            <w:r>
              <w:rPr>
                <w:rFonts w:ascii="Arial" w:cs="Arial" w:eastAsia="Arial" w:hAnsi="Arial"/>
                <w:sz w:val="14"/>
                <w:szCs w:val="14"/>
                <w:color w:val="auto"/>
              </w:rPr>
              <w:t>Prior service cost</w:t>
            </w:r>
          </w:p>
        </w:tc>
        <w:tc>
          <w:tcPr>
            <w:tcW w:w="620" w:type="dxa"/>
            <w:vAlign w:val="bottom"/>
          </w:tcPr>
          <w:p>
            <w:pPr>
              <w:spacing w:after="0"/>
              <w:rPr>
                <w:sz w:val="14"/>
                <w:szCs w:val="14"/>
                <w:color w:val="auto"/>
              </w:rPr>
            </w:pPr>
          </w:p>
        </w:tc>
        <w:tc>
          <w:tcPr>
            <w:tcW w:w="4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460" w:type="dxa"/>
            <w:vAlign w:val="bottom"/>
            <w:vMerge w:val="restart"/>
          </w:tcPr>
          <w:p>
            <w:pPr>
              <w:jc w:val="right"/>
              <w:ind w:right="60"/>
              <w:spacing w:after="0"/>
              <w:rPr>
                <w:sz w:val="20"/>
                <w:szCs w:val="20"/>
                <w:color w:val="auto"/>
              </w:rPr>
            </w:pPr>
            <w:r>
              <w:rPr>
                <w:rFonts w:ascii="Arial" w:cs="Arial" w:eastAsia="Arial" w:hAnsi="Arial"/>
                <w:sz w:val="16"/>
                <w:szCs w:val="16"/>
                <w:color w:val="auto"/>
              </w:rPr>
              <w:t>45</w:t>
            </w:r>
          </w:p>
        </w:tc>
        <w:tc>
          <w:tcPr>
            <w:tcW w:w="280" w:type="dxa"/>
            <w:vAlign w:val="bottom"/>
          </w:tcPr>
          <w:p>
            <w:pPr>
              <w:spacing w:after="0"/>
              <w:rPr>
                <w:sz w:val="14"/>
                <w:szCs w:val="14"/>
                <w:color w:val="auto"/>
              </w:rPr>
            </w:pPr>
          </w:p>
        </w:tc>
        <w:tc>
          <w:tcPr>
            <w:tcW w:w="760" w:type="dxa"/>
            <w:vAlign w:val="bottom"/>
            <w:vMerge w:val="restart"/>
          </w:tcPr>
          <w:p>
            <w:pPr>
              <w:jc w:val="right"/>
              <w:ind w:right="320"/>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42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740" w:type="dxa"/>
            <w:vAlign w:val="bottom"/>
            <w:vMerge w:val="restart"/>
          </w:tcPr>
          <w:p>
            <w:pPr>
              <w:jc w:val="right"/>
              <w:ind w:right="320"/>
              <w:spacing w:after="0"/>
              <w:rPr>
                <w:sz w:val="20"/>
                <w:szCs w:val="20"/>
                <w:color w:val="auto"/>
              </w:rPr>
            </w:pPr>
            <w:r>
              <w:rPr>
                <w:rFonts w:ascii="Arial" w:cs="Arial" w:eastAsia="Arial" w:hAnsi="Arial"/>
                <w:sz w:val="16"/>
                <w:szCs w:val="16"/>
                <w:color w:val="auto"/>
              </w:rPr>
              <w:t>—</w:t>
            </w:r>
          </w:p>
        </w:tc>
        <w:tc>
          <w:tcPr>
            <w:tcW w:w="5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42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46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9"/>
        </w:trPr>
        <w:tc>
          <w:tcPr>
            <w:tcW w:w="2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FF0FC"/>
          </w:tcPr>
          <w:p>
            <w:pPr>
              <w:ind w:left="40"/>
              <w:spacing w:after="0"/>
              <w:rPr>
                <w:sz w:val="20"/>
                <w:szCs w:val="20"/>
                <w:color w:val="auto"/>
              </w:rPr>
            </w:pPr>
            <w:r>
              <w:rPr>
                <w:rFonts w:ascii="Arial" w:cs="Arial" w:eastAsia="Arial" w:hAnsi="Arial"/>
                <w:sz w:val="14"/>
                <w:szCs w:val="14"/>
                <w:color w:val="auto"/>
              </w:rPr>
              <w:t>Amortization of unrecognized</w:t>
            </w:r>
          </w:p>
        </w:tc>
        <w:tc>
          <w:tcPr>
            <w:tcW w:w="6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prior service credit/(cost)</w:t>
            </w:r>
          </w:p>
        </w:tc>
        <w:tc>
          <w:tcPr>
            <w:tcW w:w="6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16"/>
                <w:szCs w:val="16"/>
                <w:color w:val="auto"/>
              </w:rPr>
              <w:t>(1)</w:t>
            </w:r>
          </w:p>
        </w:tc>
        <w:tc>
          <w:tcPr>
            <w:tcW w:w="4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240"/>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12</w:t>
            </w:r>
          </w:p>
        </w:tc>
        <w:tc>
          <w:tcPr>
            <w:tcW w:w="3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7"/>
        </w:trPr>
        <w:tc>
          <w:tcPr>
            <w:tcW w:w="2180" w:type="dxa"/>
            <w:vAlign w:val="bottom"/>
          </w:tcPr>
          <w:p>
            <w:pPr>
              <w:ind w:left="40"/>
              <w:spacing w:after="0"/>
              <w:rPr>
                <w:sz w:val="20"/>
                <w:szCs w:val="20"/>
                <w:color w:val="auto"/>
              </w:rPr>
            </w:pPr>
            <w:r>
              <w:rPr>
                <w:rFonts w:ascii="Arial" w:cs="Arial" w:eastAsia="Arial" w:hAnsi="Arial"/>
                <w:sz w:val="14"/>
                <w:szCs w:val="14"/>
                <w:color w:val="auto"/>
              </w:rPr>
              <w:t>Settlement</w:t>
            </w:r>
          </w:p>
        </w:tc>
        <w:tc>
          <w:tcPr>
            <w:tcW w:w="62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(89)</w:t>
            </w:r>
          </w:p>
        </w:tc>
        <w:tc>
          <w:tcPr>
            <w:tcW w:w="300" w:type="dxa"/>
            <w:vAlign w:val="bottom"/>
          </w:tcPr>
          <w:p>
            <w:pPr>
              <w:spacing w:after="0"/>
              <w:rPr>
                <w:sz w:val="17"/>
                <w:szCs w:val="17"/>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760" w:type="dxa"/>
            <w:vAlign w:val="bottom"/>
            <w:vMerge w:val="restart"/>
          </w:tcPr>
          <w:p>
            <w:pPr>
              <w:jc w:val="right"/>
              <w:ind w:right="320"/>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320" w:type="dxa"/>
            <w:vAlign w:val="bottom"/>
          </w:tcPr>
          <w:p>
            <w:pPr>
              <w:spacing w:after="0"/>
              <w:rPr>
                <w:sz w:val="17"/>
                <w:szCs w:val="17"/>
                <w:color w:val="auto"/>
              </w:rPr>
            </w:pPr>
          </w:p>
        </w:tc>
        <w:tc>
          <w:tcPr>
            <w:tcW w:w="42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40" w:type="dxa"/>
            <w:vAlign w:val="bottom"/>
            <w:vMerge w:val="restart"/>
          </w:tcPr>
          <w:p>
            <w:pPr>
              <w:jc w:val="right"/>
              <w:ind w:right="320"/>
              <w:spacing w:after="0"/>
              <w:rPr>
                <w:sz w:val="20"/>
                <w:szCs w:val="20"/>
                <w:color w:val="auto"/>
              </w:rPr>
            </w:pPr>
            <w:r>
              <w:rPr>
                <w:rFonts w:ascii="Arial" w:cs="Arial" w:eastAsia="Arial" w:hAnsi="Arial"/>
                <w:sz w:val="16"/>
                <w:szCs w:val="16"/>
                <w:color w:val="auto"/>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7"/>
                <w:szCs w:val="17"/>
                <w:color w:val="auto"/>
              </w:rPr>
            </w:pPr>
          </w:p>
        </w:tc>
        <w:tc>
          <w:tcPr>
            <w:tcW w:w="42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460" w:type="dxa"/>
            <w:vAlign w:val="bottom"/>
            <w:vMerge w:val="restart"/>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86"/>
        </w:trPr>
        <w:tc>
          <w:tcPr>
            <w:tcW w:w="2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Total recognized in other</w:t>
            </w:r>
          </w:p>
        </w:tc>
        <w:tc>
          <w:tcPr>
            <w:tcW w:w="6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1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comprehensive loss/(income)</w:t>
            </w:r>
          </w:p>
        </w:tc>
        <w:tc>
          <w:tcPr>
            <w:tcW w:w="6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3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ind w:right="60"/>
              <w:spacing w:after="0" w:line="179" w:lineRule="exact"/>
              <w:rPr>
                <w:sz w:val="20"/>
                <w:szCs w:val="20"/>
                <w:color w:val="auto"/>
              </w:rPr>
            </w:pPr>
            <w:r>
              <w:rPr>
                <w:rFonts w:ascii="Arial" w:cs="Arial" w:eastAsia="Arial" w:hAnsi="Arial"/>
                <w:sz w:val="16"/>
                <w:szCs w:val="16"/>
                <w:color w:val="auto"/>
              </w:rPr>
              <w:t>57</w:t>
            </w:r>
          </w:p>
        </w:tc>
        <w:tc>
          <w:tcPr>
            <w:tcW w:w="2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16"/>
                <w:szCs w:val="16"/>
                <w:color w:val="auto"/>
              </w:rPr>
              <w:t>(22)</w:t>
            </w:r>
          </w:p>
        </w:tc>
        <w:tc>
          <w:tcPr>
            <w:tcW w:w="480" w:type="dxa"/>
            <w:vAlign w:val="bottom"/>
            <w:tcBorders>
              <w:bottom w:val="single" w:sz="8" w:color="CFF0FC"/>
            </w:tcBorders>
            <w:shd w:val="clear" w:color="auto" w:fill="CFF0FC"/>
          </w:tcPr>
          <w:p>
            <w:pPr>
              <w:jc w:val="right"/>
              <w:ind w:right="40"/>
              <w:spacing w:after="0" w:line="179" w:lineRule="exact"/>
              <w:rPr>
                <w:sz w:val="20"/>
                <w:szCs w:val="20"/>
                <w:color w:val="auto"/>
              </w:rPr>
            </w:pPr>
            <w:r>
              <w:rPr>
                <w:rFonts w:ascii="Arial" w:cs="Arial" w:eastAsia="Arial" w:hAnsi="Arial"/>
                <w:sz w:val="16"/>
                <w:szCs w:val="16"/>
                <w:color w:val="auto"/>
              </w:rPr>
              <w:t>97</w:t>
            </w:r>
          </w:p>
        </w:tc>
        <w:tc>
          <w:tcPr>
            <w:tcW w:w="3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ind w:left="160"/>
              <w:spacing w:after="0" w:line="179" w:lineRule="exact"/>
              <w:rPr>
                <w:sz w:val="20"/>
                <w:szCs w:val="20"/>
                <w:color w:val="auto"/>
              </w:rPr>
            </w:pPr>
            <w:r>
              <w:rPr>
                <w:rFonts w:ascii="Arial" w:cs="Arial" w:eastAsia="Arial" w:hAnsi="Arial"/>
                <w:sz w:val="16"/>
                <w:szCs w:val="16"/>
                <w:color w:val="auto"/>
              </w:rPr>
              <w:t>87</w:t>
            </w:r>
          </w:p>
        </w:tc>
        <w:tc>
          <w:tcPr>
            <w:tcW w:w="3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240"/>
              <w:spacing w:after="0"/>
              <w:rPr>
                <w:sz w:val="20"/>
                <w:szCs w:val="20"/>
                <w:color w:val="auto"/>
              </w:rPr>
            </w:pPr>
            <w:r>
              <w:rPr>
                <w:rFonts w:ascii="Arial" w:cs="Arial" w:eastAsia="Arial" w:hAnsi="Arial"/>
                <w:sz w:val="16"/>
                <w:szCs w:val="16"/>
                <w:color w:val="auto"/>
              </w:rPr>
              <w:t>(34)</w:t>
            </w:r>
          </w:p>
        </w:tc>
        <w:tc>
          <w:tcPr>
            <w:tcW w:w="500" w:type="dxa"/>
            <w:vAlign w:val="bottom"/>
            <w:tcBorders>
              <w:bottom w:val="single" w:sz="8" w:color="CFF0FC"/>
            </w:tcBorders>
            <w:shd w:val="clear" w:color="auto" w:fill="CFF0FC"/>
          </w:tcPr>
          <w:p>
            <w:pPr>
              <w:jc w:val="right"/>
              <w:ind w:right="60"/>
              <w:spacing w:after="0" w:line="179" w:lineRule="exact"/>
              <w:rPr>
                <w:sz w:val="20"/>
                <w:szCs w:val="20"/>
                <w:color w:val="auto"/>
              </w:rPr>
            </w:pPr>
            <w:r>
              <w:rPr>
                <w:rFonts w:ascii="Arial" w:cs="Arial" w:eastAsia="Arial" w:hAnsi="Arial"/>
                <w:sz w:val="16"/>
                <w:szCs w:val="16"/>
                <w:color w:val="auto"/>
              </w:rPr>
              <w:t>318</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ind w:left="160"/>
              <w:spacing w:after="0" w:line="179" w:lineRule="exact"/>
              <w:rPr>
                <w:sz w:val="20"/>
                <w:szCs w:val="20"/>
                <w:color w:val="auto"/>
              </w:rPr>
            </w:pPr>
            <w:r>
              <w:rPr>
                <w:rFonts w:ascii="Arial" w:cs="Arial" w:eastAsia="Arial" w:hAnsi="Arial"/>
                <w:sz w:val="16"/>
                <w:szCs w:val="16"/>
                <w:color w:val="auto"/>
              </w:rPr>
              <w:t>97</w:t>
            </w:r>
          </w:p>
        </w:tc>
        <w:tc>
          <w:tcPr>
            <w:tcW w:w="3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ind w:right="40"/>
              <w:spacing w:after="0" w:line="179"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97"/>
        </w:trPr>
        <w:tc>
          <w:tcPr>
            <w:tcW w:w="2180" w:type="dxa"/>
            <w:vAlign w:val="bottom"/>
          </w:tcPr>
          <w:p>
            <w:pPr>
              <w:spacing w:after="0"/>
              <w:rPr>
                <w:sz w:val="20"/>
                <w:szCs w:val="20"/>
                <w:color w:val="auto"/>
              </w:rPr>
            </w:pPr>
            <w:r>
              <w:rPr>
                <w:rFonts w:ascii="Arial" w:cs="Arial" w:eastAsia="Arial" w:hAnsi="Arial"/>
                <w:sz w:val="14"/>
                <w:szCs w:val="14"/>
                <w:color w:val="auto"/>
              </w:rPr>
              <w:t>Total recognized in net periodic</w:t>
            </w: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80" w:type="dxa"/>
            <w:vAlign w:val="bottom"/>
          </w:tcPr>
          <w:p>
            <w:pPr>
              <w:ind w:left="140"/>
              <w:spacing w:after="0"/>
              <w:rPr>
                <w:sz w:val="20"/>
                <w:szCs w:val="20"/>
                <w:color w:val="auto"/>
              </w:rPr>
            </w:pPr>
            <w:r>
              <w:rPr>
                <w:rFonts w:ascii="Arial" w:cs="Arial" w:eastAsia="Arial" w:hAnsi="Arial"/>
                <w:sz w:val="14"/>
                <w:szCs w:val="14"/>
                <w:color w:val="auto"/>
              </w:rPr>
              <w:t>benefit cost/(credit) and other</w:t>
            </w:r>
          </w:p>
        </w:tc>
        <w:tc>
          <w:tcPr>
            <w:tcW w:w="62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jc w:val="right"/>
              <w:ind w:right="60"/>
              <w:spacing w:after="0"/>
              <w:rPr>
                <w:sz w:val="20"/>
                <w:szCs w:val="20"/>
                <w:color w:val="auto"/>
              </w:rPr>
            </w:pPr>
            <w:r>
              <w:rPr>
                <w:rFonts w:ascii="Arial" w:cs="Arial" w:eastAsia="Arial" w:hAnsi="Arial"/>
                <w:sz w:val="16"/>
                <w:szCs w:val="16"/>
                <w:color w:val="auto"/>
              </w:rPr>
              <w:t>63</w:t>
            </w:r>
          </w:p>
        </w:tc>
        <w:tc>
          <w:tcPr>
            <w:tcW w:w="30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ind w:right="60"/>
              <w:spacing w:after="0"/>
              <w:rPr>
                <w:sz w:val="20"/>
                <w:szCs w:val="20"/>
                <w:color w:val="auto"/>
              </w:rPr>
            </w:pPr>
            <w:r>
              <w:rPr>
                <w:rFonts w:ascii="Arial" w:cs="Arial" w:eastAsia="Arial" w:hAnsi="Arial"/>
                <w:sz w:val="16"/>
                <w:szCs w:val="16"/>
                <w:color w:val="auto"/>
              </w:rPr>
              <w:t>72</w:t>
            </w:r>
          </w:p>
        </w:tc>
        <w:tc>
          <w:tcPr>
            <w:tcW w:w="28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40"/>
              <w:spacing w:after="0"/>
              <w:rPr>
                <w:sz w:val="20"/>
                <w:szCs w:val="20"/>
                <w:color w:val="auto"/>
              </w:rPr>
            </w:pPr>
            <w:r>
              <w:rPr>
                <w:rFonts w:ascii="Arial" w:cs="Arial" w:eastAsia="Arial" w:hAnsi="Arial"/>
                <w:sz w:val="16"/>
                <w:szCs w:val="16"/>
                <w:color w:val="auto"/>
              </w:rPr>
              <w:t>(27)  $</w:t>
            </w:r>
          </w:p>
        </w:tc>
        <w:tc>
          <w:tcPr>
            <w:tcW w:w="480" w:type="dxa"/>
            <w:vAlign w:val="bottom"/>
            <w:vMerge w:val="restart"/>
          </w:tcPr>
          <w:p>
            <w:pPr>
              <w:jc w:val="right"/>
              <w:ind w:right="40"/>
              <w:spacing w:after="0"/>
              <w:rPr>
                <w:sz w:val="20"/>
                <w:szCs w:val="20"/>
                <w:color w:val="auto"/>
              </w:rPr>
            </w:pPr>
            <w:r>
              <w:rPr>
                <w:rFonts w:ascii="Arial" w:cs="Arial" w:eastAsia="Arial" w:hAnsi="Arial"/>
                <w:sz w:val="16"/>
                <w:szCs w:val="16"/>
                <w:color w:val="auto"/>
              </w:rPr>
              <w:t>92</w:t>
            </w:r>
          </w:p>
        </w:tc>
        <w:tc>
          <w:tcPr>
            <w:tcW w:w="32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ind w:left="160"/>
              <w:spacing w:after="0"/>
              <w:rPr>
                <w:sz w:val="20"/>
                <w:szCs w:val="20"/>
                <w:color w:val="auto"/>
              </w:rPr>
            </w:pPr>
            <w:r>
              <w:rPr>
                <w:rFonts w:ascii="Arial" w:cs="Arial" w:eastAsia="Arial" w:hAnsi="Arial"/>
                <w:sz w:val="16"/>
                <w:szCs w:val="16"/>
                <w:color w:val="auto"/>
              </w:rPr>
              <w:t>91</w:t>
            </w:r>
          </w:p>
        </w:tc>
        <w:tc>
          <w:tcPr>
            <w:tcW w:w="32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40"/>
              <w:spacing w:after="0"/>
              <w:rPr>
                <w:sz w:val="20"/>
                <w:szCs w:val="20"/>
                <w:color w:val="auto"/>
              </w:rPr>
            </w:pPr>
            <w:r>
              <w:rPr>
                <w:rFonts w:ascii="Arial" w:cs="Arial" w:eastAsia="Arial" w:hAnsi="Arial"/>
                <w:sz w:val="16"/>
                <w:szCs w:val="16"/>
                <w:color w:val="auto"/>
              </w:rPr>
              <w:t>(31)  $</w:t>
            </w:r>
          </w:p>
        </w:tc>
        <w:tc>
          <w:tcPr>
            <w:tcW w:w="500" w:type="dxa"/>
            <w:vAlign w:val="bottom"/>
            <w:vMerge w:val="restart"/>
          </w:tcPr>
          <w:p>
            <w:pPr>
              <w:jc w:val="right"/>
              <w:ind w:right="60"/>
              <w:spacing w:after="0"/>
              <w:rPr>
                <w:sz w:val="20"/>
                <w:szCs w:val="20"/>
                <w:color w:val="auto"/>
              </w:rPr>
            </w:pPr>
            <w:r>
              <w:rPr>
                <w:rFonts w:ascii="Arial" w:cs="Arial" w:eastAsia="Arial" w:hAnsi="Arial"/>
                <w:sz w:val="16"/>
                <w:szCs w:val="16"/>
                <w:color w:val="auto"/>
              </w:rPr>
              <w:t>279</w:t>
            </w:r>
          </w:p>
        </w:tc>
        <w:tc>
          <w:tcPr>
            <w:tcW w:w="30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ind w:left="160"/>
              <w:spacing w:after="0"/>
              <w:rPr>
                <w:sz w:val="20"/>
                <w:szCs w:val="20"/>
                <w:color w:val="auto"/>
              </w:rPr>
            </w:pPr>
            <w:r>
              <w:rPr>
                <w:rFonts w:ascii="Arial" w:cs="Arial" w:eastAsia="Arial" w:hAnsi="Arial"/>
                <w:sz w:val="16"/>
                <w:szCs w:val="16"/>
                <w:color w:val="auto"/>
              </w:rPr>
              <w:t>97</w:t>
            </w:r>
          </w:p>
        </w:tc>
        <w:tc>
          <w:tcPr>
            <w:tcW w:w="36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460" w:type="dxa"/>
            <w:vAlign w:val="bottom"/>
            <w:vMerge w:val="restart"/>
          </w:tcPr>
          <w:p>
            <w:pPr>
              <w:jc w:val="right"/>
              <w:ind w:right="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61"/>
        </w:trPr>
        <w:tc>
          <w:tcPr>
            <w:tcW w:w="2180" w:type="dxa"/>
            <w:vAlign w:val="bottom"/>
            <w:vMerge w:val="restart"/>
          </w:tcPr>
          <w:p>
            <w:pPr>
              <w:ind w:left="140"/>
              <w:spacing w:after="0"/>
              <w:rPr>
                <w:sz w:val="20"/>
                <w:szCs w:val="20"/>
                <w:color w:val="auto"/>
              </w:rPr>
            </w:pPr>
            <w:r>
              <w:rPr>
                <w:rFonts w:ascii="Arial" w:cs="Arial" w:eastAsia="Arial" w:hAnsi="Arial"/>
                <w:sz w:val="14"/>
                <w:szCs w:val="14"/>
                <w:color w:val="auto"/>
              </w:rPr>
              <w:t>comprehensive loss/(income)</w:t>
            </w:r>
          </w:p>
        </w:tc>
        <w:tc>
          <w:tcPr>
            <w:tcW w:w="6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18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1637665</wp:posOffset>
            </wp:positionH>
            <wp:positionV relativeFrom="paragraph">
              <wp:posOffset>-673100</wp:posOffset>
            </wp:positionV>
            <wp:extent cx="4326255" cy="63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0">
                      <a:extLst>
                        <a:ext uri="{28A0092B-C50C-407E-A947-70E740481C1C}"/>
                      </a:extLst>
                    </a:blip>
                    <a:srcRect/>
                    <a:stretch>
                      <a:fillRect/>
                    </a:stretch>
                  </pic:blipFill>
                  <pic:spPr bwMode="auto">
                    <a:xfrm>
                      <a:off x="0" y="0"/>
                      <a:ext cx="4326255" cy="6350"/>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-397510</wp:posOffset>
            </wp:positionV>
            <wp:extent cx="4326255" cy="6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1">
                      <a:extLst>
                        <a:ext uri="{28A0092B-C50C-407E-A947-70E740481C1C}"/>
                      </a:extLst>
                    </a:blip>
                    <a:srcRect/>
                    <a:stretch>
                      <a:fillRect/>
                    </a:stretch>
                  </pic:blipFill>
                  <pic:spPr bwMode="auto">
                    <a:xfrm>
                      <a:off x="0" y="0"/>
                      <a:ext cx="4326255" cy="6350"/>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-10160</wp:posOffset>
            </wp:positionV>
            <wp:extent cx="4326255" cy="285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2">
                      <a:extLst>
                        <a:ext uri="{28A0092B-C50C-407E-A947-70E740481C1C}"/>
                      </a:extLst>
                    </a:blip>
                    <a:srcRect/>
                    <a:stretch>
                      <a:fillRect/>
                    </a:stretch>
                  </pic:blipFill>
                  <pic:spPr bwMode="auto">
                    <a:xfrm>
                      <a:off x="0" y="0"/>
                      <a:ext cx="4326255" cy="2857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Assumptions Used in the Valuations of the Defined Benefit Pension Plans</w:t>
      </w:r>
    </w:p>
    <w:p>
      <w:pPr>
        <w:spacing w:after="0" w:line="260" w:lineRule="exact"/>
        <w:rPr>
          <w:sz w:val="20"/>
          <w:szCs w:val="20"/>
          <w:color w:val="auto"/>
        </w:rPr>
      </w:pPr>
    </w:p>
    <w:p>
      <w:pPr>
        <w:ind w:right="20"/>
        <w:spacing w:after="0" w:line="350" w:lineRule="auto"/>
        <w:rPr>
          <w:sz w:val="20"/>
          <w:szCs w:val="20"/>
          <w:color w:val="auto"/>
        </w:rPr>
      </w:pPr>
      <w:r>
        <w:rPr>
          <w:rFonts w:ascii="Arial" w:cs="Arial" w:eastAsia="Arial" w:hAnsi="Arial"/>
          <w:sz w:val="18"/>
          <w:szCs w:val="18"/>
          <w:color w:val="auto"/>
        </w:rPr>
        <w:t>The determination of the Company’s obligations and annual expense under the plans is based on a number of assumptions that, given the longevity of the plans, are long-term in focus. A change in one or a combination of these assumptions could have a material impact on our projected benefit obligation. However, certain of these changes, such as changes in the discount rate and actuarial assumptions, are not recognized immediately in net income, but are instead recorded in other comprehensive income. The accumulated gains and losses not yet recognized in net income are amortized into net income as a component of the net periodic benefit cost/(credit) generally based on the average working life expectancy or remaining life expectancy, where appropriate, of each of the plan’s active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15</w:t>
      </w:r>
    </w:p>
    <w:p>
      <w:pPr>
        <w:sectPr>
          <w:pgSz w:w="11900" w:h="16838" w:orient="portrait"/>
          <w:cols w:equalWidth="0" w:num="1">
            <w:col w:w="9400"/>
          </w:cols>
          <w:pgMar w:left="1260" w:top="1169" w:right="1246" w:bottom="0" w:gutter="0" w:footer="0" w:header="0"/>
          <w:type w:val="continuous"/>
        </w:sectPr>
      </w:pPr>
    </w:p>
    <w:bookmarkStart w:id="231" w:name="page232"/>
    <w:bookmarkEnd w:id="2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40"/>
        <w:spacing w:after="0" w:line="302" w:lineRule="auto"/>
        <w:rPr>
          <w:sz w:val="20"/>
          <w:szCs w:val="20"/>
          <w:color w:val="auto"/>
        </w:rPr>
      </w:pPr>
      <w:r>
        <w:rPr>
          <w:rFonts w:ascii="Arial" w:cs="Arial" w:eastAsia="Arial" w:hAnsi="Arial"/>
          <w:sz w:val="20"/>
          <w:szCs w:val="20"/>
          <w:color w:val="auto"/>
        </w:rPr>
        <w:t>participants to the extent that the net gains or losses as of the beginning of the year exceed 10% of the greater of the market-related value of plan assets or the projected benefit obligation.</w:t>
      </w:r>
    </w:p>
    <w:p>
      <w:pPr>
        <w:spacing w:after="0" w:line="201" w:lineRule="exact"/>
        <w:rPr>
          <w:sz w:val="20"/>
          <w:szCs w:val="20"/>
          <w:color w:val="auto"/>
        </w:rPr>
      </w:pPr>
    </w:p>
    <w:p>
      <w:pPr>
        <w:ind w:right="20"/>
        <w:spacing w:after="0" w:line="349" w:lineRule="auto"/>
        <w:rPr>
          <w:sz w:val="20"/>
          <w:szCs w:val="20"/>
          <w:color w:val="auto"/>
        </w:rPr>
      </w:pPr>
      <w:r>
        <w:rPr>
          <w:rFonts w:ascii="Arial" w:cs="Arial" w:eastAsia="Arial" w:hAnsi="Arial"/>
          <w:sz w:val="18"/>
          <w:szCs w:val="18"/>
          <w:color w:val="auto"/>
        </w:rPr>
        <w:t>The Company considers several factors prior to the start of each fiscal year when determining the appropriate annual assumptions, including economic forecasts, relevant benchmarks, historical trends, portfolio composition and peer company comparisons. These assumptions, used to determine our pension liabilities and pension expense, are reviewed annually by senior management and changed when appropriate. A discount rate will be changed annually if underlying rates have moved, whereas an expected long-term return on assets will be changed less frequently as longer-term trends in asset returns emerge or long-term target asset allocations are revised. To calculate the discount rate, we use the granular approach to determining service and interest costs. The expected rate of return assumptions for all plans are supported by an analysis of the weighted-average yield expected to be achieved based upon the anticipated makeup of the plans’ investments. Other material assumptions include rates of participant mortality, and the expected long-term rate of compensation and pension increases.</w:t>
      </w:r>
    </w:p>
    <w:p>
      <w:pPr>
        <w:spacing w:after="0" w:line="170" w:lineRule="exact"/>
        <w:rPr>
          <w:sz w:val="20"/>
          <w:szCs w:val="20"/>
          <w:color w:val="auto"/>
        </w:rPr>
      </w:pPr>
    </w:p>
    <w:p>
      <w:pPr>
        <w:ind w:right="140"/>
        <w:spacing w:after="0" w:line="309" w:lineRule="auto"/>
        <w:rPr>
          <w:sz w:val="20"/>
          <w:szCs w:val="20"/>
          <w:color w:val="auto"/>
        </w:rPr>
      </w:pPr>
      <w:r>
        <w:rPr>
          <w:rFonts w:ascii="Arial" w:cs="Arial" w:eastAsia="Arial" w:hAnsi="Arial"/>
          <w:sz w:val="20"/>
          <w:szCs w:val="20"/>
          <w:color w:val="auto"/>
        </w:rPr>
        <w:t>The following assumptions were used in the valuations of WTW’s defined benefit pension plans. The assumptions presented in each column represent the weighted-average of rates for all plans included in the U.S., U.K., and Other groups. The assumptions used to determine net periodic benefit cost for the fiscal years ended December 31, 2025, 2024 and 2023 were as follows: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Discount rate - PBO</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Discount rate - service cost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Discount rate - interest cost 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PBO</w:t>
      </w:r>
    </w:p>
    <w:p>
      <w:pPr>
        <w:spacing w:after="0" w:line="82"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Expected long-term rate of return on</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assets</w:t>
      </w:r>
    </w:p>
    <w:p>
      <w:pPr>
        <w:spacing w:after="0" w:line="82"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Rate of increase in compensation levels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20" w:type="dxa"/>
            <w:vAlign w:val="bottom"/>
            <w:gridSpan w:val="3"/>
          </w:tcPr>
          <w:p>
            <w:pPr>
              <w:jc w:val="right"/>
              <w:ind w:right="316"/>
              <w:spacing w:after="0"/>
              <w:rPr>
                <w:sz w:val="20"/>
                <w:szCs w:val="20"/>
                <w:color w:val="auto"/>
              </w:rPr>
            </w:pPr>
            <w:r>
              <w:rPr>
                <w:rFonts w:ascii="Arial" w:cs="Arial" w:eastAsia="Arial" w:hAnsi="Arial"/>
                <w:sz w:val="15"/>
                <w:szCs w:val="15"/>
                <w:b w:val="1"/>
                <w:bCs w:val="1"/>
                <w:color w:val="auto"/>
                <w:w w:val="99"/>
              </w:rPr>
              <w:t>Years ended December 31,</w:t>
            </w: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62"/>
        </w:trPr>
        <w:tc>
          <w:tcPr>
            <w:tcW w:w="620" w:type="dxa"/>
            <w:vAlign w:val="bottom"/>
          </w:tcPr>
          <w:p>
            <w:pPr>
              <w:spacing w:after="0"/>
              <w:rPr>
                <w:sz w:val="22"/>
                <w:szCs w:val="22"/>
                <w:color w:val="auto"/>
              </w:rPr>
            </w:pPr>
          </w:p>
        </w:tc>
        <w:tc>
          <w:tcPr>
            <w:tcW w:w="760" w:type="dxa"/>
            <w:vAlign w:val="bottom"/>
          </w:tcPr>
          <w:p>
            <w:pPr>
              <w:jc w:val="right"/>
              <w:ind w:right="176"/>
              <w:spacing w:after="0"/>
              <w:rPr>
                <w:sz w:val="20"/>
                <w:szCs w:val="20"/>
                <w:color w:val="auto"/>
              </w:rPr>
            </w:pPr>
            <w:r>
              <w:rPr>
                <w:rFonts w:ascii="Arial" w:cs="Arial" w:eastAsia="Arial" w:hAnsi="Arial"/>
                <w:sz w:val="16"/>
                <w:szCs w:val="16"/>
                <w:b w:val="1"/>
                <w:bCs w:val="1"/>
                <w:color w:val="auto"/>
              </w:rPr>
              <w:t>2025</w:t>
            </w: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jc w:val="right"/>
              <w:ind w:right="156"/>
              <w:spacing w:after="0"/>
              <w:rPr>
                <w:sz w:val="20"/>
                <w:szCs w:val="20"/>
                <w:color w:val="auto"/>
              </w:rPr>
            </w:pPr>
            <w:r>
              <w:rPr>
                <w:rFonts w:ascii="Arial" w:cs="Arial" w:eastAsia="Arial" w:hAnsi="Arial"/>
                <w:sz w:val="16"/>
                <w:szCs w:val="16"/>
                <w:b w:val="1"/>
                <w:bCs w:val="1"/>
                <w:color w:val="auto"/>
              </w:rPr>
              <w:t>2024</w:t>
            </w: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jc w:val="right"/>
              <w:ind w:right="216"/>
              <w:spacing w:after="0"/>
              <w:rPr>
                <w:sz w:val="20"/>
                <w:szCs w:val="20"/>
                <w:color w:val="auto"/>
              </w:rPr>
            </w:pPr>
            <w:r>
              <w:rPr>
                <w:rFonts w:ascii="Arial" w:cs="Arial" w:eastAsia="Arial" w:hAnsi="Arial"/>
                <w:sz w:val="16"/>
                <w:szCs w:val="16"/>
                <w:b w:val="1"/>
                <w:bCs w:val="1"/>
                <w:color w:val="auto"/>
              </w:rPr>
              <w:t>2023</w:t>
            </w:r>
          </w:p>
        </w:tc>
        <w:tc>
          <w:tcPr>
            <w:tcW w:w="660" w:type="dxa"/>
            <w:vAlign w:val="bottom"/>
          </w:tcPr>
          <w:p>
            <w:pPr>
              <w:spacing w:after="0"/>
              <w:rPr>
                <w:sz w:val="22"/>
                <w:szCs w:val="22"/>
                <w:color w:val="auto"/>
              </w:rPr>
            </w:pPr>
          </w:p>
        </w:tc>
      </w:tr>
      <w:tr>
        <w:trPr>
          <w:trHeight w:val="264"/>
        </w:trPr>
        <w:tc>
          <w:tcPr>
            <w:tcW w:w="620" w:type="dxa"/>
            <w:vAlign w:val="bottom"/>
          </w:tcPr>
          <w:p>
            <w:pPr>
              <w:jc w:val="right"/>
              <w:ind w:right="236"/>
              <w:spacing w:after="0"/>
              <w:rPr>
                <w:sz w:val="20"/>
                <w:szCs w:val="20"/>
                <w:color w:val="auto"/>
              </w:rPr>
            </w:pPr>
            <w:r>
              <w:rPr>
                <w:rFonts w:ascii="Arial" w:cs="Arial" w:eastAsia="Arial" w:hAnsi="Arial"/>
                <w:sz w:val="16"/>
                <w:szCs w:val="16"/>
                <w:b w:val="1"/>
                <w:bCs w:val="1"/>
                <w:color w:val="auto"/>
                <w:w w:val="89"/>
              </w:rPr>
              <w:t>U.S.</w:t>
            </w:r>
          </w:p>
        </w:tc>
        <w:tc>
          <w:tcPr>
            <w:tcW w:w="760" w:type="dxa"/>
            <w:vAlign w:val="bottom"/>
          </w:tcPr>
          <w:p>
            <w:pPr>
              <w:jc w:val="right"/>
              <w:ind w:right="216"/>
              <w:spacing w:after="0"/>
              <w:rPr>
                <w:sz w:val="20"/>
                <w:szCs w:val="20"/>
                <w:color w:val="auto"/>
              </w:rPr>
            </w:pPr>
            <w:r>
              <w:rPr>
                <w:rFonts w:ascii="Arial" w:cs="Arial" w:eastAsia="Arial" w:hAnsi="Arial"/>
                <w:sz w:val="16"/>
                <w:szCs w:val="16"/>
                <w:b w:val="1"/>
                <w:bCs w:val="1"/>
                <w:color w:val="auto"/>
              </w:rPr>
              <w:t>U.K.</w:t>
            </w:r>
          </w:p>
        </w:tc>
        <w:tc>
          <w:tcPr>
            <w:tcW w:w="800" w:type="dxa"/>
            <w:vAlign w:val="bottom"/>
          </w:tcPr>
          <w:p>
            <w:pPr>
              <w:jc w:val="right"/>
              <w:ind w:right="196"/>
              <w:spacing w:after="0"/>
              <w:rPr>
                <w:sz w:val="20"/>
                <w:szCs w:val="20"/>
                <w:color w:val="auto"/>
              </w:rPr>
            </w:pPr>
            <w:r>
              <w:rPr>
                <w:rFonts w:ascii="Arial" w:cs="Arial" w:eastAsia="Arial" w:hAnsi="Arial"/>
                <w:sz w:val="16"/>
                <w:szCs w:val="16"/>
                <w:b w:val="1"/>
                <w:bCs w:val="1"/>
                <w:color w:val="auto"/>
              </w:rPr>
              <w:t>Other</w:t>
            </w:r>
          </w:p>
        </w:tc>
        <w:tc>
          <w:tcPr>
            <w:tcW w:w="760" w:type="dxa"/>
            <w:vAlign w:val="bottom"/>
          </w:tcPr>
          <w:p>
            <w:pPr>
              <w:jc w:val="right"/>
              <w:ind w:right="257"/>
              <w:spacing w:after="0"/>
              <w:rPr>
                <w:sz w:val="20"/>
                <w:szCs w:val="20"/>
                <w:color w:val="auto"/>
              </w:rPr>
            </w:pPr>
            <w:r>
              <w:rPr>
                <w:rFonts w:ascii="Arial" w:cs="Arial" w:eastAsia="Arial" w:hAnsi="Arial"/>
                <w:sz w:val="16"/>
                <w:szCs w:val="16"/>
                <w:b w:val="1"/>
                <w:bCs w:val="1"/>
                <w:color w:val="auto"/>
              </w:rPr>
              <w:t>U.S.</w:t>
            </w:r>
          </w:p>
        </w:tc>
        <w:tc>
          <w:tcPr>
            <w:tcW w:w="740" w:type="dxa"/>
            <w:vAlign w:val="bottom"/>
          </w:tcPr>
          <w:p>
            <w:pPr>
              <w:jc w:val="right"/>
              <w:ind w:right="196"/>
              <w:spacing w:after="0"/>
              <w:rPr>
                <w:sz w:val="20"/>
                <w:szCs w:val="20"/>
                <w:color w:val="auto"/>
              </w:rPr>
            </w:pPr>
            <w:r>
              <w:rPr>
                <w:rFonts w:ascii="Arial" w:cs="Arial" w:eastAsia="Arial" w:hAnsi="Arial"/>
                <w:sz w:val="16"/>
                <w:szCs w:val="16"/>
                <w:b w:val="1"/>
                <w:bCs w:val="1"/>
                <w:color w:val="auto"/>
              </w:rPr>
              <w:t>U.K.</w:t>
            </w:r>
          </w:p>
        </w:tc>
        <w:tc>
          <w:tcPr>
            <w:tcW w:w="820" w:type="dxa"/>
            <w:vAlign w:val="bottom"/>
          </w:tcPr>
          <w:p>
            <w:pPr>
              <w:jc w:val="right"/>
              <w:ind w:right="196"/>
              <w:spacing w:after="0"/>
              <w:rPr>
                <w:sz w:val="20"/>
                <w:szCs w:val="20"/>
                <w:color w:val="auto"/>
              </w:rPr>
            </w:pPr>
            <w:r>
              <w:rPr>
                <w:rFonts w:ascii="Arial" w:cs="Arial" w:eastAsia="Arial" w:hAnsi="Arial"/>
                <w:sz w:val="16"/>
                <w:szCs w:val="16"/>
                <w:b w:val="1"/>
                <w:bCs w:val="1"/>
                <w:color w:val="auto"/>
              </w:rPr>
              <w:t>Other</w:t>
            </w:r>
          </w:p>
        </w:tc>
        <w:tc>
          <w:tcPr>
            <w:tcW w:w="760" w:type="dxa"/>
            <w:vAlign w:val="bottom"/>
          </w:tcPr>
          <w:p>
            <w:pPr>
              <w:jc w:val="right"/>
              <w:ind w:right="256"/>
              <w:spacing w:after="0"/>
              <w:rPr>
                <w:sz w:val="20"/>
                <w:szCs w:val="20"/>
                <w:color w:val="auto"/>
              </w:rPr>
            </w:pPr>
            <w:r>
              <w:rPr>
                <w:rFonts w:ascii="Arial" w:cs="Arial" w:eastAsia="Arial" w:hAnsi="Arial"/>
                <w:sz w:val="16"/>
                <w:szCs w:val="16"/>
                <w:b w:val="1"/>
                <w:bCs w:val="1"/>
                <w:color w:val="auto"/>
              </w:rPr>
              <w:t>U.S.</w:t>
            </w:r>
          </w:p>
        </w:tc>
        <w:tc>
          <w:tcPr>
            <w:tcW w:w="760" w:type="dxa"/>
            <w:vAlign w:val="bottom"/>
          </w:tcPr>
          <w:p>
            <w:pPr>
              <w:jc w:val="right"/>
              <w:ind w:right="216"/>
              <w:spacing w:after="0"/>
              <w:rPr>
                <w:sz w:val="20"/>
                <w:szCs w:val="20"/>
                <w:color w:val="auto"/>
              </w:rPr>
            </w:pPr>
            <w:r>
              <w:rPr>
                <w:rFonts w:ascii="Arial" w:cs="Arial" w:eastAsia="Arial" w:hAnsi="Arial"/>
                <w:sz w:val="16"/>
                <w:szCs w:val="16"/>
                <w:b w:val="1"/>
                <w:bCs w:val="1"/>
                <w:color w:val="auto"/>
              </w:rPr>
              <w:t>U.K.</w:t>
            </w:r>
          </w:p>
        </w:tc>
        <w:tc>
          <w:tcPr>
            <w:tcW w:w="660" w:type="dxa"/>
            <w:vAlign w:val="bottom"/>
          </w:tcPr>
          <w:p>
            <w:pPr>
              <w:jc w:val="right"/>
              <w:ind w:right="56"/>
              <w:spacing w:after="0"/>
              <w:rPr>
                <w:sz w:val="20"/>
                <w:szCs w:val="20"/>
                <w:color w:val="auto"/>
              </w:rPr>
            </w:pPr>
            <w:r>
              <w:rPr>
                <w:rFonts w:ascii="Arial" w:cs="Arial" w:eastAsia="Arial" w:hAnsi="Arial"/>
                <w:sz w:val="16"/>
                <w:szCs w:val="16"/>
                <w:b w:val="1"/>
                <w:bCs w:val="1"/>
                <w:color w:val="auto"/>
              </w:rPr>
              <w:t>Other</w:t>
            </w:r>
          </w:p>
        </w:tc>
      </w:tr>
      <w:tr>
        <w:trPr>
          <w:trHeight w:val="310"/>
        </w:trPr>
        <w:tc>
          <w:tcPr>
            <w:tcW w:w="620" w:type="dxa"/>
            <w:vAlign w:val="bottom"/>
          </w:tcPr>
          <w:p>
            <w:pPr>
              <w:jc w:val="right"/>
              <w:ind w:right="56"/>
              <w:spacing w:after="0"/>
              <w:rPr>
                <w:sz w:val="20"/>
                <w:szCs w:val="20"/>
                <w:color w:val="auto"/>
              </w:rPr>
            </w:pPr>
            <w:r>
              <w:rPr>
                <w:rFonts w:ascii="Arial" w:cs="Arial" w:eastAsia="Arial" w:hAnsi="Arial"/>
                <w:sz w:val="17"/>
                <w:szCs w:val="17"/>
                <w:color w:val="auto"/>
              </w:rPr>
              <w:t>5.6%</w:t>
            </w:r>
          </w:p>
        </w:tc>
        <w:tc>
          <w:tcPr>
            <w:tcW w:w="760" w:type="dxa"/>
            <w:vAlign w:val="bottom"/>
          </w:tcPr>
          <w:p>
            <w:pPr>
              <w:jc w:val="right"/>
              <w:ind w:right="36"/>
              <w:spacing w:after="0"/>
              <w:rPr>
                <w:sz w:val="20"/>
                <w:szCs w:val="20"/>
                <w:color w:val="auto"/>
              </w:rPr>
            </w:pPr>
            <w:r>
              <w:rPr>
                <w:rFonts w:ascii="Arial" w:cs="Arial" w:eastAsia="Arial" w:hAnsi="Arial"/>
                <w:sz w:val="17"/>
                <w:szCs w:val="17"/>
                <w:color w:val="auto"/>
              </w:rPr>
              <w:t>5.6%</w:t>
            </w:r>
          </w:p>
        </w:tc>
        <w:tc>
          <w:tcPr>
            <w:tcW w:w="800" w:type="dxa"/>
            <w:vAlign w:val="bottom"/>
          </w:tcPr>
          <w:p>
            <w:pPr>
              <w:jc w:val="right"/>
              <w:ind w:right="76"/>
              <w:spacing w:after="0"/>
              <w:rPr>
                <w:sz w:val="20"/>
                <w:szCs w:val="20"/>
                <w:color w:val="auto"/>
              </w:rPr>
            </w:pPr>
            <w:r>
              <w:rPr>
                <w:rFonts w:ascii="Arial" w:cs="Arial" w:eastAsia="Arial" w:hAnsi="Arial"/>
                <w:sz w:val="17"/>
                <w:szCs w:val="17"/>
                <w:color w:val="auto"/>
              </w:rPr>
              <w:t>3.8%</w:t>
            </w:r>
          </w:p>
        </w:tc>
        <w:tc>
          <w:tcPr>
            <w:tcW w:w="760" w:type="dxa"/>
            <w:vAlign w:val="bottom"/>
          </w:tcPr>
          <w:p>
            <w:pPr>
              <w:jc w:val="right"/>
              <w:ind w:right="57"/>
              <w:spacing w:after="0"/>
              <w:rPr>
                <w:sz w:val="20"/>
                <w:szCs w:val="20"/>
                <w:color w:val="auto"/>
              </w:rPr>
            </w:pPr>
            <w:r>
              <w:rPr>
                <w:rFonts w:ascii="Arial" w:cs="Arial" w:eastAsia="Arial" w:hAnsi="Arial"/>
                <w:sz w:val="17"/>
                <w:szCs w:val="17"/>
                <w:color w:val="auto"/>
              </w:rPr>
              <w:t>5.1%</w:t>
            </w: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4.7%</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3.8%</w:t>
            </w:r>
          </w:p>
        </w:tc>
        <w:tc>
          <w:tcPr>
            <w:tcW w:w="760" w:type="dxa"/>
            <w:vAlign w:val="bottom"/>
          </w:tcPr>
          <w:p>
            <w:pPr>
              <w:jc w:val="right"/>
              <w:ind w:right="56"/>
              <w:spacing w:after="0"/>
              <w:rPr>
                <w:sz w:val="20"/>
                <w:szCs w:val="20"/>
                <w:color w:val="auto"/>
              </w:rPr>
            </w:pPr>
            <w:r>
              <w:rPr>
                <w:rFonts w:ascii="Arial" w:cs="Arial" w:eastAsia="Arial" w:hAnsi="Arial"/>
                <w:sz w:val="17"/>
                <w:szCs w:val="17"/>
                <w:color w:val="auto"/>
              </w:rPr>
              <w:t>5.4%</w:t>
            </w:r>
          </w:p>
        </w:tc>
        <w:tc>
          <w:tcPr>
            <w:tcW w:w="760" w:type="dxa"/>
            <w:vAlign w:val="bottom"/>
          </w:tcPr>
          <w:p>
            <w:pPr>
              <w:jc w:val="right"/>
              <w:ind w:right="56"/>
              <w:spacing w:after="0"/>
              <w:rPr>
                <w:sz w:val="20"/>
                <w:szCs w:val="20"/>
                <w:color w:val="auto"/>
              </w:rPr>
            </w:pPr>
            <w:r>
              <w:rPr>
                <w:rFonts w:ascii="Arial" w:cs="Arial" w:eastAsia="Arial" w:hAnsi="Arial"/>
                <w:sz w:val="17"/>
                <w:szCs w:val="17"/>
                <w:color w:val="auto"/>
              </w:rPr>
              <w:t>5.0%</w:t>
            </w:r>
          </w:p>
        </w:tc>
        <w:tc>
          <w:tcPr>
            <w:tcW w:w="66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314"/>
        </w:trPr>
        <w:tc>
          <w:tcPr>
            <w:tcW w:w="620" w:type="dxa"/>
            <w:vAlign w:val="bottom"/>
          </w:tcPr>
          <w:p>
            <w:pPr>
              <w:jc w:val="right"/>
              <w:ind w:right="56"/>
              <w:spacing w:after="0"/>
              <w:rPr>
                <w:sz w:val="20"/>
                <w:szCs w:val="20"/>
                <w:color w:val="auto"/>
              </w:rPr>
            </w:pPr>
            <w:r>
              <w:rPr>
                <w:rFonts w:ascii="Arial" w:cs="Arial" w:eastAsia="Arial" w:hAnsi="Arial"/>
                <w:sz w:val="17"/>
                <w:szCs w:val="17"/>
                <w:color w:val="auto"/>
              </w:rPr>
              <w:t>5.8%</w:t>
            </w:r>
          </w:p>
        </w:tc>
        <w:tc>
          <w:tcPr>
            <w:tcW w:w="760" w:type="dxa"/>
            <w:vAlign w:val="bottom"/>
          </w:tcPr>
          <w:p>
            <w:pPr>
              <w:jc w:val="right"/>
              <w:ind w:right="36"/>
              <w:spacing w:after="0"/>
              <w:rPr>
                <w:sz w:val="20"/>
                <w:szCs w:val="20"/>
                <w:color w:val="auto"/>
              </w:rPr>
            </w:pPr>
            <w:r>
              <w:rPr>
                <w:rFonts w:ascii="Arial" w:cs="Arial" w:eastAsia="Arial" w:hAnsi="Arial"/>
                <w:sz w:val="17"/>
                <w:szCs w:val="17"/>
                <w:color w:val="auto"/>
              </w:rPr>
              <w:t>5.7%</w:t>
            </w:r>
          </w:p>
        </w:tc>
        <w:tc>
          <w:tcPr>
            <w:tcW w:w="800" w:type="dxa"/>
            <w:vAlign w:val="bottom"/>
          </w:tcPr>
          <w:p>
            <w:pPr>
              <w:jc w:val="right"/>
              <w:ind w:right="76"/>
              <w:spacing w:after="0"/>
              <w:rPr>
                <w:sz w:val="20"/>
                <w:szCs w:val="20"/>
                <w:color w:val="auto"/>
              </w:rPr>
            </w:pPr>
            <w:r>
              <w:rPr>
                <w:rFonts w:ascii="Arial" w:cs="Arial" w:eastAsia="Arial" w:hAnsi="Arial"/>
                <w:sz w:val="17"/>
                <w:szCs w:val="17"/>
                <w:color w:val="auto"/>
              </w:rPr>
              <w:t>3.6%</w:t>
            </w:r>
          </w:p>
        </w:tc>
        <w:tc>
          <w:tcPr>
            <w:tcW w:w="760" w:type="dxa"/>
            <w:vAlign w:val="bottom"/>
          </w:tcPr>
          <w:p>
            <w:pPr>
              <w:jc w:val="right"/>
              <w:ind w:right="57"/>
              <w:spacing w:after="0"/>
              <w:rPr>
                <w:sz w:val="20"/>
                <w:szCs w:val="20"/>
                <w:color w:val="auto"/>
              </w:rPr>
            </w:pPr>
            <w:r>
              <w:rPr>
                <w:rFonts w:ascii="Arial" w:cs="Arial" w:eastAsia="Arial" w:hAnsi="Arial"/>
                <w:sz w:val="17"/>
                <w:szCs w:val="17"/>
                <w:color w:val="auto"/>
              </w:rPr>
              <w:t>5.2%</w:t>
            </w: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4.8%</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3.7%</w:t>
            </w:r>
          </w:p>
        </w:tc>
        <w:tc>
          <w:tcPr>
            <w:tcW w:w="760" w:type="dxa"/>
            <w:vAlign w:val="bottom"/>
          </w:tcPr>
          <w:p>
            <w:pPr>
              <w:jc w:val="right"/>
              <w:ind w:right="56"/>
              <w:spacing w:after="0"/>
              <w:rPr>
                <w:sz w:val="20"/>
                <w:szCs w:val="20"/>
                <w:color w:val="auto"/>
              </w:rPr>
            </w:pPr>
            <w:r>
              <w:rPr>
                <w:rFonts w:ascii="Arial" w:cs="Arial" w:eastAsia="Arial" w:hAnsi="Arial"/>
                <w:sz w:val="17"/>
                <w:szCs w:val="17"/>
                <w:color w:val="auto"/>
              </w:rPr>
              <w:t>5.5%</w:t>
            </w:r>
          </w:p>
        </w:tc>
        <w:tc>
          <w:tcPr>
            <w:tcW w:w="760" w:type="dxa"/>
            <w:vAlign w:val="bottom"/>
          </w:tcPr>
          <w:p>
            <w:pPr>
              <w:jc w:val="right"/>
              <w:ind w:right="56"/>
              <w:spacing w:after="0"/>
              <w:rPr>
                <w:sz w:val="20"/>
                <w:szCs w:val="20"/>
                <w:color w:val="auto"/>
              </w:rPr>
            </w:pPr>
            <w:r>
              <w:rPr>
                <w:rFonts w:ascii="Arial" w:cs="Arial" w:eastAsia="Arial" w:hAnsi="Arial"/>
                <w:sz w:val="17"/>
                <w:szCs w:val="17"/>
                <w:color w:val="auto"/>
              </w:rPr>
              <w:t>5.0%</w:t>
            </w:r>
          </w:p>
        </w:tc>
        <w:tc>
          <w:tcPr>
            <w:tcW w:w="66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524"/>
        </w:trPr>
        <w:tc>
          <w:tcPr>
            <w:tcW w:w="620" w:type="dxa"/>
            <w:vAlign w:val="bottom"/>
          </w:tcPr>
          <w:p>
            <w:pPr>
              <w:jc w:val="right"/>
              <w:ind w:right="56"/>
              <w:spacing w:after="0"/>
              <w:rPr>
                <w:sz w:val="20"/>
                <w:szCs w:val="20"/>
                <w:color w:val="auto"/>
              </w:rPr>
            </w:pPr>
            <w:r>
              <w:rPr>
                <w:rFonts w:ascii="Arial" w:cs="Arial" w:eastAsia="Arial" w:hAnsi="Arial"/>
                <w:sz w:val="17"/>
                <w:szCs w:val="17"/>
                <w:color w:val="auto"/>
              </w:rPr>
              <w:t>5.3%</w:t>
            </w:r>
          </w:p>
        </w:tc>
        <w:tc>
          <w:tcPr>
            <w:tcW w:w="760" w:type="dxa"/>
            <w:vAlign w:val="bottom"/>
          </w:tcPr>
          <w:p>
            <w:pPr>
              <w:jc w:val="right"/>
              <w:ind w:right="36"/>
              <w:spacing w:after="0"/>
              <w:rPr>
                <w:sz w:val="20"/>
                <w:szCs w:val="20"/>
                <w:color w:val="auto"/>
              </w:rPr>
            </w:pPr>
            <w:r>
              <w:rPr>
                <w:rFonts w:ascii="Arial" w:cs="Arial" w:eastAsia="Arial" w:hAnsi="Arial"/>
                <w:sz w:val="17"/>
                <w:szCs w:val="17"/>
                <w:color w:val="auto"/>
              </w:rPr>
              <w:t>5.3%</w:t>
            </w:r>
          </w:p>
        </w:tc>
        <w:tc>
          <w:tcPr>
            <w:tcW w:w="800" w:type="dxa"/>
            <w:vAlign w:val="bottom"/>
          </w:tcPr>
          <w:p>
            <w:pPr>
              <w:jc w:val="right"/>
              <w:ind w:right="76"/>
              <w:spacing w:after="0"/>
              <w:rPr>
                <w:sz w:val="20"/>
                <w:szCs w:val="20"/>
                <w:color w:val="auto"/>
              </w:rPr>
            </w:pPr>
            <w:r>
              <w:rPr>
                <w:rFonts w:ascii="Arial" w:cs="Arial" w:eastAsia="Arial" w:hAnsi="Arial"/>
                <w:sz w:val="17"/>
                <w:szCs w:val="17"/>
                <w:color w:val="auto"/>
              </w:rPr>
              <w:t>3.6%</w:t>
            </w:r>
          </w:p>
        </w:tc>
        <w:tc>
          <w:tcPr>
            <w:tcW w:w="760" w:type="dxa"/>
            <w:vAlign w:val="bottom"/>
          </w:tcPr>
          <w:p>
            <w:pPr>
              <w:jc w:val="right"/>
              <w:ind w:right="57"/>
              <w:spacing w:after="0"/>
              <w:rPr>
                <w:sz w:val="20"/>
                <w:szCs w:val="20"/>
                <w:color w:val="auto"/>
              </w:rPr>
            </w:pPr>
            <w:r>
              <w:rPr>
                <w:rFonts w:ascii="Arial" w:cs="Arial" w:eastAsia="Arial" w:hAnsi="Arial"/>
                <w:sz w:val="17"/>
                <w:szCs w:val="17"/>
                <w:color w:val="auto"/>
              </w:rPr>
              <w:t>5.0%</w:t>
            </w: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4.6%</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3.8%</w:t>
            </w:r>
          </w:p>
        </w:tc>
        <w:tc>
          <w:tcPr>
            <w:tcW w:w="760" w:type="dxa"/>
            <w:vAlign w:val="bottom"/>
          </w:tcPr>
          <w:p>
            <w:pPr>
              <w:jc w:val="right"/>
              <w:ind w:right="56"/>
              <w:spacing w:after="0"/>
              <w:rPr>
                <w:sz w:val="20"/>
                <w:szCs w:val="20"/>
                <w:color w:val="auto"/>
              </w:rPr>
            </w:pPr>
            <w:r>
              <w:rPr>
                <w:rFonts w:ascii="Arial" w:cs="Arial" w:eastAsia="Arial" w:hAnsi="Arial"/>
                <w:sz w:val="17"/>
                <w:szCs w:val="17"/>
                <w:color w:val="auto"/>
              </w:rPr>
              <w:t>5.2%</w:t>
            </w:r>
          </w:p>
        </w:tc>
        <w:tc>
          <w:tcPr>
            <w:tcW w:w="760" w:type="dxa"/>
            <w:vAlign w:val="bottom"/>
          </w:tcPr>
          <w:p>
            <w:pPr>
              <w:jc w:val="right"/>
              <w:ind w:right="56"/>
              <w:spacing w:after="0"/>
              <w:rPr>
                <w:sz w:val="20"/>
                <w:szCs w:val="20"/>
                <w:color w:val="auto"/>
              </w:rPr>
            </w:pPr>
            <w:r>
              <w:rPr>
                <w:rFonts w:ascii="Arial" w:cs="Arial" w:eastAsia="Arial" w:hAnsi="Arial"/>
                <w:sz w:val="17"/>
                <w:szCs w:val="17"/>
                <w:color w:val="auto"/>
              </w:rPr>
              <w:t>4.9%</w:t>
            </w:r>
          </w:p>
        </w:tc>
        <w:tc>
          <w:tcPr>
            <w:tcW w:w="66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779"/>
        </w:trPr>
        <w:tc>
          <w:tcPr>
            <w:tcW w:w="620" w:type="dxa"/>
            <w:vAlign w:val="bottom"/>
          </w:tcPr>
          <w:p>
            <w:pPr>
              <w:jc w:val="right"/>
              <w:ind w:right="56"/>
              <w:spacing w:after="0"/>
              <w:rPr>
                <w:sz w:val="20"/>
                <w:szCs w:val="20"/>
                <w:color w:val="auto"/>
              </w:rPr>
            </w:pPr>
            <w:r>
              <w:rPr>
                <w:rFonts w:ascii="Arial" w:cs="Arial" w:eastAsia="Arial" w:hAnsi="Arial"/>
                <w:sz w:val="17"/>
                <w:szCs w:val="17"/>
                <w:color w:val="auto"/>
              </w:rPr>
              <w:t>8.2%</w:t>
            </w:r>
          </w:p>
        </w:tc>
        <w:tc>
          <w:tcPr>
            <w:tcW w:w="760" w:type="dxa"/>
            <w:vAlign w:val="bottom"/>
          </w:tcPr>
          <w:p>
            <w:pPr>
              <w:jc w:val="right"/>
              <w:ind w:right="36"/>
              <w:spacing w:after="0"/>
              <w:rPr>
                <w:sz w:val="20"/>
                <w:szCs w:val="20"/>
                <w:color w:val="auto"/>
              </w:rPr>
            </w:pPr>
            <w:r>
              <w:rPr>
                <w:rFonts w:ascii="Arial" w:cs="Arial" w:eastAsia="Arial" w:hAnsi="Arial"/>
                <w:sz w:val="17"/>
                <w:szCs w:val="17"/>
                <w:color w:val="auto"/>
              </w:rPr>
              <w:t>6.4%</w:t>
            </w:r>
          </w:p>
        </w:tc>
        <w:tc>
          <w:tcPr>
            <w:tcW w:w="800" w:type="dxa"/>
            <w:vAlign w:val="bottom"/>
          </w:tcPr>
          <w:p>
            <w:pPr>
              <w:jc w:val="right"/>
              <w:ind w:right="76"/>
              <w:spacing w:after="0"/>
              <w:rPr>
                <w:sz w:val="20"/>
                <w:szCs w:val="20"/>
                <w:color w:val="auto"/>
              </w:rPr>
            </w:pPr>
            <w:r>
              <w:rPr>
                <w:rFonts w:ascii="Arial" w:cs="Arial" w:eastAsia="Arial" w:hAnsi="Arial"/>
                <w:sz w:val="17"/>
                <w:szCs w:val="17"/>
                <w:color w:val="auto"/>
              </w:rPr>
              <w:t>6.4%</w:t>
            </w:r>
          </w:p>
        </w:tc>
        <w:tc>
          <w:tcPr>
            <w:tcW w:w="760" w:type="dxa"/>
            <w:vAlign w:val="bottom"/>
          </w:tcPr>
          <w:p>
            <w:pPr>
              <w:jc w:val="right"/>
              <w:ind w:right="57"/>
              <w:spacing w:after="0"/>
              <w:rPr>
                <w:sz w:val="20"/>
                <w:szCs w:val="20"/>
                <w:color w:val="auto"/>
              </w:rPr>
            </w:pPr>
            <w:r>
              <w:rPr>
                <w:rFonts w:ascii="Arial" w:cs="Arial" w:eastAsia="Arial" w:hAnsi="Arial"/>
                <w:sz w:val="17"/>
                <w:szCs w:val="17"/>
                <w:color w:val="auto"/>
              </w:rPr>
              <w:t>8.2%</w:t>
            </w: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5.3%</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6.5%</w:t>
            </w:r>
          </w:p>
        </w:tc>
        <w:tc>
          <w:tcPr>
            <w:tcW w:w="760" w:type="dxa"/>
            <w:vAlign w:val="bottom"/>
          </w:tcPr>
          <w:p>
            <w:pPr>
              <w:jc w:val="right"/>
              <w:ind w:right="56"/>
              <w:spacing w:after="0"/>
              <w:rPr>
                <w:sz w:val="20"/>
                <w:szCs w:val="20"/>
                <w:color w:val="auto"/>
              </w:rPr>
            </w:pPr>
            <w:r>
              <w:rPr>
                <w:rFonts w:ascii="Arial" w:cs="Arial" w:eastAsia="Arial" w:hAnsi="Arial"/>
                <w:sz w:val="17"/>
                <w:szCs w:val="17"/>
                <w:color w:val="auto"/>
              </w:rPr>
              <w:t>8.2%</w:t>
            </w:r>
          </w:p>
        </w:tc>
        <w:tc>
          <w:tcPr>
            <w:tcW w:w="760" w:type="dxa"/>
            <w:vAlign w:val="bottom"/>
          </w:tcPr>
          <w:p>
            <w:pPr>
              <w:jc w:val="right"/>
              <w:ind w:right="56"/>
              <w:spacing w:after="0"/>
              <w:rPr>
                <w:sz w:val="20"/>
                <w:szCs w:val="20"/>
                <w:color w:val="auto"/>
              </w:rPr>
            </w:pPr>
            <w:r>
              <w:rPr>
                <w:rFonts w:ascii="Arial" w:cs="Arial" w:eastAsia="Arial" w:hAnsi="Arial"/>
                <w:sz w:val="17"/>
                <w:szCs w:val="17"/>
                <w:color w:val="auto"/>
              </w:rPr>
              <w:t>5.3%</w:t>
            </w:r>
          </w:p>
        </w:tc>
        <w:tc>
          <w:tcPr>
            <w:tcW w:w="66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524"/>
        </w:trPr>
        <w:tc>
          <w:tcPr>
            <w:tcW w:w="620" w:type="dxa"/>
            <w:vAlign w:val="bottom"/>
          </w:tcPr>
          <w:p>
            <w:pPr>
              <w:jc w:val="right"/>
              <w:ind w:right="56"/>
              <w:spacing w:after="0"/>
              <w:rPr>
                <w:sz w:val="20"/>
                <w:szCs w:val="20"/>
                <w:color w:val="auto"/>
              </w:rPr>
            </w:pPr>
            <w:r>
              <w:rPr>
                <w:rFonts w:ascii="Arial" w:cs="Arial" w:eastAsia="Arial" w:hAnsi="Arial"/>
                <w:sz w:val="17"/>
                <w:szCs w:val="17"/>
                <w:color w:val="auto"/>
              </w:rPr>
              <w:t>4.0%</w:t>
            </w:r>
          </w:p>
        </w:tc>
        <w:tc>
          <w:tcPr>
            <w:tcW w:w="760" w:type="dxa"/>
            <w:vAlign w:val="bottom"/>
          </w:tcPr>
          <w:p>
            <w:pPr>
              <w:jc w:val="right"/>
              <w:ind w:right="36"/>
              <w:spacing w:after="0"/>
              <w:rPr>
                <w:sz w:val="20"/>
                <w:szCs w:val="20"/>
                <w:color w:val="auto"/>
              </w:rPr>
            </w:pPr>
            <w:r>
              <w:rPr>
                <w:rFonts w:ascii="Arial" w:cs="Arial" w:eastAsia="Arial" w:hAnsi="Arial"/>
                <w:sz w:val="17"/>
                <w:szCs w:val="17"/>
                <w:color w:val="auto"/>
              </w:rPr>
              <w:t>3.4%</w:t>
            </w:r>
          </w:p>
        </w:tc>
        <w:tc>
          <w:tcPr>
            <w:tcW w:w="800" w:type="dxa"/>
            <w:vAlign w:val="bottom"/>
          </w:tcPr>
          <w:p>
            <w:pPr>
              <w:jc w:val="right"/>
              <w:ind w:right="76"/>
              <w:spacing w:after="0"/>
              <w:rPr>
                <w:sz w:val="20"/>
                <w:szCs w:val="20"/>
                <w:color w:val="auto"/>
              </w:rPr>
            </w:pPr>
            <w:r>
              <w:rPr>
                <w:rFonts w:ascii="Arial" w:cs="Arial" w:eastAsia="Arial" w:hAnsi="Arial"/>
                <w:sz w:val="17"/>
                <w:szCs w:val="17"/>
                <w:color w:val="auto"/>
              </w:rPr>
              <w:t>2.3%</w:t>
            </w:r>
          </w:p>
        </w:tc>
        <w:tc>
          <w:tcPr>
            <w:tcW w:w="760" w:type="dxa"/>
            <w:vAlign w:val="bottom"/>
          </w:tcPr>
          <w:p>
            <w:pPr>
              <w:jc w:val="right"/>
              <w:ind w:right="57"/>
              <w:spacing w:after="0"/>
              <w:rPr>
                <w:sz w:val="20"/>
                <w:szCs w:val="20"/>
                <w:color w:val="auto"/>
              </w:rPr>
            </w:pPr>
            <w:r>
              <w:rPr>
                <w:rFonts w:ascii="Arial" w:cs="Arial" w:eastAsia="Arial" w:hAnsi="Arial"/>
                <w:sz w:val="17"/>
                <w:szCs w:val="17"/>
                <w:color w:val="auto"/>
              </w:rPr>
              <w:t>4.3%</w:t>
            </w:r>
          </w:p>
        </w:tc>
        <w:tc>
          <w:tcPr>
            <w:tcW w:w="740" w:type="dxa"/>
            <w:vAlign w:val="bottom"/>
          </w:tcPr>
          <w:p>
            <w:pPr>
              <w:jc w:val="right"/>
              <w:ind w:right="16"/>
              <w:spacing w:after="0"/>
              <w:rPr>
                <w:sz w:val="20"/>
                <w:szCs w:val="20"/>
                <w:color w:val="auto"/>
              </w:rPr>
            </w:pPr>
            <w:r>
              <w:rPr>
                <w:rFonts w:ascii="Arial" w:cs="Arial" w:eastAsia="Arial" w:hAnsi="Arial"/>
                <w:sz w:val="17"/>
                <w:szCs w:val="17"/>
                <w:color w:val="auto"/>
              </w:rPr>
              <w:t>3.3%</w:t>
            </w:r>
          </w:p>
        </w:tc>
        <w:tc>
          <w:tcPr>
            <w:tcW w:w="820" w:type="dxa"/>
            <w:vAlign w:val="bottom"/>
          </w:tcPr>
          <w:p>
            <w:pPr>
              <w:jc w:val="right"/>
              <w:ind w:right="76"/>
              <w:spacing w:after="0"/>
              <w:rPr>
                <w:sz w:val="20"/>
                <w:szCs w:val="20"/>
                <w:color w:val="auto"/>
              </w:rPr>
            </w:pPr>
            <w:r>
              <w:rPr>
                <w:rFonts w:ascii="Arial" w:cs="Arial" w:eastAsia="Arial" w:hAnsi="Arial"/>
                <w:sz w:val="17"/>
                <w:szCs w:val="17"/>
                <w:color w:val="auto"/>
              </w:rPr>
              <w:t>2.4%</w:t>
            </w:r>
          </w:p>
        </w:tc>
        <w:tc>
          <w:tcPr>
            <w:tcW w:w="760" w:type="dxa"/>
            <w:vAlign w:val="bottom"/>
          </w:tcPr>
          <w:p>
            <w:pPr>
              <w:jc w:val="right"/>
              <w:ind w:right="56"/>
              <w:spacing w:after="0"/>
              <w:rPr>
                <w:sz w:val="20"/>
                <w:szCs w:val="20"/>
                <w:color w:val="auto"/>
              </w:rPr>
            </w:pPr>
            <w:r>
              <w:rPr>
                <w:rFonts w:ascii="Arial" w:cs="Arial" w:eastAsia="Arial" w:hAnsi="Arial"/>
                <w:sz w:val="17"/>
                <w:szCs w:val="17"/>
                <w:color w:val="auto"/>
              </w:rPr>
              <w:t>4.3%</w:t>
            </w:r>
          </w:p>
        </w:tc>
        <w:tc>
          <w:tcPr>
            <w:tcW w:w="760" w:type="dxa"/>
            <w:vAlign w:val="bottom"/>
          </w:tcPr>
          <w:p>
            <w:pPr>
              <w:jc w:val="right"/>
              <w:ind w:right="56"/>
              <w:spacing w:after="0"/>
              <w:rPr>
                <w:sz w:val="20"/>
                <w:szCs w:val="20"/>
                <w:color w:val="auto"/>
              </w:rPr>
            </w:pPr>
            <w:r>
              <w:rPr>
                <w:rFonts w:ascii="Arial" w:cs="Arial" w:eastAsia="Arial" w:hAnsi="Arial"/>
                <w:sz w:val="17"/>
                <w:szCs w:val="17"/>
                <w:color w:val="auto"/>
              </w:rPr>
              <w:t>3.4%</w:t>
            </w:r>
          </w:p>
        </w:tc>
        <w:tc>
          <w:tcPr>
            <w:tcW w:w="660" w:type="dxa"/>
            <w:vAlign w:val="bottom"/>
          </w:tcPr>
          <w:p>
            <w:pPr>
              <w:jc w:val="right"/>
              <w:spacing w:after="0"/>
              <w:rPr>
                <w:sz w:val="20"/>
                <w:szCs w:val="20"/>
                <w:color w:val="auto"/>
              </w:rPr>
            </w:pPr>
            <w:r>
              <w:rPr>
                <w:rFonts w:ascii="Arial" w:cs="Arial" w:eastAsia="Arial" w:hAnsi="Arial"/>
                <w:sz w:val="17"/>
                <w:szCs w:val="17"/>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-1717675</wp:posOffset>
            </wp:positionH>
            <wp:positionV relativeFrom="paragraph">
              <wp:posOffset>-1871980</wp:posOffset>
            </wp:positionV>
            <wp:extent cx="5967730" cy="190246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4">
                      <a:extLst>
                        <a:ext uri="{28A0092B-C50C-407E-A947-70E740481C1C}"/>
                      </a:extLst>
                    </a:blip>
                    <a:srcRect/>
                    <a:stretch>
                      <a:fillRect/>
                    </a:stretch>
                  </pic:blipFill>
                  <pic:spPr bwMode="auto">
                    <a:xfrm>
                      <a:off x="0" y="0"/>
                      <a:ext cx="5967730" cy="190246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2260" w:space="440"/>
            <w:col w:w="6700"/>
          </w:cols>
          <w:pgMar w:left="1260" w:top="1440" w:right="1246" w:bottom="0" w:gutter="0" w:footer="0" w:header="0"/>
          <w:type w:val="continuous"/>
        </w:sectPr>
      </w:pPr>
    </w:p>
    <w:p>
      <w:pPr>
        <w:spacing w:after="0" w:line="2" w:lineRule="exact"/>
        <w:rPr>
          <w:sz w:val="20"/>
          <w:szCs w:val="20"/>
          <w:color w:val="auto"/>
        </w:rPr>
      </w:pPr>
    </w:p>
    <w:p>
      <w:pPr>
        <w:ind w:right="180"/>
        <w:spacing w:after="0" w:line="302" w:lineRule="auto"/>
        <w:rPr>
          <w:sz w:val="20"/>
          <w:szCs w:val="20"/>
          <w:color w:val="auto"/>
        </w:rPr>
      </w:pPr>
      <w:r>
        <w:rPr>
          <w:rFonts w:ascii="Arial" w:cs="Arial" w:eastAsia="Arial" w:hAnsi="Arial"/>
          <w:sz w:val="20"/>
          <w:szCs w:val="20"/>
          <w:color w:val="auto"/>
        </w:rPr>
        <w:t>The following tables present the assumptions used in the valuation to determine the projected benefit obligation for the fiscal years ended December 31, 2025 and 2024:</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228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2025</w:t>
            </w:r>
          </w:p>
        </w:tc>
        <w:tc>
          <w:tcPr>
            <w:tcW w:w="84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2024</w:t>
            </w:r>
          </w:p>
        </w:tc>
        <w:tc>
          <w:tcPr>
            <w:tcW w:w="680" w:type="dxa"/>
            <w:vAlign w:val="bottom"/>
          </w:tcPr>
          <w:p>
            <w:pPr>
              <w:spacing w:after="0"/>
              <w:rPr>
                <w:sz w:val="16"/>
                <w:szCs w:val="16"/>
                <w:color w:val="auto"/>
              </w:rPr>
            </w:pPr>
          </w:p>
        </w:tc>
      </w:tr>
      <w:tr>
        <w:trPr>
          <w:trHeight w:val="250"/>
        </w:trPr>
        <w:tc>
          <w:tcPr>
            <w:tcW w:w="3640" w:type="dxa"/>
            <w:vAlign w:val="bottom"/>
          </w:tcPr>
          <w:p>
            <w:pPr>
              <w:spacing w:after="0"/>
              <w:rPr>
                <w:sz w:val="21"/>
                <w:szCs w:val="21"/>
                <w:color w:val="auto"/>
              </w:rPr>
            </w:pPr>
          </w:p>
        </w:tc>
        <w:tc>
          <w:tcPr>
            <w:tcW w:w="1240" w:type="dxa"/>
            <w:vAlign w:val="bottom"/>
          </w:tcPr>
          <w:p>
            <w:pPr>
              <w:jc w:val="right"/>
              <w:ind w:right="370"/>
              <w:spacing w:after="0"/>
              <w:rPr>
                <w:sz w:val="20"/>
                <w:szCs w:val="20"/>
                <w:color w:val="auto"/>
              </w:rPr>
            </w:pPr>
            <w:r>
              <w:rPr>
                <w:rFonts w:ascii="Arial" w:cs="Arial" w:eastAsia="Arial" w:hAnsi="Arial"/>
                <w:sz w:val="16"/>
                <w:szCs w:val="16"/>
                <w:b w:val="1"/>
                <w:bCs w:val="1"/>
                <w:color w:val="auto"/>
              </w:rPr>
              <w:t>U.S.</w:t>
            </w:r>
          </w:p>
        </w:tc>
        <w:tc>
          <w:tcPr>
            <w:tcW w:w="1040" w:type="dxa"/>
            <w:vAlign w:val="bottom"/>
          </w:tcPr>
          <w:p>
            <w:pPr>
              <w:jc w:val="right"/>
              <w:ind w:right="447"/>
              <w:spacing w:after="0"/>
              <w:rPr>
                <w:sz w:val="20"/>
                <w:szCs w:val="20"/>
                <w:color w:val="auto"/>
              </w:rPr>
            </w:pPr>
            <w:r>
              <w:rPr>
                <w:rFonts w:ascii="Arial" w:cs="Arial" w:eastAsia="Arial" w:hAnsi="Arial"/>
                <w:sz w:val="16"/>
                <w:szCs w:val="16"/>
                <w:b w:val="1"/>
                <w:bCs w:val="1"/>
                <w:color w:val="auto"/>
              </w:rPr>
              <w:t>U.K.</w:t>
            </w:r>
          </w:p>
        </w:tc>
        <w:tc>
          <w:tcPr>
            <w:tcW w:w="840" w:type="dxa"/>
            <w:vAlign w:val="bottom"/>
          </w:tcPr>
          <w:p>
            <w:pPr>
              <w:jc w:val="right"/>
              <w:ind w:right="307"/>
              <w:spacing w:after="0"/>
              <w:rPr>
                <w:sz w:val="20"/>
                <w:szCs w:val="20"/>
                <w:color w:val="auto"/>
              </w:rPr>
            </w:pPr>
            <w:r>
              <w:rPr>
                <w:rFonts w:ascii="Arial" w:cs="Arial" w:eastAsia="Arial" w:hAnsi="Arial"/>
                <w:sz w:val="16"/>
                <w:szCs w:val="16"/>
                <w:b w:val="1"/>
                <w:bCs w:val="1"/>
                <w:color w:val="auto"/>
                <w:w w:val="98"/>
              </w:rPr>
              <w:t>Other</w:t>
            </w: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U.S.</w:t>
            </w:r>
          </w:p>
        </w:tc>
        <w:tc>
          <w:tcPr>
            <w:tcW w:w="1020" w:type="dxa"/>
            <w:vAlign w:val="bottom"/>
          </w:tcPr>
          <w:p>
            <w:pPr>
              <w:jc w:val="right"/>
              <w:ind w:right="427"/>
              <w:spacing w:after="0"/>
              <w:rPr>
                <w:sz w:val="20"/>
                <w:szCs w:val="20"/>
                <w:color w:val="auto"/>
              </w:rPr>
            </w:pPr>
            <w:r>
              <w:rPr>
                <w:rFonts w:ascii="Arial" w:cs="Arial" w:eastAsia="Arial" w:hAnsi="Arial"/>
                <w:sz w:val="16"/>
                <w:szCs w:val="16"/>
                <w:b w:val="1"/>
                <w:bCs w:val="1"/>
                <w:color w:val="auto"/>
              </w:rPr>
              <w:t>U.K.</w:t>
            </w:r>
          </w:p>
        </w:tc>
        <w:tc>
          <w:tcPr>
            <w:tcW w:w="680" w:type="dxa"/>
            <w:vAlign w:val="bottom"/>
          </w:tcPr>
          <w:p>
            <w:pPr>
              <w:jc w:val="right"/>
              <w:ind w:right="127"/>
              <w:spacing w:after="0"/>
              <w:rPr>
                <w:sz w:val="20"/>
                <w:szCs w:val="20"/>
                <w:color w:val="auto"/>
              </w:rPr>
            </w:pPr>
            <w:r>
              <w:rPr>
                <w:rFonts w:ascii="Arial" w:cs="Arial" w:eastAsia="Arial" w:hAnsi="Arial"/>
                <w:sz w:val="16"/>
                <w:szCs w:val="16"/>
                <w:b w:val="1"/>
                <w:bCs w:val="1"/>
                <w:color w:val="auto"/>
              </w:rPr>
              <w:t>Other</w:t>
            </w:r>
          </w:p>
        </w:tc>
      </w:tr>
      <w:tr>
        <w:trPr>
          <w:trHeight w:val="42"/>
        </w:trPr>
        <w:tc>
          <w:tcPr>
            <w:tcW w:w="3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80"/>
        </w:trPr>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Discount rate</w:t>
            </w:r>
          </w:p>
        </w:tc>
        <w:tc>
          <w:tcPr>
            <w:tcW w:w="12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20"/>
                <w:szCs w:val="20"/>
                <w:color w:val="auto"/>
              </w:rPr>
              <w:t>5.4%</w:t>
            </w:r>
          </w:p>
        </w:tc>
        <w:tc>
          <w:tcPr>
            <w:tcW w:w="1040" w:type="dxa"/>
            <w:vAlign w:val="bottom"/>
            <w:tcBorders>
              <w:bottom w:val="single" w:sz="8" w:color="CFF0FC"/>
            </w:tcBorders>
            <w:shd w:val="clear" w:color="auto" w:fill="CFF0FC"/>
          </w:tcPr>
          <w:p>
            <w:pPr>
              <w:jc w:val="right"/>
              <w:ind w:right="187"/>
              <w:spacing w:after="0"/>
              <w:rPr>
                <w:sz w:val="20"/>
                <w:szCs w:val="20"/>
                <w:color w:val="auto"/>
              </w:rPr>
            </w:pPr>
            <w:r>
              <w:rPr>
                <w:rFonts w:ascii="Arial" w:cs="Arial" w:eastAsia="Arial" w:hAnsi="Arial"/>
                <w:sz w:val="20"/>
                <w:szCs w:val="20"/>
                <w:color w:val="auto"/>
              </w:rPr>
              <w:t>5.6%</w:t>
            </w:r>
          </w:p>
        </w:tc>
        <w:tc>
          <w:tcPr>
            <w:tcW w:w="840" w:type="dxa"/>
            <w:vAlign w:val="bottom"/>
            <w:tcBorders>
              <w:bottom w:val="single" w:sz="8" w:color="CFF0FC"/>
            </w:tcBorders>
            <w:shd w:val="clear" w:color="auto" w:fill="CFF0FC"/>
          </w:tcPr>
          <w:p>
            <w:pPr>
              <w:jc w:val="right"/>
              <w:ind w:right="87"/>
              <w:spacing w:after="0"/>
              <w:rPr>
                <w:sz w:val="20"/>
                <w:szCs w:val="20"/>
                <w:color w:val="auto"/>
              </w:rPr>
            </w:pPr>
            <w:r>
              <w:rPr>
                <w:rFonts w:ascii="Arial" w:cs="Arial" w:eastAsia="Arial" w:hAnsi="Arial"/>
                <w:sz w:val="20"/>
                <w:szCs w:val="20"/>
                <w:color w:val="auto"/>
              </w:rPr>
              <w:t>4.3%</w:t>
            </w:r>
          </w:p>
        </w:tc>
        <w:tc>
          <w:tcPr>
            <w:tcW w:w="9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20"/>
                <w:szCs w:val="20"/>
                <w:color w:val="auto"/>
              </w:rPr>
              <w:t>5.6%</w:t>
            </w:r>
          </w:p>
        </w:tc>
        <w:tc>
          <w:tcPr>
            <w:tcW w:w="1020" w:type="dxa"/>
            <w:vAlign w:val="bottom"/>
            <w:tcBorders>
              <w:bottom w:val="single" w:sz="8" w:color="CFF0FC"/>
            </w:tcBorders>
            <w:shd w:val="clear" w:color="auto" w:fill="CFF0FC"/>
          </w:tcPr>
          <w:p>
            <w:pPr>
              <w:jc w:val="right"/>
              <w:ind w:right="167"/>
              <w:spacing w:after="0"/>
              <w:rPr>
                <w:sz w:val="20"/>
                <w:szCs w:val="20"/>
                <w:color w:val="auto"/>
              </w:rPr>
            </w:pPr>
            <w:r>
              <w:rPr>
                <w:rFonts w:ascii="Arial" w:cs="Arial" w:eastAsia="Arial" w:hAnsi="Arial"/>
                <w:sz w:val="20"/>
                <w:szCs w:val="20"/>
                <w:color w:val="auto"/>
              </w:rPr>
              <w:t>5.6%</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3.8%</w:t>
            </w:r>
          </w:p>
        </w:tc>
      </w:tr>
      <w:tr>
        <w:trPr>
          <w:trHeight w:val="259"/>
        </w:trPr>
        <w:tc>
          <w:tcPr>
            <w:tcW w:w="3640" w:type="dxa"/>
            <w:vAlign w:val="bottom"/>
          </w:tcPr>
          <w:p>
            <w:pPr>
              <w:spacing w:after="0"/>
              <w:rPr>
                <w:sz w:val="20"/>
                <w:szCs w:val="20"/>
                <w:color w:val="auto"/>
              </w:rPr>
            </w:pPr>
            <w:r>
              <w:rPr>
                <w:rFonts w:ascii="Arial" w:cs="Arial" w:eastAsia="Arial" w:hAnsi="Arial"/>
                <w:sz w:val="20"/>
                <w:szCs w:val="20"/>
                <w:color w:val="auto"/>
              </w:rPr>
              <w:t>Rate of increase in compensation levels</w:t>
            </w:r>
          </w:p>
        </w:tc>
        <w:tc>
          <w:tcPr>
            <w:tcW w:w="1240" w:type="dxa"/>
            <w:vAlign w:val="bottom"/>
          </w:tcPr>
          <w:p>
            <w:pPr>
              <w:jc w:val="right"/>
              <w:ind w:right="90"/>
              <w:spacing w:after="0"/>
              <w:rPr>
                <w:sz w:val="20"/>
                <w:szCs w:val="20"/>
                <w:color w:val="auto"/>
              </w:rPr>
            </w:pPr>
            <w:r>
              <w:rPr>
                <w:rFonts w:ascii="Arial" w:cs="Arial" w:eastAsia="Arial" w:hAnsi="Arial"/>
                <w:sz w:val="20"/>
                <w:szCs w:val="20"/>
                <w:color w:val="auto"/>
              </w:rPr>
              <w:t>4.0%</w:t>
            </w:r>
          </w:p>
        </w:tc>
        <w:tc>
          <w:tcPr>
            <w:tcW w:w="1040" w:type="dxa"/>
            <w:vAlign w:val="bottom"/>
          </w:tcPr>
          <w:p>
            <w:pPr>
              <w:jc w:val="right"/>
              <w:ind w:right="187"/>
              <w:spacing w:after="0"/>
              <w:rPr>
                <w:sz w:val="20"/>
                <w:szCs w:val="20"/>
                <w:color w:val="auto"/>
              </w:rPr>
            </w:pPr>
            <w:r>
              <w:rPr>
                <w:rFonts w:ascii="Arial" w:cs="Arial" w:eastAsia="Arial" w:hAnsi="Arial"/>
                <w:sz w:val="20"/>
                <w:szCs w:val="20"/>
                <w:color w:val="auto"/>
              </w:rPr>
              <w:t>2.7%</w:t>
            </w:r>
          </w:p>
        </w:tc>
        <w:tc>
          <w:tcPr>
            <w:tcW w:w="840" w:type="dxa"/>
            <w:vAlign w:val="bottom"/>
          </w:tcPr>
          <w:p>
            <w:pPr>
              <w:jc w:val="right"/>
              <w:ind w:right="87"/>
              <w:spacing w:after="0"/>
              <w:rPr>
                <w:sz w:val="20"/>
                <w:szCs w:val="20"/>
                <w:color w:val="auto"/>
              </w:rPr>
            </w:pPr>
            <w:r>
              <w:rPr>
                <w:rFonts w:ascii="Arial" w:cs="Arial" w:eastAsia="Arial" w:hAnsi="Arial"/>
                <w:sz w:val="20"/>
                <w:szCs w:val="20"/>
                <w:color w:val="auto"/>
              </w:rPr>
              <w:t>2.3%</w:t>
            </w:r>
          </w:p>
        </w:tc>
        <w:tc>
          <w:tcPr>
            <w:tcW w:w="940" w:type="dxa"/>
            <w:vAlign w:val="bottom"/>
          </w:tcPr>
          <w:p>
            <w:pPr>
              <w:jc w:val="right"/>
              <w:ind w:right="90"/>
              <w:spacing w:after="0"/>
              <w:rPr>
                <w:sz w:val="20"/>
                <w:szCs w:val="20"/>
                <w:color w:val="auto"/>
              </w:rPr>
            </w:pPr>
            <w:r>
              <w:rPr>
                <w:rFonts w:ascii="Arial" w:cs="Arial" w:eastAsia="Arial" w:hAnsi="Arial"/>
                <w:sz w:val="20"/>
                <w:szCs w:val="20"/>
                <w:color w:val="auto"/>
              </w:rPr>
              <w:t>4.0%</w:t>
            </w:r>
          </w:p>
        </w:tc>
        <w:tc>
          <w:tcPr>
            <w:tcW w:w="1020" w:type="dxa"/>
            <w:vAlign w:val="bottom"/>
          </w:tcPr>
          <w:p>
            <w:pPr>
              <w:jc w:val="right"/>
              <w:ind w:right="167"/>
              <w:spacing w:after="0"/>
              <w:rPr>
                <w:sz w:val="20"/>
                <w:szCs w:val="20"/>
                <w:color w:val="auto"/>
              </w:rPr>
            </w:pPr>
            <w:r>
              <w:rPr>
                <w:rFonts w:ascii="Arial" w:cs="Arial" w:eastAsia="Arial" w:hAnsi="Arial"/>
                <w:sz w:val="20"/>
                <w:szCs w:val="20"/>
                <w:color w:val="auto"/>
              </w:rPr>
              <w:t>3.4%</w:t>
            </w:r>
          </w:p>
        </w:tc>
        <w:tc>
          <w:tcPr>
            <w:tcW w:w="680" w:type="dxa"/>
            <w:vAlign w:val="bottom"/>
          </w:tcPr>
          <w:p>
            <w:pPr>
              <w:jc w:val="right"/>
              <w:spacing w:after="0"/>
              <w:rPr>
                <w:sz w:val="20"/>
                <w:szCs w:val="20"/>
                <w:color w:val="auto"/>
              </w:rPr>
            </w:pPr>
            <w:r>
              <w:rPr>
                <w:rFonts w:ascii="Arial" w:cs="Arial" w:eastAsia="Arial" w:hAnsi="Arial"/>
                <w:sz w:val="20"/>
                <w:szCs w:val="20"/>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-519430</wp:posOffset>
            </wp:positionV>
            <wp:extent cx="3516630" cy="6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5">
                      <a:extLst>
                        <a:ext uri="{28A0092B-C50C-407E-A947-70E740481C1C}"/>
                      </a:extLst>
                    </a:blip>
                    <a:srcRect/>
                    <a:stretch>
                      <a:fillRect/>
                    </a:stretch>
                  </pic:blipFill>
                  <pic:spPr bwMode="auto">
                    <a:xfrm>
                      <a:off x="0" y="0"/>
                      <a:ext cx="3516630" cy="6350"/>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-360680</wp:posOffset>
            </wp:positionV>
            <wp:extent cx="3516630"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6">
                      <a:extLst>
                        <a:ext uri="{28A0092B-C50C-407E-A947-70E740481C1C}"/>
                      </a:extLst>
                    </a:blip>
                    <a:srcRect/>
                    <a:stretch>
                      <a:fillRect/>
                    </a:stretch>
                  </pic:blipFill>
                  <pic:spPr bwMode="auto">
                    <a:xfrm>
                      <a:off x="0" y="0"/>
                      <a:ext cx="3516630" cy="6350"/>
                    </a:xfrm>
                    <a:prstGeom prst="rect">
                      <a:avLst/>
                    </a:prstGeom>
                    <a:noFill/>
                  </pic:spPr>
                </pic:pic>
              </a:graphicData>
            </a:graphic>
          </wp:anchor>
        </w:drawing>
      </w:r>
    </w:p>
    <w:p>
      <w:pPr>
        <w:spacing w:after="0" w:line="240" w:lineRule="exact"/>
        <w:rPr>
          <w:sz w:val="20"/>
          <w:szCs w:val="20"/>
          <w:color w:val="auto"/>
        </w:rPr>
      </w:pPr>
    </w:p>
    <w:p>
      <w:pPr>
        <w:ind w:right="400"/>
        <w:spacing w:after="0" w:line="355" w:lineRule="auto"/>
        <w:rPr>
          <w:sz w:val="20"/>
          <w:szCs w:val="20"/>
          <w:color w:val="auto"/>
        </w:rPr>
      </w:pPr>
      <w:r>
        <w:rPr>
          <w:rFonts w:ascii="Arial" w:cs="Arial" w:eastAsia="Arial" w:hAnsi="Arial"/>
          <w:sz w:val="18"/>
          <w:szCs w:val="18"/>
          <w:color w:val="auto"/>
        </w:rPr>
        <w:t>The expected return on plan assets was determined on the basis of the weighted-average of the expected future returns of the various asset classes, using the target allocations shown below. The Company’s pension plan asset target allocations as of December 31, 2025 were as follows (note the French plan is unfunded):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80" w:type="dxa"/>
            <w:vAlign w:val="bottom"/>
            <w:gridSpan w:val="2"/>
          </w:tcPr>
          <w:p>
            <w:pPr>
              <w:jc w:val="right"/>
              <w:ind w:right="630"/>
              <w:spacing w:after="0"/>
              <w:rPr>
                <w:sz w:val="20"/>
                <w:szCs w:val="20"/>
                <w:color w:val="auto"/>
              </w:rPr>
            </w:pPr>
            <w:r>
              <w:rPr>
                <w:rFonts w:ascii="Arial" w:cs="Arial" w:eastAsia="Arial" w:hAnsi="Arial"/>
                <w:sz w:val="16"/>
                <w:szCs w:val="16"/>
                <w:b w:val="1"/>
                <w:bCs w:val="1"/>
                <w:color w:val="auto"/>
              </w:rPr>
              <w:t>U.K.</w:t>
            </w: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gridSpan w:val="2"/>
          </w:tcPr>
          <w:p>
            <w:pPr>
              <w:jc w:val="right"/>
              <w:ind w:right="490"/>
              <w:spacing w:after="0"/>
              <w:rPr>
                <w:sz w:val="20"/>
                <w:szCs w:val="20"/>
                <w:color w:val="auto"/>
              </w:rPr>
            </w:pPr>
            <w:r>
              <w:rPr>
                <w:rFonts w:ascii="Arial" w:cs="Arial" w:eastAsia="Arial" w:hAnsi="Arial"/>
                <w:sz w:val="16"/>
                <w:szCs w:val="16"/>
                <w:b w:val="1"/>
                <w:bCs w:val="1"/>
                <w:color w:val="auto"/>
              </w:rPr>
              <w:t>Ireland</w:t>
            </w:r>
          </w:p>
        </w:tc>
      </w:tr>
      <w:tr>
        <w:trPr>
          <w:trHeight w:val="264"/>
        </w:trPr>
        <w:tc>
          <w:tcPr>
            <w:tcW w:w="2040" w:type="dxa"/>
            <w:vAlign w:val="bottom"/>
          </w:tcPr>
          <w:p>
            <w:pPr>
              <w:spacing w:after="0"/>
              <w:rPr>
                <w:sz w:val="20"/>
                <w:szCs w:val="20"/>
                <w:color w:val="auto"/>
              </w:rPr>
            </w:pPr>
            <w:r>
              <w:rPr>
                <w:rFonts w:ascii="Arial" w:cs="Arial" w:eastAsia="Arial" w:hAnsi="Arial"/>
                <w:sz w:val="16"/>
                <w:szCs w:val="16"/>
                <w:b w:val="1"/>
                <w:bCs w:val="1"/>
                <w:color w:val="auto"/>
              </w:rPr>
              <w:t>Asset Category</w:t>
            </w:r>
          </w:p>
        </w:tc>
        <w:tc>
          <w:tcPr>
            <w:tcW w:w="1340" w:type="dxa"/>
            <w:vAlign w:val="bottom"/>
          </w:tcPr>
          <w:p>
            <w:pPr>
              <w:jc w:val="right"/>
              <w:ind w:right="250"/>
              <w:spacing w:after="0"/>
              <w:rPr>
                <w:sz w:val="20"/>
                <w:szCs w:val="20"/>
                <w:color w:val="auto"/>
              </w:rPr>
            </w:pPr>
            <w:r>
              <w:rPr>
                <w:rFonts w:ascii="Arial" w:cs="Arial" w:eastAsia="Arial" w:hAnsi="Arial"/>
                <w:sz w:val="16"/>
                <w:szCs w:val="16"/>
                <w:b w:val="1"/>
                <w:bCs w:val="1"/>
                <w:color w:val="auto"/>
              </w:rPr>
              <w:t>U.S.</w:t>
            </w:r>
          </w:p>
        </w:tc>
        <w:tc>
          <w:tcPr>
            <w:tcW w:w="800" w:type="dxa"/>
            <w:vAlign w:val="bottom"/>
          </w:tcPr>
          <w:p>
            <w:pPr>
              <w:ind w:left="100"/>
              <w:spacing w:after="0"/>
              <w:rPr>
                <w:sz w:val="20"/>
                <w:szCs w:val="20"/>
                <w:color w:val="auto"/>
              </w:rPr>
            </w:pPr>
            <w:r>
              <w:rPr>
                <w:rFonts w:ascii="Arial" w:cs="Arial" w:eastAsia="Arial" w:hAnsi="Arial"/>
                <w:sz w:val="16"/>
                <w:szCs w:val="16"/>
                <w:b w:val="1"/>
                <w:bCs w:val="1"/>
                <w:color w:val="auto"/>
              </w:rPr>
              <w:t>Broking</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w w:val="93"/>
              </w:rPr>
              <w:t>Consulting</w:t>
            </w:r>
          </w:p>
        </w:tc>
        <w:tc>
          <w:tcPr>
            <w:tcW w:w="1000" w:type="dxa"/>
            <w:vAlign w:val="bottom"/>
          </w:tcPr>
          <w:p>
            <w:pPr>
              <w:jc w:val="right"/>
              <w:ind w:right="30"/>
              <w:spacing w:after="0"/>
              <w:rPr>
                <w:sz w:val="20"/>
                <w:szCs w:val="20"/>
                <w:color w:val="auto"/>
              </w:rPr>
            </w:pPr>
            <w:r>
              <w:rPr>
                <w:rFonts w:ascii="Arial" w:cs="Arial" w:eastAsia="Arial" w:hAnsi="Arial"/>
                <w:sz w:val="16"/>
                <w:szCs w:val="16"/>
                <w:b w:val="1"/>
                <w:bCs w:val="1"/>
                <w:color w:val="auto"/>
                <w:w w:val="96"/>
              </w:rPr>
              <w:t>Switzerland</w:t>
            </w:r>
          </w:p>
        </w:tc>
        <w:tc>
          <w:tcPr>
            <w:tcW w:w="840" w:type="dxa"/>
            <w:vAlign w:val="bottom"/>
          </w:tcPr>
          <w:p>
            <w:pPr>
              <w:jc w:val="right"/>
              <w:ind w:right="110"/>
              <w:spacing w:after="0"/>
              <w:rPr>
                <w:sz w:val="20"/>
                <w:szCs w:val="20"/>
                <w:color w:val="auto"/>
              </w:rPr>
            </w:pPr>
            <w:r>
              <w:rPr>
                <w:rFonts w:ascii="Arial" w:cs="Arial" w:eastAsia="Arial" w:hAnsi="Arial"/>
                <w:sz w:val="16"/>
                <w:szCs w:val="16"/>
                <w:b w:val="1"/>
                <w:bCs w:val="1"/>
                <w:color w:val="auto"/>
              </w:rPr>
              <w:t>Canada</w:t>
            </w:r>
          </w:p>
        </w:tc>
        <w:tc>
          <w:tcPr>
            <w:tcW w:w="860" w:type="dxa"/>
            <w:vAlign w:val="bottom"/>
          </w:tcPr>
          <w:p>
            <w:pPr>
              <w:jc w:val="right"/>
              <w:ind w:right="50"/>
              <w:spacing w:after="0"/>
              <w:rPr>
                <w:sz w:val="20"/>
                <w:szCs w:val="20"/>
                <w:color w:val="auto"/>
              </w:rPr>
            </w:pPr>
            <w:r>
              <w:rPr>
                <w:rFonts w:ascii="Arial" w:cs="Arial" w:eastAsia="Arial" w:hAnsi="Arial"/>
                <w:sz w:val="16"/>
                <w:szCs w:val="16"/>
                <w:b w:val="1"/>
                <w:bCs w:val="1"/>
                <w:color w:val="auto"/>
              </w:rPr>
              <w:t>Germany</w:t>
            </w:r>
          </w:p>
        </w:tc>
        <w:tc>
          <w:tcPr>
            <w:tcW w:w="820" w:type="dxa"/>
            <w:vAlign w:val="bottom"/>
          </w:tcPr>
          <w:p>
            <w:pPr>
              <w:jc w:val="right"/>
              <w:ind w:right="73"/>
              <w:spacing w:after="0"/>
              <w:rPr>
                <w:sz w:val="20"/>
                <w:szCs w:val="20"/>
                <w:color w:val="auto"/>
              </w:rPr>
            </w:pPr>
            <w:r>
              <w:rPr>
                <w:rFonts w:ascii="Arial" w:cs="Arial" w:eastAsia="Arial" w:hAnsi="Arial"/>
                <w:sz w:val="16"/>
                <w:szCs w:val="16"/>
                <w:b w:val="1"/>
                <w:bCs w:val="1"/>
                <w:color w:val="auto"/>
              </w:rPr>
              <w:t>Broking</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w w:val="93"/>
              </w:rPr>
              <w:t>Consulting</w:t>
            </w:r>
          </w:p>
        </w:tc>
      </w:tr>
      <w:tr>
        <w:trPr>
          <w:trHeight w:val="42"/>
        </w:trPr>
        <w:tc>
          <w:tcPr>
            <w:tcW w:w="20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74"/>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Equity securities</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20"/>
                <w:szCs w:val="20"/>
                <w:color w:val="auto"/>
              </w:rPr>
              <w:t>28%</w:t>
            </w:r>
          </w:p>
        </w:tc>
        <w:tc>
          <w:tcPr>
            <w:tcW w:w="8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20"/>
                <w:szCs w:val="20"/>
                <w:color w:val="auto"/>
              </w:rPr>
              <w:t>49%</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w:t>
            </w: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20"/>
                <w:szCs w:val="20"/>
                <w:color w:val="auto"/>
              </w:rPr>
              <w:t>35%</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w:t>
            </w:r>
          </w:p>
        </w:tc>
      </w:tr>
      <w:tr>
        <w:trPr>
          <w:trHeight w:val="41"/>
        </w:trPr>
        <w:tc>
          <w:tcPr>
            <w:tcW w:w="2040" w:type="dxa"/>
            <w:vAlign w:val="bottom"/>
            <w:shd w:val="clear" w:color="auto" w:fill="CFF0FC"/>
          </w:tcPr>
          <w:p>
            <w:pPr>
              <w:spacing w:after="0"/>
              <w:rPr>
                <w:sz w:val="3"/>
                <w:szCs w:val="3"/>
                <w:color w:val="auto"/>
              </w:rPr>
            </w:pPr>
          </w:p>
        </w:tc>
        <w:tc>
          <w:tcPr>
            <w:tcW w:w="134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88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-373380</wp:posOffset>
            </wp:positionV>
            <wp:extent cx="1024890" cy="63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7">
                      <a:extLst>
                        <a:ext uri="{28A0092B-C50C-407E-A947-70E740481C1C}"/>
                      </a:extLst>
                    </a:blip>
                    <a:srcRect/>
                    <a:stretch>
                      <a:fillRect/>
                    </a:stretch>
                  </pic:blipFill>
                  <pic:spPr bwMode="auto">
                    <a:xfrm>
                      <a:off x="0" y="0"/>
                      <a:ext cx="1024890" cy="6350"/>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-373380</wp:posOffset>
            </wp:positionV>
            <wp:extent cx="1026795" cy="63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18">
                      <a:extLst>
                        <a:ext uri="{28A0092B-C50C-407E-A947-70E740481C1C}"/>
                      </a:extLst>
                    </a:blip>
                    <a:srcRect/>
                    <a:stretch>
                      <a:fillRect/>
                    </a:stretch>
                  </pic:blipFill>
                  <pic:spPr bwMode="auto">
                    <a:xfrm>
                      <a:off x="0" y="0"/>
                      <a:ext cx="102679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wp:posOffset>
            </wp:positionV>
            <wp:extent cx="5967730" cy="63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19">
                      <a:extLst>
                        <a:ext uri="{28A0092B-C50C-407E-A947-70E740481C1C}"/>
                      </a:extLst>
                    </a:blip>
                    <a:srcRect/>
                    <a:stretch>
                      <a:fillRect/>
                    </a:stretch>
                  </pic:blipFill>
                  <pic:spPr bwMode="auto">
                    <a:xfrm>
                      <a:off x="0" y="0"/>
                      <a:ext cx="596773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15</w:t>
      </w:r>
    </w:p>
    <w:p>
      <w:pPr>
        <w:sectPr>
          <w:pgSz w:w="11900" w:h="16838" w:orient="portrait"/>
          <w:cols w:equalWidth="0" w:num="1">
            <w:col w:w="9400"/>
          </w:cols>
          <w:pgMar w:left="1260" w:top="1440" w:right="1246" w:bottom="0" w:gutter="0" w:footer="0" w:header="0"/>
          <w:type w:val="continuous"/>
        </w:sectPr>
      </w:pPr>
    </w:p>
    <w:bookmarkStart w:id="232" w:name="page233"/>
    <w:bookmarkEnd w:id="232"/>
    <w:tbl>
      <w:tblPr>
        <w:tblLayout w:type="fixed"/>
        <w:tblInd w:w="6"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Arial" w:cs="Arial" w:eastAsia="Arial" w:hAnsi="Arial"/>
                <w:sz w:val="20"/>
                <w:szCs w:val="20"/>
                <w:color w:val="auto"/>
              </w:rPr>
              <w:t>Debt securities</w:t>
            </w:r>
          </w:p>
        </w:tc>
        <w:tc>
          <w:tcPr>
            <w:tcW w:w="1480" w:type="dxa"/>
            <w:vAlign w:val="bottom"/>
          </w:tcPr>
          <w:p>
            <w:pPr>
              <w:jc w:val="right"/>
              <w:ind w:right="100"/>
              <w:spacing w:after="0"/>
              <w:rPr>
                <w:sz w:val="20"/>
                <w:szCs w:val="20"/>
                <w:color w:val="auto"/>
              </w:rPr>
            </w:pPr>
            <w:r>
              <w:rPr>
                <w:rFonts w:ascii="Arial" w:cs="Arial" w:eastAsia="Arial" w:hAnsi="Arial"/>
                <w:sz w:val="20"/>
                <w:szCs w:val="20"/>
                <w:color w:val="auto"/>
              </w:rPr>
              <w:t>25%</w:t>
            </w:r>
          </w:p>
        </w:tc>
        <w:tc>
          <w:tcPr>
            <w:tcW w:w="840" w:type="dxa"/>
            <w:vAlign w:val="bottom"/>
          </w:tcPr>
          <w:p>
            <w:pPr>
              <w:jc w:val="right"/>
              <w:ind w:right="80"/>
              <w:spacing w:after="0"/>
              <w:rPr>
                <w:sz w:val="20"/>
                <w:szCs w:val="20"/>
                <w:color w:val="auto"/>
              </w:rPr>
            </w:pPr>
            <w:r>
              <w:rPr>
                <w:rFonts w:ascii="Arial" w:cs="Arial" w:eastAsia="Arial" w:hAnsi="Arial"/>
                <w:sz w:val="20"/>
                <w:szCs w:val="20"/>
                <w:color w:val="auto"/>
              </w:rPr>
              <w:t>90%</w:t>
            </w:r>
          </w:p>
        </w:tc>
        <w:tc>
          <w:tcPr>
            <w:tcW w:w="920" w:type="dxa"/>
            <w:vAlign w:val="bottom"/>
          </w:tcPr>
          <w:p>
            <w:pPr>
              <w:jc w:val="right"/>
              <w:ind w:right="160"/>
              <w:spacing w:after="0"/>
              <w:rPr>
                <w:sz w:val="20"/>
                <w:szCs w:val="20"/>
                <w:color w:val="auto"/>
              </w:rPr>
            </w:pPr>
            <w:r>
              <w:rPr>
                <w:rFonts w:ascii="Arial" w:cs="Arial" w:eastAsia="Arial" w:hAnsi="Arial"/>
                <w:sz w:val="20"/>
                <w:szCs w:val="20"/>
                <w:color w:val="auto"/>
              </w:rPr>
              <w:t>18%</w:t>
            </w:r>
          </w:p>
        </w:tc>
        <w:tc>
          <w:tcPr>
            <w:tcW w:w="920" w:type="dxa"/>
            <w:vAlign w:val="bottom"/>
          </w:tcPr>
          <w:p>
            <w:pPr>
              <w:jc w:val="right"/>
              <w:ind w:right="100"/>
              <w:spacing w:after="0"/>
              <w:rPr>
                <w:sz w:val="20"/>
                <w:szCs w:val="20"/>
                <w:color w:val="auto"/>
              </w:rPr>
            </w:pPr>
            <w:r>
              <w:rPr>
                <w:rFonts w:ascii="Arial" w:cs="Arial" w:eastAsia="Arial" w:hAnsi="Arial"/>
                <w:sz w:val="20"/>
                <w:szCs w:val="20"/>
                <w:color w:val="auto"/>
              </w:rPr>
              <w:t>15%</w:t>
            </w:r>
          </w:p>
        </w:tc>
        <w:tc>
          <w:tcPr>
            <w:tcW w:w="840" w:type="dxa"/>
            <w:vAlign w:val="bottom"/>
          </w:tcPr>
          <w:p>
            <w:pPr>
              <w:jc w:val="right"/>
              <w:ind w:right="80"/>
              <w:spacing w:after="0"/>
              <w:rPr>
                <w:sz w:val="20"/>
                <w:szCs w:val="20"/>
                <w:color w:val="auto"/>
              </w:rPr>
            </w:pPr>
            <w:r>
              <w:rPr>
                <w:rFonts w:ascii="Arial" w:cs="Arial" w:eastAsia="Arial" w:hAnsi="Arial"/>
                <w:sz w:val="20"/>
                <w:szCs w:val="20"/>
                <w:color w:val="auto"/>
              </w:rPr>
              <w:t>40%</w:t>
            </w:r>
          </w:p>
        </w:tc>
        <w:tc>
          <w:tcPr>
            <w:tcW w:w="860" w:type="dxa"/>
            <w:vAlign w:val="bottom"/>
          </w:tcPr>
          <w:p>
            <w:pPr>
              <w:jc w:val="right"/>
              <w:ind w:right="100"/>
              <w:spacing w:after="0"/>
              <w:rPr>
                <w:sz w:val="20"/>
                <w:szCs w:val="20"/>
                <w:color w:val="auto"/>
              </w:rPr>
            </w:pPr>
            <w:r>
              <w:rPr>
                <w:rFonts w:ascii="Arial" w:cs="Arial" w:eastAsia="Arial" w:hAnsi="Arial"/>
                <w:sz w:val="20"/>
                <w:szCs w:val="20"/>
                <w:color w:val="auto"/>
              </w:rPr>
              <w:t>63%</w:t>
            </w:r>
          </w:p>
        </w:tc>
        <w:tc>
          <w:tcPr>
            <w:tcW w:w="860" w:type="dxa"/>
            <w:vAlign w:val="bottom"/>
          </w:tcPr>
          <w:p>
            <w:pPr>
              <w:jc w:val="right"/>
              <w:ind w:right="100"/>
              <w:spacing w:after="0"/>
              <w:rPr>
                <w:sz w:val="20"/>
                <w:szCs w:val="20"/>
                <w:color w:val="auto"/>
              </w:rPr>
            </w:pPr>
            <w:r>
              <w:rPr>
                <w:rFonts w:ascii="Arial" w:cs="Arial" w:eastAsia="Arial" w:hAnsi="Arial"/>
                <w:sz w:val="20"/>
                <w:szCs w:val="20"/>
                <w:color w:val="auto"/>
              </w:rPr>
              <w:t>28%</w:t>
            </w:r>
          </w:p>
        </w:tc>
        <w:tc>
          <w:tcPr>
            <w:tcW w:w="6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41"/>
        </w:trPr>
        <w:tc>
          <w:tcPr>
            <w:tcW w:w="20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94"/>
        </w:trPr>
        <w:tc>
          <w:tcPr>
            <w:tcW w:w="2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Real estate</w:t>
            </w:r>
          </w:p>
        </w:tc>
        <w:tc>
          <w:tcPr>
            <w:tcW w:w="14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20%</w:t>
            </w:r>
          </w:p>
        </w:tc>
        <w:tc>
          <w:tcPr>
            <w:tcW w:w="8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7%</w:t>
            </w:r>
          </w:p>
        </w:tc>
        <w:tc>
          <w:tcPr>
            <w:tcW w:w="92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1%</w:t>
            </w:r>
          </w:p>
        </w:tc>
        <w:tc>
          <w:tcPr>
            <w:tcW w:w="9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23%</w:t>
            </w:r>
          </w:p>
        </w:tc>
        <w:tc>
          <w:tcPr>
            <w:tcW w:w="8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10%</w:t>
            </w:r>
          </w:p>
        </w:tc>
        <w:tc>
          <w:tcPr>
            <w:tcW w:w="8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3%</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324"/>
        </w:trPr>
        <w:tc>
          <w:tcPr>
            <w:tcW w:w="2000" w:type="dxa"/>
            <w:vAlign w:val="bottom"/>
          </w:tcPr>
          <w:p>
            <w:pPr>
              <w:spacing w:after="0"/>
              <w:rPr>
                <w:sz w:val="20"/>
                <w:szCs w:val="20"/>
                <w:color w:val="auto"/>
              </w:rPr>
            </w:pPr>
            <w:r>
              <w:rPr>
                <w:rFonts w:ascii="Arial" w:cs="Arial" w:eastAsia="Arial" w:hAnsi="Arial"/>
                <w:sz w:val="20"/>
                <w:szCs w:val="20"/>
                <w:color w:val="auto"/>
              </w:rPr>
              <w:t xml:space="preserve">Other </w:t>
            </w:r>
            <w:r>
              <w:rPr>
                <w:rFonts w:ascii="Arial" w:cs="Arial" w:eastAsia="Arial" w:hAnsi="Arial"/>
                <w:sz w:val="26"/>
                <w:szCs w:val="26"/>
                <w:color w:val="auto"/>
                <w:vertAlign w:val="superscript"/>
              </w:rPr>
              <w:t>(i)</w:t>
            </w:r>
          </w:p>
        </w:tc>
        <w:tc>
          <w:tcPr>
            <w:tcW w:w="1480" w:type="dxa"/>
            <w:vAlign w:val="bottom"/>
          </w:tcPr>
          <w:p>
            <w:pPr>
              <w:jc w:val="right"/>
              <w:ind w:right="100"/>
              <w:spacing w:after="0"/>
              <w:rPr>
                <w:sz w:val="20"/>
                <w:szCs w:val="20"/>
                <w:color w:val="auto"/>
              </w:rPr>
            </w:pPr>
            <w:r>
              <w:rPr>
                <w:rFonts w:ascii="Arial" w:cs="Arial" w:eastAsia="Arial" w:hAnsi="Arial"/>
                <w:sz w:val="20"/>
                <w:szCs w:val="20"/>
                <w:color w:val="auto"/>
              </w:rPr>
              <w:t>27%</w:t>
            </w:r>
          </w:p>
        </w:tc>
        <w:tc>
          <w:tcPr>
            <w:tcW w:w="840" w:type="dxa"/>
            <w:vAlign w:val="bottom"/>
          </w:tcPr>
          <w:p>
            <w:pPr>
              <w:jc w:val="right"/>
              <w:ind w:right="80"/>
              <w:spacing w:after="0"/>
              <w:rPr>
                <w:sz w:val="20"/>
                <w:szCs w:val="20"/>
                <w:color w:val="auto"/>
              </w:rPr>
            </w:pPr>
            <w:r>
              <w:rPr>
                <w:rFonts w:ascii="Arial" w:cs="Arial" w:eastAsia="Arial" w:hAnsi="Arial"/>
                <w:sz w:val="20"/>
                <w:szCs w:val="20"/>
                <w:color w:val="auto"/>
              </w:rPr>
              <w:t>3%</w:t>
            </w:r>
          </w:p>
        </w:tc>
        <w:tc>
          <w:tcPr>
            <w:tcW w:w="920" w:type="dxa"/>
            <w:vAlign w:val="bottom"/>
          </w:tcPr>
          <w:p>
            <w:pPr>
              <w:jc w:val="right"/>
              <w:ind w:right="160"/>
              <w:spacing w:after="0"/>
              <w:rPr>
                <w:sz w:val="20"/>
                <w:szCs w:val="20"/>
                <w:color w:val="auto"/>
              </w:rPr>
            </w:pPr>
            <w:r>
              <w:rPr>
                <w:rFonts w:ascii="Arial" w:cs="Arial" w:eastAsia="Arial" w:hAnsi="Arial"/>
                <w:sz w:val="20"/>
                <w:szCs w:val="20"/>
                <w:color w:val="auto"/>
              </w:rPr>
              <w:t>80%</w:t>
            </w:r>
          </w:p>
        </w:tc>
        <w:tc>
          <w:tcPr>
            <w:tcW w:w="920" w:type="dxa"/>
            <w:vAlign w:val="bottom"/>
          </w:tcPr>
          <w:p>
            <w:pPr>
              <w:jc w:val="right"/>
              <w:ind w:right="100"/>
              <w:spacing w:after="0"/>
              <w:rPr>
                <w:sz w:val="20"/>
                <w:szCs w:val="20"/>
                <w:color w:val="auto"/>
              </w:rPr>
            </w:pPr>
            <w:r>
              <w:rPr>
                <w:rFonts w:ascii="Arial" w:cs="Arial" w:eastAsia="Arial" w:hAnsi="Arial"/>
                <w:sz w:val="20"/>
                <w:szCs w:val="20"/>
                <w:color w:val="auto"/>
              </w:rPr>
              <w:t>13%</w:t>
            </w:r>
          </w:p>
        </w:tc>
        <w:tc>
          <w:tcPr>
            <w:tcW w:w="840" w:type="dxa"/>
            <w:vAlign w:val="bottom"/>
          </w:tcPr>
          <w:p>
            <w:pPr>
              <w:jc w:val="right"/>
              <w:ind w:right="80"/>
              <w:spacing w:after="0"/>
              <w:rPr>
                <w:sz w:val="20"/>
                <w:szCs w:val="20"/>
                <w:color w:val="auto"/>
              </w:rPr>
            </w:pPr>
            <w:r>
              <w:rPr>
                <w:rFonts w:ascii="Arial" w:cs="Arial" w:eastAsia="Arial" w:hAnsi="Arial"/>
                <w:sz w:val="20"/>
                <w:szCs w:val="20"/>
                <w:color w:val="auto"/>
              </w:rPr>
              <w:t>17%</w:t>
            </w:r>
          </w:p>
        </w:tc>
        <w:tc>
          <w:tcPr>
            <w:tcW w:w="860" w:type="dxa"/>
            <w:vAlign w:val="bottom"/>
          </w:tcPr>
          <w:p>
            <w:pPr>
              <w:jc w:val="right"/>
              <w:ind w:right="100"/>
              <w:spacing w:after="0"/>
              <w:rPr>
                <w:sz w:val="20"/>
                <w:szCs w:val="20"/>
                <w:color w:val="auto"/>
              </w:rPr>
            </w:pPr>
            <w:r>
              <w:rPr>
                <w:rFonts w:ascii="Arial" w:cs="Arial" w:eastAsia="Arial" w:hAnsi="Arial"/>
                <w:sz w:val="20"/>
                <w:szCs w:val="20"/>
                <w:color w:val="auto"/>
              </w:rPr>
              <w:t>2%</w:t>
            </w:r>
          </w:p>
        </w:tc>
        <w:tc>
          <w:tcPr>
            <w:tcW w:w="860" w:type="dxa"/>
            <w:vAlign w:val="bottom"/>
          </w:tcPr>
          <w:p>
            <w:pPr>
              <w:jc w:val="right"/>
              <w:ind w:right="100"/>
              <w:spacing w:after="0"/>
              <w:rPr>
                <w:sz w:val="20"/>
                <w:szCs w:val="20"/>
                <w:color w:val="auto"/>
              </w:rPr>
            </w:pPr>
            <w:r>
              <w:rPr>
                <w:rFonts w:ascii="Arial" w:cs="Arial" w:eastAsia="Arial" w:hAnsi="Arial"/>
                <w:sz w:val="20"/>
                <w:szCs w:val="20"/>
                <w:color w:val="auto"/>
              </w:rPr>
              <w:t>39%</w:t>
            </w:r>
          </w:p>
        </w:tc>
        <w:tc>
          <w:tcPr>
            <w:tcW w:w="68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74"/>
        </w:trPr>
        <w:tc>
          <w:tcPr>
            <w:tcW w:w="2000" w:type="dxa"/>
            <w:vAlign w:val="bottom"/>
            <w:shd w:val="clear" w:color="auto" w:fill="CFF0FC"/>
          </w:tcPr>
          <w:p>
            <w:pPr>
              <w:ind w:left="40"/>
              <w:spacing w:after="0"/>
              <w:rPr>
                <w:sz w:val="20"/>
                <w:szCs w:val="20"/>
                <w:color w:val="auto"/>
              </w:rPr>
            </w:pPr>
            <w:r>
              <w:rPr>
                <w:rFonts w:ascii="Arial" w:cs="Arial" w:eastAsia="Arial" w:hAnsi="Arial"/>
                <w:sz w:val="20"/>
                <w:szCs w:val="20"/>
                <w:color w:val="auto"/>
              </w:rPr>
              <w:t>Total</w:t>
            </w:r>
          </w:p>
        </w:tc>
        <w:tc>
          <w:tcPr>
            <w:tcW w:w="148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100%</w:t>
            </w:r>
          </w:p>
        </w:tc>
        <w:tc>
          <w:tcPr>
            <w:tcW w:w="84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100%</w:t>
            </w:r>
          </w:p>
        </w:tc>
        <w:tc>
          <w:tcPr>
            <w:tcW w:w="920" w:type="dxa"/>
            <w:vAlign w:val="bottom"/>
            <w:shd w:val="clear" w:color="auto" w:fill="CFF0FC"/>
          </w:tcPr>
          <w:p>
            <w:pPr>
              <w:jc w:val="right"/>
              <w:ind w:right="160"/>
              <w:spacing w:after="0"/>
              <w:rPr>
                <w:sz w:val="20"/>
                <w:szCs w:val="20"/>
                <w:color w:val="auto"/>
              </w:rPr>
            </w:pPr>
            <w:r>
              <w:rPr>
                <w:rFonts w:ascii="Arial" w:cs="Arial" w:eastAsia="Arial" w:hAnsi="Arial"/>
                <w:sz w:val="20"/>
                <w:szCs w:val="20"/>
                <w:color w:val="auto"/>
              </w:rPr>
              <w:t>100%</w:t>
            </w:r>
          </w:p>
        </w:tc>
        <w:tc>
          <w:tcPr>
            <w:tcW w:w="92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100%</w:t>
            </w:r>
          </w:p>
        </w:tc>
        <w:tc>
          <w:tcPr>
            <w:tcW w:w="84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100%</w:t>
            </w:r>
          </w:p>
        </w:tc>
        <w:tc>
          <w:tcPr>
            <w:tcW w:w="86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100%</w:t>
            </w:r>
          </w:p>
        </w:tc>
        <w:tc>
          <w:tcPr>
            <w:tcW w:w="86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100%</w:t>
            </w: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w:t>
            </w:r>
          </w:p>
        </w:tc>
      </w:tr>
      <w:tr>
        <w:trPr>
          <w:trHeight w:val="86"/>
        </w:trPr>
        <w:tc>
          <w:tcPr>
            <w:tcW w:w="200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-233680</wp:posOffset>
            </wp:positionV>
            <wp:extent cx="4354195" cy="63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0">
                      <a:extLst>
                        <a:ext uri="{28A0092B-C50C-407E-A947-70E740481C1C}"/>
                      </a:extLst>
                    </a:blip>
                    <a:srcRect/>
                    <a:stretch>
                      <a:fillRect/>
                    </a:stretch>
                  </pic:blipFill>
                  <pic:spPr bwMode="auto">
                    <a:xfrm>
                      <a:off x="0" y="0"/>
                      <a:ext cx="4354195" cy="6350"/>
                    </a:xfrm>
                    <a:prstGeom prst="rect">
                      <a:avLst/>
                    </a:prstGeom>
                    <a:noFill/>
                  </pic:spPr>
                </pic:pic>
              </a:graphicData>
            </a:graphic>
          </wp:anchor>
        </w:drawing>
        <w:drawing>
          <wp:anchor simplePos="0" relativeHeight="251657728" behindDoc="1" locked="0" layoutInCell="0" allowOverlap="1">
            <wp:simplePos x="0" y="0"/>
            <wp:positionH relativeFrom="column">
              <wp:posOffset>1613535</wp:posOffset>
            </wp:positionH>
            <wp:positionV relativeFrom="paragraph">
              <wp:posOffset>-27940</wp:posOffset>
            </wp:positionV>
            <wp:extent cx="4354195" cy="285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1">
                      <a:extLst>
                        <a:ext uri="{28A0092B-C50C-407E-A947-70E740481C1C}"/>
                      </a:extLst>
                    </a:blip>
                    <a:srcRect/>
                    <a:stretch>
                      <a:fillRect/>
                    </a:stretch>
                  </pic:blipFill>
                  <pic:spPr bwMode="auto">
                    <a:xfrm>
                      <a:off x="0" y="0"/>
                      <a:ext cx="4354195"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795655" cy="63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2">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26" w:right="540" w:hanging="226"/>
        <w:spacing w:after="0" w:line="381" w:lineRule="auto"/>
        <w:tabs>
          <w:tab w:leader="none" w:pos="226"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Other asset category includes investments in private markets/equities, reinsurance, liability-driven investments, secure income and insurance contracts.</w:t>
      </w:r>
    </w:p>
    <w:p>
      <w:pPr>
        <w:spacing w:after="0" w:line="160" w:lineRule="exact"/>
        <w:rPr>
          <w:sz w:val="20"/>
          <w:szCs w:val="20"/>
          <w:color w:val="auto"/>
        </w:rPr>
      </w:pPr>
    </w:p>
    <w:p>
      <w:pPr>
        <w:jc w:val="both"/>
        <w:ind w:left="6" w:right="120"/>
        <w:spacing w:after="0" w:line="352" w:lineRule="auto"/>
        <w:rPr>
          <w:sz w:val="20"/>
          <w:szCs w:val="20"/>
          <w:color w:val="auto"/>
        </w:rPr>
      </w:pPr>
      <w:r>
        <w:rPr>
          <w:rFonts w:ascii="Arial" w:cs="Arial" w:eastAsia="Arial" w:hAnsi="Arial"/>
          <w:sz w:val="18"/>
          <w:szCs w:val="18"/>
          <w:color w:val="auto"/>
        </w:rPr>
        <w:t>Our investment strategy is designed to generate returns that will reduce the interest rate risk inherent in each of the plan’s benefit obligations and enable the plans to meet their future obligations. The precise amount for which these obligations will be settled depends on future events, including the life expectancy of the plan participants and salary inflation. The obligations are estimated using actuarial assumptions based on the current economic environment.</w:t>
      </w:r>
    </w:p>
    <w:p>
      <w:pPr>
        <w:spacing w:after="0" w:line="166" w:lineRule="exact"/>
        <w:rPr>
          <w:sz w:val="20"/>
          <w:szCs w:val="20"/>
          <w:color w:val="auto"/>
        </w:rPr>
      </w:pPr>
    </w:p>
    <w:p>
      <w:pPr>
        <w:ind w:left="6" w:right="40"/>
        <w:spacing w:after="0" w:line="329" w:lineRule="auto"/>
        <w:rPr>
          <w:sz w:val="20"/>
          <w:szCs w:val="20"/>
          <w:color w:val="auto"/>
        </w:rPr>
      </w:pPr>
      <w:r>
        <w:rPr>
          <w:rFonts w:ascii="Arial" w:cs="Arial" w:eastAsia="Arial" w:hAnsi="Arial"/>
          <w:sz w:val="19"/>
          <w:szCs w:val="19"/>
          <w:color w:val="auto"/>
        </w:rPr>
        <w:t>Each pension plan seeks to achieve total returns sufficient to meet expected future obligations when considered in conjunction with expected future contributions and prudent levels of investment risk and diversification. Each plan’s targeted asset allocation is generally determined through a plan-specific asset-liability modeling study. These comprehensive studies provide an evaluation of the projected status of asset and benefit obligation measures for each plan under a range of both positive and negative factors. The studies include a number of different asset mixes, spanning a range of diversification and potential equity exposures.</w:t>
      </w:r>
    </w:p>
    <w:p>
      <w:pPr>
        <w:spacing w:after="0" w:line="23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559435</wp:posOffset>
            </wp:positionV>
            <wp:extent cx="5967730" cy="190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12 / 15</w:t>
      </w:r>
    </w:p>
    <w:p>
      <w:pPr>
        <w:sectPr>
          <w:pgSz w:w="11900" w:h="16838" w:orient="portrait"/>
          <w:cols w:equalWidth="0" w:num="1">
            <w:col w:w="9406"/>
          </w:cols>
          <w:pgMar w:left="1254" w:top="1177" w:right="1246" w:bottom="0" w:gutter="0" w:footer="0" w:header="0"/>
          <w:type w:val="continuous"/>
        </w:sectPr>
      </w:pPr>
    </w:p>
    <w:bookmarkStart w:id="233" w:name="page234"/>
    <w:bookmarkEnd w:id="2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10" w:lineRule="auto"/>
        <w:rPr>
          <w:sz w:val="20"/>
          <w:szCs w:val="20"/>
          <w:color w:val="auto"/>
        </w:rPr>
      </w:pPr>
      <w:r>
        <w:rPr>
          <w:rFonts w:ascii="Arial" w:cs="Arial" w:eastAsia="Arial" w:hAnsi="Arial"/>
          <w:sz w:val="20"/>
          <w:szCs w:val="20"/>
          <w:color w:val="auto"/>
        </w:rPr>
        <w:t>In evaluating the strategic asset allocation choices, an emphasis is placed on the long-term characteristics of each individual asset class, such as expected return, volatility of returns and correlations with other asset classes within the portfolios. Consideration is also given to the proper long-term level of risk for each plan, the impact of the volatility and magnitude of plan contributions and costs, and the impact that certain actuarial techniques may have on the plan’s recognition of investment experience.</w:t>
      </w:r>
    </w:p>
    <w:p>
      <w:pPr>
        <w:spacing w:after="0" w:line="195" w:lineRule="exact"/>
        <w:rPr>
          <w:sz w:val="20"/>
          <w:szCs w:val="20"/>
          <w:color w:val="auto"/>
        </w:rPr>
      </w:pPr>
    </w:p>
    <w:p>
      <w:pPr>
        <w:ind w:right="320"/>
        <w:spacing w:after="0" w:line="307" w:lineRule="auto"/>
        <w:rPr>
          <w:sz w:val="20"/>
          <w:szCs w:val="20"/>
          <w:color w:val="auto"/>
        </w:rPr>
      </w:pPr>
      <w:r>
        <w:rPr>
          <w:rFonts w:ascii="Arial" w:cs="Arial" w:eastAsia="Arial" w:hAnsi="Arial"/>
          <w:sz w:val="20"/>
          <w:szCs w:val="20"/>
          <w:color w:val="auto"/>
        </w:rPr>
        <w:t>We monitor investment performance and portfolio characteristics on a quarterly basis to ensure that managers are meeting expectations with respect to their investment approach. There are also various restrictions and controls placed on managers, including prohibition from investing in our stock.</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Fair Value of Plan Assets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The fair value hierarchy has three levels based on the reliability of the inputs used to determine fair value:</w:t>
      </w:r>
    </w:p>
    <w:p>
      <w:pPr>
        <w:spacing w:after="0" w:line="305" w:lineRule="exact"/>
        <w:rPr>
          <w:sz w:val="20"/>
          <w:szCs w:val="20"/>
          <w:color w:val="auto"/>
        </w:rPr>
      </w:pPr>
    </w:p>
    <w:p>
      <w:pPr>
        <w:ind w:left="620" w:hanging="313"/>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Level 1: refers to fair values determined based on quoted market prices in active markets for identical assets;</w:t>
      </w:r>
    </w:p>
    <w:p>
      <w:pPr>
        <w:spacing w:after="0" w:line="333" w:lineRule="exact"/>
        <w:rPr>
          <w:rFonts w:ascii="Arial" w:cs="Arial" w:eastAsia="Arial" w:hAnsi="Arial"/>
          <w:sz w:val="18"/>
          <w:szCs w:val="18"/>
          <w:color w:val="auto"/>
        </w:rPr>
      </w:pPr>
    </w:p>
    <w:p>
      <w:pPr>
        <w:ind w:left="620" w:right="120" w:hanging="313"/>
        <w:spacing w:after="0" w:line="365" w:lineRule="auto"/>
        <w:tabs>
          <w:tab w:leader="none" w:pos="620" w:val="left"/>
        </w:tabs>
        <w:numPr>
          <w:ilvl w:val="0"/>
          <w:numId w:val="78"/>
        </w:numPr>
        <w:rPr>
          <w:rFonts w:ascii="Arial" w:cs="Arial" w:eastAsia="Arial" w:hAnsi="Arial"/>
          <w:sz w:val="20"/>
          <w:szCs w:val="20"/>
          <w:color w:val="auto"/>
        </w:rPr>
      </w:pPr>
      <w:r>
        <w:rPr>
          <w:rFonts w:ascii="Arial" w:cs="Arial" w:eastAsia="Arial" w:hAnsi="Arial"/>
          <w:sz w:val="20"/>
          <w:szCs w:val="20"/>
          <w:color w:val="auto"/>
        </w:rPr>
        <w:t>Level 2: refers to fair values estimated using observable market-based inputs or unobservable inputs that are corroborated by market data; and</w:t>
      </w:r>
    </w:p>
    <w:p>
      <w:pPr>
        <w:spacing w:after="0" w:line="200" w:lineRule="exact"/>
        <w:rPr>
          <w:rFonts w:ascii="Arial" w:cs="Arial" w:eastAsia="Arial" w:hAnsi="Arial"/>
          <w:sz w:val="20"/>
          <w:szCs w:val="20"/>
          <w:color w:val="auto"/>
        </w:rPr>
      </w:pPr>
    </w:p>
    <w:p>
      <w:pPr>
        <w:ind w:right="240" w:firstLine="307"/>
        <w:spacing w:after="0" w:line="588" w:lineRule="auto"/>
        <w:tabs>
          <w:tab w:leader="none" w:pos="627"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Level 3: includes fair values estimated using unobservable inputs that are not corroborated by market data. The fair values of our U.S. plan assets by asset category at December 31, 2025 and 2024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2025</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31, 2024</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0"/>
        </w:trPr>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23"/>
              <w:spacing w:after="0"/>
              <w:rPr>
                <w:sz w:val="20"/>
                <w:szCs w:val="20"/>
                <w:color w:val="auto"/>
              </w:rPr>
            </w:pPr>
            <w:r>
              <w:rPr>
                <w:rFonts w:ascii="Arial" w:cs="Arial" w:eastAsia="Arial" w:hAnsi="Arial"/>
                <w:sz w:val="16"/>
                <w:szCs w:val="16"/>
                <w:b w:val="1"/>
                <w:bCs w:val="1"/>
                <w:color w:val="auto"/>
                <w:w w:val="84"/>
              </w:rPr>
              <w:t>Level 1</w:t>
            </w:r>
          </w:p>
        </w:tc>
        <w:tc>
          <w:tcPr>
            <w:tcW w:w="18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1"/>
                <w:szCs w:val="21"/>
                <w:color w:val="auto"/>
              </w:rPr>
            </w:pPr>
          </w:p>
        </w:tc>
        <w:tc>
          <w:tcPr>
            <w:tcW w:w="660" w:type="dxa"/>
            <w:vAlign w:val="bottom"/>
          </w:tcPr>
          <w:p>
            <w:pPr>
              <w:jc w:val="right"/>
              <w:ind w:right="163"/>
              <w:spacing w:after="0"/>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21"/>
                <w:szCs w:val="21"/>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b w:val="1"/>
                <w:bCs w:val="1"/>
                <w:color w:val="auto"/>
                <w:w w:val="88"/>
              </w:rPr>
              <w:t>Level 1</w:t>
            </w:r>
          </w:p>
        </w:tc>
        <w:tc>
          <w:tcPr>
            <w:tcW w:w="200" w:type="dxa"/>
            <w:vAlign w:val="bottom"/>
          </w:tcPr>
          <w:p>
            <w:pPr>
              <w:spacing w:after="0"/>
              <w:rPr>
                <w:sz w:val="21"/>
                <w:szCs w:val="21"/>
                <w:color w:val="auto"/>
              </w:rPr>
            </w:pPr>
          </w:p>
        </w:tc>
        <w:tc>
          <w:tcPr>
            <w:tcW w:w="680" w:type="dxa"/>
            <w:vAlign w:val="bottom"/>
          </w:tcPr>
          <w:p>
            <w:pPr>
              <w:jc w:val="right"/>
              <w:ind w:right="85"/>
              <w:spacing w:after="0"/>
              <w:rPr>
                <w:sz w:val="20"/>
                <w:szCs w:val="20"/>
                <w:color w:val="auto"/>
              </w:rPr>
            </w:pPr>
            <w:r>
              <w:rPr>
                <w:rFonts w:ascii="Arial" w:cs="Arial" w:eastAsia="Arial" w:hAnsi="Arial"/>
                <w:sz w:val="16"/>
                <w:szCs w:val="16"/>
                <w:b w:val="1"/>
                <w:bCs w:val="1"/>
                <w:color w:val="auto"/>
                <w:w w:val="88"/>
              </w:rPr>
              <w:t>Level 2</w:t>
            </w:r>
          </w:p>
        </w:tc>
        <w:tc>
          <w:tcPr>
            <w:tcW w:w="20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21"/>
                <w:szCs w:val="21"/>
                <w:color w:val="auto"/>
              </w:rPr>
            </w:pPr>
          </w:p>
        </w:tc>
        <w:tc>
          <w:tcPr>
            <w:tcW w:w="660" w:type="dxa"/>
            <w:vAlign w:val="bottom"/>
          </w:tcPr>
          <w:p>
            <w:pPr>
              <w:jc w:val="right"/>
              <w:ind w:right="163"/>
              <w:spacing w:after="0"/>
              <w:rPr>
                <w:sz w:val="20"/>
                <w:szCs w:val="20"/>
                <w:color w:val="auto"/>
              </w:rPr>
            </w:pPr>
            <w:r>
              <w:rPr>
                <w:rFonts w:ascii="Arial" w:cs="Arial" w:eastAsia="Arial" w:hAnsi="Arial"/>
                <w:sz w:val="16"/>
                <w:szCs w:val="16"/>
                <w:b w:val="1"/>
                <w:bCs w:val="1"/>
                <w:color w:val="auto"/>
                <w:w w:val="99"/>
              </w:rPr>
              <w:t>Total</w:t>
            </w:r>
          </w:p>
        </w:tc>
      </w:tr>
      <w:tr>
        <w:trPr>
          <w:trHeight w:val="301"/>
        </w:trPr>
        <w:tc>
          <w:tcPr>
            <w:tcW w:w="2220" w:type="dxa"/>
            <w:vAlign w:val="bottom"/>
          </w:tcPr>
          <w:p>
            <w:pPr>
              <w:spacing w:after="0"/>
              <w:rPr>
                <w:sz w:val="20"/>
                <w:szCs w:val="20"/>
                <w:color w:val="auto"/>
              </w:rPr>
            </w:pPr>
            <w:r>
              <w:rPr>
                <w:rFonts w:ascii="Arial" w:cs="Arial" w:eastAsia="Arial" w:hAnsi="Arial"/>
                <w:sz w:val="20"/>
                <w:szCs w:val="20"/>
                <w:b w:val="1"/>
                <w:bCs w:val="1"/>
                <w:color w:val="auto"/>
              </w:rPr>
              <w:t>Asset category:</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1"/>
        </w:trPr>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80"/>
        </w:trPr>
        <w:tc>
          <w:tcPr>
            <w:tcW w:w="2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Cash</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3</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18</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18</w:t>
            </w:r>
          </w:p>
        </w:tc>
      </w:tr>
      <w:tr>
        <w:trPr>
          <w:trHeight w:val="259"/>
        </w:trPr>
        <w:tc>
          <w:tcPr>
            <w:tcW w:w="2220" w:type="dxa"/>
            <w:vAlign w:val="bottom"/>
          </w:tcPr>
          <w:p>
            <w:pPr>
              <w:spacing w:after="0"/>
              <w:rPr>
                <w:sz w:val="20"/>
                <w:szCs w:val="20"/>
                <w:color w:val="auto"/>
              </w:rPr>
            </w:pPr>
            <w:r>
              <w:rPr>
                <w:rFonts w:ascii="Arial" w:cs="Arial" w:eastAsia="Arial" w:hAnsi="Arial"/>
                <w:sz w:val="20"/>
                <w:szCs w:val="20"/>
                <w:color w:val="auto"/>
              </w:rPr>
              <w:t>Short-term securities</w:t>
            </w:r>
          </w:p>
        </w:tc>
        <w:tc>
          <w:tcPr>
            <w:tcW w:w="240" w:type="dxa"/>
            <w:vAlign w:val="bottom"/>
          </w:tcPr>
          <w:p>
            <w:pPr>
              <w:spacing w:after="0"/>
              <w:rPr>
                <w:sz w:val="22"/>
                <w:szCs w:val="22"/>
                <w:color w:val="auto"/>
              </w:rPr>
            </w:pPr>
          </w:p>
        </w:tc>
        <w:tc>
          <w:tcPr>
            <w:tcW w:w="70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700" w:type="dxa"/>
            <w:vAlign w:val="bottom"/>
          </w:tcPr>
          <w:p>
            <w:pPr>
              <w:ind w:left="420"/>
              <w:spacing w:after="0"/>
              <w:rPr>
                <w:sz w:val="20"/>
                <w:szCs w:val="20"/>
                <w:color w:val="auto"/>
              </w:rPr>
            </w:pPr>
            <w:r>
              <w:rPr>
                <w:rFonts w:ascii="Arial" w:cs="Arial" w:eastAsia="Arial" w:hAnsi="Arial"/>
                <w:sz w:val="20"/>
                <w:szCs w:val="20"/>
                <w:color w:val="auto"/>
              </w:rPr>
              <w:t>59</w:t>
            </w:r>
          </w:p>
        </w:tc>
        <w:tc>
          <w:tcPr>
            <w:tcW w:w="200" w:type="dxa"/>
            <w:vAlign w:val="bottom"/>
          </w:tcPr>
          <w:p>
            <w:pPr>
              <w:spacing w:after="0"/>
              <w:rPr>
                <w:sz w:val="22"/>
                <w:szCs w:val="22"/>
                <w:color w:val="auto"/>
              </w:rPr>
            </w:pPr>
          </w:p>
        </w:tc>
        <w:tc>
          <w:tcPr>
            <w:tcW w:w="700" w:type="dxa"/>
            <w:vAlign w:val="bottom"/>
          </w:tcPr>
          <w:p>
            <w:pPr>
              <w:ind w:left="4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59</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215</w:t>
            </w:r>
          </w:p>
        </w:tc>
        <w:tc>
          <w:tcPr>
            <w:tcW w:w="200" w:type="dxa"/>
            <w:vAlign w:val="bottom"/>
          </w:tcPr>
          <w:p>
            <w:pPr>
              <w:spacing w:after="0"/>
              <w:rPr>
                <w:sz w:val="22"/>
                <w:szCs w:val="22"/>
                <w:color w:val="auto"/>
              </w:rPr>
            </w:pPr>
          </w:p>
        </w:tc>
        <w:tc>
          <w:tcPr>
            <w:tcW w:w="700" w:type="dxa"/>
            <w:vAlign w:val="bottom"/>
          </w:tcPr>
          <w:p>
            <w:pPr>
              <w:ind w:left="4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2"/>
                <w:szCs w:val="22"/>
                <w:color w:val="auto"/>
              </w:rPr>
            </w:pPr>
          </w:p>
        </w:tc>
        <w:tc>
          <w:tcPr>
            <w:tcW w:w="660" w:type="dxa"/>
            <w:vAlign w:val="bottom"/>
          </w:tcPr>
          <w:p>
            <w:pPr>
              <w:jc w:val="right"/>
              <w:ind w:right="3"/>
              <w:spacing w:after="0"/>
              <w:rPr>
                <w:sz w:val="20"/>
                <w:szCs w:val="20"/>
                <w:color w:val="auto"/>
              </w:rPr>
            </w:pPr>
            <w:r>
              <w:rPr>
                <w:rFonts w:ascii="Arial" w:cs="Arial" w:eastAsia="Arial" w:hAnsi="Arial"/>
                <w:sz w:val="20"/>
                <w:szCs w:val="20"/>
                <w:color w:val="auto"/>
              </w:rPr>
              <w:t>215</w:t>
            </w:r>
          </w:p>
        </w:tc>
      </w:tr>
      <w:tr>
        <w:trPr>
          <w:trHeight w:val="41"/>
        </w:trPr>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80"/>
        </w:trPr>
        <w:tc>
          <w:tcPr>
            <w:tcW w:w="2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w w:val="95"/>
              </w:rPr>
              <w:t>Pooled/commingled funds</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2,114</w:t>
            </w:r>
          </w:p>
        </w:tc>
        <w:tc>
          <w:tcPr>
            <w:tcW w:w="2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2,215</w:t>
            </w:r>
          </w:p>
        </w:tc>
      </w:tr>
      <w:tr>
        <w:trPr>
          <w:trHeight w:val="259"/>
        </w:trPr>
        <w:tc>
          <w:tcPr>
            <w:tcW w:w="2220" w:type="dxa"/>
            <w:vAlign w:val="bottom"/>
          </w:tcPr>
          <w:p>
            <w:pPr>
              <w:spacing w:after="0"/>
              <w:rPr>
                <w:sz w:val="20"/>
                <w:szCs w:val="20"/>
                <w:color w:val="auto"/>
              </w:rPr>
            </w:pPr>
            <w:r>
              <w:rPr>
                <w:rFonts w:ascii="Arial" w:cs="Arial" w:eastAsia="Arial" w:hAnsi="Arial"/>
                <w:sz w:val="20"/>
                <w:szCs w:val="20"/>
                <w:color w:val="auto"/>
              </w:rPr>
              <w:t>Private equity</w:t>
            </w:r>
          </w:p>
        </w:tc>
        <w:tc>
          <w:tcPr>
            <w:tcW w:w="240" w:type="dxa"/>
            <w:vAlign w:val="bottom"/>
          </w:tcPr>
          <w:p>
            <w:pPr>
              <w:spacing w:after="0"/>
              <w:rPr>
                <w:sz w:val="22"/>
                <w:szCs w:val="22"/>
                <w:color w:val="auto"/>
              </w:rPr>
            </w:pPr>
          </w:p>
        </w:tc>
        <w:tc>
          <w:tcPr>
            <w:tcW w:w="70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2"/>
                <w:szCs w:val="22"/>
                <w:color w:val="auto"/>
              </w:rPr>
            </w:pPr>
          </w:p>
        </w:tc>
        <w:tc>
          <w:tcPr>
            <w:tcW w:w="700" w:type="dxa"/>
            <w:vAlign w:val="bottom"/>
          </w:tcPr>
          <w:p>
            <w:pPr>
              <w:ind w:left="42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700" w:type="dxa"/>
            <w:vAlign w:val="bottom"/>
          </w:tcPr>
          <w:p>
            <w:pPr>
              <w:ind w:left="4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694</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700" w:type="dxa"/>
            <w:vAlign w:val="bottom"/>
          </w:tcPr>
          <w:p>
            <w:pPr>
              <w:ind w:left="4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2"/>
                <w:szCs w:val="22"/>
                <w:color w:val="auto"/>
              </w:rPr>
            </w:pPr>
          </w:p>
        </w:tc>
        <w:tc>
          <w:tcPr>
            <w:tcW w:w="660" w:type="dxa"/>
            <w:vAlign w:val="bottom"/>
          </w:tcPr>
          <w:p>
            <w:pPr>
              <w:jc w:val="right"/>
              <w:ind w:right="3"/>
              <w:spacing w:after="0"/>
              <w:rPr>
                <w:sz w:val="20"/>
                <w:szCs w:val="20"/>
                <w:color w:val="auto"/>
              </w:rPr>
            </w:pPr>
            <w:r>
              <w:rPr>
                <w:rFonts w:ascii="Arial" w:cs="Arial" w:eastAsia="Arial" w:hAnsi="Arial"/>
                <w:sz w:val="20"/>
                <w:szCs w:val="20"/>
                <w:color w:val="auto"/>
              </w:rPr>
              <w:t>676</w:t>
            </w:r>
          </w:p>
        </w:tc>
      </w:tr>
      <w:tr>
        <w:trPr>
          <w:trHeight w:val="41"/>
        </w:trPr>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90"/>
        </w:trPr>
        <w:tc>
          <w:tcPr>
            <w:tcW w:w="2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Hedge funds</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158</w:t>
            </w:r>
          </w:p>
        </w:tc>
        <w:tc>
          <w:tcPr>
            <w:tcW w:w="2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316</w:t>
            </w:r>
          </w:p>
        </w:tc>
      </w:tr>
      <w:tr>
        <w:trPr>
          <w:trHeight w:val="259"/>
        </w:trPr>
        <w:tc>
          <w:tcPr>
            <w:tcW w:w="2220" w:type="dxa"/>
            <w:vAlign w:val="bottom"/>
          </w:tcPr>
          <w:p>
            <w:pPr>
              <w:spacing w:after="0"/>
              <w:rPr>
                <w:sz w:val="20"/>
                <w:szCs w:val="20"/>
                <w:color w:val="auto"/>
              </w:rPr>
            </w:pPr>
            <w:r>
              <w:rPr>
                <w:rFonts w:ascii="Arial" w:cs="Arial" w:eastAsia="Arial" w:hAnsi="Arial"/>
                <w:sz w:val="20"/>
                <w:szCs w:val="20"/>
                <w:b w:val="1"/>
                <w:bCs w:val="1"/>
                <w:color w:val="auto"/>
              </w:rPr>
              <w:t>Total assets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ind w:right="3"/>
              <w:spacing w:after="0"/>
              <w:rPr>
                <w:sz w:val="20"/>
                <w:szCs w:val="20"/>
                <w:color w:val="auto"/>
              </w:rPr>
            </w:pPr>
            <w:r>
              <w:rPr>
                <w:rFonts w:ascii="Arial" w:cs="Arial" w:eastAsia="Arial" w:hAnsi="Arial"/>
                <w:sz w:val="20"/>
                <w:szCs w:val="20"/>
                <w:color w:val="auto"/>
              </w:rPr>
              <w:t>3</w:t>
            </w:r>
          </w:p>
        </w:tc>
        <w:tc>
          <w:tcPr>
            <w:tcW w:w="18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ind w:left="420"/>
              <w:spacing w:after="0"/>
              <w:rPr>
                <w:sz w:val="20"/>
                <w:szCs w:val="20"/>
                <w:color w:val="auto"/>
              </w:rPr>
            </w:pPr>
            <w:r>
              <w:rPr>
                <w:rFonts w:ascii="Arial" w:cs="Arial" w:eastAsia="Arial" w:hAnsi="Arial"/>
                <w:sz w:val="20"/>
                <w:szCs w:val="20"/>
                <w:color w:val="auto"/>
              </w:rPr>
              <w:t>59</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ind w:left="42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3,028</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18</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680" w:type="dxa"/>
            <w:vAlign w:val="bottom"/>
          </w:tcPr>
          <w:p>
            <w:pPr>
              <w:jc w:val="right"/>
              <w:spacing w:after="0"/>
              <w:rPr>
                <w:sz w:val="20"/>
                <w:szCs w:val="20"/>
                <w:color w:val="auto"/>
              </w:rPr>
            </w:pPr>
            <w:r>
              <w:rPr>
                <w:rFonts w:ascii="Arial" w:cs="Arial" w:eastAsia="Arial" w:hAnsi="Arial"/>
                <w:sz w:val="20"/>
                <w:szCs w:val="20"/>
                <w:color w:val="auto"/>
              </w:rPr>
              <w:t>215</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00" w:type="dxa"/>
            <w:vAlign w:val="bottom"/>
          </w:tcPr>
          <w:p>
            <w:pPr>
              <w:ind w:left="420"/>
              <w:spacing w:after="0"/>
              <w:rPr>
                <w:sz w:val="20"/>
                <w:szCs w:val="20"/>
                <w:color w:val="auto"/>
              </w:rPr>
            </w:pPr>
            <w:r>
              <w:rPr>
                <w:rFonts w:ascii="Arial" w:cs="Arial" w:eastAsia="Arial" w:hAnsi="Arial"/>
                <w:sz w:val="20"/>
                <w:szCs w:val="20"/>
                <w:color w:val="auto"/>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3"/>
              <w:spacing w:after="0"/>
              <w:rPr>
                <w:sz w:val="20"/>
                <w:szCs w:val="20"/>
                <w:color w:val="auto"/>
              </w:rPr>
            </w:pPr>
            <w:r>
              <w:rPr>
                <w:rFonts w:ascii="Arial" w:cs="Arial" w:eastAsia="Arial" w:hAnsi="Arial"/>
                <w:sz w:val="20"/>
                <w:szCs w:val="20"/>
                <w:color w:val="auto"/>
              </w:rPr>
              <w:t>3,440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1490345</wp:posOffset>
            </wp:positionH>
            <wp:positionV relativeFrom="paragraph">
              <wp:posOffset>-1478280</wp:posOffset>
            </wp:positionV>
            <wp:extent cx="4473575" cy="63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4">
                      <a:extLst>
                        <a:ext uri="{28A0092B-C50C-407E-A947-70E740481C1C}"/>
                      </a:extLst>
                    </a:blip>
                    <a:srcRect/>
                    <a:stretch>
                      <a:fillRect/>
                    </a:stretch>
                  </pic:blipFill>
                  <pic:spPr bwMode="auto">
                    <a:xfrm>
                      <a:off x="0" y="0"/>
                      <a:ext cx="4473575" cy="6350"/>
                    </a:xfrm>
                    <a:prstGeom prst="rect">
                      <a:avLst/>
                    </a:prstGeom>
                    <a:noFill/>
                  </pic:spPr>
                </pic:pic>
              </a:graphicData>
            </a:graphic>
          </wp:anchor>
        </w:drawing>
        <w:drawing>
          <wp:anchor simplePos="0" relativeHeight="251657728" behindDoc="1" locked="0" layoutInCell="0" allowOverlap="1">
            <wp:simplePos x="0" y="0"/>
            <wp:positionH relativeFrom="column">
              <wp:posOffset>1490345</wp:posOffset>
            </wp:positionH>
            <wp:positionV relativeFrom="paragraph">
              <wp:posOffset>-1319530</wp:posOffset>
            </wp:positionV>
            <wp:extent cx="4473575" cy="63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5">
                      <a:extLst>
                        <a:ext uri="{28A0092B-C50C-407E-A947-70E740481C1C}"/>
                      </a:extLst>
                    </a:blip>
                    <a:srcRect/>
                    <a:stretch>
                      <a:fillRect/>
                    </a:stretch>
                  </pic:blipFill>
                  <pic:spPr bwMode="auto">
                    <a:xfrm>
                      <a:off x="0" y="0"/>
                      <a:ext cx="4473575" cy="6350"/>
                    </a:xfrm>
                    <a:prstGeom prst="rect">
                      <a:avLst/>
                    </a:prstGeom>
                    <a:noFill/>
                  </pic:spPr>
                </pic:pic>
              </a:graphicData>
            </a:graphic>
          </wp:anchor>
        </w:drawing>
        <w:drawing>
          <wp:anchor simplePos="0" relativeHeight="251657728" behindDoc="1" locked="0" layoutInCell="0" allowOverlap="1">
            <wp:simplePos x="0" y="0"/>
            <wp:positionH relativeFrom="column">
              <wp:posOffset>1490345</wp:posOffset>
            </wp:positionH>
            <wp:positionV relativeFrom="paragraph">
              <wp:posOffset>-170180</wp:posOffset>
            </wp:positionV>
            <wp:extent cx="4473575" cy="63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6">
                      <a:extLst>
                        <a:ext uri="{28A0092B-C50C-407E-A947-70E740481C1C}"/>
                      </a:extLst>
                    </a:blip>
                    <a:srcRect/>
                    <a:stretch>
                      <a:fillRect/>
                    </a:stretch>
                  </pic:blipFill>
                  <pic:spPr bwMode="auto">
                    <a:xfrm>
                      <a:off x="0" y="0"/>
                      <a:ext cx="4473575" cy="6350"/>
                    </a:xfrm>
                    <a:prstGeom prst="rect">
                      <a:avLst/>
                    </a:prstGeom>
                    <a:noFill/>
                  </pic:spPr>
                </pic:pic>
              </a:graphicData>
            </a:graphic>
          </wp:anchor>
        </w:drawing>
        <w:drawing>
          <wp:anchor simplePos="0" relativeHeight="251657728" behindDoc="1" locked="0" layoutInCell="0" allowOverlap="1">
            <wp:simplePos x="0" y="0"/>
            <wp:positionH relativeFrom="column">
              <wp:posOffset>1490345</wp:posOffset>
            </wp:positionH>
            <wp:positionV relativeFrom="paragraph">
              <wp:posOffset>26035</wp:posOffset>
            </wp:positionV>
            <wp:extent cx="4473575" cy="285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7">
                      <a:extLst>
                        <a:ext uri="{28A0092B-C50C-407E-A947-70E740481C1C}"/>
                      </a:extLst>
                    </a:blip>
                    <a:srcRect/>
                    <a:stretch>
                      <a:fillRect/>
                    </a:stretch>
                  </pic:blipFill>
                  <pic:spPr bwMode="auto">
                    <a:xfrm>
                      <a:off x="0" y="0"/>
                      <a:ext cx="4473575" cy="2857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The fair values of our U.K. plan assets by asset category at December 31, 2025 and 2024 are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0" w:type="dxa"/>
            <w:vAlign w:val="bottom"/>
            <w:gridSpan w:val="2"/>
          </w:tcPr>
          <w:p>
            <w:pPr>
              <w:ind w:left="240"/>
              <w:spacing w:after="0"/>
              <w:rPr>
                <w:sz w:val="20"/>
                <w:szCs w:val="20"/>
                <w:color w:val="auto"/>
              </w:rPr>
            </w:pPr>
            <w:r>
              <w:rPr>
                <w:rFonts w:ascii="Arial" w:cs="Arial" w:eastAsia="Arial" w:hAnsi="Arial"/>
                <w:sz w:val="16"/>
                <w:szCs w:val="16"/>
                <w:b w:val="1"/>
                <w:bCs w:val="1"/>
                <w:color w:val="auto"/>
              </w:rPr>
              <w:t>December 31, 2025</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2024</w:t>
            </w:r>
          </w:p>
        </w:tc>
        <w:tc>
          <w:tcPr>
            <w:tcW w:w="680" w:type="dxa"/>
            <w:vAlign w:val="bottom"/>
          </w:tcPr>
          <w:p>
            <w:pPr>
              <w:spacing w:after="0"/>
              <w:rPr>
                <w:sz w:val="16"/>
                <w:szCs w:val="16"/>
                <w:color w:val="auto"/>
              </w:rPr>
            </w:pPr>
          </w:p>
        </w:tc>
      </w:tr>
      <w:tr>
        <w:trPr>
          <w:trHeight w:val="250"/>
        </w:trPr>
        <w:tc>
          <w:tcPr>
            <w:tcW w:w="2220" w:type="dxa"/>
            <w:vAlign w:val="bottom"/>
          </w:tcPr>
          <w:p>
            <w:pPr>
              <w:spacing w:after="0"/>
              <w:rPr>
                <w:sz w:val="21"/>
                <w:szCs w:val="21"/>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b w:val="1"/>
                <w:bCs w:val="1"/>
                <w:color w:val="auto"/>
              </w:rPr>
              <w:t>Level 1</w:t>
            </w:r>
          </w:p>
        </w:tc>
        <w:tc>
          <w:tcPr>
            <w:tcW w:w="1080" w:type="dxa"/>
            <w:vAlign w:val="bottom"/>
          </w:tcPr>
          <w:p>
            <w:pPr>
              <w:jc w:val="right"/>
              <w:ind w:right="312"/>
              <w:spacing w:after="0"/>
              <w:rPr>
                <w:sz w:val="20"/>
                <w:szCs w:val="20"/>
                <w:color w:val="auto"/>
              </w:rPr>
            </w:pPr>
            <w:r>
              <w:rPr>
                <w:rFonts w:ascii="Arial" w:cs="Arial" w:eastAsia="Arial" w:hAnsi="Arial"/>
                <w:sz w:val="16"/>
                <w:szCs w:val="16"/>
                <w:b w:val="1"/>
                <w:bCs w:val="1"/>
                <w:color w:val="auto"/>
              </w:rPr>
              <w:t>Level 2</w:t>
            </w:r>
          </w:p>
        </w:tc>
        <w:tc>
          <w:tcPr>
            <w:tcW w:w="920" w:type="dxa"/>
            <w:vAlign w:val="bottom"/>
          </w:tcPr>
          <w:p>
            <w:pPr>
              <w:spacing w:after="0"/>
              <w:rPr>
                <w:sz w:val="20"/>
                <w:szCs w:val="20"/>
                <w:color w:val="auto"/>
              </w:rPr>
            </w:pPr>
            <w:r>
              <w:rPr>
                <w:rFonts w:ascii="Arial" w:cs="Arial" w:eastAsia="Arial" w:hAnsi="Arial"/>
                <w:sz w:val="16"/>
                <w:szCs w:val="16"/>
                <w:b w:val="1"/>
                <w:bCs w:val="1"/>
                <w:color w:val="auto"/>
              </w:rPr>
              <w:t>Level 3</w:t>
            </w:r>
          </w:p>
        </w:tc>
        <w:tc>
          <w:tcPr>
            <w:tcW w:w="660" w:type="dxa"/>
            <w:vAlign w:val="bottom"/>
          </w:tcPr>
          <w:p>
            <w:pPr>
              <w:jc w:val="right"/>
              <w:ind w:right="162"/>
              <w:spacing w:after="0"/>
              <w:rPr>
                <w:sz w:val="20"/>
                <w:szCs w:val="20"/>
                <w:color w:val="auto"/>
              </w:rPr>
            </w:pPr>
            <w:r>
              <w:rPr>
                <w:rFonts w:ascii="Arial" w:cs="Arial" w:eastAsia="Arial" w:hAnsi="Arial"/>
                <w:sz w:val="16"/>
                <w:szCs w:val="16"/>
                <w:b w:val="1"/>
                <w:bCs w:val="1"/>
                <w:color w:val="auto"/>
                <w:w w:val="99"/>
              </w:rPr>
              <w:t>Total</w:t>
            </w:r>
          </w:p>
        </w:tc>
        <w:tc>
          <w:tcPr>
            <w:tcW w:w="900" w:type="dxa"/>
            <w:vAlign w:val="bottom"/>
          </w:tcPr>
          <w:p>
            <w:pPr>
              <w:jc w:val="right"/>
              <w:ind w:right="102"/>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1"/>
                <w:szCs w:val="21"/>
                <w:color w:val="auto"/>
              </w:rPr>
            </w:pPr>
          </w:p>
        </w:tc>
        <w:tc>
          <w:tcPr>
            <w:tcW w:w="880" w:type="dxa"/>
            <w:vAlign w:val="bottom"/>
          </w:tcPr>
          <w:p>
            <w:pPr>
              <w:jc w:val="right"/>
              <w:ind w:right="304"/>
              <w:spacing w:after="0"/>
              <w:rPr>
                <w:sz w:val="20"/>
                <w:szCs w:val="20"/>
                <w:color w:val="auto"/>
              </w:rPr>
            </w:pPr>
            <w:r>
              <w:rPr>
                <w:rFonts w:ascii="Arial" w:cs="Arial" w:eastAsia="Arial" w:hAnsi="Arial"/>
                <w:sz w:val="16"/>
                <w:szCs w:val="16"/>
                <w:b w:val="1"/>
                <w:bCs w:val="1"/>
                <w:color w:val="auto"/>
                <w:w w:val="84"/>
              </w:rPr>
              <w:t>Level 2</w:t>
            </w:r>
          </w:p>
        </w:tc>
        <w:tc>
          <w:tcPr>
            <w:tcW w:w="920" w:type="dxa"/>
            <w:vAlign w:val="bottom"/>
          </w:tcPr>
          <w:p>
            <w:pPr>
              <w:spacing w:after="0"/>
              <w:rPr>
                <w:sz w:val="20"/>
                <w:szCs w:val="20"/>
                <w:color w:val="auto"/>
              </w:rPr>
            </w:pPr>
            <w:r>
              <w:rPr>
                <w:rFonts w:ascii="Arial" w:cs="Arial" w:eastAsia="Arial" w:hAnsi="Arial"/>
                <w:sz w:val="16"/>
                <w:szCs w:val="16"/>
                <w:b w:val="1"/>
                <w:bCs w:val="1"/>
                <w:color w:val="auto"/>
              </w:rPr>
              <w:t>Level 3</w:t>
            </w:r>
          </w:p>
        </w:tc>
        <w:tc>
          <w:tcPr>
            <w:tcW w:w="680" w:type="dxa"/>
            <w:vAlign w:val="bottom"/>
          </w:tcPr>
          <w:p>
            <w:pPr>
              <w:jc w:val="right"/>
              <w:ind w:right="182"/>
              <w:spacing w:after="0"/>
              <w:rPr>
                <w:sz w:val="20"/>
                <w:szCs w:val="20"/>
                <w:color w:val="auto"/>
              </w:rPr>
            </w:pPr>
            <w:r>
              <w:rPr>
                <w:rFonts w:ascii="Arial" w:cs="Arial" w:eastAsia="Arial" w:hAnsi="Arial"/>
                <w:sz w:val="16"/>
                <w:szCs w:val="16"/>
                <w:b w:val="1"/>
                <w:bCs w:val="1"/>
                <w:color w:val="auto"/>
                <w:w w:val="99"/>
              </w:rPr>
              <w:t>Total</w:t>
            </w:r>
          </w:p>
        </w:tc>
      </w:tr>
      <w:tr>
        <w:trPr>
          <w:trHeight w:val="301"/>
        </w:trPr>
        <w:tc>
          <w:tcPr>
            <w:tcW w:w="2220" w:type="dxa"/>
            <w:vAlign w:val="bottom"/>
          </w:tcPr>
          <w:p>
            <w:pPr>
              <w:spacing w:after="0"/>
              <w:rPr>
                <w:sz w:val="20"/>
                <w:szCs w:val="20"/>
                <w:color w:val="auto"/>
              </w:rPr>
            </w:pPr>
            <w:r>
              <w:rPr>
                <w:rFonts w:ascii="Arial" w:cs="Arial" w:eastAsia="Arial" w:hAnsi="Arial"/>
                <w:sz w:val="20"/>
                <w:szCs w:val="20"/>
                <w:b w:val="1"/>
                <w:bCs w:val="1"/>
                <w:color w:val="auto"/>
              </w:rPr>
              <w:t>Asset category:</w:t>
            </w: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
        </w:trPr>
        <w:tc>
          <w:tcPr>
            <w:tcW w:w="2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80"/>
        </w:trPr>
        <w:tc>
          <w:tcPr>
            <w:tcW w:w="2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Cash</w:t>
            </w:r>
          </w:p>
        </w:tc>
        <w:tc>
          <w:tcPr>
            <w:tcW w:w="94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   112</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  $</w:t>
            </w:r>
          </w:p>
        </w:tc>
        <w:tc>
          <w:tcPr>
            <w:tcW w:w="9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  $</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112</w:t>
            </w:r>
          </w:p>
        </w:tc>
        <w:tc>
          <w:tcPr>
            <w:tcW w:w="90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   156</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  $</w:t>
            </w:r>
          </w:p>
        </w:tc>
        <w:tc>
          <w:tcPr>
            <w:tcW w:w="9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  $</w:t>
            </w:r>
          </w:p>
        </w:tc>
        <w:tc>
          <w:tcPr>
            <w:tcW w:w="68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156</w:t>
            </w:r>
          </w:p>
        </w:tc>
      </w:tr>
      <w:tr>
        <w:trPr>
          <w:trHeight w:val="259"/>
        </w:trPr>
        <w:tc>
          <w:tcPr>
            <w:tcW w:w="2220" w:type="dxa"/>
            <w:vAlign w:val="bottom"/>
          </w:tcPr>
          <w:p>
            <w:pPr>
              <w:spacing w:after="0"/>
              <w:rPr>
                <w:sz w:val="20"/>
                <w:szCs w:val="20"/>
                <w:color w:val="auto"/>
              </w:rPr>
            </w:pPr>
            <w:r>
              <w:rPr>
                <w:rFonts w:ascii="Arial" w:cs="Arial" w:eastAsia="Arial" w:hAnsi="Arial"/>
                <w:sz w:val="20"/>
                <w:szCs w:val="20"/>
                <w:color w:val="auto"/>
              </w:rPr>
              <w:t>Government bonds</w:t>
            </w:r>
          </w:p>
        </w:tc>
        <w:tc>
          <w:tcPr>
            <w:tcW w:w="940" w:type="dxa"/>
            <w:vAlign w:val="bottom"/>
          </w:tcPr>
          <w:p>
            <w:pPr>
              <w:jc w:val="right"/>
              <w:ind w:right="2"/>
              <w:spacing w:after="0"/>
              <w:rPr>
                <w:sz w:val="20"/>
                <w:szCs w:val="20"/>
                <w:color w:val="auto"/>
              </w:rPr>
            </w:pPr>
            <w:r>
              <w:rPr>
                <w:rFonts w:ascii="Arial" w:cs="Arial" w:eastAsia="Arial" w:hAnsi="Arial"/>
                <w:sz w:val="20"/>
                <w:szCs w:val="20"/>
                <w:color w:val="auto"/>
              </w:rPr>
              <w:t>1,688</w:t>
            </w:r>
          </w:p>
        </w:tc>
        <w:tc>
          <w:tcPr>
            <w:tcW w:w="1080" w:type="dxa"/>
            <w:vAlign w:val="bottom"/>
          </w:tcPr>
          <w:p>
            <w:pPr>
              <w:jc w:val="right"/>
              <w:ind w:right="212"/>
              <w:spacing w:after="0"/>
              <w:rPr>
                <w:sz w:val="20"/>
                <w:szCs w:val="20"/>
                <w:color w:val="auto"/>
              </w:rPr>
            </w:pPr>
            <w:r>
              <w:rPr>
                <w:rFonts w:ascii="Arial" w:cs="Arial" w:eastAsia="Arial" w:hAnsi="Arial"/>
                <w:sz w:val="20"/>
                <w:szCs w:val="20"/>
                <w:color w:val="auto"/>
              </w:rPr>
              <w:t>—</w:t>
            </w:r>
          </w:p>
        </w:tc>
        <w:tc>
          <w:tcPr>
            <w:tcW w:w="920" w:type="dxa"/>
            <w:vAlign w:val="bottom"/>
          </w:tcPr>
          <w:p>
            <w:pPr>
              <w:ind w:left="40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1,688</w:t>
            </w:r>
          </w:p>
        </w:tc>
        <w:tc>
          <w:tcPr>
            <w:tcW w:w="900" w:type="dxa"/>
            <w:vAlign w:val="bottom"/>
          </w:tcPr>
          <w:p>
            <w:pPr>
              <w:jc w:val="right"/>
              <w:ind w:right="2"/>
              <w:spacing w:after="0"/>
              <w:rPr>
                <w:sz w:val="20"/>
                <w:szCs w:val="20"/>
                <w:color w:val="auto"/>
              </w:rPr>
            </w:pPr>
            <w:r>
              <w:rPr>
                <w:rFonts w:ascii="Arial" w:cs="Arial" w:eastAsia="Arial" w:hAnsi="Arial"/>
                <w:sz w:val="20"/>
                <w:szCs w:val="20"/>
                <w:color w:val="auto"/>
              </w:rPr>
              <w:t>1,145</w:t>
            </w:r>
          </w:p>
        </w:tc>
        <w:tc>
          <w:tcPr>
            <w:tcW w:w="200" w:type="dxa"/>
            <w:vAlign w:val="bottom"/>
          </w:tcPr>
          <w:p>
            <w:pPr>
              <w:spacing w:after="0"/>
              <w:rPr>
                <w:sz w:val="22"/>
                <w:szCs w:val="22"/>
                <w:color w:val="auto"/>
              </w:rPr>
            </w:pPr>
          </w:p>
        </w:tc>
        <w:tc>
          <w:tcPr>
            <w:tcW w:w="880" w:type="dxa"/>
            <w:vAlign w:val="bottom"/>
          </w:tcPr>
          <w:p>
            <w:pPr>
              <w:jc w:val="right"/>
              <w:ind w:right="204"/>
              <w:spacing w:after="0"/>
              <w:rPr>
                <w:sz w:val="20"/>
                <w:szCs w:val="20"/>
                <w:color w:val="auto"/>
              </w:rPr>
            </w:pPr>
            <w:r>
              <w:rPr>
                <w:rFonts w:ascii="Arial" w:cs="Arial" w:eastAsia="Arial" w:hAnsi="Arial"/>
                <w:sz w:val="20"/>
                <w:szCs w:val="20"/>
                <w:color w:val="auto"/>
              </w:rPr>
              <w:t>—</w:t>
            </w:r>
          </w:p>
        </w:tc>
        <w:tc>
          <w:tcPr>
            <w:tcW w:w="920" w:type="dxa"/>
            <w:vAlign w:val="bottom"/>
          </w:tcPr>
          <w:p>
            <w:pPr>
              <w:ind w:left="400"/>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2"/>
              <w:spacing w:after="0"/>
              <w:rPr>
                <w:sz w:val="20"/>
                <w:szCs w:val="20"/>
                <w:color w:val="auto"/>
              </w:rPr>
            </w:pPr>
            <w:r>
              <w:rPr>
                <w:rFonts w:ascii="Arial" w:cs="Arial" w:eastAsia="Arial" w:hAnsi="Arial"/>
                <w:sz w:val="20"/>
                <w:szCs w:val="20"/>
                <w:color w:val="auto"/>
              </w:rPr>
              <w:t>1,145</w:t>
            </w:r>
          </w:p>
        </w:tc>
      </w:tr>
      <w:tr>
        <w:trPr>
          <w:trHeight w:val="41"/>
        </w:trPr>
        <w:tc>
          <w:tcPr>
            <w:tcW w:w="2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80"/>
        </w:trPr>
        <w:tc>
          <w:tcPr>
            <w:tcW w:w="2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Corporate bonds</w:t>
            </w:r>
          </w:p>
        </w:tc>
        <w:tc>
          <w:tcPr>
            <w:tcW w:w="94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FF0FC"/>
            </w:tcBorders>
            <w:shd w:val="clear" w:color="auto" w:fill="CFF0FC"/>
          </w:tcPr>
          <w:p>
            <w:pPr>
              <w:jc w:val="right"/>
              <w:ind w:right="212"/>
              <w:spacing w:after="0"/>
              <w:rPr>
                <w:sz w:val="20"/>
                <w:szCs w:val="20"/>
                <w:color w:val="auto"/>
              </w:rPr>
            </w:pPr>
            <w:r>
              <w:rPr>
                <w:rFonts w:ascii="Arial" w:cs="Arial" w:eastAsia="Arial" w:hAnsi="Arial"/>
                <w:sz w:val="20"/>
                <w:szCs w:val="20"/>
                <w:color w:val="auto"/>
              </w:rPr>
              <w:t>429</w:t>
            </w:r>
          </w:p>
        </w:tc>
        <w:tc>
          <w:tcPr>
            <w:tcW w:w="9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429</w:t>
            </w:r>
          </w:p>
        </w:tc>
        <w:tc>
          <w:tcPr>
            <w:tcW w:w="90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4"/>
              <w:spacing w:after="0"/>
              <w:rPr>
                <w:sz w:val="20"/>
                <w:szCs w:val="20"/>
                <w:color w:val="auto"/>
              </w:rPr>
            </w:pPr>
            <w:r>
              <w:rPr>
                <w:rFonts w:ascii="Arial" w:cs="Arial" w:eastAsia="Arial" w:hAnsi="Arial"/>
                <w:sz w:val="20"/>
                <w:szCs w:val="20"/>
                <w:color w:val="auto"/>
              </w:rPr>
              <w:t>263</w:t>
            </w:r>
          </w:p>
        </w:tc>
        <w:tc>
          <w:tcPr>
            <w:tcW w:w="9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263</w:t>
            </w:r>
          </w:p>
        </w:tc>
      </w:tr>
      <w:tr>
        <w:trPr>
          <w:trHeight w:val="259"/>
        </w:trPr>
        <w:tc>
          <w:tcPr>
            <w:tcW w:w="2220" w:type="dxa"/>
            <w:vAlign w:val="bottom"/>
          </w:tcPr>
          <w:p>
            <w:pPr>
              <w:spacing w:after="0"/>
              <w:rPr>
                <w:sz w:val="20"/>
                <w:szCs w:val="20"/>
                <w:color w:val="auto"/>
              </w:rPr>
            </w:pPr>
            <w:r>
              <w:rPr>
                <w:rFonts w:ascii="Arial" w:cs="Arial" w:eastAsia="Arial" w:hAnsi="Arial"/>
                <w:sz w:val="20"/>
                <w:szCs w:val="20"/>
                <w:color w:val="auto"/>
              </w:rPr>
              <w:t>Other fixed income</w:t>
            </w:r>
          </w:p>
        </w:tc>
        <w:tc>
          <w:tcPr>
            <w:tcW w:w="9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2"/>
              <w:spacing w:after="0"/>
              <w:rPr>
                <w:sz w:val="20"/>
                <w:szCs w:val="20"/>
                <w:color w:val="auto"/>
              </w:rPr>
            </w:pPr>
            <w:r>
              <w:rPr>
                <w:rFonts w:ascii="Arial" w:cs="Arial" w:eastAsia="Arial" w:hAnsi="Arial"/>
                <w:sz w:val="20"/>
                <w:szCs w:val="20"/>
                <w:color w:val="auto"/>
              </w:rPr>
              <w:t>—</w:t>
            </w:r>
          </w:p>
        </w:tc>
        <w:tc>
          <w:tcPr>
            <w:tcW w:w="920" w:type="dxa"/>
            <w:vAlign w:val="bottom"/>
          </w:tcPr>
          <w:p>
            <w:pPr>
              <w:ind w:left="40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880" w:type="dxa"/>
            <w:vAlign w:val="bottom"/>
          </w:tcPr>
          <w:p>
            <w:pPr>
              <w:jc w:val="right"/>
              <w:ind w:right="204"/>
              <w:spacing w:after="0"/>
              <w:rPr>
                <w:sz w:val="20"/>
                <w:szCs w:val="20"/>
                <w:color w:val="auto"/>
              </w:rPr>
            </w:pPr>
            <w:r>
              <w:rPr>
                <w:rFonts w:ascii="Arial" w:cs="Arial" w:eastAsia="Arial" w:hAnsi="Arial"/>
                <w:sz w:val="20"/>
                <w:szCs w:val="20"/>
                <w:color w:val="auto"/>
              </w:rPr>
              <w:t>311</w:t>
            </w:r>
          </w:p>
        </w:tc>
        <w:tc>
          <w:tcPr>
            <w:tcW w:w="920" w:type="dxa"/>
            <w:vAlign w:val="bottom"/>
          </w:tcPr>
          <w:p>
            <w:pPr>
              <w:ind w:left="400"/>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2"/>
              <w:spacing w:after="0"/>
              <w:rPr>
                <w:sz w:val="20"/>
                <w:szCs w:val="20"/>
                <w:color w:val="auto"/>
              </w:rPr>
            </w:pPr>
            <w:r>
              <w:rPr>
                <w:rFonts w:ascii="Arial" w:cs="Arial" w:eastAsia="Arial" w:hAnsi="Arial"/>
                <w:sz w:val="20"/>
                <w:szCs w:val="20"/>
                <w:color w:val="auto"/>
              </w:rPr>
              <w:t>311</w:t>
            </w:r>
          </w:p>
        </w:tc>
      </w:tr>
      <w:tr>
        <w:trPr>
          <w:trHeight w:val="41"/>
        </w:trPr>
        <w:tc>
          <w:tcPr>
            <w:tcW w:w="2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80"/>
        </w:trPr>
        <w:tc>
          <w:tcPr>
            <w:tcW w:w="2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w w:val="95"/>
              </w:rPr>
              <w:t>Pooled/commingled funds</w:t>
            </w:r>
          </w:p>
        </w:tc>
        <w:tc>
          <w:tcPr>
            <w:tcW w:w="94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FF0FC"/>
            </w:tcBorders>
            <w:shd w:val="clear" w:color="auto" w:fill="CFF0FC"/>
          </w:tcPr>
          <w:p>
            <w:pPr>
              <w:jc w:val="right"/>
              <w:ind w:right="21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1,052</w:t>
            </w:r>
          </w:p>
        </w:tc>
        <w:tc>
          <w:tcPr>
            <w:tcW w:w="90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4"/>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968</w:t>
            </w:r>
          </w:p>
        </w:tc>
      </w:tr>
      <w:tr>
        <w:trPr>
          <w:trHeight w:val="259"/>
        </w:trPr>
        <w:tc>
          <w:tcPr>
            <w:tcW w:w="2220" w:type="dxa"/>
            <w:vAlign w:val="bottom"/>
          </w:tcPr>
          <w:p>
            <w:pPr>
              <w:spacing w:after="0"/>
              <w:rPr>
                <w:sz w:val="20"/>
                <w:szCs w:val="20"/>
                <w:color w:val="auto"/>
              </w:rPr>
            </w:pPr>
            <w:r>
              <w:rPr>
                <w:rFonts w:ascii="Arial" w:cs="Arial" w:eastAsia="Arial" w:hAnsi="Arial"/>
                <w:sz w:val="20"/>
                <w:szCs w:val="20"/>
                <w:color w:val="auto"/>
              </w:rPr>
              <w:t>Private equity</w:t>
            </w:r>
          </w:p>
        </w:tc>
        <w:tc>
          <w:tcPr>
            <w:tcW w:w="9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2"/>
              <w:spacing w:after="0"/>
              <w:rPr>
                <w:sz w:val="20"/>
                <w:szCs w:val="20"/>
                <w:color w:val="auto"/>
              </w:rPr>
            </w:pPr>
            <w:r>
              <w:rPr>
                <w:rFonts w:ascii="Arial" w:cs="Arial" w:eastAsia="Arial" w:hAnsi="Arial"/>
                <w:sz w:val="20"/>
                <w:szCs w:val="20"/>
                <w:color w:val="auto"/>
              </w:rPr>
              <w:t>—</w:t>
            </w:r>
          </w:p>
        </w:tc>
        <w:tc>
          <w:tcPr>
            <w:tcW w:w="920" w:type="dxa"/>
            <w:vAlign w:val="bottom"/>
          </w:tcPr>
          <w:p>
            <w:pPr>
              <w:ind w:left="40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20</w:t>
            </w:r>
          </w:p>
        </w:tc>
        <w:tc>
          <w:tcPr>
            <w:tcW w:w="90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880" w:type="dxa"/>
            <w:vAlign w:val="bottom"/>
          </w:tcPr>
          <w:p>
            <w:pPr>
              <w:jc w:val="right"/>
              <w:ind w:right="204"/>
              <w:spacing w:after="0"/>
              <w:rPr>
                <w:sz w:val="20"/>
                <w:szCs w:val="20"/>
                <w:color w:val="auto"/>
              </w:rPr>
            </w:pPr>
            <w:r>
              <w:rPr>
                <w:rFonts w:ascii="Arial" w:cs="Arial" w:eastAsia="Arial" w:hAnsi="Arial"/>
                <w:sz w:val="20"/>
                <w:szCs w:val="20"/>
                <w:color w:val="auto"/>
              </w:rPr>
              <w:t>—</w:t>
            </w:r>
          </w:p>
        </w:tc>
        <w:tc>
          <w:tcPr>
            <w:tcW w:w="920" w:type="dxa"/>
            <w:vAlign w:val="bottom"/>
          </w:tcPr>
          <w:p>
            <w:pPr>
              <w:ind w:left="400"/>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2"/>
              <w:spacing w:after="0"/>
              <w:rPr>
                <w:sz w:val="20"/>
                <w:szCs w:val="20"/>
                <w:color w:val="auto"/>
              </w:rPr>
            </w:pPr>
            <w:r>
              <w:rPr>
                <w:rFonts w:ascii="Arial" w:cs="Arial" w:eastAsia="Arial" w:hAnsi="Arial"/>
                <w:sz w:val="20"/>
                <w:szCs w:val="20"/>
                <w:color w:val="auto"/>
              </w:rPr>
              <w:t>18</w:t>
            </w:r>
          </w:p>
        </w:tc>
      </w:tr>
      <w:tr>
        <w:trPr>
          <w:trHeight w:val="41"/>
        </w:trPr>
        <w:tc>
          <w:tcPr>
            <w:tcW w:w="2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80"/>
        </w:trPr>
        <w:tc>
          <w:tcPr>
            <w:tcW w:w="2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Derivatives</w:t>
            </w:r>
          </w:p>
        </w:tc>
        <w:tc>
          <w:tcPr>
            <w:tcW w:w="94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FF0FC"/>
            </w:tcBorders>
            <w:shd w:val="clear" w:color="auto" w:fill="CFF0FC"/>
          </w:tcPr>
          <w:p>
            <w:pPr>
              <w:jc w:val="right"/>
              <w:ind w:right="212"/>
              <w:spacing w:after="0"/>
              <w:rPr>
                <w:sz w:val="20"/>
                <w:szCs w:val="20"/>
                <w:color w:val="auto"/>
              </w:rPr>
            </w:pPr>
            <w:r>
              <w:rPr>
                <w:rFonts w:ascii="Arial" w:cs="Arial" w:eastAsia="Arial" w:hAnsi="Arial"/>
                <w:sz w:val="20"/>
                <w:szCs w:val="20"/>
                <w:color w:val="auto"/>
              </w:rPr>
              <w:t>285</w:t>
            </w:r>
          </w:p>
        </w:tc>
        <w:tc>
          <w:tcPr>
            <w:tcW w:w="9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285</w:t>
            </w:r>
          </w:p>
        </w:tc>
        <w:tc>
          <w:tcPr>
            <w:tcW w:w="90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204"/>
              <w:spacing w:after="0"/>
              <w:rPr>
                <w:sz w:val="20"/>
                <w:szCs w:val="20"/>
                <w:color w:val="auto"/>
              </w:rPr>
            </w:pPr>
            <w:r>
              <w:rPr>
                <w:rFonts w:ascii="Arial" w:cs="Arial" w:eastAsia="Arial" w:hAnsi="Arial"/>
                <w:sz w:val="20"/>
                <w:szCs w:val="20"/>
                <w:color w:val="auto"/>
              </w:rPr>
              <w:t>161</w:t>
            </w:r>
          </w:p>
        </w:tc>
        <w:tc>
          <w:tcPr>
            <w:tcW w:w="9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161</w:t>
            </w:r>
          </w:p>
        </w:tc>
      </w:tr>
      <w:tr>
        <w:trPr>
          <w:trHeight w:val="259"/>
        </w:trPr>
        <w:tc>
          <w:tcPr>
            <w:tcW w:w="2220" w:type="dxa"/>
            <w:vAlign w:val="bottom"/>
          </w:tcPr>
          <w:p>
            <w:pPr>
              <w:spacing w:after="0"/>
              <w:rPr>
                <w:sz w:val="20"/>
                <w:szCs w:val="20"/>
                <w:color w:val="auto"/>
              </w:rPr>
            </w:pPr>
            <w:r>
              <w:rPr>
                <w:rFonts w:ascii="Arial" w:cs="Arial" w:eastAsia="Arial" w:hAnsi="Arial"/>
                <w:sz w:val="20"/>
                <w:szCs w:val="20"/>
                <w:color w:val="auto"/>
              </w:rPr>
              <w:t>Real estate</w:t>
            </w:r>
          </w:p>
        </w:tc>
        <w:tc>
          <w:tcPr>
            <w:tcW w:w="94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2"/>
              <w:spacing w:after="0"/>
              <w:rPr>
                <w:sz w:val="20"/>
                <w:szCs w:val="20"/>
                <w:color w:val="auto"/>
              </w:rPr>
            </w:pPr>
            <w:r>
              <w:rPr>
                <w:rFonts w:ascii="Arial" w:cs="Arial" w:eastAsia="Arial" w:hAnsi="Arial"/>
                <w:sz w:val="20"/>
                <w:szCs w:val="20"/>
                <w:color w:val="auto"/>
              </w:rPr>
              <w:t>—</w:t>
            </w:r>
          </w:p>
        </w:tc>
        <w:tc>
          <w:tcPr>
            <w:tcW w:w="920" w:type="dxa"/>
            <w:vAlign w:val="bottom"/>
          </w:tcPr>
          <w:p>
            <w:pPr>
              <w:ind w:left="400"/>
              <w:spacing w:after="0"/>
              <w:rPr>
                <w:sz w:val="20"/>
                <w:szCs w:val="20"/>
                <w:color w:val="auto"/>
              </w:rPr>
            </w:pPr>
            <w:r>
              <w:rPr>
                <w:rFonts w:ascii="Arial" w:cs="Arial" w:eastAsia="Arial" w:hAnsi="Arial"/>
                <w:sz w:val="20"/>
                <w:szCs w:val="20"/>
                <w:color w:val="auto"/>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22</w:t>
            </w:r>
          </w:p>
        </w:tc>
        <w:tc>
          <w:tcPr>
            <w:tcW w:w="90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2"/>
                <w:szCs w:val="22"/>
                <w:color w:val="auto"/>
              </w:rPr>
            </w:pPr>
          </w:p>
        </w:tc>
        <w:tc>
          <w:tcPr>
            <w:tcW w:w="880" w:type="dxa"/>
            <w:vAlign w:val="bottom"/>
          </w:tcPr>
          <w:p>
            <w:pPr>
              <w:jc w:val="right"/>
              <w:ind w:right="204"/>
              <w:spacing w:after="0"/>
              <w:rPr>
                <w:sz w:val="20"/>
                <w:szCs w:val="20"/>
                <w:color w:val="auto"/>
              </w:rPr>
            </w:pPr>
            <w:r>
              <w:rPr>
                <w:rFonts w:ascii="Arial" w:cs="Arial" w:eastAsia="Arial" w:hAnsi="Arial"/>
                <w:sz w:val="20"/>
                <w:szCs w:val="20"/>
                <w:color w:val="auto"/>
              </w:rPr>
              <w:t>—</w:t>
            </w:r>
          </w:p>
        </w:tc>
        <w:tc>
          <w:tcPr>
            <w:tcW w:w="920" w:type="dxa"/>
            <w:vAlign w:val="bottom"/>
          </w:tcPr>
          <w:p>
            <w:pPr>
              <w:ind w:left="400"/>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2"/>
              <w:spacing w:after="0"/>
              <w:rPr>
                <w:sz w:val="20"/>
                <w:szCs w:val="20"/>
                <w:color w:val="auto"/>
              </w:rPr>
            </w:pPr>
            <w:r>
              <w:rPr>
                <w:rFonts w:ascii="Arial" w:cs="Arial" w:eastAsia="Arial" w:hAnsi="Arial"/>
                <w:sz w:val="20"/>
                <w:szCs w:val="20"/>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1497965</wp:posOffset>
            </wp:positionH>
            <wp:positionV relativeFrom="paragraph">
              <wp:posOffset>-1852930</wp:posOffset>
            </wp:positionV>
            <wp:extent cx="4465955" cy="63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28">
                      <a:extLst>
                        <a:ext uri="{28A0092B-C50C-407E-A947-70E740481C1C}"/>
                      </a:extLst>
                    </a:blip>
                    <a:srcRect/>
                    <a:stretch>
                      <a:fillRect/>
                    </a:stretch>
                  </pic:blipFill>
                  <pic:spPr bwMode="auto">
                    <a:xfrm>
                      <a:off x="0" y="0"/>
                      <a:ext cx="4465955" cy="6350"/>
                    </a:xfrm>
                    <a:prstGeom prst="rect">
                      <a:avLst/>
                    </a:prstGeom>
                    <a:noFill/>
                  </pic:spPr>
                </pic:pic>
              </a:graphicData>
            </a:graphic>
          </wp:anchor>
        </w:drawing>
        <w:drawing>
          <wp:anchor simplePos="0" relativeHeight="251657728" behindDoc="1" locked="0" layoutInCell="0" allowOverlap="1">
            <wp:simplePos x="0" y="0"/>
            <wp:positionH relativeFrom="column">
              <wp:posOffset>1497965</wp:posOffset>
            </wp:positionH>
            <wp:positionV relativeFrom="paragraph">
              <wp:posOffset>-1694180</wp:posOffset>
            </wp:positionV>
            <wp:extent cx="4465955" cy="63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29">
                      <a:extLst>
                        <a:ext uri="{28A0092B-C50C-407E-A947-70E740481C1C}"/>
                      </a:extLst>
                    </a:blip>
                    <a:srcRect/>
                    <a:stretch>
                      <a:fillRect/>
                    </a:stretch>
                  </pic:blipFill>
                  <pic:spPr bwMode="auto">
                    <a:xfrm>
                      <a:off x="0" y="0"/>
                      <a:ext cx="446595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15</w:t>
      </w:r>
    </w:p>
    <w:p>
      <w:pPr>
        <w:sectPr>
          <w:pgSz w:w="11900" w:h="16838" w:orient="portrait"/>
          <w:cols w:equalWidth="0" w:num="1">
            <w:col w:w="9400"/>
          </w:cols>
          <w:pgMar w:left="1260" w:top="1440" w:right="1246" w:bottom="0" w:gutter="0" w:footer="0" w:header="0"/>
          <w:type w:val="continuous"/>
        </w:sectPr>
      </w:pPr>
    </w:p>
    <w:bookmarkStart w:id="234" w:name="page235"/>
    <w:bookmarkEnd w:id="234"/>
    <w:tbl>
      <w:tblPr>
        <w:tblLayout w:type="fixed"/>
        <w:tblInd w:w="0" w:type="dxa"/>
        <w:tblCellMar>
          <w:top w:w="0" w:type="dxa"/>
          <w:left w:w="0" w:type="dxa"/>
          <w:bottom w:w="0" w:type="dxa"/>
          <w:right w:w="0" w:type="dxa"/>
        </w:tblCellMar>
      </w:tblPr>
      <w:tr>
        <w:trPr>
          <w:trHeight w:val="290"/>
        </w:trPr>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Insurance contracts</w:t>
            </w:r>
          </w:p>
        </w:tc>
        <w:tc>
          <w:tcPr>
            <w:tcW w:w="4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w:t>
            </w:r>
          </w:p>
        </w:tc>
        <w:tc>
          <w:tcPr>
            <w:tcW w:w="2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w:t>
            </w:r>
          </w:p>
        </w:tc>
        <w:tc>
          <w:tcPr>
            <w:tcW w:w="2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34</w:t>
            </w:r>
          </w:p>
        </w:tc>
        <w:tc>
          <w:tcPr>
            <w:tcW w:w="2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34</w:t>
            </w:r>
          </w:p>
        </w:tc>
      </w:tr>
      <w:tr>
        <w:trPr>
          <w:trHeight w:val="259"/>
        </w:trPr>
        <w:tc>
          <w:tcPr>
            <w:tcW w:w="2120" w:type="dxa"/>
            <w:vAlign w:val="bottom"/>
          </w:tcPr>
          <w:p>
            <w:pPr>
              <w:spacing w:after="0"/>
              <w:rPr>
                <w:sz w:val="20"/>
                <w:szCs w:val="20"/>
                <w:color w:val="auto"/>
              </w:rPr>
            </w:pPr>
            <w:r>
              <w:rPr>
                <w:rFonts w:ascii="Arial" w:cs="Arial" w:eastAsia="Arial" w:hAnsi="Arial"/>
                <w:sz w:val="20"/>
                <w:szCs w:val="20"/>
                <w:b w:val="1"/>
                <w:bCs w:val="1"/>
                <w:color w:val="auto"/>
              </w:rPr>
              <w:t>Total assets</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9"/>
              </w:rPr>
              <w:t>1,800</w:t>
            </w:r>
          </w:p>
        </w:tc>
        <w:tc>
          <w:tcPr>
            <w:tcW w:w="3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40"/>
              <w:spacing w:after="0"/>
              <w:rPr>
                <w:sz w:val="20"/>
                <w:szCs w:val="20"/>
                <w:color w:val="auto"/>
              </w:rPr>
            </w:pPr>
            <w:r>
              <w:rPr>
                <w:rFonts w:ascii="Arial" w:cs="Arial" w:eastAsia="Arial" w:hAnsi="Arial"/>
                <w:sz w:val="20"/>
                <w:szCs w:val="20"/>
                <w:color w:val="auto"/>
              </w:rPr>
              <w:t>714</w:t>
            </w:r>
          </w:p>
        </w:tc>
        <w:tc>
          <w:tcPr>
            <w:tcW w:w="3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60" w:type="dxa"/>
            <w:vAlign w:val="bottom"/>
          </w:tcPr>
          <w:p>
            <w:pPr>
              <w:jc w:val="right"/>
              <w:spacing w:after="0"/>
              <w:rPr>
                <w:sz w:val="20"/>
                <w:szCs w:val="20"/>
                <w:color w:val="auto"/>
              </w:rPr>
            </w:pPr>
            <w:r>
              <w:rPr>
                <w:rFonts w:ascii="Arial" w:cs="Arial" w:eastAsia="Arial" w:hAnsi="Arial"/>
                <w:sz w:val="20"/>
                <w:szCs w:val="20"/>
                <w:color w:val="auto"/>
              </w:rPr>
              <w:t>35</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3,643</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9"/>
              </w:rPr>
              <w:t>1,301</w:t>
            </w:r>
          </w:p>
        </w:tc>
        <w:tc>
          <w:tcPr>
            <w:tcW w:w="3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735</w:t>
            </w:r>
          </w:p>
        </w:tc>
        <w:tc>
          <w:tcPr>
            <w:tcW w:w="40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34</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9"/>
              </w:rPr>
              <w:t>3,106</w:t>
            </w:r>
          </w:p>
        </w:tc>
      </w:tr>
      <w:tr>
        <w:trPr>
          <w:trHeight w:val="86"/>
        </w:trPr>
        <w:tc>
          <w:tcPr>
            <w:tcW w:w="2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r>
      <w:tr>
        <w:trPr>
          <w:trHeight w:val="300"/>
        </w:trPr>
        <w:tc>
          <w:tcPr>
            <w:tcW w:w="212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r>
      <w:tr>
        <w:trPr>
          <w:trHeight w:val="259"/>
        </w:trPr>
        <w:tc>
          <w:tcPr>
            <w:tcW w:w="2120" w:type="dxa"/>
            <w:vAlign w:val="bottom"/>
          </w:tcPr>
          <w:p>
            <w:pPr>
              <w:spacing w:after="0"/>
              <w:rPr>
                <w:sz w:val="20"/>
                <w:szCs w:val="20"/>
                <w:color w:val="auto"/>
              </w:rPr>
            </w:pPr>
            <w:r>
              <w:rPr>
                <w:rFonts w:ascii="Arial" w:cs="Arial" w:eastAsia="Arial" w:hAnsi="Arial"/>
                <w:sz w:val="20"/>
                <w:szCs w:val="20"/>
                <w:b w:val="1"/>
                <w:bCs w:val="1"/>
                <w:color w:val="auto"/>
              </w:rPr>
              <w:t>Liability category:</w:t>
            </w: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41"/>
        </w:trPr>
        <w:tc>
          <w:tcPr>
            <w:tcW w:w="2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80"/>
        </w:trPr>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w w:val="95"/>
              </w:rPr>
              <w:t>Repurchase agreements</w:t>
            </w:r>
          </w:p>
        </w:tc>
        <w:tc>
          <w:tcPr>
            <w:tcW w:w="4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660</w:t>
            </w:r>
          </w:p>
        </w:tc>
        <w:tc>
          <w:tcPr>
            <w:tcW w:w="3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660</w:t>
            </w:r>
          </w:p>
        </w:tc>
        <w:tc>
          <w:tcPr>
            <w:tcW w:w="2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398</w:t>
            </w:r>
          </w:p>
        </w:tc>
        <w:tc>
          <w:tcPr>
            <w:tcW w:w="4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398</w:t>
            </w:r>
          </w:p>
        </w:tc>
      </w:tr>
      <w:tr>
        <w:trPr>
          <w:trHeight w:val="259"/>
        </w:trPr>
        <w:tc>
          <w:tcPr>
            <w:tcW w:w="2120" w:type="dxa"/>
            <w:vAlign w:val="bottom"/>
          </w:tcPr>
          <w:p>
            <w:pPr>
              <w:spacing w:after="0"/>
              <w:rPr>
                <w:sz w:val="20"/>
                <w:szCs w:val="20"/>
                <w:color w:val="auto"/>
              </w:rPr>
            </w:pPr>
            <w:r>
              <w:rPr>
                <w:rFonts w:ascii="Arial" w:cs="Arial" w:eastAsia="Arial" w:hAnsi="Arial"/>
                <w:sz w:val="20"/>
                <w:szCs w:val="20"/>
                <w:color w:val="auto"/>
              </w:rPr>
              <w:t>Derivatives</w:t>
            </w:r>
          </w:p>
        </w:tc>
        <w:tc>
          <w:tcPr>
            <w:tcW w:w="4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2"/>
                <w:szCs w:val="22"/>
                <w:color w:val="auto"/>
              </w:rPr>
            </w:pPr>
          </w:p>
        </w:tc>
        <w:tc>
          <w:tcPr>
            <w:tcW w:w="620" w:type="dxa"/>
            <w:vAlign w:val="bottom"/>
          </w:tcPr>
          <w:p>
            <w:pPr>
              <w:jc w:val="right"/>
              <w:ind w:right="40"/>
              <w:spacing w:after="0"/>
              <w:rPr>
                <w:sz w:val="20"/>
                <w:szCs w:val="20"/>
                <w:color w:val="auto"/>
              </w:rPr>
            </w:pPr>
            <w:r>
              <w:rPr>
                <w:rFonts w:ascii="Arial" w:cs="Arial" w:eastAsia="Arial" w:hAnsi="Arial"/>
                <w:sz w:val="20"/>
                <w:szCs w:val="20"/>
                <w:color w:val="auto"/>
              </w:rPr>
              <w:t>168</w:t>
            </w:r>
          </w:p>
        </w:tc>
        <w:tc>
          <w:tcPr>
            <w:tcW w:w="3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168</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56</w:t>
            </w:r>
          </w:p>
        </w:tc>
        <w:tc>
          <w:tcPr>
            <w:tcW w:w="4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51"/>
        </w:trPr>
        <w:tc>
          <w:tcPr>
            <w:tcW w:w="2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9"/>
        </w:trPr>
        <w:tc>
          <w:tcPr>
            <w:tcW w:w="21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Net assets/(liabilities)</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1,800</w:t>
            </w:r>
          </w:p>
        </w:tc>
        <w:tc>
          <w:tcPr>
            <w:tcW w:w="3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(114)</w:t>
            </w:r>
          </w:p>
        </w:tc>
        <w:tc>
          <w:tcPr>
            <w:tcW w:w="30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2,815</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1,301</w:t>
            </w:r>
          </w:p>
        </w:tc>
        <w:tc>
          <w:tcPr>
            <w:tcW w:w="34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281</w:t>
            </w:r>
          </w:p>
        </w:tc>
        <w:tc>
          <w:tcPr>
            <w:tcW w:w="40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9"/>
              </w:rPr>
              <w:t>2,652</w:t>
            </w:r>
          </w:p>
        </w:tc>
      </w:tr>
      <w:tr>
        <w:trPr>
          <w:trHeight w:val="86"/>
        </w:trPr>
        <w:tc>
          <w:tcPr>
            <w:tcW w:w="212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56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r>
      <w:tr>
        <w:trPr>
          <w:trHeight w:val="799"/>
        </w:trPr>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116</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891"/>
        </w:trPr>
        <w:tc>
          <w:tcPr>
            <w:tcW w:w="212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1497965</wp:posOffset>
            </wp:positionH>
            <wp:positionV relativeFrom="paragraph">
              <wp:posOffset>-2298065</wp:posOffset>
            </wp:positionV>
            <wp:extent cx="4465955" cy="63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2">
                      <a:extLst>
                        <a:ext uri="{28A0092B-C50C-407E-A947-70E740481C1C}"/>
                      </a:extLst>
                    </a:blip>
                    <a:srcRect/>
                    <a:stretch>
                      <a:fillRect/>
                    </a:stretch>
                  </pic:blipFill>
                  <pic:spPr bwMode="auto">
                    <a:xfrm>
                      <a:off x="0" y="0"/>
                      <a:ext cx="4465955" cy="6350"/>
                    </a:xfrm>
                    <a:prstGeom prst="rect">
                      <a:avLst/>
                    </a:prstGeom>
                    <a:noFill/>
                  </pic:spPr>
                </pic:pic>
              </a:graphicData>
            </a:graphic>
          </wp:anchor>
        </w:drawing>
        <w:drawing>
          <wp:anchor simplePos="0" relativeHeight="251657728" behindDoc="1" locked="0" layoutInCell="0" allowOverlap="1">
            <wp:simplePos x="0" y="0"/>
            <wp:positionH relativeFrom="column">
              <wp:posOffset>1497965</wp:posOffset>
            </wp:positionH>
            <wp:positionV relativeFrom="paragraph">
              <wp:posOffset>-2101215</wp:posOffset>
            </wp:positionV>
            <wp:extent cx="4465955" cy="285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3">
                      <a:extLst>
                        <a:ext uri="{28A0092B-C50C-407E-A947-70E740481C1C}"/>
                      </a:extLst>
                    </a:blip>
                    <a:srcRect/>
                    <a:stretch>
                      <a:fillRect/>
                    </a:stretch>
                  </pic:blipFill>
                  <pic:spPr bwMode="auto">
                    <a:xfrm>
                      <a:off x="0" y="0"/>
                      <a:ext cx="4465955" cy="28575"/>
                    </a:xfrm>
                    <a:prstGeom prst="rect">
                      <a:avLst/>
                    </a:prstGeom>
                    <a:noFill/>
                  </pic:spPr>
                </pic:pic>
              </a:graphicData>
            </a:graphic>
          </wp:anchor>
        </w:drawing>
        <w:drawing>
          <wp:anchor simplePos="0" relativeHeight="251657728" behindDoc="1" locked="0" layoutInCell="0" allowOverlap="1">
            <wp:simplePos x="0" y="0"/>
            <wp:positionH relativeFrom="column">
              <wp:posOffset>1497965</wp:posOffset>
            </wp:positionH>
            <wp:positionV relativeFrom="paragraph">
              <wp:posOffset>-1310640</wp:posOffset>
            </wp:positionV>
            <wp:extent cx="4465955" cy="63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4">
                      <a:extLst>
                        <a:ext uri="{28A0092B-C50C-407E-A947-70E740481C1C}"/>
                      </a:extLst>
                    </a:blip>
                    <a:srcRect/>
                    <a:stretch>
                      <a:fillRect/>
                    </a:stretch>
                  </pic:blipFill>
                  <pic:spPr bwMode="auto">
                    <a:xfrm>
                      <a:off x="0" y="0"/>
                      <a:ext cx="4465955" cy="6350"/>
                    </a:xfrm>
                    <a:prstGeom prst="rect">
                      <a:avLst/>
                    </a:prstGeom>
                    <a:noFill/>
                  </pic:spPr>
                </pic:pic>
              </a:graphicData>
            </a:graphic>
          </wp:anchor>
        </w:drawing>
        <w:drawing>
          <wp:anchor simplePos="0" relativeHeight="251657728" behindDoc="1" locked="0" layoutInCell="0" allowOverlap="1">
            <wp:simplePos x="0" y="0"/>
            <wp:positionH relativeFrom="column">
              <wp:posOffset>1497965</wp:posOffset>
            </wp:positionH>
            <wp:positionV relativeFrom="paragraph">
              <wp:posOffset>-1113790</wp:posOffset>
            </wp:positionV>
            <wp:extent cx="4465955" cy="285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5">
                      <a:extLst>
                        <a:ext uri="{28A0092B-C50C-407E-A947-70E740481C1C}"/>
                      </a:extLst>
                    </a:blip>
                    <a:srcRect/>
                    <a:stretch>
                      <a:fillRect/>
                    </a:stretch>
                  </pic:blipFill>
                  <pic:spPr bwMode="auto">
                    <a:xfrm>
                      <a:off x="0" y="0"/>
                      <a:ext cx="4465955" cy="28575"/>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15</w:t>
      </w:r>
    </w:p>
    <w:p>
      <w:pPr>
        <w:sectPr>
          <w:pgSz w:w="11900" w:h="16838" w:orient="portrait"/>
          <w:cols w:equalWidth="0" w:num="1">
            <w:col w:w="9400"/>
          </w:cols>
          <w:pgMar w:left="1260" w:top="1133" w:right="1246" w:bottom="0" w:gutter="0" w:footer="0" w:header="0"/>
          <w:type w:val="continuous"/>
        </w:sectPr>
      </w:pPr>
    </w:p>
    <w:bookmarkStart w:id="235" w:name="page236"/>
    <w:bookmarkEnd w:id="235"/>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The fair values of our Other plan assets by asset category at December 31, 2025 and 2024 are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20" w:type="dxa"/>
            <w:vAlign w:val="bottom"/>
            <w:gridSpan w:val="2"/>
          </w:tcPr>
          <w:p>
            <w:pPr>
              <w:ind w:left="240"/>
              <w:spacing w:after="0"/>
              <w:rPr>
                <w:sz w:val="20"/>
                <w:szCs w:val="20"/>
                <w:color w:val="auto"/>
              </w:rPr>
            </w:pPr>
            <w:r>
              <w:rPr>
                <w:rFonts w:ascii="Arial" w:cs="Arial" w:eastAsia="Arial" w:hAnsi="Arial"/>
                <w:sz w:val="16"/>
                <w:szCs w:val="16"/>
                <w:b w:val="1"/>
                <w:bCs w:val="1"/>
                <w:color w:val="auto"/>
              </w:rPr>
              <w:t>December 31, 2025</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2024</w:t>
            </w:r>
          </w:p>
        </w:tc>
        <w:tc>
          <w:tcPr>
            <w:tcW w:w="680" w:type="dxa"/>
            <w:vAlign w:val="bottom"/>
          </w:tcPr>
          <w:p>
            <w:pPr>
              <w:spacing w:after="0"/>
              <w:rPr>
                <w:sz w:val="16"/>
                <w:szCs w:val="16"/>
                <w:color w:val="auto"/>
              </w:rPr>
            </w:pPr>
          </w:p>
        </w:tc>
      </w:tr>
      <w:tr>
        <w:trPr>
          <w:trHeight w:val="264"/>
        </w:trPr>
        <w:tc>
          <w:tcPr>
            <w:tcW w:w="2200" w:type="dxa"/>
            <w:vAlign w:val="bottom"/>
          </w:tcPr>
          <w:p>
            <w:pPr>
              <w:spacing w:after="0"/>
              <w:rPr>
                <w:sz w:val="22"/>
                <w:szCs w:val="22"/>
                <w:color w:val="auto"/>
              </w:rPr>
            </w:pPr>
          </w:p>
        </w:tc>
        <w:tc>
          <w:tcPr>
            <w:tcW w:w="920" w:type="dxa"/>
            <w:vAlign w:val="bottom"/>
          </w:tcPr>
          <w:p>
            <w:pPr>
              <w:jc w:val="right"/>
              <w:ind w:right="135"/>
              <w:spacing w:after="0"/>
              <w:rPr>
                <w:sz w:val="20"/>
                <w:szCs w:val="20"/>
                <w:color w:val="auto"/>
              </w:rPr>
            </w:pPr>
            <w:r>
              <w:rPr>
                <w:rFonts w:ascii="Arial" w:cs="Arial" w:eastAsia="Arial" w:hAnsi="Arial"/>
                <w:sz w:val="16"/>
                <w:szCs w:val="16"/>
                <w:b w:val="1"/>
                <w:bCs w:val="1"/>
                <w:color w:val="auto"/>
              </w:rPr>
              <w:t>Level 1</w:t>
            </w:r>
          </w:p>
        </w:tc>
        <w:tc>
          <w:tcPr>
            <w:tcW w:w="1100" w:type="dxa"/>
            <w:vAlign w:val="bottom"/>
          </w:tcPr>
          <w:p>
            <w:pPr>
              <w:ind w:left="200"/>
              <w:spacing w:after="0"/>
              <w:rPr>
                <w:sz w:val="20"/>
                <w:szCs w:val="20"/>
                <w:color w:val="auto"/>
              </w:rPr>
            </w:pPr>
            <w:r>
              <w:rPr>
                <w:rFonts w:ascii="Arial" w:cs="Arial" w:eastAsia="Arial" w:hAnsi="Arial"/>
                <w:sz w:val="16"/>
                <w:szCs w:val="16"/>
                <w:b w:val="1"/>
                <w:bCs w:val="1"/>
                <w:color w:val="auto"/>
              </w:rPr>
              <w:t>Level 2</w:t>
            </w:r>
          </w:p>
        </w:tc>
        <w:tc>
          <w:tcPr>
            <w:tcW w:w="920" w:type="dxa"/>
            <w:vAlign w:val="bottom"/>
          </w:tcPr>
          <w:p>
            <w:pPr>
              <w:spacing w:after="0"/>
              <w:rPr>
                <w:sz w:val="20"/>
                <w:szCs w:val="20"/>
                <w:color w:val="auto"/>
              </w:rPr>
            </w:pPr>
            <w:r>
              <w:rPr>
                <w:rFonts w:ascii="Arial" w:cs="Arial" w:eastAsia="Arial" w:hAnsi="Arial"/>
                <w:sz w:val="16"/>
                <w:szCs w:val="16"/>
                <w:b w:val="1"/>
                <w:bCs w:val="1"/>
                <w:color w:val="auto"/>
              </w:rPr>
              <w:t>Level 3</w:t>
            </w:r>
          </w:p>
        </w:tc>
        <w:tc>
          <w:tcPr>
            <w:tcW w:w="660" w:type="dxa"/>
            <w:vAlign w:val="bottom"/>
          </w:tcPr>
          <w:p>
            <w:pPr>
              <w:jc w:val="right"/>
              <w:ind w:right="163"/>
              <w:spacing w:after="0"/>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22"/>
                <w:szCs w:val="22"/>
                <w:color w:val="auto"/>
              </w:rPr>
            </w:pPr>
          </w:p>
        </w:tc>
        <w:tc>
          <w:tcPr>
            <w:tcW w:w="700" w:type="dxa"/>
            <w:vAlign w:val="bottom"/>
          </w:tcPr>
          <w:p>
            <w:pPr>
              <w:jc w:val="right"/>
              <w:ind w:right="103"/>
              <w:spacing w:after="0"/>
              <w:rPr>
                <w:sz w:val="20"/>
                <w:szCs w:val="20"/>
                <w:color w:val="auto"/>
              </w:rPr>
            </w:pPr>
            <w:r>
              <w:rPr>
                <w:rFonts w:ascii="Arial" w:cs="Arial" w:eastAsia="Arial" w:hAnsi="Arial"/>
                <w:sz w:val="16"/>
                <w:szCs w:val="16"/>
                <w:b w:val="1"/>
                <w:bCs w:val="1"/>
                <w:color w:val="auto"/>
                <w:w w:val="88"/>
              </w:rPr>
              <w:t>Level 1</w:t>
            </w:r>
          </w:p>
        </w:tc>
        <w:tc>
          <w:tcPr>
            <w:tcW w:w="20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Arial" w:cs="Arial" w:eastAsia="Arial" w:hAnsi="Arial"/>
                <w:sz w:val="16"/>
                <w:szCs w:val="16"/>
                <w:b w:val="1"/>
                <w:bCs w:val="1"/>
                <w:color w:val="auto"/>
              </w:rPr>
              <w:t>Level 2</w:t>
            </w:r>
          </w:p>
        </w:tc>
        <w:tc>
          <w:tcPr>
            <w:tcW w:w="900" w:type="dxa"/>
            <w:vAlign w:val="bottom"/>
          </w:tcPr>
          <w:p>
            <w:pPr>
              <w:spacing w:after="0"/>
              <w:rPr>
                <w:sz w:val="20"/>
                <w:szCs w:val="20"/>
                <w:color w:val="auto"/>
              </w:rPr>
            </w:pPr>
            <w:r>
              <w:rPr>
                <w:rFonts w:ascii="Arial" w:cs="Arial" w:eastAsia="Arial" w:hAnsi="Arial"/>
                <w:sz w:val="16"/>
                <w:szCs w:val="16"/>
                <w:b w:val="1"/>
                <w:bCs w:val="1"/>
                <w:color w:val="auto"/>
              </w:rPr>
              <w:t>Level 3</w:t>
            </w:r>
          </w:p>
        </w:tc>
        <w:tc>
          <w:tcPr>
            <w:tcW w:w="680" w:type="dxa"/>
            <w:vAlign w:val="bottom"/>
          </w:tcPr>
          <w:p>
            <w:pPr>
              <w:jc w:val="right"/>
              <w:ind w:right="184"/>
              <w:spacing w:after="0"/>
              <w:rPr>
                <w:sz w:val="20"/>
                <w:szCs w:val="20"/>
                <w:color w:val="auto"/>
              </w:rPr>
            </w:pPr>
            <w:r>
              <w:rPr>
                <w:rFonts w:ascii="Arial" w:cs="Arial" w:eastAsia="Arial" w:hAnsi="Arial"/>
                <w:sz w:val="16"/>
                <w:szCs w:val="16"/>
                <w:b w:val="1"/>
                <w:bCs w:val="1"/>
                <w:color w:val="auto"/>
                <w:w w:val="99"/>
              </w:rPr>
              <w:t>Total</w:t>
            </w:r>
          </w:p>
        </w:tc>
      </w:tr>
      <w:tr>
        <w:trPr>
          <w:trHeight w:val="316"/>
        </w:trPr>
        <w:tc>
          <w:tcPr>
            <w:tcW w:w="2200" w:type="dxa"/>
            <w:vAlign w:val="bottom"/>
          </w:tcPr>
          <w:p>
            <w:pPr>
              <w:spacing w:after="0"/>
              <w:rPr>
                <w:sz w:val="20"/>
                <w:szCs w:val="20"/>
                <w:color w:val="auto"/>
              </w:rPr>
            </w:pPr>
            <w:r>
              <w:rPr>
                <w:rFonts w:ascii="Arial" w:cs="Arial" w:eastAsia="Arial" w:hAnsi="Arial"/>
                <w:sz w:val="20"/>
                <w:szCs w:val="20"/>
                <w:b w:val="1"/>
                <w:bCs w:val="1"/>
                <w:color w:val="auto"/>
              </w:rPr>
              <w:t>Asset category:</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1"/>
        </w:trPr>
        <w:tc>
          <w:tcPr>
            <w:tcW w:w="2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94"/>
        </w:trPr>
        <w:tc>
          <w:tcPr>
            <w:tcW w:w="2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Cash</w:t>
            </w:r>
          </w:p>
        </w:tc>
        <w:tc>
          <w:tcPr>
            <w:tcW w:w="9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20"/>
                <w:szCs w:val="20"/>
                <w:color w:val="auto"/>
                <w:w w:val="89"/>
              </w:rPr>
              <w:t>$4</w:t>
            </w:r>
          </w:p>
        </w:tc>
        <w:tc>
          <w:tcPr>
            <w:tcW w:w="11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  $</w:t>
            </w:r>
          </w:p>
        </w:tc>
        <w:tc>
          <w:tcPr>
            <w:tcW w:w="9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  $</w:t>
            </w:r>
          </w:p>
        </w:tc>
        <w:tc>
          <w:tcPr>
            <w:tcW w:w="66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4</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1</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right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  $</w:t>
            </w:r>
          </w:p>
        </w:tc>
        <w:tc>
          <w:tcPr>
            <w:tcW w:w="9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  $</w:t>
            </w:r>
          </w:p>
        </w:tc>
        <w:tc>
          <w:tcPr>
            <w:tcW w:w="6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20"/>
                <w:szCs w:val="20"/>
                <w:color w:val="auto"/>
              </w:rPr>
              <w:t>1</w:t>
            </w:r>
          </w:p>
        </w:tc>
      </w:tr>
      <w:tr>
        <w:trPr>
          <w:trHeight w:val="274"/>
        </w:trPr>
        <w:tc>
          <w:tcPr>
            <w:tcW w:w="2200" w:type="dxa"/>
            <w:vAlign w:val="bottom"/>
          </w:tcPr>
          <w:p>
            <w:pPr>
              <w:spacing w:after="0"/>
              <w:rPr>
                <w:sz w:val="20"/>
                <w:szCs w:val="20"/>
                <w:color w:val="auto"/>
              </w:rPr>
            </w:pPr>
            <w:r>
              <w:rPr>
                <w:rFonts w:ascii="Arial" w:cs="Arial" w:eastAsia="Arial" w:hAnsi="Arial"/>
                <w:sz w:val="20"/>
                <w:szCs w:val="20"/>
                <w:color w:val="auto"/>
                <w:w w:val="94"/>
              </w:rPr>
              <w:t>Pooled/commingled funds</w:t>
            </w:r>
          </w:p>
        </w:tc>
        <w:tc>
          <w:tcPr>
            <w:tcW w:w="920" w:type="dxa"/>
            <w:vAlign w:val="bottom"/>
          </w:tcPr>
          <w:p>
            <w:pPr>
              <w:jc w:val="right"/>
              <w:ind w:right="15"/>
              <w:spacing w:after="0"/>
              <w:rPr>
                <w:sz w:val="20"/>
                <w:szCs w:val="20"/>
                <w:color w:val="auto"/>
              </w:rPr>
            </w:pPr>
            <w:r>
              <w:rPr>
                <w:rFonts w:ascii="Arial" w:cs="Arial" w:eastAsia="Arial" w:hAnsi="Arial"/>
                <w:sz w:val="20"/>
                <w:szCs w:val="20"/>
                <w:color w:val="auto"/>
              </w:rPr>
              <w:t>—</w:t>
            </w:r>
          </w:p>
        </w:tc>
        <w:tc>
          <w:tcPr>
            <w:tcW w:w="1100" w:type="dxa"/>
            <w:vAlign w:val="bottom"/>
          </w:tcPr>
          <w:p>
            <w:pPr>
              <w:ind w:left="600"/>
              <w:spacing w:after="0"/>
              <w:rPr>
                <w:sz w:val="20"/>
                <w:szCs w:val="20"/>
                <w:color w:val="auto"/>
              </w:rPr>
            </w:pPr>
            <w:r>
              <w:rPr>
                <w:rFonts w:ascii="Arial" w:cs="Arial" w:eastAsia="Arial" w:hAnsi="Arial"/>
                <w:sz w:val="20"/>
                <w:szCs w:val="20"/>
                <w:color w:val="auto"/>
              </w:rPr>
              <w:t>—</w:t>
            </w:r>
          </w:p>
        </w:tc>
        <w:tc>
          <w:tcPr>
            <w:tcW w:w="920" w:type="dxa"/>
            <w:vAlign w:val="bottom"/>
          </w:tcPr>
          <w:p>
            <w:pPr>
              <w:ind w:left="400"/>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3"/>
              <w:spacing w:after="0"/>
              <w:rPr>
                <w:sz w:val="20"/>
                <w:szCs w:val="20"/>
                <w:color w:val="auto"/>
              </w:rPr>
            </w:pPr>
            <w:r>
              <w:rPr>
                <w:rFonts w:ascii="Arial" w:cs="Arial" w:eastAsia="Arial" w:hAnsi="Arial"/>
                <w:sz w:val="20"/>
                <w:szCs w:val="20"/>
                <w:color w:val="auto"/>
              </w:rPr>
              <w:t>624</w:t>
            </w:r>
          </w:p>
        </w:tc>
        <w:tc>
          <w:tcPr>
            <w:tcW w:w="200" w:type="dxa"/>
            <w:vAlign w:val="bottom"/>
          </w:tcPr>
          <w:p>
            <w:pPr>
              <w:spacing w:after="0"/>
              <w:rPr>
                <w:sz w:val="23"/>
                <w:szCs w:val="23"/>
                <w:color w:val="auto"/>
              </w:rPr>
            </w:pPr>
          </w:p>
        </w:tc>
        <w:tc>
          <w:tcPr>
            <w:tcW w:w="70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920" w:type="dxa"/>
            <w:vAlign w:val="bottom"/>
          </w:tcPr>
          <w:p>
            <w:pPr>
              <w:ind w:left="400"/>
              <w:spacing w:after="0"/>
              <w:rPr>
                <w:sz w:val="20"/>
                <w:szCs w:val="20"/>
                <w:color w:val="auto"/>
              </w:rPr>
            </w:pPr>
            <w:r>
              <w:rPr>
                <w:rFonts w:ascii="Arial" w:cs="Arial" w:eastAsia="Arial" w:hAnsi="Arial"/>
                <w:sz w:val="20"/>
                <w:szCs w:val="20"/>
                <w:color w:val="auto"/>
              </w:rPr>
              <w:t>—</w:t>
            </w:r>
          </w:p>
        </w:tc>
        <w:tc>
          <w:tcPr>
            <w:tcW w:w="900" w:type="dxa"/>
            <w:vAlign w:val="bottom"/>
          </w:tcPr>
          <w:p>
            <w:pPr>
              <w:ind w:left="380"/>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24"/>
              <w:spacing w:after="0"/>
              <w:rPr>
                <w:sz w:val="20"/>
                <w:szCs w:val="20"/>
                <w:color w:val="auto"/>
              </w:rPr>
            </w:pPr>
            <w:r>
              <w:rPr>
                <w:rFonts w:ascii="Arial" w:cs="Arial" w:eastAsia="Arial" w:hAnsi="Arial"/>
                <w:sz w:val="20"/>
                <w:szCs w:val="20"/>
                <w:color w:val="auto"/>
              </w:rPr>
              <w:t>569</w:t>
            </w:r>
          </w:p>
        </w:tc>
      </w:tr>
      <w:tr>
        <w:trPr>
          <w:trHeight w:val="41"/>
        </w:trPr>
        <w:tc>
          <w:tcPr>
            <w:tcW w:w="2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94"/>
        </w:trPr>
        <w:tc>
          <w:tcPr>
            <w:tcW w:w="2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Private equity</w:t>
            </w:r>
          </w:p>
        </w:tc>
        <w:tc>
          <w:tcPr>
            <w:tcW w:w="9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ind w:left="60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w:t>
            </w:r>
          </w:p>
        </w:tc>
        <w:tc>
          <w:tcPr>
            <w:tcW w:w="66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19</w:t>
            </w:r>
          </w:p>
        </w:tc>
        <w:tc>
          <w:tcPr>
            <w:tcW w:w="20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right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w:t>
            </w:r>
          </w:p>
        </w:tc>
        <w:tc>
          <w:tcPr>
            <w:tcW w:w="68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20"/>
                <w:szCs w:val="20"/>
                <w:color w:val="auto"/>
              </w:rPr>
              <w:t>18</w:t>
            </w:r>
          </w:p>
        </w:tc>
      </w:tr>
      <w:tr>
        <w:trPr>
          <w:trHeight w:val="274"/>
        </w:trPr>
        <w:tc>
          <w:tcPr>
            <w:tcW w:w="2200" w:type="dxa"/>
            <w:vAlign w:val="bottom"/>
          </w:tcPr>
          <w:p>
            <w:pPr>
              <w:spacing w:after="0"/>
              <w:rPr>
                <w:sz w:val="20"/>
                <w:szCs w:val="20"/>
                <w:color w:val="auto"/>
              </w:rPr>
            </w:pPr>
            <w:r>
              <w:rPr>
                <w:rFonts w:ascii="Arial" w:cs="Arial" w:eastAsia="Arial" w:hAnsi="Arial"/>
                <w:sz w:val="20"/>
                <w:szCs w:val="20"/>
                <w:color w:val="auto"/>
              </w:rPr>
              <w:t>Hedge funds</w:t>
            </w:r>
          </w:p>
        </w:tc>
        <w:tc>
          <w:tcPr>
            <w:tcW w:w="920" w:type="dxa"/>
            <w:vAlign w:val="bottom"/>
          </w:tcPr>
          <w:p>
            <w:pPr>
              <w:jc w:val="right"/>
              <w:ind w:right="15"/>
              <w:spacing w:after="0"/>
              <w:rPr>
                <w:sz w:val="20"/>
                <w:szCs w:val="20"/>
                <w:color w:val="auto"/>
              </w:rPr>
            </w:pPr>
            <w:r>
              <w:rPr>
                <w:rFonts w:ascii="Arial" w:cs="Arial" w:eastAsia="Arial" w:hAnsi="Arial"/>
                <w:sz w:val="20"/>
                <w:szCs w:val="20"/>
                <w:color w:val="auto"/>
              </w:rPr>
              <w:t>—</w:t>
            </w:r>
          </w:p>
        </w:tc>
        <w:tc>
          <w:tcPr>
            <w:tcW w:w="1100" w:type="dxa"/>
            <w:vAlign w:val="bottom"/>
          </w:tcPr>
          <w:p>
            <w:pPr>
              <w:ind w:left="600"/>
              <w:spacing w:after="0"/>
              <w:rPr>
                <w:sz w:val="20"/>
                <w:szCs w:val="20"/>
                <w:color w:val="auto"/>
              </w:rPr>
            </w:pPr>
            <w:r>
              <w:rPr>
                <w:rFonts w:ascii="Arial" w:cs="Arial" w:eastAsia="Arial" w:hAnsi="Arial"/>
                <w:sz w:val="20"/>
                <w:szCs w:val="20"/>
                <w:color w:val="auto"/>
              </w:rPr>
              <w:t>—</w:t>
            </w:r>
          </w:p>
        </w:tc>
        <w:tc>
          <w:tcPr>
            <w:tcW w:w="920" w:type="dxa"/>
            <w:vAlign w:val="bottom"/>
          </w:tcPr>
          <w:p>
            <w:pPr>
              <w:ind w:left="400"/>
              <w:spacing w:after="0"/>
              <w:rPr>
                <w:sz w:val="20"/>
                <w:szCs w:val="20"/>
                <w:color w:val="auto"/>
              </w:rPr>
            </w:pPr>
            <w:r>
              <w:rPr>
                <w:rFonts w:ascii="Arial" w:cs="Arial" w:eastAsia="Arial" w:hAnsi="Arial"/>
                <w:sz w:val="20"/>
                <w:szCs w:val="20"/>
                <w:color w:val="auto"/>
              </w:rPr>
              <w:t>—</w:t>
            </w:r>
          </w:p>
        </w:tc>
        <w:tc>
          <w:tcPr>
            <w:tcW w:w="660" w:type="dxa"/>
            <w:vAlign w:val="bottom"/>
          </w:tcPr>
          <w:p>
            <w:pPr>
              <w:jc w:val="right"/>
              <w:ind w:right="3"/>
              <w:spacing w:after="0"/>
              <w:rPr>
                <w:sz w:val="20"/>
                <w:szCs w:val="20"/>
                <w:color w:val="auto"/>
              </w:rPr>
            </w:pPr>
            <w:r>
              <w:rPr>
                <w:rFonts w:ascii="Arial" w:cs="Arial" w:eastAsia="Arial" w:hAnsi="Arial"/>
                <w:sz w:val="20"/>
                <w:szCs w:val="20"/>
                <w:color w:val="auto"/>
              </w:rPr>
              <w:t>27</w:t>
            </w:r>
          </w:p>
        </w:tc>
        <w:tc>
          <w:tcPr>
            <w:tcW w:w="200" w:type="dxa"/>
            <w:vAlign w:val="bottom"/>
          </w:tcPr>
          <w:p>
            <w:pPr>
              <w:spacing w:after="0"/>
              <w:rPr>
                <w:sz w:val="23"/>
                <w:szCs w:val="23"/>
                <w:color w:val="auto"/>
              </w:rPr>
            </w:pPr>
          </w:p>
        </w:tc>
        <w:tc>
          <w:tcPr>
            <w:tcW w:w="700" w:type="dxa"/>
            <w:vAlign w:val="bottom"/>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3"/>
                <w:szCs w:val="23"/>
                <w:color w:val="auto"/>
              </w:rPr>
            </w:pPr>
          </w:p>
        </w:tc>
        <w:tc>
          <w:tcPr>
            <w:tcW w:w="920" w:type="dxa"/>
            <w:vAlign w:val="bottom"/>
          </w:tcPr>
          <w:p>
            <w:pPr>
              <w:ind w:left="400"/>
              <w:spacing w:after="0"/>
              <w:rPr>
                <w:sz w:val="20"/>
                <w:szCs w:val="20"/>
                <w:color w:val="auto"/>
              </w:rPr>
            </w:pPr>
            <w:r>
              <w:rPr>
                <w:rFonts w:ascii="Arial" w:cs="Arial" w:eastAsia="Arial" w:hAnsi="Arial"/>
                <w:sz w:val="20"/>
                <w:szCs w:val="20"/>
                <w:color w:val="auto"/>
              </w:rPr>
              <w:t>—</w:t>
            </w:r>
          </w:p>
        </w:tc>
        <w:tc>
          <w:tcPr>
            <w:tcW w:w="900" w:type="dxa"/>
            <w:vAlign w:val="bottom"/>
          </w:tcPr>
          <w:p>
            <w:pPr>
              <w:ind w:left="380"/>
              <w:spacing w:after="0"/>
              <w:rPr>
                <w:sz w:val="20"/>
                <w:szCs w:val="20"/>
                <w:color w:val="auto"/>
              </w:rPr>
            </w:pPr>
            <w:r>
              <w:rPr>
                <w:rFonts w:ascii="Arial" w:cs="Arial" w:eastAsia="Arial" w:hAnsi="Arial"/>
                <w:sz w:val="20"/>
                <w:szCs w:val="20"/>
                <w:color w:val="auto"/>
              </w:rPr>
              <w:t>—</w:t>
            </w:r>
          </w:p>
        </w:tc>
        <w:tc>
          <w:tcPr>
            <w:tcW w:w="680" w:type="dxa"/>
            <w:vAlign w:val="bottom"/>
          </w:tcPr>
          <w:p>
            <w:pPr>
              <w:jc w:val="right"/>
              <w:ind w:right="24"/>
              <w:spacing w:after="0"/>
              <w:rPr>
                <w:sz w:val="20"/>
                <w:szCs w:val="20"/>
                <w:color w:val="auto"/>
              </w:rPr>
            </w:pPr>
            <w:r>
              <w:rPr>
                <w:rFonts w:ascii="Arial" w:cs="Arial" w:eastAsia="Arial" w:hAnsi="Arial"/>
                <w:sz w:val="20"/>
                <w:szCs w:val="20"/>
                <w:color w:val="auto"/>
              </w:rPr>
              <w:t>25</w:t>
            </w:r>
          </w:p>
        </w:tc>
      </w:tr>
      <w:tr>
        <w:trPr>
          <w:trHeight w:val="41"/>
        </w:trPr>
        <w:tc>
          <w:tcPr>
            <w:tcW w:w="2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74"/>
        </w:trPr>
        <w:tc>
          <w:tcPr>
            <w:tcW w:w="2200" w:type="dxa"/>
            <w:vAlign w:val="bottom"/>
            <w:shd w:val="clear" w:color="auto" w:fill="CFF0FC"/>
          </w:tcPr>
          <w:p>
            <w:pPr>
              <w:spacing w:after="0"/>
              <w:rPr>
                <w:sz w:val="20"/>
                <w:szCs w:val="20"/>
                <w:color w:val="auto"/>
              </w:rPr>
            </w:pPr>
            <w:r>
              <w:rPr>
                <w:rFonts w:ascii="Arial" w:cs="Arial" w:eastAsia="Arial" w:hAnsi="Arial"/>
                <w:sz w:val="20"/>
                <w:szCs w:val="20"/>
                <w:color w:val="auto"/>
              </w:rPr>
              <w:t>Real estate</w:t>
            </w: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ind w:left="60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ind w:left="400"/>
              <w:spacing w:after="0"/>
              <w:rPr>
                <w:sz w:val="20"/>
                <w:szCs w:val="20"/>
                <w:color w:val="auto"/>
              </w:rPr>
            </w:pPr>
            <w:r>
              <w:rPr>
                <w:rFonts w:ascii="Arial" w:cs="Arial" w:eastAsia="Arial" w:hAnsi="Arial"/>
                <w:sz w:val="20"/>
                <w:szCs w:val="20"/>
                <w:color w:val="auto"/>
              </w:rPr>
              <w:t>—</w:t>
            </w:r>
          </w:p>
        </w:tc>
        <w:tc>
          <w:tcPr>
            <w:tcW w:w="660" w:type="dxa"/>
            <w:vAlign w:val="bottom"/>
            <w:shd w:val="clear" w:color="auto" w:fill="CFF0FC"/>
          </w:tcPr>
          <w:p>
            <w:pPr>
              <w:jc w:val="right"/>
              <w:ind w:right="3"/>
              <w:spacing w:after="0"/>
              <w:rPr>
                <w:sz w:val="20"/>
                <w:szCs w:val="20"/>
                <w:color w:val="auto"/>
              </w:rPr>
            </w:pPr>
            <w:r>
              <w:rPr>
                <w:rFonts w:ascii="Arial" w:cs="Arial" w:eastAsia="Arial" w:hAnsi="Arial"/>
                <w:sz w:val="20"/>
                <w:szCs w:val="20"/>
                <w:color w:val="auto"/>
              </w:rPr>
              <w:t>19</w:t>
            </w:r>
          </w:p>
        </w:tc>
        <w:tc>
          <w:tcPr>
            <w:tcW w:w="200" w:type="dxa"/>
            <w:vAlign w:val="bottom"/>
            <w:shd w:val="clear" w:color="auto" w:fill="CFF0FC"/>
          </w:tcPr>
          <w:p>
            <w:pPr>
              <w:spacing w:after="0"/>
              <w:rPr>
                <w:sz w:val="23"/>
                <w:szCs w:val="23"/>
                <w:color w:val="auto"/>
              </w:rPr>
            </w:pPr>
          </w:p>
        </w:tc>
        <w:tc>
          <w:tcPr>
            <w:tcW w:w="700" w:type="dxa"/>
            <w:vAlign w:val="bottom"/>
            <w:shd w:val="clear" w:color="auto" w:fill="CFF0FC"/>
          </w:tcPr>
          <w:p>
            <w:pPr>
              <w:jc w:val="right"/>
              <w:ind w:right="3"/>
              <w:spacing w:after="0"/>
              <w:rPr>
                <w:sz w:val="20"/>
                <w:szCs w:val="20"/>
                <w:color w:val="auto"/>
              </w:rPr>
            </w:pPr>
            <w:r>
              <w:rPr>
                <w:rFonts w:ascii="Arial" w:cs="Arial" w:eastAsia="Arial" w:hAnsi="Arial"/>
                <w:sz w:val="20"/>
                <w:szCs w:val="20"/>
                <w:color w:val="auto"/>
              </w:rPr>
              <w:t>—</w:t>
            </w:r>
          </w:p>
        </w:tc>
        <w:tc>
          <w:tcPr>
            <w:tcW w:w="200" w:type="dxa"/>
            <w:vAlign w:val="bottom"/>
            <w:shd w:val="clear" w:color="auto" w:fill="CFF0FC"/>
          </w:tcPr>
          <w:p>
            <w:pPr>
              <w:spacing w:after="0"/>
              <w:rPr>
                <w:sz w:val="23"/>
                <w:szCs w:val="23"/>
                <w:color w:val="auto"/>
              </w:rPr>
            </w:pPr>
          </w:p>
        </w:tc>
        <w:tc>
          <w:tcPr>
            <w:tcW w:w="920" w:type="dxa"/>
            <w:vAlign w:val="bottom"/>
            <w:tcBorders>
              <w:right w:val="single" w:sz="8" w:color="CFF0FC"/>
            </w:tcBorders>
            <w:shd w:val="clear" w:color="auto" w:fill="CFF0FC"/>
          </w:tcPr>
          <w:p>
            <w:pPr>
              <w:ind w:left="400"/>
              <w:spacing w:after="0"/>
              <w:rPr>
                <w:sz w:val="20"/>
                <w:szCs w:val="20"/>
                <w:color w:val="auto"/>
              </w:rPr>
            </w:pPr>
            <w:r>
              <w:rPr>
                <w:rFonts w:ascii="Arial" w:cs="Arial" w:eastAsia="Arial" w:hAnsi="Arial"/>
                <w:sz w:val="20"/>
                <w:szCs w:val="20"/>
                <w:color w:val="auto"/>
              </w:rPr>
              <w:t>—</w:t>
            </w: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41"/>
        </w:trPr>
        <w:tc>
          <w:tcPr>
            <w:tcW w:w="220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700" w:type="dxa"/>
            <w:vAlign w:val="bottom"/>
            <w:shd w:val="clear" w:color="auto" w:fill="CFF0FC"/>
          </w:tcPr>
          <w:p>
            <w:pPr>
              <w:spacing w:after="0"/>
              <w:rPr>
                <w:sz w:val="3"/>
                <w:szCs w:val="3"/>
                <w:color w:val="auto"/>
              </w:rPr>
            </w:pPr>
          </w:p>
        </w:tc>
        <w:tc>
          <w:tcPr>
            <w:tcW w:w="200" w:type="dxa"/>
            <w:vAlign w:val="bottom"/>
            <w:shd w:val="clear" w:color="auto" w:fill="CFF0FC"/>
          </w:tcPr>
          <w:p>
            <w:pPr>
              <w:spacing w:after="0"/>
              <w:rPr>
                <w:sz w:val="3"/>
                <w:szCs w:val="3"/>
                <w:color w:val="auto"/>
              </w:rPr>
            </w:pPr>
          </w:p>
        </w:tc>
        <w:tc>
          <w:tcPr>
            <w:tcW w:w="920" w:type="dxa"/>
            <w:vAlign w:val="bottom"/>
            <w:tcBorders>
              <w:right w:val="single" w:sz="8" w:color="CFF0FC"/>
            </w:tcBorders>
            <w:shd w:val="clear" w:color="auto" w:fill="CFF0FC"/>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1468120</wp:posOffset>
            </wp:positionH>
            <wp:positionV relativeFrom="paragraph">
              <wp:posOffset>-1371600</wp:posOffset>
            </wp:positionV>
            <wp:extent cx="4495800" cy="63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6">
                      <a:extLst>
                        <a:ext uri="{28A0092B-C50C-407E-A947-70E740481C1C}"/>
                      </a:extLst>
                    </a:blip>
                    <a:srcRect/>
                    <a:stretch>
                      <a:fillRect/>
                    </a:stretch>
                  </pic:blipFill>
                  <pic:spPr bwMode="auto">
                    <a:xfrm>
                      <a:off x="0" y="0"/>
                      <a:ext cx="4495800" cy="6350"/>
                    </a:xfrm>
                    <a:prstGeom prst="rect">
                      <a:avLst/>
                    </a:prstGeom>
                    <a:noFill/>
                  </pic:spPr>
                </pic:pic>
              </a:graphicData>
            </a:graphic>
          </wp:anchor>
        </w:drawing>
        <w:drawing>
          <wp:anchor simplePos="0" relativeHeight="251657728" behindDoc="1" locked="0" layoutInCell="0" allowOverlap="1">
            <wp:simplePos x="0" y="0"/>
            <wp:positionH relativeFrom="column">
              <wp:posOffset>1468120</wp:posOffset>
            </wp:positionH>
            <wp:positionV relativeFrom="paragraph">
              <wp:posOffset>-1203325</wp:posOffset>
            </wp:positionV>
            <wp:extent cx="4495800" cy="63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7">
                      <a:extLst>
                        <a:ext uri="{28A0092B-C50C-407E-A947-70E740481C1C}"/>
                      </a:extLst>
                    </a:blip>
                    <a:srcRect/>
                    <a:stretch>
                      <a:fillRect/>
                    </a:stretch>
                  </pic:blipFill>
                  <pic:spPr bwMode="auto">
                    <a:xfrm>
                      <a:off x="0" y="0"/>
                      <a:ext cx="449580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15</w:t>
      </w:r>
    </w:p>
    <w:p>
      <w:pPr>
        <w:sectPr>
          <w:pgSz w:w="11900" w:h="16838" w:orient="portrait"/>
          <w:cols w:equalWidth="0" w:num="1">
            <w:col w:w="9400"/>
          </w:cols>
          <w:pgMar w:left="1260" w:top="1440" w:right="1246" w:bottom="0" w:gutter="0" w:footer="0" w:header="0"/>
          <w:type w:val="continuous"/>
        </w:sectPr>
      </w:pPr>
    </w:p>
    <w:bookmarkStart w:id="236" w:name="page237"/>
    <w:bookmarkEnd w:id="236"/>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Insurance contracts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Investment in multiple-</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auto"/>
        </w:rPr>
        <w:t>employer pension plan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400"/>
          </w:cols>
          <w:pgMar w:left="1260" w:top="1283" w:right="1246"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24</w:t>
      </w:r>
    </w:p>
    <w:p>
      <w:pPr>
        <w:sectPr>
          <w:pgSz w:w="11900" w:h="16838" w:orient="portrait"/>
          <w:cols w:equalWidth="0" w:num="1">
            <w:col w:w="9400"/>
          </w:cols>
          <w:pgMar w:left="1260" w:top="1283" w:right="1246" w:bottom="0" w:gutter="0" w:footer="0" w:header="0"/>
          <w:type w:val="continuous"/>
        </w:sectPr>
      </w:pPr>
    </w:p>
    <w:bookmarkStart w:id="237" w:name="page238"/>
    <w:bookmarkEnd w:id="237"/>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50</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assets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759</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24</w:t>
      </w:r>
    </w:p>
    <w:p>
      <w:pPr>
        <w:sectPr>
          <w:pgSz w:w="11900" w:h="16838" w:orient="portrait"/>
          <w:cols w:equalWidth="0" w:num="1">
            <w:col w:w="9400"/>
          </w:cols>
          <w:pgMar w:left="1260" w:top="1440" w:right="1246" w:bottom="0" w:gutter="0" w:footer="0" w:header="0"/>
          <w:type w:val="continuous"/>
        </w:sectPr>
      </w:pPr>
    </w:p>
    <w:bookmarkStart w:id="238" w:name="page239"/>
    <w:bookmarkEnd w:id="238"/>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679</w:t>
      </w:r>
    </w:p>
    <w:p>
      <w:pPr>
        <w:spacing w:after="0" w:line="200" w:lineRule="exact"/>
        <w:rPr>
          <w:sz w:val="20"/>
          <w:szCs w:val="20"/>
          <w:color w:val="auto"/>
        </w:rPr>
      </w:pPr>
    </w:p>
    <w:p>
      <w:pPr>
        <w:spacing w:after="0" w:line="360" w:lineRule="exact"/>
        <w:rPr>
          <w:sz w:val="20"/>
          <w:szCs w:val="20"/>
          <w:color w:val="auto"/>
        </w:rPr>
      </w:pPr>
    </w:p>
    <w:p>
      <w:pPr>
        <w:ind w:right="40"/>
        <w:spacing w:after="0" w:line="307" w:lineRule="auto"/>
        <w:rPr>
          <w:sz w:val="20"/>
          <w:szCs w:val="20"/>
          <w:color w:val="auto"/>
        </w:rPr>
      </w:pPr>
      <w:r>
        <w:rPr>
          <w:rFonts w:ascii="Arial" w:cs="Arial" w:eastAsia="Arial" w:hAnsi="Arial"/>
          <w:sz w:val="20"/>
          <w:szCs w:val="20"/>
          <w:color w:val="auto"/>
        </w:rPr>
        <w:t>We evaluate the need to transfer between levels based upon the nature of the financial instrument and size of the transfer relative to the total net assets of the plans. There were no significant transfers between Levels 1, 2 or 3 in the fiscal years ended December 31, 2025 and 2024.</w:t>
      </w:r>
    </w:p>
    <w:p>
      <w:pPr>
        <w:spacing w:after="0" w:line="197" w:lineRule="exact"/>
        <w:rPr>
          <w:sz w:val="20"/>
          <w:szCs w:val="20"/>
          <w:color w:val="auto"/>
        </w:rPr>
      </w:pPr>
    </w:p>
    <w:p>
      <w:pPr>
        <w:ind w:right="20"/>
        <w:spacing w:after="0" w:line="309" w:lineRule="auto"/>
        <w:rPr>
          <w:sz w:val="20"/>
          <w:szCs w:val="20"/>
          <w:color w:val="auto"/>
        </w:rPr>
      </w:pPr>
      <w:r>
        <w:rPr>
          <w:rFonts w:ascii="Arial" w:cs="Arial" w:eastAsia="Arial" w:hAnsi="Arial"/>
          <w:sz w:val="20"/>
          <w:szCs w:val="20"/>
          <w:color w:val="auto"/>
        </w:rPr>
        <w:t xml:space="preserve">In accordance with ASC Subtopic 820-10, </w:t>
      </w:r>
      <w:r>
        <w:rPr>
          <w:rFonts w:ascii="Arial" w:cs="Arial" w:eastAsia="Arial" w:hAnsi="Arial"/>
          <w:sz w:val="20"/>
          <w:szCs w:val="20"/>
          <w:i w:val="1"/>
          <w:iCs w:val="1"/>
          <w:color w:val="auto"/>
        </w:rPr>
        <w:t>Fair Value Measurement and Disclosures</w:t>
      </w:r>
      <w:r>
        <w:rPr>
          <w:rFonts w:ascii="Arial" w:cs="Arial" w:eastAsia="Arial" w:hAnsi="Arial"/>
          <w:sz w:val="20"/>
          <w:szCs w:val="20"/>
          <w:color w:val="auto"/>
        </w:rPr>
        <w:t>, certain investments that are measured at fair value using the net asset value per share practical expedient have not been classified in the fair value hierarchy. The fair value amounts presented in these tables are intended to permit reconciliation of the fair value hierarchy to the total fair value of plan assets.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description of the valuation methodologies used for investments at fair value:</w:t>
      </w:r>
    </w:p>
    <w:p>
      <w:pPr>
        <w:spacing w:after="0" w:line="260" w:lineRule="exact"/>
        <w:rPr>
          <w:sz w:val="20"/>
          <w:szCs w:val="20"/>
          <w:color w:val="auto"/>
        </w:rPr>
      </w:pPr>
    </w:p>
    <w:p>
      <w:pPr>
        <w:ind w:right="160"/>
        <w:spacing w:after="0" w:line="302" w:lineRule="auto"/>
        <w:rPr>
          <w:sz w:val="20"/>
          <w:szCs w:val="20"/>
          <w:color w:val="auto"/>
        </w:rPr>
      </w:pPr>
      <w:r>
        <w:rPr>
          <w:rFonts w:ascii="Arial" w:cs="Arial" w:eastAsia="Arial" w:hAnsi="Arial"/>
          <w:sz w:val="20"/>
          <w:szCs w:val="20"/>
          <w:i w:val="1"/>
          <w:iCs w:val="1"/>
          <w:color w:val="auto"/>
        </w:rPr>
        <w:t>Short-term securities</w:t>
      </w:r>
      <w:r>
        <w:rPr>
          <w:rFonts w:ascii="Arial" w:cs="Arial" w:eastAsia="Arial" w:hAnsi="Arial"/>
          <w:sz w:val="20"/>
          <w:szCs w:val="20"/>
          <w:color w:val="auto"/>
        </w:rPr>
        <w:t>: Valued at the net value of shares held by the Company at year end as reported by the sponsor</w:t>
      </w:r>
      <w:r>
        <w:rPr>
          <w:rFonts w:ascii="Arial" w:cs="Arial" w:eastAsia="Arial" w:hAnsi="Arial"/>
          <w:sz w:val="20"/>
          <w:szCs w:val="20"/>
          <w:i w:val="1"/>
          <w:iCs w:val="1"/>
          <w:color w:val="auto"/>
        </w:rPr>
        <w:t xml:space="preserve"> </w:t>
      </w:r>
      <w:r>
        <w:rPr>
          <w:rFonts w:ascii="Arial" w:cs="Arial" w:eastAsia="Arial" w:hAnsi="Arial"/>
          <w:sz w:val="20"/>
          <w:szCs w:val="20"/>
          <w:color w:val="auto"/>
        </w:rPr>
        <w:t>of the funds.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Government bonds</w:t>
      </w:r>
      <w:r>
        <w:rPr>
          <w:rFonts w:ascii="Arial" w:cs="Arial" w:eastAsia="Arial" w:hAnsi="Arial"/>
          <w:sz w:val="20"/>
          <w:szCs w:val="20"/>
          <w:color w:val="auto"/>
        </w:rPr>
        <w:t>: Valued at the closing price reported in the active market in which the bond is traded.</w:t>
      </w:r>
    </w:p>
    <w:p>
      <w:pPr>
        <w:spacing w:after="0" w:line="260" w:lineRule="exact"/>
        <w:rPr>
          <w:sz w:val="20"/>
          <w:szCs w:val="20"/>
          <w:color w:val="auto"/>
        </w:rPr>
      </w:pPr>
    </w:p>
    <w:p>
      <w:pPr>
        <w:ind w:right="180"/>
        <w:spacing w:after="0" w:line="363" w:lineRule="auto"/>
        <w:rPr>
          <w:sz w:val="20"/>
          <w:szCs w:val="20"/>
          <w:color w:val="auto"/>
        </w:rPr>
      </w:pPr>
      <w:r>
        <w:rPr>
          <w:rFonts w:ascii="Arial" w:cs="Arial" w:eastAsia="Arial" w:hAnsi="Arial"/>
          <w:sz w:val="18"/>
          <w:szCs w:val="18"/>
          <w:i w:val="1"/>
          <w:iCs w:val="1"/>
          <w:color w:val="auto"/>
        </w:rPr>
        <w:t xml:space="preserve">Corporate bonds: </w:t>
      </w:r>
      <w:r>
        <w:rPr>
          <w:rFonts w:ascii="Arial" w:cs="Arial" w:eastAsia="Arial" w:hAnsi="Arial"/>
          <w:sz w:val="18"/>
          <w:szCs w:val="18"/>
          <w:color w:val="auto"/>
        </w:rPr>
        <w:t>Valued using pricing models maximizing the use of observable inputs for similar securities.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basing values on yields currently available on comparable securities of issuers with similar credit ratings.</w:t>
      </w:r>
    </w:p>
    <w:p>
      <w:pPr>
        <w:spacing w:after="0" w:line="154" w:lineRule="exact"/>
        <w:rPr>
          <w:sz w:val="20"/>
          <w:szCs w:val="20"/>
          <w:color w:val="auto"/>
        </w:rPr>
      </w:pPr>
    </w:p>
    <w:p>
      <w:pPr>
        <w:ind w:right="80"/>
        <w:spacing w:after="0" w:line="302" w:lineRule="auto"/>
        <w:rPr>
          <w:sz w:val="20"/>
          <w:szCs w:val="20"/>
          <w:color w:val="auto"/>
        </w:rPr>
      </w:pPr>
      <w:r>
        <w:rPr>
          <w:rFonts w:ascii="Arial" w:cs="Arial" w:eastAsia="Arial" w:hAnsi="Arial"/>
          <w:sz w:val="20"/>
          <w:szCs w:val="20"/>
          <w:i w:val="1"/>
          <w:iCs w:val="1"/>
          <w:color w:val="auto"/>
        </w:rPr>
        <w:t>Other fixed income</w:t>
      </w:r>
      <w:r>
        <w:rPr>
          <w:rFonts w:ascii="Arial" w:cs="Arial" w:eastAsia="Arial" w:hAnsi="Arial"/>
          <w:sz w:val="20"/>
          <w:szCs w:val="20"/>
          <w:color w:val="auto"/>
        </w:rPr>
        <w:t>: Foreign and municipal bonds are valued using pricing models maximizing the use of observable</w:t>
      </w:r>
      <w:r>
        <w:rPr>
          <w:rFonts w:ascii="Arial" w:cs="Arial" w:eastAsia="Arial" w:hAnsi="Arial"/>
          <w:sz w:val="20"/>
          <w:szCs w:val="20"/>
          <w:i w:val="1"/>
          <w:iCs w:val="1"/>
          <w:color w:val="auto"/>
        </w:rPr>
        <w:t xml:space="preserve"> </w:t>
      </w:r>
      <w:r>
        <w:rPr>
          <w:rFonts w:ascii="Arial" w:cs="Arial" w:eastAsia="Arial" w:hAnsi="Arial"/>
          <w:sz w:val="20"/>
          <w:szCs w:val="20"/>
          <w:color w:val="auto"/>
        </w:rPr>
        <w:t>inputs for similar securities.</w:t>
      </w:r>
    </w:p>
    <w:p>
      <w:pPr>
        <w:spacing w:after="0" w:line="201" w:lineRule="exact"/>
        <w:rPr>
          <w:sz w:val="20"/>
          <w:szCs w:val="20"/>
          <w:color w:val="auto"/>
        </w:rPr>
      </w:pPr>
    </w:p>
    <w:p>
      <w:pPr>
        <w:ind w:right="40"/>
        <w:spacing w:after="0" w:line="307" w:lineRule="auto"/>
        <w:rPr>
          <w:sz w:val="20"/>
          <w:szCs w:val="20"/>
          <w:color w:val="auto"/>
        </w:rPr>
      </w:pPr>
      <w:r>
        <w:rPr>
          <w:rFonts w:ascii="Arial" w:cs="Arial" w:eastAsia="Arial" w:hAnsi="Arial"/>
          <w:sz w:val="20"/>
          <w:szCs w:val="20"/>
          <w:i w:val="1"/>
          <w:iCs w:val="1"/>
          <w:color w:val="auto"/>
        </w:rPr>
        <w:t>Pooled / commingled funds</w:t>
      </w:r>
      <w:r>
        <w:rPr>
          <w:rFonts w:ascii="Arial" w:cs="Arial" w:eastAsia="Arial" w:hAnsi="Arial"/>
          <w:sz w:val="20"/>
          <w:szCs w:val="20"/>
          <w:color w:val="auto"/>
        </w:rPr>
        <w:t>: Valued at the net value of shares held by the Company at year end as reported by the</w:t>
      </w:r>
      <w:r>
        <w:rPr>
          <w:rFonts w:ascii="Arial" w:cs="Arial" w:eastAsia="Arial" w:hAnsi="Arial"/>
          <w:sz w:val="20"/>
          <w:szCs w:val="20"/>
          <w:i w:val="1"/>
          <w:iCs w:val="1"/>
          <w:color w:val="auto"/>
        </w:rPr>
        <w:t xml:space="preserve"> </w:t>
      </w:r>
      <w:r>
        <w:rPr>
          <w:rFonts w:ascii="Arial" w:cs="Arial" w:eastAsia="Arial" w:hAnsi="Arial"/>
          <w:sz w:val="20"/>
          <w:szCs w:val="20"/>
          <w:color w:val="auto"/>
        </w:rPr>
        <w:t>manager of the funds. These funds are not exchange-traded and have not been classified in the fair value hierarchy in the tables above.</w:t>
      </w:r>
    </w:p>
    <w:p>
      <w:pPr>
        <w:spacing w:after="0" w:line="197" w:lineRule="exact"/>
        <w:rPr>
          <w:sz w:val="20"/>
          <w:szCs w:val="20"/>
          <w:color w:val="auto"/>
        </w:rPr>
      </w:pPr>
    </w:p>
    <w:p>
      <w:pPr>
        <w:ind w:right="560"/>
        <w:spacing w:after="0" w:line="302" w:lineRule="auto"/>
        <w:rPr>
          <w:sz w:val="20"/>
          <w:szCs w:val="20"/>
          <w:color w:val="auto"/>
        </w:rPr>
      </w:pPr>
      <w:r>
        <w:rPr>
          <w:rFonts w:ascii="Arial" w:cs="Arial" w:eastAsia="Arial" w:hAnsi="Arial"/>
          <w:sz w:val="20"/>
          <w:szCs w:val="20"/>
          <w:i w:val="1"/>
          <w:iCs w:val="1"/>
          <w:color w:val="auto"/>
        </w:rPr>
        <w:t>Derivative investments</w:t>
      </w:r>
      <w:r>
        <w:rPr>
          <w:rFonts w:ascii="Arial" w:cs="Arial" w:eastAsia="Arial" w:hAnsi="Arial"/>
          <w:sz w:val="20"/>
          <w:szCs w:val="20"/>
          <w:color w:val="auto"/>
        </w:rPr>
        <w:t>: Over-the-counter (‘OTC’) derivatives are stated at fair value using pricing models and</w:t>
      </w:r>
      <w:r>
        <w:rPr>
          <w:rFonts w:ascii="Arial" w:cs="Arial" w:eastAsia="Arial" w:hAnsi="Arial"/>
          <w:sz w:val="20"/>
          <w:szCs w:val="20"/>
          <w:i w:val="1"/>
          <w:iCs w:val="1"/>
          <w:color w:val="auto"/>
        </w:rPr>
        <w:t xml:space="preserve"> </w:t>
      </w:r>
      <w:r>
        <w:rPr>
          <w:rFonts w:ascii="Arial" w:cs="Arial" w:eastAsia="Arial" w:hAnsi="Arial"/>
          <w:sz w:val="20"/>
          <w:szCs w:val="20"/>
          <w:color w:val="auto"/>
        </w:rPr>
        <w:t>relevant market data at the year-end date.</w:t>
      </w:r>
    </w:p>
    <w:p>
      <w:pPr>
        <w:spacing w:after="0" w:line="201" w:lineRule="exact"/>
        <w:rPr>
          <w:sz w:val="20"/>
          <w:szCs w:val="20"/>
          <w:color w:val="auto"/>
        </w:rPr>
      </w:pPr>
    </w:p>
    <w:p>
      <w:pPr>
        <w:ind w:right="80"/>
        <w:spacing w:after="0" w:line="307" w:lineRule="auto"/>
        <w:rPr>
          <w:sz w:val="20"/>
          <w:szCs w:val="20"/>
          <w:color w:val="auto"/>
        </w:rPr>
      </w:pPr>
      <w:r>
        <w:rPr>
          <w:rFonts w:ascii="Arial" w:cs="Arial" w:eastAsia="Arial" w:hAnsi="Arial"/>
          <w:sz w:val="20"/>
          <w:szCs w:val="20"/>
          <w:i w:val="1"/>
          <w:iCs w:val="1"/>
          <w:color w:val="auto"/>
        </w:rPr>
        <w:t xml:space="preserve">Private equity funds, real estate funds, hedge funds: </w:t>
      </w:r>
      <w:r>
        <w:rPr>
          <w:rFonts w:ascii="Arial" w:cs="Arial" w:eastAsia="Arial" w:hAnsi="Arial"/>
          <w:sz w:val="20"/>
          <w:szCs w:val="20"/>
          <w:color w:val="auto"/>
        </w:rPr>
        <w:t>The fair values for these investments are estimated based on the</w:t>
      </w:r>
      <w:r>
        <w:rPr>
          <w:rFonts w:ascii="Arial" w:cs="Arial" w:eastAsia="Arial" w:hAnsi="Arial"/>
          <w:sz w:val="20"/>
          <w:szCs w:val="20"/>
          <w:i w:val="1"/>
          <w:iCs w:val="1"/>
          <w:color w:val="auto"/>
        </w:rPr>
        <w:t xml:space="preserve"> </w:t>
      </w:r>
      <w:r>
        <w:rPr>
          <w:rFonts w:ascii="Arial" w:cs="Arial" w:eastAsia="Arial" w:hAnsi="Arial"/>
          <w:sz w:val="20"/>
          <w:szCs w:val="20"/>
          <w:color w:val="auto"/>
        </w:rPr>
        <w:t>net asset values derived from the latest audited financial statements or most recent capital account statements provided by the private equity fund’s investment manager or third-party administrator.</w:t>
      </w:r>
    </w:p>
    <w:p>
      <w:pPr>
        <w:spacing w:after="0" w:line="197" w:lineRule="exact"/>
        <w:rPr>
          <w:sz w:val="20"/>
          <w:szCs w:val="20"/>
          <w:color w:val="auto"/>
        </w:rPr>
      </w:pPr>
    </w:p>
    <w:p>
      <w:pPr>
        <w:ind w:right="600"/>
        <w:spacing w:after="0" w:line="302" w:lineRule="auto"/>
        <w:rPr>
          <w:sz w:val="20"/>
          <w:szCs w:val="20"/>
          <w:color w:val="auto"/>
        </w:rPr>
      </w:pPr>
      <w:r>
        <w:rPr>
          <w:rFonts w:ascii="Arial" w:cs="Arial" w:eastAsia="Arial" w:hAnsi="Arial"/>
          <w:sz w:val="20"/>
          <w:szCs w:val="20"/>
          <w:i w:val="1"/>
          <w:iCs w:val="1"/>
          <w:color w:val="auto"/>
        </w:rPr>
        <w:t xml:space="preserve">Insurance contracts: </w:t>
      </w:r>
      <w:r>
        <w:rPr>
          <w:rFonts w:ascii="Arial" w:cs="Arial" w:eastAsia="Arial" w:hAnsi="Arial"/>
          <w:sz w:val="20"/>
          <w:szCs w:val="20"/>
          <w:color w:val="auto"/>
        </w:rPr>
        <w:t>The fair values are determined using model-based techniques that include option-pricing</w:t>
      </w:r>
      <w:r>
        <w:rPr>
          <w:rFonts w:ascii="Arial" w:cs="Arial" w:eastAsia="Arial" w:hAnsi="Arial"/>
          <w:sz w:val="20"/>
          <w:szCs w:val="20"/>
          <w:i w:val="1"/>
          <w:iCs w:val="1"/>
          <w:color w:val="auto"/>
        </w:rPr>
        <w:t xml:space="preserve"> </w:t>
      </w:r>
      <w:r>
        <w:rPr>
          <w:rFonts w:ascii="Arial" w:cs="Arial" w:eastAsia="Arial" w:hAnsi="Arial"/>
          <w:sz w:val="20"/>
          <w:szCs w:val="20"/>
          <w:color w:val="auto"/>
        </w:rPr>
        <w:t>models, discounted cash flow models and similar techniques.</w:t>
      </w:r>
    </w:p>
    <w:p>
      <w:pPr>
        <w:spacing w:after="0" w:line="201" w:lineRule="exact"/>
        <w:rPr>
          <w:sz w:val="20"/>
          <w:szCs w:val="20"/>
          <w:color w:val="auto"/>
        </w:rPr>
      </w:pPr>
    </w:p>
    <w:p>
      <w:pPr>
        <w:ind w:right="60"/>
        <w:spacing w:after="0" w:line="330" w:lineRule="auto"/>
        <w:rPr>
          <w:sz w:val="20"/>
          <w:szCs w:val="20"/>
          <w:color w:val="auto"/>
        </w:rPr>
      </w:pPr>
      <w:r>
        <w:rPr>
          <w:rFonts w:ascii="Arial" w:cs="Arial" w:eastAsia="Arial" w:hAnsi="Arial"/>
          <w:sz w:val="19"/>
          <w:szCs w:val="19"/>
          <w:i w:val="1"/>
          <w:iCs w:val="1"/>
          <w:color w:val="auto"/>
        </w:rPr>
        <w:t xml:space="preserve">Investment in multiple-employer pension plan: </w:t>
      </w:r>
      <w:r>
        <w:rPr>
          <w:rFonts w:ascii="Arial" w:cs="Arial" w:eastAsia="Arial" w:hAnsi="Arial"/>
          <w:sz w:val="19"/>
          <w:szCs w:val="19"/>
          <w:color w:val="auto"/>
        </w:rPr>
        <w:t>The Company sponsors a pension plan for its Swiss employees in</w:t>
      </w:r>
      <w:r>
        <w:rPr>
          <w:rFonts w:ascii="Arial" w:cs="Arial" w:eastAsia="Arial" w:hAnsi="Arial"/>
          <w:sz w:val="19"/>
          <w:szCs w:val="19"/>
          <w:i w:val="1"/>
          <w:iCs w:val="1"/>
          <w:color w:val="auto"/>
        </w:rPr>
        <w:t xml:space="preserve"> </w:t>
      </w:r>
      <w:r>
        <w:rPr>
          <w:rFonts w:ascii="Arial" w:cs="Arial" w:eastAsia="Arial" w:hAnsi="Arial"/>
          <w:sz w:val="19"/>
          <w:szCs w:val="19"/>
          <w:color w:val="auto"/>
        </w:rPr>
        <w:t>which assets of the plan are invested in a collective fund with multiple employers through a Swiss insurance company. WTW does not have rights to, nor does it have investment authority over, the individual assets of the plan. The fair value of the plan assets is estimated based on information provided by the collective fund.</w:t>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24</w:t>
      </w:r>
    </w:p>
    <w:p>
      <w:pPr>
        <w:sectPr>
          <w:pgSz w:w="11900" w:h="16838" w:orient="portrait"/>
          <w:cols w:equalWidth="0" w:num="1">
            <w:col w:w="9400"/>
          </w:cols>
          <w:pgMar w:left="1260" w:top="1163" w:right="1246" w:bottom="0" w:gutter="0" w:footer="0" w:header="0"/>
          <w:type w:val="continuous"/>
        </w:sectPr>
      </w:pPr>
    </w:p>
    <w:bookmarkStart w:id="239" w:name="page240"/>
    <w:bookmarkEnd w:id="239"/>
    <w:p>
      <w:pPr>
        <w:spacing w:after="0" w:line="307" w:lineRule="auto"/>
        <w:rPr>
          <w:sz w:val="20"/>
          <w:szCs w:val="20"/>
          <w:color w:val="auto"/>
        </w:rPr>
      </w:pPr>
      <w:r>
        <w:rPr>
          <w:rFonts w:ascii="Arial" w:cs="Arial" w:eastAsia="Arial" w:hAnsi="Arial"/>
          <w:sz w:val="20"/>
          <w:szCs w:val="20"/>
          <w:i w:val="1"/>
          <w:iCs w:val="1"/>
          <w:color w:val="auto"/>
        </w:rPr>
        <w:t xml:space="preserve">Repurchase agreements: </w:t>
      </w:r>
      <w:r>
        <w:rPr>
          <w:rFonts w:ascii="Arial" w:cs="Arial" w:eastAsia="Arial" w:hAnsi="Arial"/>
          <w:sz w:val="20"/>
          <w:szCs w:val="20"/>
          <w:color w:val="auto"/>
        </w:rPr>
        <w:t>Valued at the repurchase obligation which includes an interest rate linked to the underlying</w:t>
      </w:r>
      <w:r>
        <w:rPr>
          <w:rFonts w:ascii="Arial" w:cs="Arial" w:eastAsia="Arial" w:hAnsi="Arial"/>
          <w:sz w:val="20"/>
          <w:szCs w:val="20"/>
          <w:i w:val="1"/>
          <w:iCs w:val="1"/>
          <w:color w:val="auto"/>
        </w:rPr>
        <w:t xml:space="preserve"> </w:t>
      </w:r>
      <w:r>
        <w:rPr>
          <w:rFonts w:ascii="Arial" w:cs="Arial" w:eastAsia="Arial" w:hAnsi="Arial"/>
          <w:sz w:val="20"/>
          <w:szCs w:val="20"/>
          <w:color w:val="auto"/>
        </w:rPr>
        <w:t>fixed interest government bond portfolio. These agreements are short-term in nature (less than one year) and were entered into for the purpose of purchasing additional government bonds.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3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 / 24</w:t>
      </w:r>
    </w:p>
    <w:p>
      <w:pPr>
        <w:sectPr>
          <w:pgSz w:w="11900" w:h="16838" w:orient="portrait"/>
          <w:cols w:equalWidth="0" w:num="1">
            <w:col w:w="9320"/>
          </w:cols>
          <w:pgMar w:left="1260" w:top="1173" w:right="1326" w:bottom="0" w:gutter="0" w:footer="0" w:header="0"/>
          <w:type w:val="continuous"/>
        </w:sectPr>
      </w:pPr>
    </w:p>
    <w:bookmarkStart w:id="240" w:name="page241"/>
    <w:bookmarkEnd w:id="2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the net plan investments to the total fair value of the plan assets: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December 31,</w:t>
            </w:r>
          </w:p>
        </w:tc>
        <w:tc>
          <w:tcPr>
            <w:tcW w:w="1000" w:type="dxa"/>
            <w:vAlign w:val="bottom"/>
          </w:tcPr>
          <w:p>
            <w:pPr>
              <w:spacing w:after="0"/>
              <w:rPr>
                <w:sz w:val="16"/>
                <w:szCs w:val="16"/>
                <w:color w:val="auto"/>
              </w:rPr>
            </w:pPr>
          </w:p>
        </w:tc>
      </w:tr>
      <w:tr>
        <w:trPr>
          <w:trHeight w:val="250"/>
        </w:trPr>
        <w:tc>
          <w:tcPr>
            <w:tcW w:w="482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ind w:right="505"/>
              <w:spacing w:after="0"/>
              <w:rPr>
                <w:sz w:val="20"/>
                <w:szCs w:val="20"/>
                <w:color w:val="auto"/>
              </w:rPr>
            </w:pPr>
            <w:r>
              <w:rPr>
                <w:rFonts w:ascii="Arial" w:cs="Arial" w:eastAsia="Arial" w:hAnsi="Arial"/>
                <w:sz w:val="16"/>
                <w:szCs w:val="16"/>
                <w:b w:val="1"/>
                <w:bCs w:val="1"/>
                <w:color w:val="auto"/>
              </w:rPr>
              <w:t>2024</w:t>
            </w:r>
          </w:p>
        </w:tc>
      </w:tr>
      <w:tr>
        <w:trPr>
          <w:trHeight w:val="42"/>
        </w:trPr>
        <w:tc>
          <w:tcPr>
            <w:tcW w:w="48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assets held in investments</w:t>
            </w:r>
          </w:p>
        </w:tc>
        <w:tc>
          <w:tcPr>
            <w:tcW w:w="2440" w:type="dxa"/>
            <w:vAlign w:val="bottom"/>
            <w:tcBorders>
              <w:bottom w:val="single" w:sz="8" w:color="CFF0FC"/>
            </w:tcBorders>
            <w:shd w:val="clear" w:color="auto" w:fill="CFF0FC"/>
          </w:tcPr>
          <w:p>
            <w:pPr>
              <w:jc w:val="right"/>
              <w:ind w:right="647"/>
              <w:spacing w:after="0"/>
              <w:rPr>
                <w:sz w:val="20"/>
                <w:szCs w:val="20"/>
                <w:color w:val="auto"/>
              </w:rPr>
            </w:pPr>
            <w:r>
              <w:rPr>
                <w:rFonts w:ascii="Arial" w:cs="Arial" w:eastAsia="Arial" w:hAnsi="Arial"/>
                <w:sz w:val="20"/>
                <w:szCs w:val="20"/>
                <w:color w:val="auto"/>
              </w:rPr>
              <w:t>$</w:t>
            </w:r>
          </w:p>
        </w:tc>
        <w:tc>
          <w:tcPr>
            <w:tcW w:w="60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20"/>
                <w:szCs w:val="20"/>
                <w:color w:val="auto"/>
                <w:w w:val="87"/>
              </w:rPr>
              <w:t>6,602</w:t>
            </w:r>
          </w:p>
        </w:tc>
        <w:tc>
          <w:tcPr>
            <w:tcW w:w="540" w:type="dxa"/>
            <w:vAlign w:val="bottom"/>
            <w:tcBorders>
              <w:bottom w:val="single" w:sz="8" w:color="CFF0FC"/>
            </w:tcBorders>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5"/>
              <w:spacing w:after="0"/>
              <w:rPr>
                <w:sz w:val="20"/>
                <w:szCs w:val="20"/>
                <w:color w:val="auto"/>
              </w:rPr>
            </w:pPr>
            <w:r>
              <w:rPr>
                <w:rFonts w:ascii="Arial" w:cs="Arial" w:eastAsia="Arial" w:hAnsi="Arial"/>
                <w:sz w:val="20"/>
                <w:szCs w:val="20"/>
                <w:color w:val="auto"/>
              </w:rPr>
              <w:t>6,771</w:t>
            </w:r>
          </w:p>
        </w:tc>
      </w:tr>
      <w:tr>
        <w:trPr>
          <w:trHeight w:val="259"/>
        </w:trPr>
        <w:tc>
          <w:tcPr>
            <w:tcW w:w="4820" w:type="dxa"/>
            <w:vAlign w:val="bottom"/>
          </w:tcPr>
          <w:p>
            <w:pPr>
              <w:spacing w:after="0"/>
              <w:rPr>
                <w:sz w:val="20"/>
                <w:szCs w:val="20"/>
                <w:color w:val="auto"/>
              </w:rPr>
            </w:pPr>
            <w:r>
              <w:rPr>
                <w:rFonts w:ascii="Arial" w:cs="Arial" w:eastAsia="Arial" w:hAnsi="Arial"/>
                <w:sz w:val="20"/>
                <w:szCs w:val="20"/>
                <w:color w:val="auto"/>
              </w:rPr>
              <w:t>Receivable for interest income and other</w:t>
            </w:r>
          </w:p>
        </w:tc>
        <w:tc>
          <w:tcPr>
            <w:tcW w:w="2440" w:type="dxa"/>
            <w:vAlign w:val="bottom"/>
          </w:tcPr>
          <w:p>
            <w:pPr>
              <w:spacing w:after="0"/>
              <w:rPr>
                <w:sz w:val="22"/>
                <w:szCs w:val="22"/>
                <w:color w:val="auto"/>
              </w:rPr>
            </w:pPr>
          </w:p>
        </w:tc>
        <w:tc>
          <w:tcPr>
            <w:tcW w:w="600" w:type="dxa"/>
            <w:vAlign w:val="bottom"/>
          </w:tcPr>
          <w:p>
            <w:pPr>
              <w:jc w:val="right"/>
              <w:ind w:right="45"/>
              <w:spacing w:after="0"/>
              <w:rPr>
                <w:sz w:val="20"/>
                <w:szCs w:val="20"/>
                <w:color w:val="auto"/>
              </w:rPr>
            </w:pPr>
            <w:r>
              <w:rPr>
                <w:rFonts w:ascii="Arial" w:cs="Arial" w:eastAsia="Arial" w:hAnsi="Arial"/>
                <w:sz w:val="20"/>
                <w:szCs w:val="20"/>
                <w:color w:val="auto"/>
              </w:rPr>
              <w:t>115</w:t>
            </w:r>
          </w:p>
        </w:tc>
        <w:tc>
          <w:tcPr>
            <w:tcW w:w="540" w:type="dxa"/>
            <w:vAlign w:val="bottom"/>
          </w:tcPr>
          <w:p>
            <w:pPr>
              <w:spacing w:after="0"/>
              <w:rPr>
                <w:sz w:val="22"/>
                <w:szCs w:val="22"/>
                <w:color w:val="auto"/>
              </w:rPr>
            </w:pPr>
          </w:p>
        </w:tc>
        <w:tc>
          <w:tcPr>
            <w:tcW w:w="1000" w:type="dxa"/>
            <w:vAlign w:val="bottom"/>
          </w:tcPr>
          <w:p>
            <w:pPr>
              <w:jc w:val="right"/>
              <w:ind w:right="5"/>
              <w:spacing w:after="0"/>
              <w:rPr>
                <w:sz w:val="20"/>
                <w:szCs w:val="20"/>
                <w:color w:val="auto"/>
              </w:rPr>
            </w:pPr>
            <w:r>
              <w:rPr>
                <w:rFonts w:ascii="Arial" w:cs="Arial" w:eastAsia="Arial" w:hAnsi="Arial"/>
                <w:sz w:val="20"/>
                <w:szCs w:val="20"/>
                <w:color w:val="auto"/>
              </w:rPr>
              <w:t>1</w:t>
            </w:r>
          </w:p>
        </w:tc>
      </w:tr>
      <w:tr>
        <w:trPr>
          <w:trHeight w:val="51"/>
        </w:trPr>
        <w:tc>
          <w:tcPr>
            <w:tcW w:w="48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9"/>
        </w:trPr>
        <w:tc>
          <w:tcPr>
            <w:tcW w:w="4820" w:type="dxa"/>
            <w:vAlign w:val="bottom"/>
            <w:shd w:val="clear" w:color="auto" w:fill="CFF0FC"/>
          </w:tcPr>
          <w:p>
            <w:pPr>
              <w:ind w:left="100"/>
              <w:spacing w:after="0"/>
              <w:rPr>
                <w:sz w:val="20"/>
                <w:szCs w:val="20"/>
                <w:color w:val="auto"/>
              </w:rPr>
            </w:pPr>
            <w:r>
              <w:rPr>
                <w:rFonts w:ascii="Arial" w:cs="Arial" w:eastAsia="Arial" w:hAnsi="Arial"/>
                <w:sz w:val="20"/>
                <w:szCs w:val="20"/>
                <w:color w:val="auto"/>
              </w:rPr>
              <w:t>Fair value of plan assets</w:t>
            </w:r>
          </w:p>
        </w:tc>
        <w:tc>
          <w:tcPr>
            <w:tcW w:w="2440" w:type="dxa"/>
            <w:vAlign w:val="bottom"/>
            <w:shd w:val="clear" w:color="auto" w:fill="CFF0FC"/>
          </w:tcPr>
          <w:p>
            <w:pPr>
              <w:jc w:val="right"/>
              <w:ind w:right="647"/>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ind w:right="45"/>
              <w:spacing w:after="0"/>
              <w:rPr>
                <w:sz w:val="20"/>
                <w:szCs w:val="20"/>
                <w:color w:val="auto"/>
              </w:rPr>
            </w:pPr>
            <w:r>
              <w:rPr>
                <w:rFonts w:ascii="Arial" w:cs="Arial" w:eastAsia="Arial" w:hAnsi="Arial"/>
                <w:sz w:val="20"/>
                <w:szCs w:val="20"/>
                <w:color w:val="auto"/>
                <w:w w:val="87"/>
              </w:rPr>
              <w:t>6,717</w:t>
            </w:r>
          </w:p>
        </w:tc>
        <w:tc>
          <w:tcPr>
            <w:tcW w:w="540" w:type="dxa"/>
            <w:vAlign w:val="bottom"/>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ind w:right="5"/>
              <w:spacing w:after="0"/>
              <w:rPr>
                <w:sz w:val="20"/>
                <w:szCs w:val="20"/>
                <w:color w:val="auto"/>
              </w:rPr>
            </w:pPr>
            <w:r>
              <w:rPr>
                <w:rFonts w:ascii="Arial" w:cs="Arial" w:eastAsia="Arial" w:hAnsi="Arial"/>
                <w:sz w:val="20"/>
                <w:szCs w:val="20"/>
                <w:color w:val="auto"/>
              </w:rPr>
              <w:t>6,772</w:t>
            </w:r>
          </w:p>
        </w:tc>
      </w:tr>
      <w:tr>
        <w:trPr>
          <w:trHeight w:val="86"/>
        </w:trPr>
        <w:tc>
          <w:tcPr>
            <w:tcW w:w="4820" w:type="dxa"/>
            <w:vAlign w:val="bottom"/>
            <w:shd w:val="clear" w:color="auto" w:fill="CFF0FC"/>
          </w:tcPr>
          <w:p>
            <w:pPr>
              <w:spacing w:after="0"/>
              <w:rPr>
                <w:sz w:val="7"/>
                <w:szCs w:val="7"/>
                <w:color w:val="auto"/>
              </w:rPr>
            </w:pPr>
          </w:p>
        </w:tc>
        <w:tc>
          <w:tcPr>
            <w:tcW w:w="244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4074795</wp:posOffset>
            </wp:positionH>
            <wp:positionV relativeFrom="paragraph">
              <wp:posOffset>-770890</wp:posOffset>
            </wp:positionV>
            <wp:extent cx="1889125" cy="63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39">
                      <a:extLst>
                        <a:ext uri="{28A0092B-C50C-407E-A947-70E740481C1C}"/>
                      </a:extLst>
                    </a:blip>
                    <a:srcRect/>
                    <a:stretch>
                      <a:fillRect/>
                    </a:stretch>
                  </pic:blipFill>
                  <pic:spPr bwMode="auto">
                    <a:xfrm>
                      <a:off x="0" y="0"/>
                      <a:ext cx="1889125" cy="63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-612140</wp:posOffset>
            </wp:positionV>
            <wp:extent cx="1889125" cy="63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0">
                      <a:extLst>
                        <a:ext uri="{28A0092B-C50C-407E-A947-70E740481C1C}"/>
                      </a:extLst>
                    </a:blip>
                    <a:srcRect/>
                    <a:stretch>
                      <a:fillRect/>
                    </a:stretch>
                  </pic:blipFill>
                  <pic:spPr bwMode="auto">
                    <a:xfrm>
                      <a:off x="0" y="0"/>
                      <a:ext cx="1889125" cy="63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-224790</wp:posOffset>
            </wp:positionV>
            <wp:extent cx="1889125" cy="63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1">
                      <a:extLst>
                        <a:ext uri="{28A0092B-C50C-407E-A947-70E740481C1C}"/>
                      </a:extLst>
                    </a:blip>
                    <a:srcRect/>
                    <a:stretch>
                      <a:fillRect/>
                    </a:stretch>
                  </pic:blipFill>
                  <pic:spPr bwMode="auto">
                    <a:xfrm>
                      <a:off x="0" y="0"/>
                      <a:ext cx="1889125" cy="6350"/>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-27940</wp:posOffset>
            </wp:positionV>
            <wp:extent cx="1889125" cy="2857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2">
                      <a:extLst>
                        <a:ext uri="{28A0092B-C50C-407E-A947-70E740481C1C}"/>
                      </a:extLst>
                    </a:blip>
                    <a:srcRect/>
                    <a:stretch>
                      <a:fillRect/>
                    </a:stretch>
                  </pic:blipFill>
                  <pic:spPr bwMode="auto">
                    <a:xfrm>
                      <a:off x="0" y="0"/>
                      <a:ext cx="1889125" cy="28575"/>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Level 3 investments</w:t>
      </w:r>
    </w:p>
    <w:p>
      <w:pPr>
        <w:spacing w:after="0" w:line="260" w:lineRule="exact"/>
        <w:rPr>
          <w:sz w:val="20"/>
          <w:szCs w:val="20"/>
          <w:color w:val="auto"/>
        </w:rPr>
      </w:pPr>
    </w:p>
    <w:p>
      <w:pPr>
        <w:jc w:val="both"/>
        <w:ind w:right="280"/>
        <w:spacing w:after="0" w:line="307" w:lineRule="auto"/>
        <w:rPr>
          <w:sz w:val="20"/>
          <w:szCs w:val="20"/>
          <w:color w:val="auto"/>
        </w:rPr>
      </w:pPr>
      <w:r>
        <w:rPr>
          <w:rFonts w:ascii="Arial" w:cs="Arial" w:eastAsia="Arial" w:hAnsi="Arial"/>
          <w:sz w:val="20"/>
          <w:szCs w:val="20"/>
          <w:color w:val="auto"/>
        </w:rPr>
        <w:t>As a result of the inherent limitations related to the valuations of the Level 3 investments, due to the unobservable inputs of the underlying funds, the estimated fair values may differ significantly from the values that would have been used had a market for those investments existed.</w:t>
      </w:r>
    </w:p>
    <w:p>
      <w:pPr>
        <w:spacing w:after="0" w:line="197" w:lineRule="exact"/>
        <w:rPr>
          <w:sz w:val="20"/>
          <w:szCs w:val="20"/>
          <w:color w:val="auto"/>
        </w:rPr>
      </w:pPr>
    </w:p>
    <w:p>
      <w:pPr>
        <w:ind w:right="200"/>
        <w:spacing w:after="0" w:line="302" w:lineRule="auto"/>
        <w:rPr>
          <w:sz w:val="20"/>
          <w:szCs w:val="20"/>
          <w:color w:val="auto"/>
        </w:rPr>
      </w:pPr>
      <w:r>
        <w:rPr>
          <w:rFonts w:ascii="Arial" w:cs="Arial" w:eastAsia="Arial" w:hAnsi="Arial"/>
          <w:sz w:val="20"/>
          <w:szCs w:val="20"/>
          <w:color w:val="auto"/>
        </w:rPr>
        <w:t>The following table sets forth a summary of changes in the fair value of the plans’ Level 3 assets for the fiscal year ended December 31, 2025:</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80" w:type="dxa"/>
            <w:vAlign w:val="bottom"/>
          </w:tcPr>
          <w:p>
            <w:pPr>
              <w:jc w:val="right"/>
              <w:ind w:right="566"/>
              <w:spacing w:after="0"/>
              <w:rPr>
                <w:sz w:val="20"/>
                <w:szCs w:val="20"/>
                <w:color w:val="auto"/>
              </w:rPr>
            </w:pPr>
            <w:r>
              <w:rPr>
                <w:rFonts w:ascii="Arial" w:cs="Arial" w:eastAsia="Arial" w:hAnsi="Arial"/>
                <w:sz w:val="16"/>
                <w:szCs w:val="16"/>
                <w:b w:val="1"/>
                <w:bCs w:val="1"/>
                <w:color w:val="auto"/>
              </w:rPr>
              <w:t>Level 3</w:t>
            </w:r>
          </w:p>
        </w:tc>
      </w:tr>
      <w:tr>
        <w:trPr>
          <w:trHeight w:val="240"/>
        </w:trPr>
        <w:tc>
          <w:tcPr>
            <w:tcW w:w="5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80" w:type="dxa"/>
            <w:vAlign w:val="bottom"/>
          </w:tcPr>
          <w:p>
            <w:pPr>
              <w:jc w:val="right"/>
              <w:ind w:right="346"/>
              <w:spacing w:after="0"/>
              <w:rPr>
                <w:sz w:val="20"/>
                <w:szCs w:val="20"/>
                <w:color w:val="auto"/>
              </w:rPr>
            </w:pPr>
            <w:r>
              <w:rPr>
                <w:rFonts w:ascii="Arial" w:cs="Arial" w:eastAsia="Arial" w:hAnsi="Arial"/>
                <w:sz w:val="16"/>
                <w:szCs w:val="16"/>
                <w:b w:val="1"/>
                <w:bCs w:val="1"/>
                <w:color w:val="auto"/>
              </w:rPr>
              <w:t>Roll Forward</w:t>
            </w:r>
          </w:p>
        </w:tc>
      </w:tr>
      <w:tr>
        <w:trPr>
          <w:trHeight w:val="42"/>
        </w:trPr>
        <w:tc>
          <w:tcPr>
            <w:tcW w:w="55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80"/>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Beginning balance at December 31, 2024</w:t>
            </w:r>
          </w:p>
        </w:tc>
        <w:tc>
          <w:tcPr>
            <w:tcW w:w="24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20"/>
                <w:szCs w:val="20"/>
                <w:color w:val="auto"/>
              </w:rPr>
              <w:t>89</w:t>
            </w:r>
          </w:p>
        </w:tc>
      </w:tr>
      <w:tr>
        <w:trPr>
          <w:trHeight w:val="259"/>
        </w:trPr>
        <w:tc>
          <w:tcPr>
            <w:tcW w:w="5500" w:type="dxa"/>
            <w:vAlign w:val="bottom"/>
          </w:tcPr>
          <w:p>
            <w:pPr>
              <w:spacing w:after="0"/>
              <w:rPr>
                <w:sz w:val="20"/>
                <w:szCs w:val="20"/>
                <w:color w:val="auto"/>
              </w:rPr>
            </w:pPr>
            <w:r>
              <w:rPr>
                <w:rFonts w:ascii="Arial" w:cs="Arial" w:eastAsia="Arial" w:hAnsi="Arial"/>
                <w:sz w:val="20"/>
                <w:szCs w:val="20"/>
                <w:color w:val="auto"/>
              </w:rPr>
              <w:t>Purchases</w:t>
            </w:r>
          </w:p>
        </w:tc>
        <w:tc>
          <w:tcPr>
            <w:tcW w:w="2420" w:type="dxa"/>
            <w:vAlign w:val="bottom"/>
          </w:tcPr>
          <w:p>
            <w:pPr>
              <w:spacing w:after="0"/>
              <w:rPr>
                <w:sz w:val="22"/>
                <w:szCs w:val="22"/>
                <w:color w:val="auto"/>
              </w:rPr>
            </w:pPr>
          </w:p>
        </w:tc>
        <w:tc>
          <w:tcPr>
            <w:tcW w:w="1480" w:type="dxa"/>
            <w:vAlign w:val="bottom"/>
          </w:tcPr>
          <w:p>
            <w:pPr>
              <w:jc w:val="right"/>
              <w:ind w:right="6"/>
              <w:spacing w:after="0"/>
              <w:rPr>
                <w:sz w:val="20"/>
                <w:szCs w:val="20"/>
                <w:color w:val="auto"/>
              </w:rPr>
            </w:pPr>
            <w:r>
              <w:rPr>
                <w:rFonts w:ascii="Arial" w:cs="Arial" w:eastAsia="Arial" w:hAnsi="Arial"/>
                <w:sz w:val="20"/>
                <w:szCs w:val="20"/>
                <w:color w:val="auto"/>
              </w:rPr>
              <w:t>2</w:t>
            </w:r>
          </w:p>
        </w:tc>
      </w:tr>
      <w:tr>
        <w:trPr>
          <w:trHeight w:val="41"/>
        </w:trPr>
        <w:tc>
          <w:tcPr>
            <w:tcW w:w="55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80"/>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Unrealized loss</w:t>
            </w:r>
          </w:p>
        </w:tc>
        <w:tc>
          <w:tcPr>
            <w:tcW w:w="242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59"/>
        </w:trPr>
        <w:tc>
          <w:tcPr>
            <w:tcW w:w="5500" w:type="dxa"/>
            <w:vAlign w:val="bottom"/>
          </w:tcPr>
          <w:p>
            <w:pPr>
              <w:spacing w:after="0"/>
              <w:rPr>
                <w:sz w:val="20"/>
                <w:szCs w:val="20"/>
                <w:color w:val="auto"/>
              </w:rPr>
            </w:pPr>
            <w:r>
              <w:rPr>
                <w:rFonts w:ascii="Arial" w:cs="Arial" w:eastAsia="Arial" w:hAnsi="Arial"/>
                <w:sz w:val="20"/>
                <w:szCs w:val="20"/>
                <w:color w:val="auto"/>
              </w:rPr>
              <w:t>Foreign exchange</w:t>
            </w:r>
          </w:p>
        </w:tc>
        <w:tc>
          <w:tcPr>
            <w:tcW w:w="2420" w:type="dxa"/>
            <w:vAlign w:val="bottom"/>
          </w:tcPr>
          <w:p>
            <w:pPr>
              <w:spacing w:after="0"/>
              <w:rPr>
                <w:sz w:val="22"/>
                <w:szCs w:val="22"/>
                <w:color w:val="auto"/>
              </w:rPr>
            </w:pPr>
          </w:p>
        </w:tc>
        <w:tc>
          <w:tcPr>
            <w:tcW w:w="1480" w:type="dxa"/>
            <w:vAlign w:val="bottom"/>
          </w:tcPr>
          <w:p>
            <w:pPr>
              <w:jc w:val="right"/>
              <w:ind w:right="6"/>
              <w:spacing w:after="0"/>
              <w:rPr>
                <w:sz w:val="20"/>
                <w:szCs w:val="20"/>
                <w:color w:val="auto"/>
              </w:rPr>
            </w:pPr>
            <w:r>
              <w:rPr>
                <w:rFonts w:ascii="Arial" w:cs="Arial" w:eastAsia="Arial" w:hAnsi="Arial"/>
                <w:sz w:val="20"/>
                <w:szCs w:val="20"/>
                <w:color w:val="auto"/>
              </w:rPr>
              <w:t>11</w:t>
            </w:r>
          </w:p>
        </w:tc>
      </w:tr>
      <w:tr>
        <w:trPr>
          <w:trHeight w:val="51"/>
        </w:trPr>
        <w:tc>
          <w:tcPr>
            <w:tcW w:w="55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59"/>
        </w:trPr>
        <w:tc>
          <w:tcPr>
            <w:tcW w:w="5500" w:type="dxa"/>
            <w:vAlign w:val="bottom"/>
            <w:shd w:val="clear" w:color="auto" w:fill="CFF0FC"/>
          </w:tcPr>
          <w:p>
            <w:pPr>
              <w:spacing w:after="0"/>
              <w:rPr>
                <w:sz w:val="20"/>
                <w:szCs w:val="20"/>
                <w:color w:val="auto"/>
              </w:rPr>
            </w:pPr>
            <w:r>
              <w:rPr>
                <w:rFonts w:ascii="Arial" w:cs="Arial" w:eastAsia="Arial" w:hAnsi="Arial"/>
                <w:sz w:val="20"/>
                <w:szCs w:val="20"/>
                <w:color w:val="auto"/>
              </w:rPr>
              <w:t>Ending balance at December 31, 2025</w:t>
            </w:r>
          </w:p>
        </w:tc>
        <w:tc>
          <w:tcPr>
            <w:tcW w:w="24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FF0FC"/>
          </w:tcPr>
          <w:p>
            <w:pPr>
              <w:jc w:val="right"/>
              <w:ind w:right="6"/>
              <w:spacing w:after="0"/>
              <w:rPr>
                <w:sz w:val="20"/>
                <w:szCs w:val="20"/>
                <w:color w:val="auto"/>
              </w:rPr>
            </w:pPr>
            <w:r>
              <w:rPr>
                <w:rFonts w:ascii="Arial" w:cs="Arial" w:eastAsia="Arial" w:hAnsi="Arial"/>
                <w:sz w:val="20"/>
                <w:szCs w:val="20"/>
                <w:color w:val="auto"/>
              </w:rPr>
              <w:t>101</w:t>
            </w:r>
          </w:p>
        </w:tc>
      </w:tr>
      <w:tr>
        <w:trPr>
          <w:trHeight w:val="86"/>
        </w:trPr>
        <w:tc>
          <w:tcPr>
            <w:tcW w:w="5500" w:type="dxa"/>
            <w:vAlign w:val="bottom"/>
            <w:shd w:val="clear" w:color="auto" w:fill="CFF0FC"/>
          </w:tcPr>
          <w:p>
            <w:pPr>
              <w:spacing w:after="0"/>
              <w:rPr>
                <w:sz w:val="7"/>
                <w:szCs w:val="7"/>
                <w:color w:val="auto"/>
              </w:rPr>
            </w:pPr>
          </w:p>
        </w:tc>
        <w:tc>
          <w:tcPr>
            <w:tcW w:w="242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4886960</wp:posOffset>
            </wp:positionH>
            <wp:positionV relativeFrom="paragraph">
              <wp:posOffset>-993140</wp:posOffset>
            </wp:positionV>
            <wp:extent cx="1076960" cy="63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3">
                      <a:extLst>
                        <a:ext uri="{28A0092B-C50C-407E-A947-70E740481C1C}"/>
                      </a:extLst>
                    </a:blip>
                    <a:srcRect/>
                    <a:stretch>
                      <a:fillRect/>
                    </a:stretch>
                  </pic:blipFill>
                  <pic:spPr bwMode="auto">
                    <a:xfrm>
                      <a:off x="0" y="0"/>
                      <a:ext cx="1076960" cy="6350"/>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-224790</wp:posOffset>
            </wp:positionV>
            <wp:extent cx="1076960"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4">
                      <a:extLst>
                        <a:ext uri="{28A0092B-C50C-407E-A947-70E740481C1C}"/>
                      </a:extLst>
                    </a:blip>
                    <a:srcRect/>
                    <a:stretch>
                      <a:fillRect/>
                    </a:stretch>
                  </pic:blipFill>
                  <pic:spPr bwMode="auto">
                    <a:xfrm>
                      <a:off x="0" y="0"/>
                      <a:ext cx="1076960" cy="6350"/>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-27940</wp:posOffset>
            </wp:positionV>
            <wp:extent cx="1076960" cy="2857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5">
                      <a:extLst>
                        <a:ext uri="{28A0092B-C50C-407E-A947-70E740481C1C}"/>
                      </a:extLst>
                    </a:blip>
                    <a:srcRect/>
                    <a:stretch>
                      <a:fillRect/>
                    </a:stretch>
                  </pic:blipFill>
                  <pic:spPr bwMode="auto">
                    <a:xfrm>
                      <a:off x="0" y="0"/>
                      <a:ext cx="1076960" cy="2857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Contributions and Benefit Payments</w:t>
      </w:r>
    </w:p>
    <w:p>
      <w:pPr>
        <w:spacing w:after="0" w:line="260" w:lineRule="exact"/>
        <w:rPr>
          <w:sz w:val="20"/>
          <w:szCs w:val="20"/>
          <w:color w:val="auto"/>
        </w:rPr>
      </w:pPr>
    </w:p>
    <w:p>
      <w:pPr>
        <w:ind w:right="180"/>
        <w:spacing w:after="0" w:line="307" w:lineRule="auto"/>
        <w:rPr>
          <w:sz w:val="20"/>
          <w:szCs w:val="20"/>
          <w:color w:val="auto"/>
        </w:rPr>
      </w:pPr>
      <w:r>
        <w:rPr>
          <w:rFonts w:ascii="Arial" w:cs="Arial" w:eastAsia="Arial" w:hAnsi="Arial"/>
          <w:sz w:val="20"/>
          <w:szCs w:val="20"/>
          <w:color w:val="auto"/>
        </w:rPr>
        <w:t>Funding is based on actuarially-determined contributions and is limited to amounts that are currently deductible for tax purposes. Since funding calculations are based on different measurements than those used for accounting purposes, pension contributions are not equal to net periodic pension costs.</w:t>
      </w:r>
    </w:p>
    <w:p>
      <w:pPr>
        <w:spacing w:after="0" w:line="197" w:lineRule="exact"/>
        <w:rPr>
          <w:sz w:val="20"/>
          <w:szCs w:val="20"/>
          <w:color w:val="auto"/>
        </w:rPr>
      </w:pPr>
    </w:p>
    <w:p>
      <w:pPr>
        <w:ind w:right="120"/>
        <w:spacing w:after="0" w:line="302" w:lineRule="auto"/>
        <w:rPr>
          <w:sz w:val="20"/>
          <w:szCs w:val="20"/>
          <w:color w:val="auto"/>
        </w:rPr>
      </w:pPr>
      <w:r>
        <w:rPr>
          <w:rFonts w:ascii="Arial" w:cs="Arial" w:eastAsia="Arial" w:hAnsi="Arial"/>
          <w:sz w:val="20"/>
          <w:szCs w:val="20"/>
          <w:color w:val="auto"/>
        </w:rPr>
        <w:t>The following table sets forth our projected pension contributions to our qualified plans for fiscal year 2025, as well as the pension contributions to our qualified plans in fiscal years 2025 and 2024:</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20" w:type="dxa"/>
            <w:vAlign w:val="bottom"/>
          </w:tcPr>
          <w:p>
            <w:pPr>
              <w:jc w:val="right"/>
              <w:ind w:right="448"/>
              <w:spacing w:after="0"/>
              <w:rPr>
                <w:sz w:val="20"/>
                <w:szCs w:val="20"/>
                <w:color w:val="auto"/>
              </w:rPr>
            </w:pPr>
            <w:r>
              <w:rPr>
                <w:rFonts w:ascii="Arial" w:cs="Arial" w:eastAsia="Arial" w:hAnsi="Arial"/>
                <w:sz w:val="16"/>
                <w:szCs w:val="16"/>
                <w:b w:val="1"/>
                <w:bCs w:val="1"/>
                <w:color w:val="auto"/>
              </w:rPr>
              <w:t>2026</w:t>
            </w:r>
          </w:p>
        </w:tc>
        <w:tc>
          <w:tcPr>
            <w:tcW w:w="1000" w:type="dxa"/>
            <w:vAlign w:val="bottom"/>
          </w:tcPr>
          <w:p>
            <w:pPr>
              <w:jc w:val="right"/>
              <w:ind w:right="68"/>
              <w:spacing w:after="0"/>
              <w:rPr>
                <w:sz w:val="20"/>
                <w:szCs w:val="20"/>
                <w:color w:val="auto"/>
              </w:rPr>
            </w:pPr>
            <w:r>
              <w:rPr>
                <w:rFonts w:ascii="Arial" w:cs="Arial" w:eastAsia="Arial" w:hAnsi="Arial"/>
                <w:sz w:val="16"/>
                <w:szCs w:val="16"/>
                <w:b w:val="1"/>
                <w:bCs w:val="1"/>
                <w:color w:val="auto"/>
              </w:rPr>
              <w:t>2025</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08"/>
              <w:spacing w:after="0"/>
              <w:rPr>
                <w:sz w:val="20"/>
                <w:szCs w:val="20"/>
                <w:color w:val="auto"/>
              </w:rPr>
            </w:pPr>
            <w:r>
              <w:rPr>
                <w:rFonts w:ascii="Arial" w:cs="Arial" w:eastAsia="Arial" w:hAnsi="Arial"/>
                <w:sz w:val="16"/>
                <w:szCs w:val="16"/>
                <w:b w:val="1"/>
                <w:bCs w:val="1"/>
                <w:color w:val="auto"/>
              </w:rPr>
              <w:t>2024</w:t>
            </w:r>
          </w:p>
        </w:tc>
      </w:tr>
      <w:tr>
        <w:trPr>
          <w:trHeight w:val="240"/>
        </w:trPr>
        <w:tc>
          <w:tcPr>
            <w:tcW w:w="29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20" w:type="dxa"/>
            <w:vAlign w:val="bottom"/>
          </w:tcPr>
          <w:p>
            <w:pPr>
              <w:jc w:val="right"/>
              <w:ind w:right="208"/>
              <w:spacing w:after="0"/>
              <w:rPr>
                <w:sz w:val="20"/>
                <w:szCs w:val="20"/>
                <w:color w:val="auto"/>
              </w:rPr>
            </w:pPr>
            <w:r>
              <w:rPr>
                <w:rFonts w:ascii="Arial" w:cs="Arial" w:eastAsia="Arial" w:hAnsi="Arial"/>
                <w:sz w:val="16"/>
                <w:szCs w:val="16"/>
                <w:b w:val="1"/>
                <w:bCs w:val="1"/>
                <w:color w:val="auto"/>
                <w:w w:val="95"/>
              </w:rPr>
              <w:t>(Projected)</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(Actual)</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288"/>
              <w:spacing w:after="0"/>
              <w:rPr>
                <w:sz w:val="20"/>
                <w:szCs w:val="20"/>
                <w:color w:val="auto"/>
              </w:rPr>
            </w:pPr>
            <w:r>
              <w:rPr>
                <w:rFonts w:ascii="Arial" w:cs="Arial" w:eastAsia="Arial" w:hAnsi="Arial"/>
                <w:sz w:val="16"/>
                <w:szCs w:val="16"/>
                <w:b w:val="1"/>
                <w:bCs w:val="1"/>
                <w:color w:val="auto"/>
              </w:rPr>
              <w:t>(Actual)</w:t>
            </w:r>
          </w:p>
        </w:tc>
      </w:tr>
      <w:tr>
        <w:trPr>
          <w:trHeight w:val="42"/>
        </w:trPr>
        <w:tc>
          <w:tcPr>
            <w:tcW w:w="29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0"/>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U.S.</w:t>
            </w:r>
          </w:p>
        </w:tc>
        <w:tc>
          <w:tcPr>
            <w:tcW w:w="2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688"/>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20"/>
                <w:szCs w:val="20"/>
                <w:color w:val="auto"/>
              </w:rPr>
              <w:t>—</w:t>
            </w:r>
          </w:p>
        </w:tc>
      </w:tr>
      <w:tr>
        <w:trPr>
          <w:trHeight w:val="259"/>
        </w:trPr>
        <w:tc>
          <w:tcPr>
            <w:tcW w:w="2940" w:type="dxa"/>
            <w:vAlign w:val="bottom"/>
          </w:tcPr>
          <w:p>
            <w:pPr>
              <w:spacing w:after="0"/>
              <w:rPr>
                <w:sz w:val="20"/>
                <w:szCs w:val="20"/>
                <w:color w:val="auto"/>
              </w:rPr>
            </w:pPr>
            <w:r>
              <w:rPr>
                <w:rFonts w:ascii="Arial" w:cs="Arial" w:eastAsia="Arial" w:hAnsi="Arial"/>
                <w:sz w:val="20"/>
                <w:szCs w:val="20"/>
                <w:color w:val="auto"/>
              </w:rPr>
              <w:t>U.K.</w:t>
            </w:r>
          </w:p>
        </w:tc>
        <w:tc>
          <w:tcPr>
            <w:tcW w:w="26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28"/>
              <w:spacing w:after="0"/>
              <w:rPr>
                <w:sz w:val="20"/>
                <w:szCs w:val="20"/>
                <w:color w:val="auto"/>
              </w:rPr>
            </w:pPr>
            <w:r>
              <w:rPr>
                <w:rFonts w:ascii="Arial" w:cs="Arial" w:eastAsia="Arial" w:hAnsi="Arial"/>
                <w:sz w:val="20"/>
                <w:szCs w:val="20"/>
                <w:color w:val="auto"/>
              </w:rPr>
              <w:t>2</w:t>
            </w:r>
          </w:p>
        </w:tc>
        <w:tc>
          <w:tcPr>
            <w:tcW w:w="1000" w:type="dxa"/>
            <w:vAlign w:val="bottom"/>
          </w:tcPr>
          <w:p>
            <w:pPr>
              <w:jc w:val="right"/>
              <w:ind w:right="688"/>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20"/>
              <w:spacing w:after="0"/>
              <w:rPr>
                <w:sz w:val="20"/>
                <w:szCs w:val="20"/>
                <w:color w:val="auto"/>
              </w:rPr>
            </w:pPr>
            <w:r>
              <w:rPr>
                <w:rFonts w:ascii="Arial" w:cs="Arial" w:eastAsia="Arial" w:hAnsi="Arial"/>
                <w:sz w:val="20"/>
                <w:szCs w:val="20"/>
                <w:color w:val="auto"/>
              </w:rPr>
              <w:t>2</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8"/>
              <w:spacing w:after="0"/>
              <w:rPr>
                <w:sz w:val="20"/>
                <w:szCs w:val="20"/>
                <w:color w:val="auto"/>
              </w:rPr>
            </w:pPr>
            <w:r>
              <w:rPr>
                <w:rFonts w:ascii="Arial" w:cs="Arial" w:eastAsia="Arial" w:hAnsi="Arial"/>
                <w:sz w:val="20"/>
                <w:szCs w:val="20"/>
                <w:color w:val="auto"/>
              </w:rPr>
              <w:t>2</w:t>
            </w:r>
          </w:p>
        </w:tc>
      </w:tr>
      <w:tr>
        <w:trPr>
          <w:trHeight w:val="41"/>
        </w:trPr>
        <w:tc>
          <w:tcPr>
            <w:tcW w:w="29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9"/>
        </w:trPr>
        <w:tc>
          <w:tcPr>
            <w:tcW w:w="2940" w:type="dxa"/>
            <w:vAlign w:val="bottom"/>
            <w:shd w:val="clear" w:color="auto" w:fill="CFF0FC"/>
          </w:tcPr>
          <w:p>
            <w:pPr>
              <w:spacing w:after="0"/>
              <w:rPr>
                <w:sz w:val="20"/>
                <w:szCs w:val="20"/>
                <w:color w:val="auto"/>
              </w:rPr>
            </w:pPr>
            <w:r>
              <w:rPr>
                <w:rFonts w:ascii="Arial" w:cs="Arial" w:eastAsia="Arial" w:hAnsi="Arial"/>
                <w:sz w:val="20"/>
                <w:szCs w:val="20"/>
                <w:color w:val="auto"/>
              </w:rPr>
              <w:t>Other</w:t>
            </w:r>
          </w:p>
        </w:tc>
        <w:tc>
          <w:tcPr>
            <w:tcW w:w="2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20"/>
                <w:szCs w:val="20"/>
                <w:color w:val="auto"/>
              </w:rPr>
              <w:t>1</w:t>
            </w:r>
          </w:p>
        </w:tc>
        <w:tc>
          <w:tcPr>
            <w:tcW w:w="1000" w:type="dxa"/>
            <w:vAlign w:val="bottom"/>
            <w:shd w:val="clear" w:color="auto" w:fill="CFF0FC"/>
          </w:tcPr>
          <w:p>
            <w:pPr>
              <w:jc w:val="right"/>
              <w:ind w:right="688"/>
              <w:spacing w:after="0"/>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9</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20"/>
                <w:szCs w:val="20"/>
                <w:color w:val="auto"/>
              </w:rPr>
              <w:t>13</w:t>
            </w:r>
          </w:p>
        </w:tc>
      </w:tr>
      <w:tr>
        <w:trPr>
          <w:trHeight w:val="41"/>
        </w:trPr>
        <w:tc>
          <w:tcPr>
            <w:tcW w:w="2940" w:type="dxa"/>
            <w:vAlign w:val="bottom"/>
            <w:shd w:val="clear" w:color="auto" w:fill="CFF0FC"/>
          </w:tcPr>
          <w:p>
            <w:pPr>
              <w:spacing w:after="0"/>
              <w:rPr>
                <w:sz w:val="3"/>
                <w:szCs w:val="3"/>
                <w:color w:val="auto"/>
              </w:rPr>
            </w:pPr>
          </w:p>
        </w:tc>
        <w:tc>
          <w:tcPr>
            <w:tcW w:w="264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-577215</wp:posOffset>
            </wp:positionV>
            <wp:extent cx="2512060"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6">
                      <a:extLst>
                        <a:ext uri="{28A0092B-C50C-407E-A947-70E740481C1C}"/>
                      </a:extLst>
                    </a:blip>
                    <a:srcRect/>
                    <a:stretch>
                      <a:fillRect/>
                    </a:stretch>
                  </pic:blipFill>
                  <pic:spPr bwMode="auto">
                    <a:xfrm>
                      <a:off x="0" y="0"/>
                      <a:ext cx="2512060" cy="6350"/>
                    </a:xfrm>
                    <a:prstGeom prst="rect">
                      <a:avLst/>
                    </a:prstGeom>
                    <a:noFill/>
                  </pic:spPr>
                </pic:pic>
              </a:graphicData>
            </a:graphic>
          </wp:anchor>
        </w:drawing>
      </w:r>
    </w:p>
    <w:p>
      <w:pPr>
        <w:spacing w:after="0" w:line="199" w:lineRule="exact"/>
        <w:rPr>
          <w:sz w:val="20"/>
          <w:szCs w:val="20"/>
          <w:color w:val="auto"/>
        </w:rPr>
      </w:pPr>
    </w:p>
    <w:p>
      <w:pPr>
        <w:ind w:right="160"/>
        <w:spacing w:after="0" w:line="302" w:lineRule="auto"/>
        <w:rPr>
          <w:sz w:val="20"/>
          <w:szCs w:val="20"/>
          <w:color w:val="auto"/>
        </w:rPr>
      </w:pPr>
      <w:r>
        <w:rPr>
          <w:rFonts w:ascii="Arial" w:cs="Arial" w:eastAsia="Arial" w:hAnsi="Arial"/>
          <w:sz w:val="20"/>
          <w:szCs w:val="20"/>
          <w:color w:val="auto"/>
        </w:rPr>
        <w:t>Expected benefit payments from our defined benefit pension plans to current plan participants, including the effects of their expected future service, as appropriate, are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2"/>
          </w:tcPr>
          <w:p>
            <w:pPr>
              <w:jc w:val="right"/>
              <w:ind w:right="150"/>
              <w:spacing w:after="0"/>
              <w:rPr>
                <w:sz w:val="20"/>
                <w:szCs w:val="20"/>
                <w:color w:val="auto"/>
              </w:rPr>
            </w:pPr>
            <w:r>
              <w:rPr>
                <w:rFonts w:ascii="Arial" w:cs="Arial" w:eastAsia="Arial" w:hAnsi="Arial"/>
                <w:sz w:val="16"/>
                <w:szCs w:val="16"/>
                <w:b w:val="1"/>
                <w:bCs w:val="1"/>
                <w:color w:val="auto"/>
              </w:rPr>
              <w:t>Benefit Payments</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60"/>
        </w:trPr>
        <w:tc>
          <w:tcPr>
            <w:tcW w:w="2780" w:type="dxa"/>
            <w:vAlign w:val="bottom"/>
          </w:tcPr>
          <w:p>
            <w:pPr>
              <w:spacing w:after="0"/>
              <w:rPr>
                <w:sz w:val="20"/>
                <w:szCs w:val="20"/>
                <w:color w:val="auto"/>
              </w:rPr>
            </w:pPr>
            <w:r>
              <w:rPr>
                <w:rFonts w:ascii="Arial" w:cs="Arial" w:eastAsia="Arial" w:hAnsi="Arial"/>
                <w:sz w:val="16"/>
                <w:szCs w:val="16"/>
                <w:b w:val="1"/>
                <w:bCs w:val="1"/>
                <w:color w:val="auto"/>
              </w:rPr>
              <w:t>Fiscal Year</w:t>
            </w:r>
          </w:p>
        </w:tc>
        <w:tc>
          <w:tcPr>
            <w:tcW w:w="2240" w:type="dxa"/>
            <w:vAlign w:val="bottom"/>
          </w:tcPr>
          <w:p>
            <w:pPr>
              <w:spacing w:after="0"/>
              <w:rPr>
                <w:sz w:val="22"/>
                <w:szCs w:val="22"/>
                <w:color w:val="auto"/>
              </w:rPr>
            </w:pPr>
          </w:p>
        </w:tc>
        <w:tc>
          <w:tcPr>
            <w:tcW w:w="860" w:type="dxa"/>
            <w:vAlign w:val="bottom"/>
          </w:tcPr>
          <w:p>
            <w:pPr>
              <w:jc w:val="right"/>
              <w:ind w:right="367"/>
              <w:spacing w:after="0"/>
              <w:rPr>
                <w:sz w:val="20"/>
                <w:szCs w:val="20"/>
                <w:color w:val="auto"/>
              </w:rPr>
            </w:pPr>
            <w:r>
              <w:rPr>
                <w:rFonts w:ascii="Arial" w:cs="Arial" w:eastAsia="Arial" w:hAnsi="Arial"/>
                <w:sz w:val="16"/>
                <w:szCs w:val="16"/>
                <w:b w:val="1"/>
                <w:bCs w:val="1"/>
                <w:color w:val="auto"/>
              </w:rPr>
              <w:t>U.S.</w:t>
            </w:r>
          </w:p>
        </w:tc>
        <w:tc>
          <w:tcPr>
            <w:tcW w:w="320" w:type="dxa"/>
            <w:vAlign w:val="bottom"/>
          </w:tcPr>
          <w:p>
            <w:pPr>
              <w:spacing w:after="0"/>
              <w:rPr>
                <w:sz w:val="22"/>
                <w:szCs w:val="22"/>
                <w:color w:val="auto"/>
              </w:rPr>
            </w:pPr>
          </w:p>
        </w:tc>
        <w:tc>
          <w:tcPr>
            <w:tcW w:w="860" w:type="dxa"/>
            <w:vAlign w:val="bottom"/>
          </w:tcPr>
          <w:p>
            <w:pPr>
              <w:jc w:val="right"/>
              <w:ind w:right="350"/>
              <w:spacing w:after="0"/>
              <w:rPr>
                <w:sz w:val="20"/>
                <w:szCs w:val="20"/>
                <w:color w:val="auto"/>
              </w:rPr>
            </w:pPr>
            <w:r>
              <w:rPr>
                <w:rFonts w:ascii="Arial" w:cs="Arial" w:eastAsia="Arial" w:hAnsi="Arial"/>
                <w:sz w:val="16"/>
                <w:szCs w:val="16"/>
                <w:b w:val="1"/>
                <w:bCs w:val="1"/>
                <w:color w:val="auto"/>
              </w:rPr>
              <w:t>U.K.</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jc w:val="right"/>
              <w:ind w:right="307"/>
              <w:spacing w:after="0"/>
              <w:rPr>
                <w:sz w:val="20"/>
                <w:szCs w:val="20"/>
                <w:color w:val="auto"/>
              </w:rPr>
            </w:pPr>
            <w:r>
              <w:rPr>
                <w:rFonts w:ascii="Arial" w:cs="Arial" w:eastAsia="Arial" w:hAnsi="Arial"/>
                <w:sz w:val="16"/>
                <w:szCs w:val="16"/>
                <w:b w:val="1"/>
                <w:bCs w:val="1"/>
                <w:color w:val="auto"/>
              </w:rPr>
              <w:t>Total</w:t>
            </w:r>
          </w:p>
        </w:tc>
      </w:tr>
      <w:tr>
        <w:trPr>
          <w:trHeight w:val="32"/>
        </w:trPr>
        <w:tc>
          <w:tcPr>
            <w:tcW w:w="2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0"/>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22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ind w:right="27"/>
              <w:spacing w:after="0"/>
              <w:rPr>
                <w:sz w:val="20"/>
                <w:szCs w:val="20"/>
                <w:color w:val="auto"/>
              </w:rPr>
            </w:pPr>
            <w:r>
              <w:rPr>
                <w:rFonts w:ascii="Arial" w:cs="Arial" w:eastAsia="Arial" w:hAnsi="Arial"/>
                <w:sz w:val="20"/>
                <w:szCs w:val="20"/>
                <w:color w:val="auto"/>
              </w:rPr>
              <w:t>241</w:t>
            </w:r>
          </w:p>
        </w:tc>
        <w:tc>
          <w:tcPr>
            <w:tcW w:w="3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20"/>
                <w:szCs w:val="20"/>
                <w:color w:val="auto"/>
              </w:rPr>
              <w:t>132</w:t>
            </w:r>
          </w:p>
        </w:tc>
        <w:tc>
          <w:tcPr>
            <w:tcW w:w="820" w:type="dxa"/>
            <w:vAlign w:val="bottom"/>
            <w:tcBorders>
              <w:bottom w:val="single" w:sz="8" w:color="CFF0FC"/>
            </w:tcBorders>
            <w:shd w:val="clear" w:color="auto" w:fill="CFF0FC"/>
          </w:tcPr>
          <w:p>
            <w:pPr>
              <w:jc w:val="right"/>
              <w:ind w:right="530"/>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8"/>
              </w:rPr>
              <w:t>49</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ind w:right="7"/>
              <w:spacing w:after="0"/>
              <w:rPr>
                <w:sz w:val="20"/>
                <w:szCs w:val="20"/>
                <w:color w:val="auto"/>
              </w:rPr>
            </w:pPr>
            <w:r>
              <w:rPr>
                <w:rFonts w:ascii="Arial" w:cs="Arial" w:eastAsia="Arial" w:hAnsi="Arial"/>
                <w:sz w:val="20"/>
                <w:szCs w:val="20"/>
                <w:color w:val="auto"/>
              </w:rPr>
              <w:t>422</w:t>
            </w:r>
          </w:p>
        </w:tc>
      </w:tr>
      <w:tr>
        <w:trPr>
          <w:trHeight w:val="259"/>
        </w:trPr>
        <w:tc>
          <w:tcPr>
            <w:tcW w:w="2780" w:type="dxa"/>
            <w:vAlign w:val="bottom"/>
          </w:tcPr>
          <w:p>
            <w:pPr>
              <w:spacing w:after="0"/>
              <w:rPr>
                <w:sz w:val="20"/>
                <w:szCs w:val="20"/>
                <w:color w:val="auto"/>
              </w:rPr>
            </w:pPr>
            <w:r>
              <w:rPr>
                <w:rFonts w:ascii="Arial" w:cs="Arial" w:eastAsia="Arial" w:hAnsi="Arial"/>
                <w:sz w:val="20"/>
                <w:szCs w:val="20"/>
                <w:color w:val="auto"/>
              </w:rPr>
              <w:t>2027</w:t>
            </w:r>
          </w:p>
        </w:tc>
        <w:tc>
          <w:tcPr>
            <w:tcW w:w="2240" w:type="dxa"/>
            <w:vAlign w:val="bottom"/>
          </w:tcPr>
          <w:p>
            <w:pPr>
              <w:spacing w:after="0"/>
              <w:rPr>
                <w:sz w:val="22"/>
                <w:szCs w:val="22"/>
                <w:color w:val="auto"/>
              </w:rPr>
            </w:pPr>
          </w:p>
        </w:tc>
        <w:tc>
          <w:tcPr>
            <w:tcW w:w="860" w:type="dxa"/>
            <w:vAlign w:val="bottom"/>
          </w:tcPr>
          <w:p>
            <w:pPr>
              <w:jc w:val="right"/>
              <w:ind w:right="27"/>
              <w:spacing w:after="0"/>
              <w:rPr>
                <w:sz w:val="20"/>
                <w:szCs w:val="20"/>
                <w:color w:val="auto"/>
              </w:rPr>
            </w:pPr>
            <w:r>
              <w:rPr>
                <w:rFonts w:ascii="Arial" w:cs="Arial" w:eastAsia="Arial" w:hAnsi="Arial"/>
                <w:sz w:val="20"/>
                <w:szCs w:val="20"/>
                <w:color w:val="auto"/>
              </w:rPr>
              <w:t>247</w:t>
            </w:r>
          </w:p>
        </w:tc>
        <w:tc>
          <w:tcPr>
            <w:tcW w:w="32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20"/>
                <w:szCs w:val="20"/>
                <w:color w:val="auto"/>
              </w:rPr>
              <w:t>138</w:t>
            </w:r>
          </w:p>
        </w:tc>
        <w:tc>
          <w:tcPr>
            <w:tcW w:w="8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20"/>
                <w:szCs w:val="20"/>
                <w:color w:val="auto"/>
                <w:w w:val="98"/>
              </w:rPr>
              <w:t>34</w:t>
            </w:r>
          </w:p>
        </w:tc>
        <w:tc>
          <w:tcPr>
            <w:tcW w:w="320" w:type="dxa"/>
            <w:vAlign w:val="bottom"/>
          </w:tcPr>
          <w:p>
            <w:pPr>
              <w:spacing w:after="0"/>
              <w:rPr>
                <w:sz w:val="22"/>
                <w:szCs w:val="22"/>
                <w:color w:val="auto"/>
              </w:rPr>
            </w:pPr>
          </w:p>
        </w:tc>
        <w:tc>
          <w:tcPr>
            <w:tcW w:w="860" w:type="dxa"/>
            <w:vAlign w:val="bottom"/>
          </w:tcPr>
          <w:p>
            <w:pPr>
              <w:jc w:val="right"/>
              <w:ind w:right="7"/>
              <w:spacing w:after="0"/>
              <w:rPr>
                <w:sz w:val="20"/>
                <w:szCs w:val="20"/>
                <w:color w:val="auto"/>
              </w:rPr>
            </w:pPr>
            <w:r>
              <w:rPr>
                <w:rFonts w:ascii="Arial" w:cs="Arial" w:eastAsia="Arial" w:hAnsi="Arial"/>
                <w:sz w:val="20"/>
                <w:szCs w:val="20"/>
                <w:color w:val="auto"/>
              </w:rPr>
              <w:t>419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-519430</wp:posOffset>
            </wp:positionV>
            <wp:extent cx="2912110" cy="63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7">
                      <a:extLst>
                        <a:ext uri="{28A0092B-C50C-407E-A947-70E740481C1C}"/>
                      </a:extLst>
                    </a:blip>
                    <a:srcRect/>
                    <a:stretch>
                      <a:fillRect/>
                    </a:stretch>
                  </pic:blipFill>
                  <pic:spPr bwMode="auto">
                    <a:xfrm>
                      <a:off x="0" y="0"/>
                      <a:ext cx="2912110" cy="635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-360680</wp:posOffset>
            </wp:positionV>
            <wp:extent cx="2912110" cy="63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48">
                      <a:extLst>
                        <a:ext uri="{28A0092B-C50C-407E-A947-70E740481C1C}"/>
                      </a:extLst>
                    </a:blip>
                    <a:srcRect/>
                    <a:stretch>
                      <a:fillRect/>
                    </a:stretch>
                  </pic:blipFill>
                  <pic:spPr bwMode="auto">
                    <a:xfrm>
                      <a:off x="0" y="0"/>
                      <a:ext cx="291211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24</w:t>
      </w:r>
    </w:p>
    <w:p>
      <w:pPr>
        <w:sectPr>
          <w:pgSz w:w="11900" w:h="16838" w:orient="portrait"/>
          <w:cols w:equalWidth="0" w:num="1">
            <w:col w:w="9400"/>
          </w:cols>
          <w:pgMar w:left="1260" w:top="1440" w:right="1246" w:bottom="0" w:gutter="0" w:footer="0" w:header="0"/>
          <w:type w:val="continuous"/>
        </w:sectPr>
      </w:pPr>
    </w:p>
    <w:bookmarkStart w:id="241" w:name="page242"/>
    <w:bookmarkEnd w:id="241"/>
    <w:tbl>
      <w:tblPr>
        <w:tblLayout w:type="fixed"/>
        <w:tblInd w:w="0" w:type="dxa"/>
        <w:tblCellMar>
          <w:top w:w="0" w:type="dxa"/>
          <w:left w:w="0" w:type="dxa"/>
          <w:bottom w:w="0" w:type="dxa"/>
          <w:right w:w="0" w:type="dxa"/>
        </w:tblCellMar>
      </w:tblPr>
      <w:tr>
        <w:trPr>
          <w:trHeight w:val="280"/>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2028</w:t>
            </w:r>
          </w:p>
        </w:tc>
        <w:tc>
          <w:tcPr>
            <w:tcW w:w="7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255</w:t>
            </w:r>
          </w:p>
        </w:tc>
        <w:tc>
          <w:tcPr>
            <w:tcW w:w="4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139</w:t>
            </w:r>
          </w:p>
        </w:tc>
        <w:tc>
          <w:tcPr>
            <w:tcW w:w="4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36</w:t>
            </w:r>
          </w:p>
        </w:tc>
        <w:tc>
          <w:tcPr>
            <w:tcW w:w="4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430</w:t>
            </w:r>
          </w:p>
        </w:tc>
      </w:tr>
      <w:tr>
        <w:trPr>
          <w:trHeight w:val="259"/>
        </w:trPr>
        <w:tc>
          <w:tcPr>
            <w:tcW w:w="5120" w:type="dxa"/>
            <w:vAlign w:val="bottom"/>
          </w:tcPr>
          <w:p>
            <w:pPr>
              <w:spacing w:after="0"/>
              <w:rPr>
                <w:sz w:val="20"/>
                <w:szCs w:val="20"/>
                <w:color w:val="auto"/>
              </w:rPr>
            </w:pPr>
            <w:r>
              <w:rPr>
                <w:rFonts w:ascii="Arial" w:cs="Arial" w:eastAsia="Arial" w:hAnsi="Arial"/>
                <w:sz w:val="20"/>
                <w:szCs w:val="20"/>
                <w:color w:val="auto"/>
              </w:rPr>
              <w:t>2029</w:t>
            </w:r>
          </w:p>
        </w:tc>
        <w:tc>
          <w:tcPr>
            <w:tcW w:w="760" w:type="dxa"/>
            <w:vAlign w:val="bottom"/>
          </w:tcPr>
          <w:p>
            <w:pPr>
              <w:jc w:val="right"/>
              <w:ind w:right="20"/>
              <w:spacing w:after="0"/>
              <w:rPr>
                <w:sz w:val="20"/>
                <w:szCs w:val="20"/>
                <w:color w:val="auto"/>
              </w:rPr>
            </w:pPr>
            <w:r>
              <w:rPr>
                <w:rFonts w:ascii="Arial" w:cs="Arial" w:eastAsia="Arial" w:hAnsi="Arial"/>
                <w:sz w:val="20"/>
                <w:szCs w:val="20"/>
                <w:color w:val="auto"/>
              </w:rPr>
              <w:t>261</w:t>
            </w:r>
          </w:p>
        </w:tc>
        <w:tc>
          <w:tcPr>
            <w:tcW w:w="400" w:type="dxa"/>
            <w:vAlign w:val="bottom"/>
          </w:tcPr>
          <w:p>
            <w:pPr>
              <w:spacing w:after="0"/>
              <w:rPr>
                <w:sz w:val="22"/>
                <w:szCs w:val="22"/>
                <w:color w:val="auto"/>
              </w:rPr>
            </w:pPr>
          </w:p>
        </w:tc>
        <w:tc>
          <w:tcPr>
            <w:tcW w:w="780" w:type="dxa"/>
            <w:vAlign w:val="bottom"/>
          </w:tcPr>
          <w:p>
            <w:pPr>
              <w:jc w:val="right"/>
              <w:ind w:right="20"/>
              <w:spacing w:after="0"/>
              <w:rPr>
                <w:sz w:val="20"/>
                <w:szCs w:val="20"/>
                <w:color w:val="auto"/>
              </w:rPr>
            </w:pPr>
            <w:r>
              <w:rPr>
                <w:rFonts w:ascii="Arial" w:cs="Arial" w:eastAsia="Arial" w:hAnsi="Arial"/>
                <w:sz w:val="20"/>
                <w:szCs w:val="20"/>
                <w:color w:val="auto"/>
              </w:rPr>
              <w:t>145</w:t>
            </w:r>
          </w:p>
        </w:tc>
        <w:tc>
          <w:tcPr>
            <w:tcW w:w="4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38</w:t>
            </w:r>
          </w:p>
        </w:tc>
        <w:tc>
          <w:tcPr>
            <w:tcW w:w="4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444</w:t>
            </w:r>
          </w:p>
        </w:tc>
      </w:tr>
      <w:tr>
        <w:trPr>
          <w:trHeight w:val="41"/>
        </w:trPr>
        <w:tc>
          <w:tcPr>
            <w:tcW w:w="5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80"/>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2030</w:t>
            </w:r>
          </w:p>
        </w:tc>
        <w:tc>
          <w:tcPr>
            <w:tcW w:w="7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266</w:t>
            </w:r>
          </w:p>
        </w:tc>
        <w:tc>
          <w:tcPr>
            <w:tcW w:w="4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149</w:t>
            </w:r>
          </w:p>
        </w:tc>
        <w:tc>
          <w:tcPr>
            <w:tcW w:w="48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38</w:t>
            </w:r>
          </w:p>
        </w:tc>
        <w:tc>
          <w:tcPr>
            <w:tcW w:w="4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453</w:t>
            </w:r>
          </w:p>
        </w:tc>
      </w:tr>
      <w:tr>
        <w:trPr>
          <w:trHeight w:val="259"/>
        </w:trPr>
        <w:tc>
          <w:tcPr>
            <w:tcW w:w="5120" w:type="dxa"/>
            <w:vAlign w:val="bottom"/>
          </w:tcPr>
          <w:p>
            <w:pPr>
              <w:spacing w:after="0"/>
              <w:rPr>
                <w:sz w:val="20"/>
                <w:szCs w:val="20"/>
                <w:color w:val="auto"/>
              </w:rPr>
            </w:pPr>
            <w:r>
              <w:rPr>
                <w:rFonts w:ascii="Arial" w:cs="Arial" w:eastAsia="Arial" w:hAnsi="Arial"/>
                <w:sz w:val="20"/>
                <w:szCs w:val="20"/>
                <w:color w:val="auto"/>
              </w:rPr>
              <w:t>Years 2031 – 2035</w:t>
            </w:r>
          </w:p>
        </w:tc>
        <w:tc>
          <w:tcPr>
            <w:tcW w:w="760" w:type="dxa"/>
            <w:vAlign w:val="bottom"/>
          </w:tcPr>
          <w:p>
            <w:pPr>
              <w:jc w:val="right"/>
              <w:ind w:right="20"/>
              <w:spacing w:after="0"/>
              <w:rPr>
                <w:sz w:val="20"/>
                <w:szCs w:val="20"/>
                <w:color w:val="auto"/>
              </w:rPr>
            </w:pPr>
            <w:r>
              <w:rPr>
                <w:rFonts w:ascii="Arial" w:cs="Arial" w:eastAsia="Arial" w:hAnsi="Arial"/>
                <w:sz w:val="20"/>
                <w:szCs w:val="20"/>
                <w:color w:val="auto"/>
              </w:rPr>
              <w:t>1,356</w:t>
            </w:r>
          </w:p>
        </w:tc>
        <w:tc>
          <w:tcPr>
            <w:tcW w:w="400" w:type="dxa"/>
            <w:vAlign w:val="bottom"/>
          </w:tcPr>
          <w:p>
            <w:pPr>
              <w:spacing w:after="0"/>
              <w:rPr>
                <w:sz w:val="22"/>
                <w:szCs w:val="22"/>
                <w:color w:val="auto"/>
              </w:rPr>
            </w:pPr>
          </w:p>
        </w:tc>
        <w:tc>
          <w:tcPr>
            <w:tcW w:w="780" w:type="dxa"/>
            <w:vAlign w:val="bottom"/>
          </w:tcPr>
          <w:p>
            <w:pPr>
              <w:jc w:val="right"/>
              <w:ind w:right="20"/>
              <w:spacing w:after="0"/>
              <w:rPr>
                <w:sz w:val="20"/>
                <w:szCs w:val="20"/>
                <w:color w:val="auto"/>
              </w:rPr>
            </w:pPr>
            <w:r>
              <w:rPr>
                <w:rFonts w:ascii="Arial" w:cs="Arial" w:eastAsia="Arial" w:hAnsi="Arial"/>
                <w:sz w:val="20"/>
                <w:szCs w:val="20"/>
                <w:color w:val="auto"/>
              </w:rPr>
              <w:t>792</w:t>
            </w:r>
          </w:p>
        </w:tc>
        <w:tc>
          <w:tcPr>
            <w:tcW w:w="4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228</w:t>
            </w:r>
          </w:p>
        </w:tc>
        <w:tc>
          <w:tcPr>
            <w:tcW w:w="4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2,376</w:t>
            </w:r>
          </w:p>
        </w:tc>
      </w:tr>
      <w:tr>
        <w:trPr>
          <w:trHeight w:val="51"/>
        </w:trPr>
        <w:tc>
          <w:tcPr>
            <w:tcW w:w="5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9"/>
        </w:trPr>
        <w:tc>
          <w:tcPr>
            <w:tcW w:w="5120" w:type="dxa"/>
            <w:vAlign w:val="bottom"/>
            <w:shd w:val="clear" w:color="auto" w:fill="CFF0FC"/>
          </w:tcPr>
          <w:p>
            <w:pPr>
              <w:ind w:left="4800"/>
              <w:spacing w:after="0"/>
              <w:rPr>
                <w:sz w:val="20"/>
                <w:szCs w:val="20"/>
                <w:color w:val="auto"/>
              </w:rPr>
            </w:pPr>
            <w:r>
              <w:rPr>
                <w:rFonts w:ascii="Arial" w:cs="Arial" w:eastAsia="Arial" w:hAnsi="Arial"/>
                <w:sz w:val="20"/>
                <w:szCs w:val="20"/>
                <w:color w:val="auto"/>
              </w:rPr>
              <w:t>$</w:t>
            </w:r>
          </w:p>
        </w:tc>
        <w:tc>
          <w:tcPr>
            <w:tcW w:w="7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2,626</w:t>
            </w:r>
          </w:p>
        </w:tc>
        <w:tc>
          <w:tcPr>
            <w:tcW w:w="40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1,495</w:t>
            </w:r>
          </w:p>
        </w:tc>
        <w:tc>
          <w:tcPr>
            <w:tcW w:w="480" w:type="dxa"/>
            <w:vAlign w:val="bottom"/>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423</w:t>
            </w:r>
          </w:p>
        </w:tc>
        <w:tc>
          <w:tcPr>
            <w:tcW w:w="42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4,544</w:t>
            </w:r>
          </w:p>
        </w:tc>
      </w:tr>
      <w:tr>
        <w:trPr>
          <w:trHeight w:val="86"/>
        </w:trPr>
        <w:tc>
          <w:tcPr>
            <w:tcW w:w="512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-224790</wp:posOffset>
            </wp:positionV>
            <wp:extent cx="2912110" cy="63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49">
                      <a:extLst>
                        <a:ext uri="{28A0092B-C50C-407E-A947-70E740481C1C}"/>
                      </a:extLst>
                    </a:blip>
                    <a:srcRect/>
                    <a:stretch>
                      <a:fillRect/>
                    </a:stretch>
                  </pic:blipFill>
                  <pic:spPr bwMode="auto">
                    <a:xfrm>
                      <a:off x="0" y="0"/>
                      <a:ext cx="2912110" cy="635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-27940</wp:posOffset>
            </wp:positionV>
            <wp:extent cx="2912110" cy="285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0">
                      <a:extLst>
                        <a:ext uri="{28A0092B-C50C-407E-A947-70E740481C1C}"/>
                      </a:extLst>
                    </a:blip>
                    <a:srcRect/>
                    <a:stretch>
                      <a:fillRect/>
                    </a:stretch>
                  </pic:blipFill>
                  <pic:spPr bwMode="auto">
                    <a:xfrm>
                      <a:off x="0" y="0"/>
                      <a:ext cx="2912110" cy="2857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Contribution Plans</w:t>
      </w:r>
    </w:p>
    <w:p>
      <w:pPr>
        <w:spacing w:after="0" w:line="260" w:lineRule="exact"/>
        <w:rPr>
          <w:sz w:val="20"/>
          <w:szCs w:val="20"/>
          <w:color w:val="auto"/>
        </w:rPr>
      </w:pPr>
    </w:p>
    <w:p>
      <w:pPr>
        <w:ind w:right="40"/>
        <w:spacing w:after="0" w:line="302" w:lineRule="auto"/>
        <w:rPr>
          <w:sz w:val="20"/>
          <w:szCs w:val="20"/>
          <w:color w:val="auto"/>
        </w:rPr>
      </w:pPr>
      <w:r>
        <w:rPr>
          <w:rFonts w:ascii="Arial" w:cs="Arial" w:eastAsia="Arial" w:hAnsi="Arial"/>
          <w:sz w:val="20"/>
          <w:szCs w:val="20"/>
          <w:color w:val="auto"/>
        </w:rPr>
        <w:t>We have defined contribution plans covering eligible employees in many countries. The most significant plans are in the U.S. and U.K. and are described here.</w:t>
      </w:r>
    </w:p>
    <w:p>
      <w:pPr>
        <w:spacing w:after="0" w:line="201" w:lineRule="exact"/>
        <w:rPr>
          <w:sz w:val="20"/>
          <w:szCs w:val="20"/>
          <w:color w:val="auto"/>
        </w:rPr>
      </w:pPr>
    </w:p>
    <w:p>
      <w:pPr>
        <w:ind w:right="80"/>
        <w:spacing w:after="0" w:line="309" w:lineRule="auto"/>
        <w:rPr>
          <w:sz w:val="20"/>
          <w:szCs w:val="20"/>
          <w:color w:val="auto"/>
        </w:rPr>
      </w:pPr>
      <w:r>
        <w:rPr>
          <w:rFonts w:ascii="Arial" w:cs="Arial" w:eastAsia="Arial" w:hAnsi="Arial"/>
          <w:sz w:val="20"/>
          <w:szCs w:val="20"/>
          <w:color w:val="auto"/>
        </w:rPr>
        <w:t>We have a U.S. defined contribution plan covering all eligible employees of WTW. The plan allowed participants to make pre-tax and Roth after-tax contributions, and the Company provided a 100% match on the first 1% of employee contributions and a 50% match on the next 5% of employee contributions. Effective January 2024, the Company provides to non-BDO participants a non-elective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24</w:t>
      </w:r>
    </w:p>
    <w:p>
      <w:pPr>
        <w:sectPr>
          <w:pgSz w:w="11900" w:h="16838" w:orient="portrait"/>
          <w:cols w:equalWidth="0" w:num="1">
            <w:col w:w="9400"/>
          </w:cols>
          <w:pgMar w:left="1260" w:top="1133" w:right="1246" w:bottom="0" w:gutter="0" w:footer="0" w:header="0"/>
          <w:type w:val="continuous"/>
        </w:sectPr>
      </w:pPr>
    </w:p>
    <w:bookmarkStart w:id="242" w:name="page243"/>
    <w:bookmarkEnd w:id="2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company contribution of</w:t>
      </w:r>
    </w:p>
    <w:p>
      <w:pPr>
        <w:spacing w:after="0" w:line="80" w:lineRule="exact"/>
        <w:rPr>
          <w:sz w:val="20"/>
          <w:szCs w:val="20"/>
          <w:color w:val="auto"/>
        </w:rPr>
      </w:pPr>
    </w:p>
    <w:p>
      <w:pPr>
        <w:ind w:right="360"/>
        <w:spacing w:after="0" w:line="355" w:lineRule="auto"/>
        <w:rPr>
          <w:sz w:val="20"/>
          <w:szCs w:val="20"/>
          <w:color w:val="auto"/>
        </w:rPr>
      </w:pPr>
      <w:r>
        <w:rPr>
          <w:rFonts w:ascii="Arial" w:cs="Arial" w:eastAsia="Arial" w:hAnsi="Arial"/>
          <w:sz w:val="18"/>
          <w:szCs w:val="18"/>
          <w:color w:val="auto"/>
        </w:rPr>
        <w:t>3.5% of eligible earnings, regardless of the contributions they make to the plan. Participants employed in BDO business entities will continue under the prior formula. Employees vest in the Company match upon two years of service. All investment assets of the plan are held in a trust account administered by independent trustees.</w:t>
      </w:r>
    </w:p>
    <w:p>
      <w:pPr>
        <w:spacing w:after="0" w:line="162" w:lineRule="exact"/>
        <w:rPr>
          <w:sz w:val="20"/>
          <w:szCs w:val="20"/>
          <w:color w:val="auto"/>
        </w:rPr>
      </w:pPr>
    </w:p>
    <w:p>
      <w:pPr>
        <w:ind w:right="520"/>
        <w:spacing w:after="0" w:line="307" w:lineRule="auto"/>
        <w:rPr>
          <w:sz w:val="20"/>
          <w:szCs w:val="20"/>
          <w:color w:val="auto"/>
        </w:rPr>
      </w:pPr>
      <w:r>
        <w:rPr>
          <w:rFonts w:ascii="Arial" w:cs="Arial" w:eastAsia="Arial" w:hAnsi="Arial"/>
          <w:sz w:val="20"/>
          <w:szCs w:val="20"/>
          <w:color w:val="auto"/>
        </w:rPr>
        <w:t>Our U.K. pension plans provide for a defined contribution component as part of a master trust. We make contributions to the plan, a portion of which represents matching contributions made by the participants up to a maximum rate.</w:t>
      </w:r>
    </w:p>
    <w:p>
      <w:pPr>
        <w:spacing w:after="0" w:line="197" w:lineRule="exact"/>
        <w:rPr>
          <w:sz w:val="20"/>
          <w:szCs w:val="20"/>
          <w:color w:val="auto"/>
        </w:rPr>
      </w:pPr>
    </w:p>
    <w:p>
      <w:pPr>
        <w:ind w:right="420"/>
        <w:spacing w:after="0" w:line="302" w:lineRule="auto"/>
        <w:rPr>
          <w:sz w:val="20"/>
          <w:szCs w:val="20"/>
          <w:color w:val="auto"/>
        </w:rPr>
      </w:pPr>
      <w:r>
        <w:rPr>
          <w:rFonts w:ascii="Arial" w:cs="Arial" w:eastAsia="Arial" w:hAnsi="Arial"/>
          <w:sz w:val="20"/>
          <w:szCs w:val="20"/>
          <w:color w:val="auto"/>
        </w:rPr>
        <w:t>We had defined contribution plan expense for the years ended December 31, 2025, 2024 and 2023 amounting to $170 million, $169 million and $158 million,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 Leases</w:t>
      </w:r>
    </w:p>
    <w:p>
      <w:pPr>
        <w:spacing w:after="0" w:line="260" w:lineRule="exact"/>
        <w:rPr>
          <w:sz w:val="20"/>
          <w:szCs w:val="20"/>
          <w:color w:val="auto"/>
        </w:rPr>
      </w:pPr>
    </w:p>
    <w:p>
      <w:pPr>
        <w:ind w:right="40"/>
        <w:spacing w:after="0" w:line="330" w:lineRule="auto"/>
        <w:rPr>
          <w:sz w:val="20"/>
          <w:szCs w:val="20"/>
          <w:color w:val="auto"/>
        </w:rPr>
      </w:pPr>
      <w:r>
        <w:rPr>
          <w:rFonts w:ascii="Arial" w:cs="Arial" w:eastAsia="Arial" w:hAnsi="Arial"/>
          <w:sz w:val="19"/>
          <w:szCs w:val="19"/>
          <w:color w:val="auto"/>
        </w:rPr>
        <w:t>The following tables present amounts recorded on our consolidated balance sheets at December 31, 2025 and 2024, classified as either operating or finance leases. Operating leases are presented separately on our consolidated balance sheets. For the finance leases, the ROU assets are included in fixed assets, net, and the liabilities are classified within Other current liabilities and Other non-current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160" w:type="dxa"/>
            <w:vAlign w:val="bottom"/>
            <w:gridSpan w:val="3"/>
          </w:tcPr>
          <w:p>
            <w:pPr>
              <w:jc w:val="center"/>
              <w:ind w:left="448"/>
              <w:spacing w:after="0"/>
              <w:rPr>
                <w:sz w:val="20"/>
                <w:szCs w:val="20"/>
                <w:color w:val="auto"/>
              </w:rPr>
            </w:pPr>
            <w:r>
              <w:rPr>
                <w:rFonts w:ascii="Arial" w:cs="Arial" w:eastAsia="Arial" w:hAnsi="Arial"/>
                <w:sz w:val="16"/>
                <w:szCs w:val="16"/>
                <w:b w:val="1"/>
                <w:bCs w:val="1"/>
                <w:color w:val="auto"/>
                <w:w w:val="90"/>
              </w:rPr>
              <w:t>December 31, 2025</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gridSpan w:val="3"/>
          </w:tcPr>
          <w:p>
            <w:pPr>
              <w:jc w:val="center"/>
              <w:ind w:left="608"/>
              <w:spacing w:after="0"/>
              <w:rPr>
                <w:sz w:val="20"/>
                <w:szCs w:val="20"/>
                <w:color w:val="auto"/>
              </w:rPr>
            </w:pPr>
            <w:r>
              <w:rPr>
                <w:rFonts w:ascii="Arial" w:cs="Arial" w:eastAsia="Arial" w:hAnsi="Arial"/>
                <w:sz w:val="16"/>
                <w:szCs w:val="16"/>
                <w:b w:val="1"/>
                <w:bCs w:val="1"/>
                <w:color w:val="auto"/>
                <w:w w:val="88"/>
              </w:rPr>
              <w:t>December 31, 2024</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50"/>
        </w:trPr>
        <w:tc>
          <w:tcPr>
            <w:tcW w:w="2560" w:type="dxa"/>
            <w:vAlign w:val="bottom"/>
          </w:tcPr>
          <w:p>
            <w:pPr>
              <w:spacing w:after="0"/>
              <w:rPr>
                <w:sz w:val="21"/>
                <w:szCs w:val="21"/>
                <w:color w:val="auto"/>
              </w:rPr>
            </w:pPr>
          </w:p>
        </w:tc>
        <w:tc>
          <w:tcPr>
            <w:tcW w:w="1460" w:type="dxa"/>
            <w:vAlign w:val="bottom"/>
            <w:gridSpan w:val="2"/>
          </w:tcPr>
          <w:p>
            <w:pPr>
              <w:jc w:val="right"/>
              <w:ind w:right="128"/>
              <w:spacing w:after="0"/>
              <w:rPr>
                <w:sz w:val="20"/>
                <w:szCs w:val="20"/>
                <w:color w:val="auto"/>
              </w:rPr>
            </w:pPr>
            <w:r>
              <w:rPr>
                <w:rFonts w:ascii="Arial" w:cs="Arial" w:eastAsia="Arial" w:hAnsi="Arial"/>
                <w:sz w:val="16"/>
                <w:szCs w:val="16"/>
                <w:b w:val="1"/>
                <w:bCs w:val="1"/>
                <w:color w:val="auto"/>
              </w:rPr>
              <w:t>Operating</w:t>
            </w:r>
          </w:p>
        </w:tc>
        <w:tc>
          <w:tcPr>
            <w:tcW w:w="240" w:type="dxa"/>
            <w:vAlign w:val="bottom"/>
          </w:tcPr>
          <w:p>
            <w:pPr>
              <w:spacing w:after="0"/>
              <w:rPr>
                <w:sz w:val="21"/>
                <w:szCs w:val="21"/>
                <w:color w:val="auto"/>
              </w:rPr>
            </w:pPr>
          </w:p>
        </w:tc>
        <w:tc>
          <w:tcPr>
            <w:tcW w:w="1100" w:type="dxa"/>
            <w:vAlign w:val="bottom"/>
          </w:tcPr>
          <w:p>
            <w:pPr>
              <w:jc w:val="center"/>
              <w:ind w:right="428"/>
              <w:spacing w:after="0"/>
              <w:rPr>
                <w:sz w:val="20"/>
                <w:szCs w:val="20"/>
                <w:color w:val="auto"/>
              </w:rPr>
            </w:pPr>
            <w:r>
              <w:rPr>
                <w:rFonts w:ascii="Arial" w:cs="Arial" w:eastAsia="Arial" w:hAnsi="Arial"/>
                <w:sz w:val="16"/>
                <w:szCs w:val="16"/>
                <w:b w:val="1"/>
                <w:bCs w:val="1"/>
                <w:color w:val="auto"/>
                <w:w w:val="89"/>
              </w:rPr>
              <w:t>Finance</w:t>
            </w:r>
          </w:p>
        </w:tc>
        <w:tc>
          <w:tcPr>
            <w:tcW w:w="800" w:type="dxa"/>
            <w:vAlign w:val="bottom"/>
          </w:tcPr>
          <w:p>
            <w:pPr>
              <w:jc w:val="right"/>
              <w:ind w:right="268"/>
              <w:spacing w:after="0"/>
              <w:rPr>
                <w:sz w:val="20"/>
                <w:szCs w:val="20"/>
                <w:color w:val="auto"/>
              </w:rPr>
            </w:pPr>
            <w:r>
              <w:rPr>
                <w:rFonts w:ascii="Arial" w:cs="Arial" w:eastAsia="Arial" w:hAnsi="Arial"/>
                <w:sz w:val="16"/>
                <w:szCs w:val="16"/>
                <w:b w:val="1"/>
                <w:bCs w:val="1"/>
                <w:color w:val="auto"/>
              </w:rPr>
              <w:t>Total</w:t>
            </w:r>
          </w:p>
        </w:tc>
        <w:tc>
          <w:tcPr>
            <w:tcW w:w="1100" w:type="dxa"/>
            <w:vAlign w:val="bottom"/>
            <w:gridSpan w:val="2"/>
          </w:tcPr>
          <w:p>
            <w:pPr>
              <w:jc w:val="right"/>
              <w:ind w:right="128"/>
              <w:spacing w:after="0"/>
              <w:rPr>
                <w:sz w:val="20"/>
                <w:szCs w:val="20"/>
                <w:color w:val="auto"/>
              </w:rPr>
            </w:pPr>
            <w:r>
              <w:rPr>
                <w:rFonts w:ascii="Arial" w:cs="Arial" w:eastAsia="Arial" w:hAnsi="Arial"/>
                <w:sz w:val="16"/>
                <w:szCs w:val="16"/>
                <w:b w:val="1"/>
                <w:bCs w:val="1"/>
                <w:color w:val="auto"/>
              </w:rPr>
              <w:t>Operating</w:t>
            </w:r>
          </w:p>
        </w:tc>
        <w:tc>
          <w:tcPr>
            <w:tcW w:w="240" w:type="dxa"/>
            <w:vAlign w:val="bottom"/>
          </w:tcPr>
          <w:p>
            <w:pPr>
              <w:spacing w:after="0"/>
              <w:rPr>
                <w:sz w:val="21"/>
                <w:szCs w:val="21"/>
                <w:color w:val="auto"/>
              </w:rPr>
            </w:pPr>
          </w:p>
        </w:tc>
        <w:tc>
          <w:tcPr>
            <w:tcW w:w="940" w:type="dxa"/>
            <w:vAlign w:val="bottom"/>
          </w:tcPr>
          <w:p>
            <w:pPr>
              <w:jc w:val="center"/>
              <w:ind w:right="268"/>
              <w:spacing w:after="0"/>
              <w:rPr>
                <w:sz w:val="20"/>
                <w:szCs w:val="20"/>
                <w:color w:val="auto"/>
              </w:rPr>
            </w:pPr>
            <w:r>
              <w:rPr>
                <w:rFonts w:ascii="Arial" w:cs="Arial" w:eastAsia="Arial" w:hAnsi="Arial"/>
                <w:sz w:val="16"/>
                <w:szCs w:val="16"/>
                <w:b w:val="1"/>
                <w:bCs w:val="1"/>
                <w:color w:val="auto"/>
                <w:w w:val="89"/>
              </w:rPr>
              <w:t>Finance</w:t>
            </w:r>
          </w:p>
        </w:tc>
        <w:tc>
          <w:tcPr>
            <w:tcW w:w="180" w:type="dxa"/>
            <w:vAlign w:val="bottom"/>
          </w:tcPr>
          <w:p>
            <w:pPr>
              <w:spacing w:after="0"/>
              <w:rPr>
                <w:sz w:val="21"/>
                <w:szCs w:val="21"/>
                <w:color w:val="auto"/>
              </w:rPr>
            </w:pPr>
          </w:p>
        </w:tc>
        <w:tc>
          <w:tcPr>
            <w:tcW w:w="780" w:type="dxa"/>
            <w:vAlign w:val="bottom"/>
          </w:tcPr>
          <w:p>
            <w:pPr>
              <w:jc w:val="right"/>
              <w:ind w:right="268"/>
              <w:spacing w:after="0"/>
              <w:rPr>
                <w:sz w:val="20"/>
                <w:szCs w:val="20"/>
                <w:color w:val="auto"/>
              </w:rPr>
            </w:pPr>
            <w:r>
              <w:rPr>
                <w:rFonts w:ascii="Arial" w:cs="Arial" w:eastAsia="Arial" w:hAnsi="Arial"/>
                <w:sz w:val="16"/>
                <w:szCs w:val="16"/>
                <w:b w:val="1"/>
                <w:bCs w:val="1"/>
                <w:color w:val="auto"/>
              </w:rPr>
              <w:t>Total</w:t>
            </w:r>
          </w:p>
        </w:tc>
      </w:tr>
      <w:tr>
        <w:trPr>
          <w:trHeight w:val="240"/>
        </w:trPr>
        <w:tc>
          <w:tcPr>
            <w:tcW w:w="2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jc w:val="right"/>
              <w:ind w:right="228"/>
              <w:spacing w:after="0"/>
              <w:rPr>
                <w:sz w:val="20"/>
                <w:szCs w:val="20"/>
                <w:color w:val="auto"/>
              </w:rPr>
            </w:pPr>
            <w:r>
              <w:rPr>
                <w:rFonts w:ascii="Arial" w:cs="Arial" w:eastAsia="Arial" w:hAnsi="Arial"/>
                <w:sz w:val="16"/>
                <w:szCs w:val="16"/>
                <w:b w:val="1"/>
                <w:bCs w:val="1"/>
                <w:color w:val="auto"/>
                <w:w w:val="88"/>
              </w:rPr>
              <w:t>Leases</w:t>
            </w:r>
          </w:p>
        </w:tc>
        <w:tc>
          <w:tcPr>
            <w:tcW w:w="240" w:type="dxa"/>
            <w:vAlign w:val="bottom"/>
          </w:tcPr>
          <w:p>
            <w:pPr>
              <w:spacing w:after="0"/>
              <w:rPr>
                <w:sz w:val="20"/>
                <w:szCs w:val="20"/>
                <w:color w:val="auto"/>
              </w:rPr>
            </w:pPr>
          </w:p>
        </w:tc>
        <w:tc>
          <w:tcPr>
            <w:tcW w:w="1100" w:type="dxa"/>
            <w:vAlign w:val="bottom"/>
          </w:tcPr>
          <w:p>
            <w:pPr>
              <w:jc w:val="center"/>
              <w:ind w:right="388"/>
              <w:spacing w:after="0"/>
              <w:rPr>
                <w:sz w:val="20"/>
                <w:szCs w:val="20"/>
                <w:color w:val="auto"/>
              </w:rPr>
            </w:pPr>
            <w:r>
              <w:rPr>
                <w:rFonts w:ascii="Arial" w:cs="Arial" w:eastAsia="Arial" w:hAnsi="Arial"/>
                <w:sz w:val="16"/>
                <w:szCs w:val="16"/>
                <w:b w:val="1"/>
                <w:bCs w:val="1"/>
                <w:color w:val="auto"/>
                <w:w w:val="84"/>
              </w:rPr>
              <w:t>Leases</w:t>
            </w:r>
          </w:p>
        </w:tc>
        <w:tc>
          <w:tcPr>
            <w:tcW w:w="800" w:type="dxa"/>
            <w:vAlign w:val="bottom"/>
          </w:tcPr>
          <w:p>
            <w:pPr>
              <w:jc w:val="right"/>
              <w:ind w:right="208"/>
              <w:spacing w:after="0"/>
              <w:rPr>
                <w:sz w:val="20"/>
                <w:szCs w:val="20"/>
                <w:color w:val="auto"/>
              </w:rPr>
            </w:pPr>
            <w:r>
              <w:rPr>
                <w:rFonts w:ascii="Arial" w:cs="Arial" w:eastAsia="Arial" w:hAnsi="Arial"/>
                <w:sz w:val="16"/>
                <w:szCs w:val="16"/>
                <w:b w:val="1"/>
                <w:bCs w:val="1"/>
                <w:color w:val="auto"/>
                <w:w w:val="88"/>
              </w:rPr>
              <w:t>Leases</w:t>
            </w:r>
          </w:p>
        </w:tc>
        <w:tc>
          <w:tcPr>
            <w:tcW w:w="260" w:type="dxa"/>
            <w:vAlign w:val="bottom"/>
          </w:tcPr>
          <w:p>
            <w:pPr>
              <w:spacing w:after="0"/>
              <w:rPr>
                <w:sz w:val="20"/>
                <w:szCs w:val="20"/>
                <w:color w:val="auto"/>
              </w:rPr>
            </w:pPr>
          </w:p>
        </w:tc>
        <w:tc>
          <w:tcPr>
            <w:tcW w:w="840" w:type="dxa"/>
            <w:vAlign w:val="bottom"/>
          </w:tcPr>
          <w:p>
            <w:pPr>
              <w:jc w:val="right"/>
              <w:ind w:right="228"/>
              <w:spacing w:after="0"/>
              <w:rPr>
                <w:sz w:val="20"/>
                <w:szCs w:val="20"/>
                <w:color w:val="auto"/>
              </w:rPr>
            </w:pPr>
            <w:r>
              <w:rPr>
                <w:rFonts w:ascii="Arial" w:cs="Arial" w:eastAsia="Arial" w:hAnsi="Arial"/>
                <w:sz w:val="16"/>
                <w:szCs w:val="16"/>
                <w:b w:val="1"/>
                <w:bCs w:val="1"/>
                <w:color w:val="auto"/>
                <w:w w:val="92"/>
              </w:rPr>
              <w:t>Leases</w:t>
            </w:r>
          </w:p>
        </w:tc>
        <w:tc>
          <w:tcPr>
            <w:tcW w:w="240" w:type="dxa"/>
            <w:vAlign w:val="bottom"/>
          </w:tcPr>
          <w:p>
            <w:pPr>
              <w:spacing w:after="0"/>
              <w:rPr>
                <w:sz w:val="20"/>
                <w:szCs w:val="20"/>
                <w:color w:val="auto"/>
              </w:rPr>
            </w:pPr>
          </w:p>
        </w:tc>
        <w:tc>
          <w:tcPr>
            <w:tcW w:w="940" w:type="dxa"/>
            <w:vAlign w:val="bottom"/>
          </w:tcPr>
          <w:p>
            <w:pPr>
              <w:jc w:val="center"/>
              <w:ind w:right="228"/>
              <w:spacing w:after="0"/>
              <w:rPr>
                <w:sz w:val="20"/>
                <w:szCs w:val="20"/>
                <w:color w:val="auto"/>
              </w:rPr>
            </w:pPr>
            <w:r>
              <w:rPr>
                <w:rFonts w:ascii="Arial" w:cs="Arial" w:eastAsia="Arial" w:hAnsi="Arial"/>
                <w:sz w:val="16"/>
                <w:szCs w:val="16"/>
                <w:b w:val="1"/>
                <w:bCs w:val="1"/>
                <w:color w:val="auto"/>
                <w:w w:val="84"/>
              </w:rPr>
              <w:t>Leases</w:t>
            </w:r>
          </w:p>
        </w:tc>
        <w:tc>
          <w:tcPr>
            <w:tcW w:w="180" w:type="dxa"/>
            <w:vAlign w:val="bottom"/>
          </w:tcPr>
          <w:p>
            <w:pPr>
              <w:spacing w:after="0"/>
              <w:rPr>
                <w:sz w:val="20"/>
                <w:szCs w:val="20"/>
                <w:color w:val="auto"/>
              </w:rPr>
            </w:pPr>
          </w:p>
        </w:tc>
        <w:tc>
          <w:tcPr>
            <w:tcW w:w="780" w:type="dxa"/>
            <w:vAlign w:val="bottom"/>
          </w:tcPr>
          <w:p>
            <w:pPr>
              <w:jc w:val="right"/>
              <w:ind w:right="208"/>
              <w:spacing w:after="0"/>
              <w:rPr>
                <w:sz w:val="20"/>
                <w:szCs w:val="20"/>
                <w:color w:val="auto"/>
              </w:rPr>
            </w:pPr>
            <w:r>
              <w:rPr>
                <w:rFonts w:ascii="Arial" w:cs="Arial" w:eastAsia="Arial" w:hAnsi="Arial"/>
                <w:sz w:val="16"/>
                <w:szCs w:val="16"/>
                <w:b w:val="1"/>
                <w:bCs w:val="1"/>
                <w:color w:val="auto"/>
                <w:w w:val="84"/>
              </w:rPr>
              <w:t>Leases</w:t>
            </w:r>
          </w:p>
        </w:tc>
      </w:tr>
      <w:tr>
        <w:trPr>
          <w:trHeight w:val="42"/>
        </w:trPr>
        <w:tc>
          <w:tcPr>
            <w:tcW w:w="2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0"/>
        </w:trPr>
        <w:tc>
          <w:tcPr>
            <w:tcW w:w="2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Right-of-use assets</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20"/>
                <w:szCs w:val="20"/>
                <w:color w:val="auto"/>
              </w:rPr>
              <w:t>487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  $</w:t>
            </w:r>
          </w:p>
        </w:tc>
        <w:tc>
          <w:tcPr>
            <w:tcW w:w="80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20"/>
                <w:szCs w:val="20"/>
                <w:color w:val="auto"/>
              </w:rPr>
              <w:t>487</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20"/>
                <w:szCs w:val="20"/>
                <w:color w:val="auto"/>
              </w:rPr>
              <w:t>485</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20"/>
                <w:szCs w:val="20"/>
                <w:color w:val="auto"/>
              </w:rPr>
              <w:t>1</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78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20"/>
                <w:szCs w:val="20"/>
                <w:color w:val="auto"/>
              </w:rPr>
              <w:t>486</w:t>
            </w:r>
          </w:p>
        </w:tc>
      </w:tr>
      <w:tr>
        <w:trPr>
          <w:trHeight w:val="259"/>
        </w:trPr>
        <w:tc>
          <w:tcPr>
            <w:tcW w:w="2560" w:type="dxa"/>
            <w:vAlign w:val="bottom"/>
          </w:tcPr>
          <w:p>
            <w:pPr>
              <w:spacing w:after="0"/>
              <w:rPr>
                <w:sz w:val="20"/>
                <w:szCs w:val="20"/>
                <w:color w:val="auto"/>
              </w:rPr>
            </w:pPr>
            <w:r>
              <w:rPr>
                <w:rFonts w:ascii="Arial" w:cs="Arial" w:eastAsia="Arial" w:hAnsi="Arial"/>
                <w:sz w:val="20"/>
                <w:szCs w:val="20"/>
                <w:color w:val="auto"/>
              </w:rPr>
              <w:t>Current lease liabilities</w:t>
            </w:r>
          </w:p>
        </w:tc>
        <w:tc>
          <w:tcPr>
            <w:tcW w:w="6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20"/>
                <w:szCs w:val="20"/>
                <w:color w:val="auto"/>
              </w:rPr>
              <w:t>125</w:t>
            </w:r>
          </w:p>
        </w:tc>
        <w:tc>
          <w:tcPr>
            <w:tcW w:w="240" w:type="dxa"/>
            <w:vAlign w:val="bottom"/>
          </w:tcPr>
          <w:p>
            <w:pPr>
              <w:spacing w:after="0"/>
              <w:rPr>
                <w:sz w:val="22"/>
                <w:szCs w:val="22"/>
                <w:color w:val="auto"/>
              </w:rPr>
            </w:pPr>
          </w:p>
        </w:tc>
        <w:tc>
          <w:tcPr>
            <w:tcW w:w="1100" w:type="dxa"/>
            <w:vAlign w:val="bottom"/>
          </w:tcPr>
          <w:p>
            <w:pPr>
              <w:jc w:val="right"/>
              <w:ind w:right="268"/>
              <w:spacing w:after="0"/>
              <w:rPr>
                <w:sz w:val="20"/>
                <w:szCs w:val="20"/>
                <w:color w:val="auto"/>
              </w:rPr>
            </w:pPr>
            <w:r>
              <w:rPr>
                <w:rFonts w:ascii="Arial" w:cs="Arial" w:eastAsia="Arial" w:hAnsi="Arial"/>
                <w:sz w:val="20"/>
                <w:szCs w:val="20"/>
                <w:color w:val="auto"/>
              </w:rPr>
              <w:t>2</w:t>
            </w:r>
          </w:p>
        </w:tc>
        <w:tc>
          <w:tcPr>
            <w:tcW w:w="800" w:type="dxa"/>
            <w:vAlign w:val="bottom"/>
          </w:tcPr>
          <w:p>
            <w:pPr>
              <w:jc w:val="right"/>
              <w:ind w:right="8"/>
              <w:spacing w:after="0"/>
              <w:rPr>
                <w:sz w:val="20"/>
                <w:szCs w:val="20"/>
                <w:color w:val="auto"/>
              </w:rPr>
            </w:pPr>
            <w:r>
              <w:rPr>
                <w:rFonts w:ascii="Arial" w:cs="Arial" w:eastAsia="Arial" w:hAnsi="Arial"/>
                <w:sz w:val="20"/>
                <w:szCs w:val="20"/>
                <w:color w:val="auto"/>
              </w:rPr>
              <w:t>127</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20"/>
                <w:szCs w:val="20"/>
                <w:color w:val="auto"/>
              </w:rPr>
              <w:t>118</w:t>
            </w:r>
          </w:p>
        </w:tc>
        <w:tc>
          <w:tcPr>
            <w:tcW w:w="240" w:type="dxa"/>
            <w:vAlign w:val="bottom"/>
          </w:tcPr>
          <w:p>
            <w:pPr>
              <w:spacing w:after="0"/>
              <w:rPr>
                <w:sz w:val="22"/>
                <w:szCs w:val="22"/>
                <w:color w:val="auto"/>
              </w:rPr>
            </w:pPr>
          </w:p>
        </w:tc>
        <w:tc>
          <w:tcPr>
            <w:tcW w:w="940" w:type="dxa"/>
            <w:vAlign w:val="bottom"/>
          </w:tcPr>
          <w:p>
            <w:pPr>
              <w:jc w:val="right"/>
              <w:ind w:right="108"/>
              <w:spacing w:after="0"/>
              <w:rPr>
                <w:sz w:val="20"/>
                <w:szCs w:val="20"/>
                <w:color w:val="auto"/>
              </w:rPr>
            </w:pPr>
            <w:r>
              <w:rPr>
                <w:rFonts w:ascii="Arial" w:cs="Arial" w:eastAsia="Arial" w:hAnsi="Arial"/>
                <w:sz w:val="20"/>
                <w:szCs w:val="20"/>
                <w:color w:val="auto"/>
              </w:rPr>
              <w:t>5</w:t>
            </w:r>
          </w:p>
        </w:tc>
        <w:tc>
          <w:tcPr>
            <w:tcW w:w="1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20"/>
                <w:szCs w:val="20"/>
                <w:color w:val="auto"/>
              </w:rPr>
              <w:t>123</w:t>
            </w:r>
          </w:p>
        </w:tc>
      </w:tr>
      <w:tr>
        <w:trPr>
          <w:trHeight w:val="41"/>
        </w:trPr>
        <w:tc>
          <w:tcPr>
            <w:tcW w:w="2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9"/>
        </w:trPr>
        <w:tc>
          <w:tcPr>
            <w:tcW w:w="2560" w:type="dxa"/>
            <w:vAlign w:val="bottom"/>
            <w:shd w:val="clear" w:color="auto" w:fill="CFF0FC"/>
          </w:tcPr>
          <w:p>
            <w:pPr>
              <w:spacing w:after="0"/>
              <w:rPr>
                <w:sz w:val="20"/>
                <w:szCs w:val="20"/>
                <w:color w:val="auto"/>
              </w:rPr>
            </w:pPr>
            <w:r>
              <w:rPr>
                <w:rFonts w:ascii="Arial" w:cs="Arial" w:eastAsia="Arial" w:hAnsi="Arial"/>
                <w:sz w:val="20"/>
                <w:szCs w:val="20"/>
                <w:color w:val="auto"/>
              </w:rPr>
              <w:t>Long-term lease liabilities</w:t>
            </w:r>
          </w:p>
        </w:tc>
        <w:tc>
          <w:tcPr>
            <w:tcW w:w="64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8"/>
              <w:spacing w:after="0"/>
              <w:rPr>
                <w:sz w:val="20"/>
                <w:szCs w:val="20"/>
                <w:color w:val="auto"/>
              </w:rPr>
            </w:pPr>
            <w:r>
              <w:rPr>
                <w:rFonts w:ascii="Arial" w:cs="Arial" w:eastAsia="Arial" w:hAnsi="Arial"/>
                <w:sz w:val="20"/>
                <w:szCs w:val="20"/>
                <w:color w:val="auto"/>
              </w:rPr>
              <w:t>472</w:t>
            </w:r>
          </w:p>
        </w:tc>
        <w:tc>
          <w:tcPr>
            <w:tcW w:w="24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268"/>
              <w:spacing w:after="0"/>
              <w:rPr>
                <w:sz w:val="20"/>
                <w:szCs w:val="20"/>
                <w:color w:val="auto"/>
              </w:rPr>
            </w:pPr>
            <w:r>
              <w:rPr>
                <w:rFonts w:ascii="Arial" w:cs="Arial" w:eastAsia="Arial" w:hAnsi="Arial"/>
                <w:sz w:val="20"/>
                <w:szCs w:val="20"/>
                <w:color w:val="auto"/>
              </w:rPr>
              <w:t>—</w:t>
            </w:r>
          </w:p>
        </w:tc>
        <w:tc>
          <w:tcPr>
            <w:tcW w:w="800" w:type="dxa"/>
            <w:vAlign w:val="bottom"/>
            <w:shd w:val="clear" w:color="auto" w:fill="CFF0FC"/>
          </w:tcPr>
          <w:p>
            <w:pPr>
              <w:jc w:val="right"/>
              <w:ind w:right="8"/>
              <w:spacing w:after="0"/>
              <w:rPr>
                <w:sz w:val="20"/>
                <w:szCs w:val="20"/>
                <w:color w:val="auto"/>
              </w:rPr>
            </w:pPr>
            <w:r>
              <w:rPr>
                <w:rFonts w:ascii="Arial" w:cs="Arial" w:eastAsia="Arial" w:hAnsi="Arial"/>
                <w:sz w:val="20"/>
                <w:szCs w:val="20"/>
                <w:color w:val="auto"/>
              </w:rPr>
              <w:t>472</w:t>
            </w:r>
          </w:p>
        </w:tc>
        <w:tc>
          <w:tcPr>
            <w:tcW w:w="260" w:type="dxa"/>
            <w:vAlign w:val="bottom"/>
            <w:shd w:val="clear" w:color="auto" w:fill="CFF0FC"/>
          </w:tcPr>
          <w:p>
            <w:pPr>
              <w:spacing w:after="0"/>
              <w:rPr>
                <w:sz w:val="22"/>
                <w:szCs w:val="22"/>
                <w:color w:val="auto"/>
              </w:rPr>
            </w:pP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20"/>
                <w:szCs w:val="20"/>
                <w:color w:val="auto"/>
              </w:rPr>
              <w:t>502</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108"/>
              <w:spacing w:after="0"/>
              <w:rPr>
                <w:sz w:val="20"/>
                <w:szCs w:val="20"/>
                <w:color w:val="auto"/>
              </w:rPr>
            </w:pPr>
            <w:r>
              <w:rPr>
                <w:rFonts w:ascii="Arial" w:cs="Arial" w:eastAsia="Arial" w:hAnsi="Arial"/>
                <w:sz w:val="20"/>
                <w:szCs w:val="20"/>
                <w:color w:val="auto"/>
              </w:rPr>
              <w:t>2</w:t>
            </w: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20"/>
                <w:szCs w:val="20"/>
                <w:color w:val="auto"/>
              </w:rPr>
              <w:t>504</w:t>
            </w:r>
          </w:p>
        </w:tc>
      </w:tr>
      <w:tr>
        <w:trPr>
          <w:trHeight w:val="41"/>
        </w:trPr>
        <w:tc>
          <w:tcPr>
            <w:tcW w:w="256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80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24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18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1927860</wp:posOffset>
            </wp:positionH>
            <wp:positionV relativeFrom="paragraph">
              <wp:posOffset>-888365</wp:posOffset>
            </wp:positionV>
            <wp:extent cx="4035425" cy="63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2">
                      <a:extLst>
                        <a:ext uri="{28A0092B-C50C-407E-A947-70E740481C1C}"/>
                      </a:extLst>
                    </a:blip>
                    <a:srcRect/>
                    <a:stretch>
                      <a:fillRect/>
                    </a:stretch>
                  </pic:blipFill>
                  <pic:spPr bwMode="auto">
                    <a:xfrm>
                      <a:off x="0" y="0"/>
                      <a:ext cx="4035425" cy="6350"/>
                    </a:xfrm>
                    <a:prstGeom prst="rect">
                      <a:avLst/>
                    </a:prstGeom>
                    <a:noFill/>
                  </pic:spPr>
                </pic:pic>
              </a:graphicData>
            </a:graphic>
          </wp:anchor>
        </w:drawing>
        <w:drawing>
          <wp:anchor simplePos="0" relativeHeight="251657728" behindDoc="1" locked="0" layoutInCell="0" allowOverlap="1">
            <wp:simplePos x="0" y="0"/>
            <wp:positionH relativeFrom="column">
              <wp:posOffset>1927860</wp:posOffset>
            </wp:positionH>
            <wp:positionV relativeFrom="paragraph">
              <wp:posOffset>-577215</wp:posOffset>
            </wp:positionV>
            <wp:extent cx="4035425" cy="63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3">
                      <a:extLst>
                        <a:ext uri="{28A0092B-C50C-407E-A947-70E740481C1C}"/>
                      </a:extLst>
                    </a:blip>
                    <a:srcRect/>
                    <a:stretch>
                      <a:fillRect/>
                    </a:stretch>
                  </pic:blipFill>
                  <pic:spPr bwMode="auto">
                    <a:xfrm>
                      <a:off x="0" y="0"/>
                      <a:ext cx="4035425" cy="6350"/>
                    </a:xfrm>
                    <a:prstGeom prst="rect">
                      <a:avLst/>
                    </a:prstGeom>
                    <a:noFill/>
                  </pic:spPr>
                </pic:pic>
              </a:graphicData>
            </a:graphic>
          </wp:anchor>
        </w:drawing>
      </w:r>
    </w:p>
    <w:p>
      <w:pPr>
        <w:spacing w:after="0" w:line="199" w:lineRule="exact"/>
        <w:rPr>
          <w:sz w:val="20"/>
          <w:szCs w:val="20"/>
          <w:color w:val="auto"/>
        </w:rPr>
      </w:pPr>
    </w:p>
    <w:p>
      <w:pPr>
        <w:ind w:right="440"/>
        <w:spacing w:after="0" w:line="302" w:lineRule="auto"/>
        <w:rPr>
          <w:sz w:val="20"/>
          <w:szCs w:val="20"/>
          <w:color w:val="auto"/>
        </w:rPr>
      </w:pPr>
      <w:r>
        <w:rPr>
          <w:rFonts w:ascii="Arial" w:cs="Arial" w:eastAsia="Arial" w:hAnsi="Arial"/>
          <w:sz w:val="20"/>
          <w:szCs w:val="20"/>
          <w:color w:val="auto"/>
        </w:rPr>
        <w:t>The following tables present amounts recorded on our consolidated statements of comprehensive income for the years ended December 31, 2025, 2024 and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Arial" w:cs="Arial" w:eastAsia="Arial" w:hAnsi="Arial"/>
                <w:sz w:val="16"/>
                <w:szCs w:val="16"/>
                <w:b w:val="1"/>
                <w:bCs w:val="1"/>
                <w:color w:val="auto"/>
                <w:w w:val="95"/>
              </w:rPr>
              <w:t>Years ended December 31,</w:t>
            </w:r>
          </w:p>
        </w:tc>
        <w:tc>
          <w:tcPr>
            <w:tcW w:w="840" w:type="dxa"/>
            <w:vAlign w:val="bottom"/>
          </w:tcPr>
          <w:p>
            <w:pPr>
              <w:spacing w:after="0"/>
              <w:rPr>
                <w:sz w:val="16"/>
                <w:szCs w:val="16"/>
                <w:color w:val="auto"/>
              </w:rPr>
            </w:pPr>
          </w:p>
        </w:tc>
      </w:tr>
      <w:tr>
        <w:trPr>
          <w:trHeight w:val="312"/>
        </w:trPr>
        <w:tc>
          <w:tcPr>
            <w:tcW w:w="43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403"/>
              <w:spacing w:after="0"/>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24"/>
                <w:szCs w:val="24"/>
                <w:color w:val="auto"/>
              </w:rPr>
            </w:pPr>
          </w:p>
        </w:tc>
        <w:tc>
          <w:tcPr>
            <w:tcW w:w="840" w:type="dxa"/>
            <w:vAlign w:val="bottom"/>
          </w:tcPr>
          <w:p>
            <w:pPr>
              <w:jc w:val="right"/>
              <w:ind w:right="343"/>
              <w:spacing w:after="0"/>
              <w:rPr>
                <w:sz w:val="20"/>
                <w:szCs w:val="20"/>
                <w:color w:val="auto"/>
              </w:rPr>
            </w:pPr>
            <w:r>
              <w:rPr>
                <w:rFonts w:ascii="Arial" w:cs="Arial" w:eastAsia="Arial" w:hAnsi="Arial"/>
                <w:sz w:val="16"/>
                <w:szCs w:val="16"/>
                <w:b w:val="1"/>
                <w:bCs w:val="1"/>
                <w:color w:val="auto"/>
              </w:rPr>
              <w:t>2023</w:t>
            </w:r>
          </w:p>
        </w:tc>
      </w:tr>
      <w:tr>
        <w:trPr>
          <w:trHeight w:val="42"/>
        </w:trPr>
        <w:tc>
          <w:tcPr>
            <w:tcW w:w="43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82"/>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Finance lease cost:</w:t>
            </w:r>
          </w:p>
        </w:tc>
        <w:tc>
          <w:tcPr>
            <w:tcW w:w="2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r>
      <w:tr>
        <w:trPr>
          <w:trHeight w:val="261"/>
        </w:trPr>
        <w:tc>
          <w:tcPr>
            <w:tcW w:w="4340" w:type="dxa"/>
            <w:vAlign w:val="bottom"/>
          </w:tcPr>
          <w:p>
            <w:pPr>
              <w:ind w:left="40"/>
              <w:spacing w:after="0"/>
              <w:rPr>
                <w:sz w:val="20"/>
                <w:szCs w:val="20"/>
                <w:color w:val="auto"/>
              </w:rPr>
            </w:pPr>
            <w:r>
              <w:rPr>
                <w:rFonts w:ascii="Arial" w:cs="Arial" w:eastAsia="Arial" w:hAnsi="Arial"/>
                <w:sz w:val="20"/>
                <w:szCs w:val="20"/>
                <w:color w:val="auto"/>
              </w:rPr>
              <w:t>Amortization of right-of-use assets</w:t>
            </w:r>
          </w:p>
        </w:tc>
        <w:tc>
          <w:tcPr>
            <w:tcW w:w="2180" w:type="dxa"/>
            <w:vAlign w:val="bottom"/>
          </w:tcPr>
          <w:p>
            <w:pPr>
              <w:jc w:val="right"/>
              <w:ind w:right="487"/>
              <w:spacing w:after="0"/>
              <w:rPr>
                <w:sz w:val="20"/>
                <w:szCs w:val="20"/>
                <w:color w:val="auto"/>
              </w:rPr>
            </w:pPr>
            <w:r>
              <w:rPr>
                <w:rFonts w:ascii="Arial" w:cs="Arial" w:eastAsia="Arial" w:hAnsi="Arial"/>
                <w:sz w:val="20"/>
                <w:szCs w:val="20"/>
                <w:color w:val="auto"/>
              </w:rPr>
              <w:t>$</w:t>
            </w:r>
          </w:p>
        </w:tc>
        <w:tc>
          <w:tcPr>
            <w:tcW w:w="460" w:type="dxa"/>
            <w:vAlign w:val="bottom"/>
          </w:tcPr>
          <w:p>
            <w:pPr>
              <w:jc w:val="right"/>
              <w:ind w:right="43"/>
              <w:spacing w:after="0"/>
              <w:rPr>
                <w:sz w:val="20"/>
                <w:szCs w:val="20"/>
                <w:color w:val="auto"/>
              </w:rPr>
            </w:pPr>
            <w:r>
              <w:rPr>
                <w:rFonts w:ascii="Arial" w:cs="Arial" w:eastAsia="Arial" w:hAnsi="Arial"/>
                <w:sz w:val="20"/>
                <w:szCs w:val="20"/>
                <w:color w:val="auto"/>
              </w:rPr>
              <w:t>1</w:t>
            </w:r>
          </w:p>
        </w:tc>
        <w:tc>
          <w:tcPr>
            <w:tcW w:w="3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43"/>
              <w:spacing w:after="0"/>
              <w:rPr>
                <w:sz w:val="20"/>
                <w:szCs w:val="20"/>
                <w:color w:val="auto"/>
              </w:rPr>
            </w:pPr>
            <w:r>
              <w:rPr>
                <w:rFonts w:ascii="Arial" w:cs="Arial" w:eastAsia="Arial" w:hAnsi="Arial"/>
                <w:sz w:val="20"/>
                <w:szCs w:val="20"/>
                <w:color w:val="auto"/>
              </w:rPr>
              <w:t>2</w:t>
            </w:r>
          </w:p>
        </w:tc>
        <w:tc>
          <w:tcPr>
            <w:tcW w:w="3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3"/>
              <w:spacing w:after="0"/>
              <w:rPr>
                <w:sz w:val="20"/>
                <w:szCs w:val="20"/>
                <w:color w:val="auto"/>
              </w:rPr>
            </w:pPr>
            <w:r>
              <w:rPr>
                <w:rFonts w:ascii="Arial" w:cs="Arial" w:eastAsia="Arial" w:hAnsi="Arial"/>
                <w:sz w:val="20"/>
                <w:szCs w:val="20"/>
                <w:color w:val="auto"/>
              </w:rPr>
              <w:t>1</w:t>
            </w:r>
          </w:p>
        </w:tc>
      </w:tr>
      <w:tr>
        <w:trPr>
          <w:trHeight w:val="41"/>
        </w:trPr>
        <w:tc>
          <w:tcPr>
            <w:tcW w:w="43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82"/>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Interest on lease liabilities</w:t>
            </w:r>
          </w:p>
        </w:tc>
        <w:tc>
          <w:tcPr>
            <w:tcW w:w="2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20"/>
                <w:szCs w:val="20"/>
                <w:color w:val="auto"/>
              </w:rPr>
              <w:t>1</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2</w:t>
            </w:r>
          </w:p>
        </w:tc>
      </w:tr>
      <w:tr>
        <w:trPr>
          <w:trHeight w:val="261"/>
        </w:trPr>
        <w:tc>
          <w:tcPr>
            <w:tcW w:w="4340" w:type="dxa"/>
            <w:vAlign w:val="bottom"/>
          </w:tcPr>
          <w:p>
            <w:pPr>
              <w:spacing w:after="0"/>
              <w:rPr>
                <w:sz w:val="20"/>
                <w:szCs w:val="20"/>
                <w:color w:val="auto"/>
              </w:rPr>
            </w:pPr>
            <w:r>
              <w:rPr>
                <w:rFonts w:ascii="Arial" w:cs="Arial" w:eastAsia="Arial" w:hAnsi="Arial"/>
                <w:sz w:val="20"/>
                <w:szCs w:val="20"/>
                <w:color w:val="auto"/>
              </w:rPr>
              <w:t>Operating lease cost</w:t>
            </w:r>
          </w:p>
        </w:tc>
        <w:tc>
          <w:tcPr>
            <w:tcW w:w="2180" w:type="dxa"/>
            <w:vAlign w:val="bottom"/>
          </w:tcPr>
          <w:p>
            <w:pPr>
              <w:spacing w:after="0"/>
              <w:rPr>
                <w:sz w:val="22"/>
                <w:szCs w:val="22"/>
                <w:color w:val="auto"/>
              </w:rPr>
            </w:pPr>
          </w:p>
        </w:tc>
        <w:tc>
          <w:tcPr>
            <w:tcW w:w="460" w:type="dxa"/>
            <w:vAlign w:val="bottom"/>
          </w:tcPr>
          <w:p>
            <w:pPr>
              <w:jc w:val="right"/>
              <w:ind w:right="43"/>
              <w:spacing w:after="0"/>
              <w:rPr>
                <w:sz w:val="20"/>
                <w:szCs w:val="20"/>
                <w:color w:val="auto"/>
              </w:rPr>
            </w:pPr>
            <w:r>
              <w:rPr>
                <w:rFonts w:ascii="Arial" w:cs="Arial" w:eastAsia="Arial" w:hAnsi="Arial"/>
                <w:sz w:val="20"/>
                <w:szCs w:val="20"/>
                <w:color w:val="auto"/>
                <w:w w:val="89"/>
              </w:rPr>
              <w:t>122</w:t>
            </w:r>
          </w:p>
        </w:tc>
        <w:tc>
          <w:tcPr>
            <w:tcW w:w="300" w:type="dxa"/>
            <w:vAlign w:val="bottom"/>
          </w:tcPr>
          <w:p>
            <w:pPr>
              <w:spacing w:after="0"/>
              <w:rPr>
                <w:sz w:val="22"/>
                <w:szCs w:val="22"/>
                <w:color w:val="auto"/>
              </w:rPr>
            </w:pPr>
          </w:p>
        </w:tc>
        <w:tc>
          <w:tcPr>
            <w:tcW w:w="940" w:type="dxa"/>
            <w:vAlign w:val="bottom"/>
          </w:tcPr>
          <w:p>
            <w:pPr>
              <w:jc w:val="right"/>
              <w:ind w:right="43"/>
              <w:spacing w:after="0"/>
              <w:rPr>
                <w:sz w:val="20"/>
                <w:szCs w:val="20"/>
                <w:color w:val="auto"/>
              </w:rPr>
            </w:pPr>
            <w:r>
              <w:rPr>
                <w:rFonts w:ascii="Arial" w:cs="Arial" w:eastAsia="Arial" w:hAnsi="Arial"/>
                <w:sz w:val="20"/>
                <w:szCs w:val="20"/>
                <w:color w:val="auto"/>
              </w:rPr>
              <w:t>144</w:t>
            </w:r>
          </w:p>
        </w:tc>
        <w:tc>
          <w:tcPr>
            <w:tcW w:w="340" w:type="dxa"/>
            <w:vAlign w:val="bottom"/>
          </w:tcPr>
          <w:p>
            <w:pPr>
              <w:spacing w:after="0"/>
              <w:rPr>
                <w:sz w:val="22"/>
                <w:szCs w:val="22"/>
                <w:color w:val="auto"/>
              </w:rPr>
            </w:pPr>
          </w:p>
        </w:tc>
        <w:tc>
          <w:tcPr>
            <w:tcW w:w="840" w:type="dxa"/>
            <w:vAlign w:val="bottom"/>
          </w:tcPr>
          <w:p>
            <w:pPr>
              <w:jc w:val="right"/>
              <w:ind w:right="3"/>
              <w:spacing w:after="0"/>
              <w:rPr>
                <w:sz w:val="20"/>
                <w:szCs w:val="20"/>
                <w:color w:val="auto"/>
              </w:rPr>
            </w:pPr>
            <w:r>
              <w:rPr>
                <w:rFonts w:ascii="Arial" w:cs="Arial" w:eastAsia="Arial" w:hAnsi="Arial"/>
                <w:sz w:val="20"/>
                <w:szCs w:val="20"/>
                <w:color w:val="auto"/>
              </w:rPr>
              <w:t>146</w:t>
            </w:r>
          </w:p>
        </w:tc>
      </w:tr>
      <w:tr>
        <w:trPr>
          <w:trHeight w:val="41"/>
        </w:trPr>
        <w:tc>
          <w:tcPr>
            <w:tcW w:w="43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82"/>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Short-term lease cost</w:t>
            </w:r>
          </w:p>
        </w:tc>
        <w:tc>
          <w:tcPr>
            <w:tcW w:w="2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20"/>
                <w:szCs w:val="20"/>
                <w:color w:val="auto"/>
              </w:rPr>
              <w:t>1</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1</w:t>
            </w:r>
          </w:p>
        </w:tc>
      </w:tr>
      <w:tr>
        <w:trPr>
          <w:trHeight w:val="261"/>
        </w:trPr>
        <w:tc>
          <w:tcPr>
            <w:tcW w:w="4340" w:type="dxa"/>
            <w:vAlign w:val="bottom"/>
          </w:tcPr>
          <w:p>
            <w:pPr>
              <w:spacing w:after="0"/>
              <w:rPr>
                <w:sz w:val="20"/>
                <w:szCs w:val="20"/>
                <w:color w:val="auto"/>
              </w:rPr>
            </w:pPr>
            <w:r>
              <w:rPr>
                <w:rFonts w:ascii="Arial" w:cs="Arial" w:eastAsia="Arial" w:hAnsi="Arial"/>
                <w:sz w:val="20"/>
                <w:szCs w:val="20"/>
                <w:color w:val="auto"/>
              </w:rPr>
              <w:t>Variable lease cost</w:t>
            </w:r>
          </w:p>
        </w:tc>
        <w:tc>
          <w:tcPr>
            <w:tcW w:w="2180" w:type="dxa"/>
            <w:vAlign w:val="bottom"/>
          </w:tcPr>
          <w:p>
            <w:pPr>
              <w:spacing w:after="0"/>
              <w:rPr>
                <w:sz w:val="22"/>
                <w:szCs w:val="22"/>
                <w:color w:val="auto"/>
              </w:rPr>
            </w:pPr>
          </w:p>
        </w:tc>
        <w:tc>
          <w:tcPr>
            <w:tcW w:w="460" w:type="dxa"/>
            <w:vAlign w:val="bottom"/>
          </w:tcPr>
          <w:p>
            <w:pPr>
              <w:jc w:val="right"/>
              <w:ind w:right="43"/>
              <w:spacing w:after="0"/>
              <w:rPr>
                <w:sz w:val="20"/>
                <w:szCs w:val="20"/>
                <w:color w:val="auto"/>
              </w:rPr>
            </w:pPr>
            <w:r>
              <w:rPr>
                <w:rFonts w:ascii="Arial" w:cs="Arial" w:eastAsia="Arial" w:hAnsi="Arial"/>
                <w:sz w:val="20"/>
                <w:szCs w:val="20"/>
                <w:color w:val="auto"/>
              </w:rPr>
              <w:t>33</w:t>
            </w:r>
          </w:p>
        </w:tc>
        <w:tc>
          <w:tcPr>
            <w:tcW w:w="300" w:type="dxa"/>
            <w:vAlign w:val="bottom"/>
          </w:tcPr>
          <w:p>
            <w:pPr>
              <w:spacing w:after="0"/>
              <w:rPr>
                <w:sz w:val="22"/>
                <w:szCs w:val="22"/>
                <w:color w:val="auto"/>
              </w:rPr>
            </w:pPr>
          </w:p>
        </w:tc>
        <w:tc>
          <w:tcPr>
            <w:tcW w:w="940" w:type="dxa"/>
            <w:vAlign w:val="bottom"/>
          </w:tcPr>
          <w:p>
            <w:pPr>
              <w:jc w:val="right"/>
              <w:ind w:right="43"/>
              <w:spacing w:after="0"/>
              <w:rPr>
                <w:sz w:val="20"/>
                <w:szCs w:val="20"/>
                <w:color w:val="auto"/>
              </w:rPr>
            </w:pPr>
            <w:r>
              <w:rPr>
                <w:rFonts w:ascii="Arial" w:cs="Arial" w:eastAsia="Arial" w:hAnsi="Arial"/>
                <w:sz w:val="20"/>
                <w:szCs w:val="20"/>
                <w:color w:val="auto"/>
              </w:rPr>
              <w:t>56</w:t>
            </w:r>
          </w:p>
        </w:tc>
        <w:tc>
          <w:tcPr>
            <w:tcW w:w="340" w:type="dxa"/>
            <w:vAlign w:val="bottom"/>
          </w:tcPr>
          <w:p>
            <w:pPr>
              <w:spacing w:after="0"/>
              <w:rPr>
                <w:sz w:val="22"/>
                <w:szCs w:val="22"/>
                <w:color w:val="auto"/>
              </w:rPr>
            </w:pPr>
          </w:p>
        </w:tc>
        <w:tc>
          <w:tcPr>
            <w:tcW w:w="840" w:type="dxa"/>
            <w:vAlign w:val="bottom"/>
          </w:tcPr>
          <w:p>
            <w:pPr>
              <w:jc w:val="right"/>
              <w:ind w:right="3"/>
              <w:spacing w:after="0"/>
              <w:rPr>
                <w:sz w:val="20"/>
                <w:szCs w:val="20"/>
                <w:color w:val="auto"/>
              </w:rPr>
            </w:pPr>
            <w:r>
              <w:rPr>
                <w:rFonts w:ascii="Arial" w:cs="Arial" w:eastAsia="Arial" w:hAnsi="Arial"/>
                <w:sz w:val="20"/>
                <w:szCs w:val="20"/>
                <w:color w:val="auto"/>
              </w:rPr>
              <w:t>64</w:t>
            </w:r>
          </w:p>
        </w:tc>
      </w:tr>
      <w:tr>
        <w:trPr>
          <w:trHeight w:val="41"/>
        </w:trPr>
        <w:tc>
          <w:tcPr>
            <w:tcW w:w="43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2"/>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Sublease income</w:t>
            </w:r>
          </w:p>
        </w:tc>
        <w:tc>
          <w:tcPr>
            <w:tcW w:w="21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w:t>
            </w:r>
          </w:p>
        </w:tc>
      </w:tr>
      <w:tr>
        <w:trPr>
          <w:trHeight w:val="261"/>
        </w:trPr>
        <w:tc>
          <w:tcPr>
            <w:tcW w:w="4340" w:type="dxa"/>
            <w:vAlign w:val="bottom"/>
          </w:tcPr>
          <w:p>
            <w:pPr>
              <w:ind w:left="40"/>
              <w:spacing w:after="0"/>
              <w:rPr>
                <w:sz w:val="20"/>
                <w:szCs w:val="20"/>
                <w:color w:val="auto"/>
              </w:rPr>
            </w:pPr>
            <w:r>
              <w:rPr>
                <w:rFonts w:ascii="Arial" w:cs="Arial" w:eastAsia="Arial" w:hAnsi="Arial"/>
                <w:sz w:val="20"/>
                <w:szCs w:val="20"/>
                <w:color w:val="auto"/>
              </w:rPr>
              <w:t>Total lease cost, net</w:t>
            </w:r>
          </w:p>
        </w:tc>
        <w:tc>
          <w:tcPr>
            <w:tcW w:w="2180" w:type="dxa"/>
            <w:vAlign w:val="bottom"/>
          </w:tcPr>
          <w:p>
            <w:pPr>
              <w:jc w:val="right"/>
              <w:ind w:right="487"/>
              <w:spacing w:after="0"/>
              <w:rPr>
                <w:sz w:val="20"/>
                <w:szCs w:val="20"/>
                <w:color w:val="auto"/>
              </w:rPr>
            </w:pPr>
            <w:r>
              <w:rPr>
                <w:rFonts w:ascii="Arial" w:cs="Arial" w:eastAsia="Arial" w:hAnsi="Arial"/>
                <w:sz w:val="20"/>
                <w:szCs w:val="20"/>
                <w:color w:val="auto"/>
              </w:rPr>
              <w:t>$</w:t>
            </w:r>
          </w:p>
        </w:tc>
        <w:tc>
          <w:tcPr>
            <w:tcW w:w="460" w:type="dxa"/>
            <w:vAlign w:val="bottom"/>
          </w:tcPr>
          <w:p>
            <w:pPr>
              <w:jc w:val="right"/>
              <w:ind w:right="43"/>
              <w:spacing w:after="0"/>
              <w:rPr>
                <w:sz w:val="20"/>
                <w:szCs w:val="20"/>
                <w:color w:val="auto"/>
              </w:rPr>
            </w:pPr>
            <w:r>
              <w:rPr>
                <w:rFonts w:ascii="Arial" w:cs="Arial" w:eastAsia="Arial" w:hAnsi="Arial"/>
                <w:sz w:val="20"/>
                <w:szCs w:val="20"/>
                <w:color w:val="auto"/>
                <w:w w:val="89"/>
              </w:rPr>
              <w:t>124</w:t>
            </w:r>
          </w:p>
        </w:tc>
        <w:tc>
          <w:tcPr>
            <w:tcW w:w="3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43"/>
              <w:spacing w:after="0"/>
              <w:rPr>
                <w:sz w:val="20"/>
                <w:szCs w:val="20"/>
                <w:color w:val="auto"/>
              </w:rPr>
            </w:pPr>
            <w:r>
              <w:rPr>
                <w:rFonts w:ascii="Arial" w:cs="Arial" w:eastAsia="Arial" w:hAnsi="Arial"/>
                <w:sz w:val="20"/>
                <w:szCs w:val="20"/>
                <w:color w:val="auto"/>
              </w:rPr>
              <w:t>182</w:t>
            </w:r>
          </w:p>
        </w:tc>
        <w:tc>
          <w:tcPr>
            <w:tcW w:w="3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3"/>
              <w:spacing w:after="0"/>
              <w:rPr>
                <w:sz w:val="20"/>
                <w:szCs w:val="20"/>
                <w:color w:val="auto"/>
              </w:rPr>
            </w:pPr>
            <w:r>
              <w:rPr>
                <w:rFonts w:ascii="Arial" w:cs="Arial" w:eastAsia="Arial" w:hAnsi="Arial"/>
                <w:sz w:val="20"/>
                <w:szCs w:val="20"/>
                <w:color w:val="auto"/>
              </w:rPr>
              <w:t>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-1717675</wp:posOffset>
            </wp:positionV>
            <wp:extent cx="2257425" cy="63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4">
                      <a:extLst>
                        <a:ext uri="{28A0092B-C50C-407E-A947-70E740481C1C}"/>
                      </a:extLst>
                    </a:blip>
                    <a:srcRect/>
                    <a:stretch>
                      <a:fillRect/>
                    </a:stretch>
                  </pic:blipFill>
                  <pic:spPr bwMode="auto">
                    <a:xfrm>
                      <a:off x="0" y="0"/>
                      <a:ext cx="2257425" cy="635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-1519555</wp:posOffset>
            </wp:positionV>
            <wp:extent cx="2257425" cy="63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5">
                      <a:extLst>
                        <a:ext uri="{28A0092B-C50C-407E-A947-70E740481C1C}"/>
                      </a:extLst>
                    </a:blip>
                    <a:srcRect/>
                    <a:stretch>
                      <a:fillRect/>
                    </a:stretch>
                  </pic:blipFill>
                  <pic:spPr bwMode="auto">
                    <a:xfrm>
                      <a:off x="0" y="0"/>
                      <a:ext cx="2257425" cy="635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-171450</wp:posOffset>
            </wp:positionV>
            <wp:extent cx="2257425" cy="63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6">
                      <a:extLst>
                        <a:ext uri="{28A0092B-C50C-407E-A947-70E740481C1C}"/>
                      </a:extLst>
                    </a:blip>
                    <a:srcRect/>
                    <a:stretch>
                      <a:fillRect/>
                    </a:stretch>
                  </pic:blipFill>
                  <pic:spPr bwMode="auto">
                    <a:xfrm>
                      <a:off x="0" y="0"/>
                      <a:ext cx="2257425" cy="635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26035</wp:posOffset>
            </wp:positionV>
            <wp:extent cx="2257425" cy="2857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7">
                      <a:extLst>
                        <a:ext uri="{28A0092B-C50C-407E-A947-70E740481C1C}"/>
                      </a:extLst>
                    </a:blip>
                    <a:srcRect/>
                    <a:stretch>
                      <a:fillRect/>
                    </a:stretch>
                  </pic:blipFill>
                  <pic:spPr bwMode="auto">
                    <a:xfrm>
                      <a:off x="0" y="0"/>
                      <a:ext cx="2257425" cy="28575"/>
                    </a:xfrm>
                    <a:prstGeom prst="rect">
                      <a:avLst/>
                    </a:prstGeom>
                    <a:noFill/>
                  </pic:spPr>
                </pic:pic>
              </a:graphicData>
            </a:graphic>
          </wp:anchor>
        </w:drawing>
      </w:r>
    </w:p>
    <w:p>
      <w:pPr>
        <w:spacing w:after="0" w:line="285" w:lineRule="exact"/>
        <w:rPr>
          <w:sz w:val="20"/>
          <w:szCs w:val="20"/>
          <w:color w:val="auto"/>
        </w:rPr>
      </w:pPr>
    </w:p>
    <w:p>
      <w:pPr>
        <w:ind w:right="120"/>
        <w:spacing w:after="0" w:line="309" w:lineRule="auto"/>
        <w:rPr>
          <w:sz w:val="20"/>
          <w:szCs w:val="20"/>
          <w:color w:val="auto"/>
        </w:rPr>
      </w:pPr>
      <w:r>
        <w:rPr>
          <w:rFonts w:ascii="Arial" w:cs="Arial" w:eastAsia="Arial" w:hAnsi="Arial"/>
          <w:sz w:val="20"/>
          <w:szCs w:val="20"/>
          <w:color w:val="auto"/>
        </w:rPr>
        <w:t>The total lease cost is recognized in different locations in our consolidated statements of comprehensive income. Amortization of the finance lease ROU assets is included in depreciation, while the interest cost component of these finance leases is included in interest expense. All other costs are included in other operating expenses, with the exception of $41 million and</w:t>
      </w:r>
    </w:p>
    <w:p>
      <w:pPr>
        <w:spacing w:after="0" w:line="16" w:lineRule="exact"/>
        <w:rPr>
          <w:sz w:val="20"/>
          <w:szCs w:val="20"/>
          <w:color w:val="auto"/>
        </w:rPr>
      </w:pPr>
    </w:p>
    <w:p>
      <w:pPr>
        <w:ind w:right="280"/>
        <w:spacing w:after="0" w:line="330" w:lineRule="auto"/>
        <w:rPr>
          <w:sz w:val="20"/>
          <w:szCs w:val="20"/>
          <w:color w:val="auto"/>
        </w:rPr>
      </w:pPr>
      <w:r>
        <w:rPr>
          <w:rFonts w:ascii="Arial" w:cs="Arial" w:eastAsia="Arial" w:hAnsi="Arial"/>
          <w:sz w:val="19"/>
          <w:szCs w:val="19"/>
          <w:color w:val="auto"/>
        </w:rPr>
        <w:t xml:space="preserve">$38 million incurred during the years ended December 31, 2024 and 2023, respectively, that were included in restructuring costs (see Note 6 </w:t>
      </w:r>
      <w:r>
        <w:rPr>
          <w:rFonts w:ascii="Arial" w:cs="Arial" w:eastAsia="Arial" w:hAnsi="Arial"/>
          <w:sz w:val="19"/>
          <w:szCs w:val="19"/>
          <w:b w:val="1"/>
          <w:bCs w:val="1"/>
          <w:color w:val="auto"/>
        </w:rPr>
        <w:t>—</w:t>
      </w:r>
      <w:r>
        <w:rPr>
          <w:rFonts w:ascii="Arial" w:cs="Arial" w:eastAsia="Arial" w:hAnsi="Arial"/>
          <w:sz w:val="19"/>
          <w:szCs w:val="19"/>
          <w:color w:val="auto"/>
        </w:rPr>
        <w:t xml:space="preserve"> Restructuring Costs) that primarily related to the acceleration of amortization of certain abandoned ROU assets and the payment of early termination fees.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24</w:t>
      </w:r>
    </w:p>
    <w:p>
      <w:pPr>
        <w:sectPr>
          <w:pgSz w:w="11900" w:h="16838" w:orient="portrait"/>
          <w:cols w:equalWidth="0" w:num="1">
            <w:col w:w="9400"/>
          </w:cols>
          <w:pgMar w:left="1260" w:top="1440" w:right="1246" w:bottom="0" w:gutter="0" w:footer="0" w:header="0"/>
          <w:type w:val="continuous"/>
        </w:sectPr>
      </w:pPr>
    </w:p>
    <w:bookmarkStart w:id="243" w:name="page244"/>
    <w:bookmarkEnd w:id="243"/>
    <w:p>
      <w:pPr>
        <w:ind w:right="80"/>
        <w:spacing w:after="0" w:line="302" w:lineRule="auto"/>
        <w:rPr>
          <w:sz w:val="20"/>
          <w:szCs w:val="20"/>
          <w:color w:val="auto"/>
        </w:rPr>
      </w:pPr>
      <w:r>
        <w:rPr>
          <w:rFonts w:ascii="Arial" w:cs="Arial" w:eastAsia="Arial" w:hAnsi="Arial"/>
          <w:sz w:val="20"/>
          <w:szCs w:val="20"/>
          <w:color w:val="auto"/>
        </w:rPr>
        <w:t>Cash paid for amounts included in the measurement of lease liabilities for the years ended December 31, 2025, 2024 and 2023, as well as its location in the consolidated statements of cash flows,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Arial" w:cs="Arial" w:eastAsia="Arial" w:hAnsi="Arial"/>
                <w:sz w:val="16"/>
                <w:szCs w:val="16"/>
                <w:b w:val="1"/>
                <w:bCs w:val="1"/>
                <w:color w:val="auto"/>
                <w:w w:val="95"/>
              </w:rPr>
              <w:t>Years ended December 31,</w:t>
            </w:r>
          </w:p>
        </w:tc>
        <w:tc>
          <w:tcPr>
            <w:tcW w:w="840" w:type="dxa"/>
            <w:vAlign w:val="bottom"/>
          </w:tcPr>
          <w:p>
            <w:pPr>
              <w:spacing w:after="0"/>
              <w:rPr>
                <w:sz w:val="16"/>
                <w:szCs w:val="16"/>
                <w:color w:val="auto"/>
              </w:rPr>
            </w:pPr>
          </w:p>
        </w:tc>
      </w:tr>
      <w:tr>
        <w:trPr>
          <w:trHeight w:val="312"/>
        </w:trPr>
        <w:tc>
          <w:tcPr>
            <w:tcW w:w="44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jc w:val="right"/>
              <w:ind w:right="364"/>
              <w:spacing w:after="0"/>
              <w:rPr>
                <w:sz w:val="20"/>
                <w:szCs w:val="20"/>
                <w:color w:val="auto"/>
              </w:rPr>
            </w:pPr>
            <w:r>
              <w:rPr>
                <w:rFonts w:ascii="Arial" w:cs="Arial" w:eastAsia="Arial" w:hAnsi="Arial"/>
                <w:sz w:val="16"/>
                <w:szCs w:val="16"/>
                <w:b w:val="1"/>
                <w:bCs w:val="1"/>
                <w:color w:val="auto"/>
              </w:rPr>
              <w:t>2024</w:t>
            </w:r>
          </w:p>
        </w:tc>
        <w:tc>
          <w:tcPr>
            <w:tcW w:w="380" w:type="dxa"/>
            <w:vAlign w:val="bottom"/>
          </w:tcPr>
          <w:p>
            <w:pPr>
              <w:spacing w:after="0"/>
              <w:rPr>
                <w:sz w:val="24"/>
                <w:szCs w:val="24"/>
                <w:color w:val="auto"/>
              </w:rPr>
            </w:pPr>
          </w:p>
        </w:tc>
        <w:tc>
          <w:tcPr>
            <w:tcW w:w="840" w:type="dxa"/>
            <w:vAlign w:val="bottom"/>
          </w:tcPr>
          <w:p>
            <w:pPr>
              <w:jc w:val="right"/>
              <w:ind w:right="344"/>
              <w:spacing w:after="0"/>
              <w:rPr>
                <w:sz w:val="20"/>
                <w:szCs w:val="20"/>
                <w:color w:val="auto"/>
              </w:rPr>
            </w:pPr>
            <w:r>
              <w:rPr>
                <w:rFonts w:ascii="Arial" w:cs="Arial" w:eastAsia="Arial" w:hAnsi="Arial"/>
                <w:sz w:val="16"/>
                <w:szCs w:val="16"/>
                <w:b w:val="1"/>
                <w:bCs w:val="1"/>
                <w:color w:val="auto"/>
              </w:rPr>
              <w:t>2023</w:t>
            </w:r>
          </w:p>
        </w:tc>
      </w:tr>
      <w:tr>
        <w:trPr>
          <w:trHeight w:val="42"/>
        </w:trPr>
        <w:tc>
          <w:tcPr>
            <w:tcW w:w="44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82"/>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Cash flows from operating activities:</w:t>
            </w:r>
          </w:p>
        </w:tc>
        <w:tc>
          <w:tcPr>
            <w:tcW w:w="20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r>
      <w:tr>
        <w:trPr>
          <w:trHeight w:val="259"/>
        </w:trPr>
        <w:tc>
          <w:tcPr>
            <w:tcW w:w="4480" w:type="dxa"/>
            <w:vAlign w:val="bottom"/>
          </w:tcPr>
          <w:p>
            <w:pPr>
              <w:ind w:left="40"/>
              <w:spacing w:after="0"/>
              <w:rPr>
                <w:sz w:val="20"/>
                <w:szCs w:val="20"/>
                <w:color w:val="auto"/>
              </w:rPr>
            </w:pPr>
            <w:r>
              <w:rPr>
                <w:rFonts w:ascii="Arial" w:cs="Arial" w:eastAsia="Arial" w:hAnsi="Arial"/>
                <w:sz w:val="20"/>
                <w:szCs w:val="20"/>
                <w:color w:val="auto"/>
              </w:rPr>
              <w:t>Operating leases</w:t>
            </w:r>
          </w:p>
        </w:tc>
        <w:tc>
          <w:tcPr>
            <w:tcW w:w="2040" w:type="dxa"/>
            <w:vAlign w:val="bottom"/>
          </w:tcPr>
          <w:p>
            <w:pPr>
              <w:jc w:val="right"/>
              <w:ind w:right="487"/>
              <w:spacing w:after="0"/>
              <w:rPr>
                <w:sz w:val="20"/>
                <w:szCs w:val="20"/>
                <w:color w:val="auto"/>
              </w:rPr>
            </w:pPr>
            <w:r>
              <w:rPr>
                <w:rFonts w:ascii="Arial" w:cs="Arial" w:eastAsia="Arial" w:hAnsi="Arial"/>
                <w:sz w:val="20"/>
                <w:szCs w:val="20"/>
                <w:color w:val="auto"/>
              </w:rPr>
              <w:t>$</w:t>
            </w:r>
          </w:p>
        </w:tc>
        <w:tc>
          <w:tcPr>
            <w:tcW w:w="440" w:type="dxa"/>
            <w:vAlign w:val="bottom"/>
          </w:tcPr>
          <w:p>
            <w:pPr>
              <w:jc w:val="right"/>
              <w:ind w:right="24"/>
              <w:spacing w:after="0"/>
              <w:rPr>
                <w:sz w:val="20"/>
                <w:szCs w:val="20"/>
                <w:color w:val="auto"/>
              </w:rPr>
            </w:pPr>
            <w:r>
              <w:rPr>
                <w:rFonts w:ascii="Arial" w:cs="Arial" w:eastAsia="Arial" w:hAnsi="Arial"/>
                <w:sz w:val="20"/>
                <w:szCs w:val="20"/>
                <w:color w:val="auto"/>
                <w:w w:val="89"/>
              </w:rPr>
              <w:t>151</w:t>
            </w:r>
          </w:p>
        </w:tc>
        <w:tc>
          <w:tcPr>
            <w:tcW w:w="3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4"/>
              <w:spacing w:after="0"/>
              <w:rPr>
                <w:sz w:val="20"/>
                <w:szCs w:val="20"/>
                <w:color w:val="auto"/>
              </w:rPr>
            </w:pPr>
            <w:r>
              <w:rPr>
                <w:rFonts w:ascii="Arial" w:cs="Arial" w:eastAsia="Arial" w:hAnsi="Arial"/>
                <w:sz w:val="20"/>
                <w:szCs w:val="20"/>
                <w:color w:val="auto"/>
              </w:rPr>
              <w:t>152</w:t>
            </w:r>
          </w:p>
        </w:tc>
        <w:tc>
          <w:tcPr>
            <w:tcW w:w="3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4"/>
              <w:spacing w:after="0"/>
              <w:rPr>
                <w:sz w:val="20"/>
                <w:szCs w:val="20"/>
                <w:color w:val="auto"/>
              </w:rPr>
            </w:pPr>
            <w:r>
              <w:rPr>
                <w:rFonts w:ascii="Arial" w:cs="Arial" w:eastAsia="Arial" w:hAnsi="Arial"/>
                <w:sz w:val="20"/>
                <w:szCs w:val="20"/>
                <w:color w:val="auto"/>
              </w:rPr>
              <w:t>155</w:t>
            </w:r>
          </w:p>
        </w:tc>
      </w:tr>
      <w:tr>
        <w:trPr>
          <w:trHeight w:val="41"/>
        </w:trPr>
        <w:tc>
          <w:tcPr>
            <w:tcW w:w="44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82"/>
        </w:trPr>
        <w:tc>
          <w:tcPr>
            <w:tcW w:w="44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Finance leases</w:t>
            </w:r>
          </w:p>
        </w:tc>
        <w:tc>
          <w:tcPr>
            <w:tcW w:w="20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20"/>
                <w:szCs w:val="20"/>
                <w:color w:val="auto"/>
              </w:rPr>
              <w:t>1</w:t>
            </w:r>
          </w:p>
        </w:tc>
        <w:tc>
          <w:tcPr>
            <w:tcW w:w="3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1</w:t>
            </w:r>
          </w:p>
        </w:tc>
        <w:tc>
          <w:tcPr>
            <w:tcW w:w="3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2</w:t>
            </w:r>
          </w:p>
        </w:tc>
      </w:tr>
      <w:tr>
        <w:trPr>
          <w:trHeight w:val="259"/>
        </w:trPr>
        <w:tc>
          <w:tcPr>
            <w:tcW w:w="4480" w:type="dxa"/>
            <w:vAlign w:val="bottom"/>
          </w:tcPr>
          <w:p>
            <w:pPr>
              <w:spacing w:after="0"/>
              <w:rPr>
                <w:sz w:val="20"/>
                <w:szCs w:val="20"/>
                <w:color w:val="auto"/>
              </w:rPr>
            </w:pPr>
            <w:r>
              <w:rPr>
                <w:rFonts w:ascii="Arial" w:cs="Arial" w:eastAsia="Arial" w:hAnsi="Arial"/>
                <w:sz w:val="20"/>
                <w:szCs w:val="20"/>
                <w:color w:val="auto"/>
              </w:rPr>
              <w:t>Cash flows used in financing activities:</w:t>
            </w:r>
          </w:p>
        </w:tc>
        <w:tc>
          <w:tcPr>
            <w:tcW w:w="2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41"/>
        </w:trPr>
        <w:tc>
          <w:tcPr>
            <w:tcW w:w="44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2"/>
        </w:trPr>
        <w:tc>
          <w:tcPr>
            <w:tcW w:w="44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Finance leases</w:t>
            </w:r>
          </w:p>
        </w:tc>
        <w:tc>
          <w:tcPr>
            <w:tcW w:w="20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20"/>
                <w:szCs w:val="20"/>
                <w:color w:val="auto"/>
              </w:rPr>
              <w:t>5</w:t>
            </w:r>
          </w:p>
        </w:tc>
        <w:tc>
          <w:tcPr>
            <w:tcW w:w="3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5</w:t>
            </w:r>
          </w:p>
        </w:tc>
        <w:tc>
          <w:tcPr>
            <w:tcW w:w="3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20"/>
                <w:szCs w:val="20"/>
                <w:color w:val="auto"/>
              </w:rPr>
              <w:t>4</w:t>
            </w:r>
          </w:p>
        </w:tc>
      </w:tr>
      <w:tr>
        <w:trPr>
          <w:trHeight w:val="259"/>
        </w:trPr>
        <w:tc>
          <w:tcPr>
            <w:tcW w:w="4480" w:type="dxa"/>
            <w:vAlign w:val="bottom"/>
          </w:tcPr>
          <w:p>
            <w:pPr>
              <w:ind w:left="40"/>
              <w:spacing w:after="0"/>
              <w:rPr>
                <w:sz w:val="20"/>
                <w:szCs w:val="20"/>
                <w:color w:val="auto"/>
              </w:rPr>
            </w:pPr>
            <w:r>
              <w:rPr>
                <w:rFonts w:ascii="Arial" w:cs="Arial" w:eastAsia="Arial" w:hAnsi="Arial"/>
                <w:sz w:val="20"/>
                <w:szCs w:val="20"/>
                <w:color w:val="auto"/>
              </w:rPr>
              <w:t>Total lease payments</w:t>
            </w:r>
          </w:p>
        </w:tc>
        <w:tc>
          <w:tcPr>
            <w:tcW w:w="2040" w:type="dxa"/>
            <w:vAlign w:val="bottom"/>
          </w:tcPr>
          <w:p>
            <w:pPr>
              <w:jc w:val="right"/>
              <w:ind w:right="487"/>
              <w:spacing w:after="0"/>
              <w:rPr>
                <w:sz w:val="20"/>
                <w:szCs w:val="20"/>
                <w:color w:val="auto"/>
              </w:rPr>
            </w:pPr>
            <w:r>
              <w:rPr>
                <w:rFonts w:ascii="Arial" w:cs="Arial" w:eastAsia="Arial" w:hAnsi="Arial"/>
                <w:sz w:val="20"/>
                <w:szCs w:val="20"/>
                <w:color w:val="auto"/>
              </w:rPr>
              <w:t>$</w:t>
            </w:r>
          </w:p>
        </w:tc>
        <w:tc>
          <w:tcPr>
            <w:tcW w:w="440" w:type="dxa"/>
            <w:vAlign w:val="bottom"/>
          </w:tcPr>
          <w:p>
            <w:pPr>
              <w:jc w:val="right"/>
              <w:ind w:right="24"/>
              <w:spacing w:after="0"/>
              <w:rPr>
                <w:sz w:val="20"/>
                <w:szCs w:val="20"/>
                <w:color w:val="auto"/>
              </w:rPr>
            </w:pPr>
            <w:r>
              <w:rPr>
                <w:rFonts w:ascii="Arial" w:cs="Arial" w:eastAsia="Arial" w:hAnsi="Arial"/>
                <w:sz w:val="20"/>
                <w:szCs w:val="20"/>
                <w:color w:val="auto"/>
                <w:w w:val="89"/>
              </w:rPr>
              <w:t>157</w:t>
            </w:r>
          </w:p>
        </w:tc>
        <w:tc>
          <w:tcPr>
            <w:tcW w:w="3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4"/>
              <w:spacing w:after="0"/>
              <w:rPr>
                <w:sz w:val="20"/>
                <w:szCs w:val="20"/>
                <w:color w:val="auto"/>
              </w:rPr>
            </w:pPr>
            <w:r>
              <w:rPr>
                <w:rFonts w:ascii="Arial" w:cs="Arial" w:eastAsia="Arial" w:hAnsi="Arial"/>
                <w:sz w:val="20"/>
                <w:szCs w:val="20"/>
                <w:color w:val="auto"/>
              </w:rPr>
              <w:t>158</w:t>
            </w:r>
          </w:p>
        </w:tc>
        <w:tc>
          <w:tcPr>
            <w:tcW w:w="3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4"/>
              <w:spacing w:after="0"/>
              <w:rPr>
                <w:sz w:val="20"/>
                <w:szCs w:val="20"/>
                <w:color w:val="auto"/>
              </w:rPr>
            </w:pPr>
            <w:r>
              <w:rPr>
                <w:rFonts w:ascii="Arial" w:cs="Arial" w:eastAsia="Arial" w:hAnsi="Arial"/>
                <w:sz w:val="20"/>
                <w:szCs w:val="20"/>
                <w:color w:val="auto"/>
              </w:rPr>
              <w:t>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-1330960</wp:posOffset>
            </wp:positionV>
            <wp:extent cx="2258060" cy="63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58">
                      <a:extLst>
                        <a:ext uri="{28A0092B-C50C-407E-A947-70E740481C1C}"/>
                      </a:extLst>
                    </a:blip>
                    <a:srcRect/>
                    <a:stretch>
                      <a:fillRect/>
                    </a:stretch>
                  </pic:blipFill>
                  <pic:spPr bwMode="auto">
                    <a:xfrm>
                      <a:off x="0" y="0"/>
                      <a:ext cx="2258060" cy="635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-1132840</wp:posOffset>
            </wp:positionV>
            <wp:extent cx="2258060" cy="63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59">
                      <a:extLst>
                        <a:ext uri="{28A0092B-C50C-407E-A947-70E740481C1C}"/>
                      </a:extLst>
                    </a:blip>
                    <a:srcRect/>
                    <a:stretch>
                      <a:fillRect/>
                    </a:stretch>
                  </pic:blipFill>
                  <pic:spPr bwMode="auto">
                    <a:xfrm>
                      <a:off x="0" y="0"/>
                      <a:ext cx="2258060" cy="635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-170180</wp:posOffset>
            </wp:positionV>
            <wp:extent cx="2258060" cy="63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0">
                      <a:extLst>
                        <a:ext uri="{28A0092B-C50C-407E-A947-70E740481C1C}"/>
                      </a:extLst>
                    </a:blip>
                    <a:srcRect/>
                    <a:stretch>
                      <a:fillRect/>
                    </a:stretch>
                  </pic:blipFill>
                  <pic:spPr bwMode="auto">
                    <a:xfrm>
                      <a:off x="0" y="0"/>
                      <a:ext cx="2258060" cy="635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26035</wp:posOffset>
            </wp:positionV>
            <wp:extent cx="2258060" cy="2857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1">
                      <a:extLst>
                        <a:ext uri="{28A0092B-C50C-407E-A947-70E740481C1C}"/>
                      </a:extLst>
                    </a:blip>
                    <a:srcRect/>
                    <a:stretch>
                      <a:fillRect/>
                    </a:stretch>
                  </pic:blipFill>
                  <pic:spPr bwMode="auto">
                    <a:xfrm>
                      <a:off x="0" y="0"/>
                      <a:ext cx="2258060" cy="28575"/>
                    </a:xfrm>
                    <a:prstGeom prst="rect">
                      <a:avLst/>
                    </a:prstGeom>
                    <a:noFill/>
                  </pic:spPr>
                </pic:pic>
              </a:graphicData>
            </a:graphic>
          </wp:anchor>
        </w:drawing>
      </w:r>
    </w:p>
    <w:p>
      <w:pPr>
        <w:spacing w:after="0" w:line="285" w:lineRule="exact"/>
        <w:rPr>
          <w:sz w:val="20"/>
          <w:szCs w:val="20"/>
          <w:color w:val="auto"/>
        </w:rPr>
      </w:pPr>
    </w:p>
    <w:p>
      <w:pPr>
        <w:ind w:right="200"/>
        <w:spacing w:after="0" w:line="302" w:lineRule="auto"/>
        <w:rPr>
          <w:sz w:val="20"/>
          <w:szCs w:val="20"/>
          <w:color w:val="auto"/>
        </w:rPr>
      </w:pPr>
      <w:r>
        <w:rPr>
          <w:rFonts w:ascii="Arial" w:cs="Arial" w:eastAsia="Arial" w:hAnsi="Arial"/>
          <w:sz w:val="20"/>
          <w:szCs w:val="20"/>
          <w:color w:val="auto"/>
        </w:rPr>
        <w:t>Non-cash additions to our operating lease ROU assets, net of modifications, were $66 million, $66 million and $85 million during the years ended December 31, 2025, 2024 and 2023, respectively.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24</w:t>
      </w:r>
    </w:p>
    <w:p>
      <w:pPr>
        <w:sectPr>
          <w:pgSz w:w="11900" w:h="16838" w:orient="portrait"/>
          <w:cols w:equalWidth="0" w:num="1">
            <w:col w:w="9400"/>
          </w:cols>
          <w:pgMar w:left="1260" w:top="1173" w:right="1246" w:bottom="0" w:gutter="0" w:footer="0" w:header="0"/>
          <w:type w:val="continuous"/>
        </w:sectPr>
      </w:pPr>
    </w:p>
    <w:bookmarkStart w:id="244" w:name="page245"/>
    <w:bookmarkEnd w:id="2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60"/>
        <w:spacing w:after="0" w:line="302" w:lineRule="auto"/>
        <w:rPr>
          <w:sz w:val="20"/>
          <w:szCs w:val="20"/>
          <w:color w:val="auto"/>
        </w:rPr>
      </w:pPr>
      <w:r>
        <w:rPr>
          <w:rFonts w:ascii="Arial" w:cs="Arial" w:eastAsia="Arial" w:hAnsi="Arial"/>
          <w:sz w:val="20"/>
          <w:szCs w:val="20"/>
          <w:color w:val="auto"/>
        </w:rPr>
        <w:t>Our operating and finance leases have the following weighted-average terms and discount rates as of December 31,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3340" w:type="dxa"/>
            <w:vAlign w:val="bottom"/>
            <w:gridSpan w:val="2"/>
          </w:tcPr>
          <w:p>
            <w:pPr>
              <w:jc w:val="right"/>
              <w:ind w:right="750"/>
              <w:spacing w:after="0"/>
              <w:rPr>
                <w:sz w:val="20"/>
                <w:szCs w:val="20"/>
                <w:color w:val="auto"/>
              </w:rPr>
            </w:pPr>
            <w:r>
              <w:rPr>
                <w:rFonts w:ascii="Arial" w:cs="Arial" w:eastAsia="Arial" w:hAnsi="Arial"/>
                <w:sz w:val="16"/>
                <w:szCs w:val="16"/>
                <w:b w:val="1"/>
                <w:bCs w:val="1"/>
                <w:color w:val="auto"/>
              </w:rPr>
              <w:t>December 31, 2025</w:t>
            </w:r>
          </w:p>
        </w:tc>
        <w:tc>
          <w:tcPr>
            <w:tcW w:w="2500" w:type="dxa"/>
            <w:vAlign w:val="bottom"/>
            <w:gridSpan w:val="2"/>
          </w:tcPr>
          <w:p>
            <w:pPr>
              <w:jc w:val="right"/>
              <w:ind w:right="630"/>
              <w:spacing w:after="0"/>
              <w:rPr>
                <w:sz w:val="20"/>
                <w:szCs w:val="20"/>
                <w:color w:val="auto"/>
              </w:rPr>
            </w:pPr>
            <w:r>
              <w:rPr>
                <w:rFonts w:ascii="Arial" w:cs="Arial" w:eastAsia="Arial" w:hAnsi="Arial"/>
                <w:sz w:val="16"/>
                <w:szCs w:val="16"/>
                <w:b w:val="1"/>
                <w:bCs w:val="1"/>
                <w:color w:val="auto"/>
              </w:rPr>
              <w:t>December 31, 2024</w:t>
            </w:r>
          </w:p>
        </w:tc>
      </w:tr>
      <w:tr>
        <w:trPr>
          <w:trHeight w:val="250"/>
        </w:trPr>
        <w:tc>
          <w:tcPr>
            <w:tcW w:w="3560" w:type="dxa"/>
            <w:vAlign w:val="bottom"/>
          </w:tcPr>
          <w:p>
            <w:pPr>
              <w:spacing w:after="0"/>
              <w:rPr>
                <w:sz w:val="21"/>
                <w:szCs w:val="21"/>
                <w:color w:val="auto"/>
              </w:rPr>
            </w:pPr>
          </w:p>
        </w:tc>
        <w:tc>
          <w:tcPr>
            <w:tcW w:w="2080" w:type="dxa"/>
            <w:vAlign w:val="bottom"/>
          </w:tcPr>
          <w:p>
            <w:pPr>
              <w:jc w:val="center"/>
              <w:ind w:left="252"/>
              <w:spacing w:after="0"/>
              <w:rPr>
                <w:sz w:val="20"/>
                <w:szCs w:val="20"/>
                <w:color w:val="auto"/>
              </w:rPr>
            </w:pPr>
            <w:r>
              <w:rPr>
                <w:rFonts w:ascii="Arial" w:cs="Arial" w:eastAsia="Arial" w:hAnsi="Arial"/>
                <w:sz w:val="16"/>
                <w:szCs w:val="16"/>
                <w:b w:val="1"/>
                <w:bCs w:val="1"/>
                <w:color w:val="auto"/>
                <w:w w:val="92"/>
              </w:rPr>
              <w:t>Operating</w:t>
            </w:r>
          </w:p>
        </w:tc>
        <w:tc>
          <w:tcPr>
            <w:tcW w:w="1260" w:type="dxa"/>
            <w:vAlign w:val="bottom"/>
          </w:tcPr>
          <w:p>
            <w:pPr>
              <w:jc w:val="right"/>
              <w:ind w:right="470"/>
              <w:spacing w:after="0"/>
              <w:rPr>
                <w:sz w:val="20"/>
                <w:szCs w:val="20"/>
                <w:color w:val="auto"/>
              </w:rPr>
            </w:pPr>
            <w:r>
              <w:rPr>
                <w:rFonts w:ascii="Arial" w:cs="Arial" w:eastAsia="Arial" w:hAnsi="Arial"/>
                <w:sz w:val="16"/>
                <w:szCs w:val="16"/>
                <w:b w:val="1"/>
                <w:bCs w:val="1"/>
                <w:color w:val="auto"/>
              </w:rPr>
              <w:t>Finance</w:t>
            </w:r>
          </w:p>
        </w:tc>
        <w:tc>
          <w:tcPr>
            <w:tcW w:w="1360" w:type="dxa"/>
            <w:vAlign w:val="bottom"/>
          </w:tcPr>
          <w:p>
            <w:pPr>
              <w:jc w:val="center"/>
              <w:ind w:right="292"/>
              <w:spacing w:after="0"/>
              <w:rPr>
                <w:sz w:val="20"/>
                <w:szCs w:val="20"/>
                <w:color w:val="auto"/>
              </w:rPr>
            </w:pPr>
            <w:r>
              <w:rPr>
                <w:rFonts w:ascii="Arial" w:cs="Arial" w:eastAsia="Arial" w:hAnsi="Arial"/>
                <w:sz w:val="16"/>
                <w:szCs w:val="16"/>
                <w:b w:val="1"/>
                <w:bCs w:val="1"/>
                <w:color w:val="auto"/>
                <w:w w:val="92"/>
              </w:rPr>
              <w:t>Operating</w:t>
            </w:r>
          </w:p>
        </w:tc>
        <w:tc>
          <w:tcPr>
            <w:tcW w:w="1140" w:type="dxa"/>
            <w:vAlign w:val="bottom"/>
          </w:tcPr>
          <w:p>
            <w:pPr>
              <w:jc w:val="right"/>
              <w:ind w:right="350"/>
              <w:spacing w:after="0"/>
              <w:rPr>
                <w:sz w:val="20"/>
                <w:szCs w:val="20"/>
                <w:color w:val="auto"/>
              </w:rPr>
            </w:pPr>
            <w:r>
              <w:rPr>
                <w:rFonts w:ascii="Arial" w:cs="Arial" w:eastAsia="Arial" w:hAnsi="Arial"/>
                <w:sz w:val="16"/>
                <w:szCs w:val="16"/>
                <w:b w:val="1"/>
                <w:bCs w:val="1"/>
                <w:color w:val="auto"/>
              </w:rPr>
              <w:t>Finance</w:t>
            </w:r>
          </w:p>
        </w:tc>
      </w:tr>
      <w:tr>
        <w:trPr>
          <w:trHeight w:val="240"/>
        </w:trPr>
        <w:tc>
          <w:tcPr>
            <w:tcW w:w="3560" w:type="dxa"/>
            <w:vAlign w:val="bottom"/>
          </w:tcPr>
          <w:p>
            <w:pPr>
              <w:spacing w:after="0"/>
              <w:rPr>
                <w:sz w:val="20"/>
                <w:szCs w:val="20"/>
                <w:color w:val="auto"/>
              </w:rPr>
            </w:pPr>
          </w:p>
        </w:tc>
        <w:tc>
          <w:tcPr>
            <w:tcW w:w="2080" w:type="dxa"/>
            <w:vAlign w:val="bottom"/>
          </w:tcPr>
          <w:p>
            <w:pPr>
              <w:jc w:val="center"/>
              <w:ind w:left="292"/>
              <w:spacing w:after="0"/>
              <w:rPr>
                <w:sz w:val="20"/>
                <w:szCs w:val="20"/>
                <w:color w:val="auto"/>
              </w:rPr>
            </w:pPr>
            <w:r>
              <w:rPr>
                <w:rFonts w:ascii="Arial" w:cs="Arial" w:eastAsia="Arial" w:hAnsi="Arial"/>
                <w:sz w:val="16"/>
                <w:szCs w:val="16"/>
                <w:b w:val="1"/>
                <w:bCs w:val="1"/>
                <w:color w:val="auto"/>
                <w:w w:val="84"/>
              </w:rPr>
              <w:t>Leases</w:t>
            </w:r>
          </w:p>
        </w:tc>
        <w:tc>
          <w:tcPr>
            <w:tcW w:w="1260" w:type="dxa"/>
            <w:vAlign w:val="bottom"/>
          </w:tcPr>
          <w:p>
            <w:pPr>
              <w:jc w:val="right"/>
              <w:ind w:right="490"/>
              <w:spacing w:after="0"/>
              <w:rPr>
                <w:sz w:val="20"/>
                <w:szCs w:val="20"/>
                <w:color w:val="auto"/>
              </w:rPr>
            </w:pPr>
            <w:r>
              <w:rPr>
                <w:rFonts w:ascii="Arial" w:cs="Arial" w:eastAsia="Arial" w:hAnsi="Arial"/>
                <w:sz w:val="16"/>
                <w:szCs w:val="16"/>
                <w:b w:val="1"/>
                <w:bCs w:val="1"/>
                <w:color w:val="auto"/>
              </w:rPr>
              <w:t>Leases</w:t>
            </w:r>
          </w:p>
        </w:tc>
        <w:tc>
          <w:tcPr>
            <w:tcW w:w="1360" w:type="dxa"/>
            <w:vAlign w:val="bottom"/>
          </w:tcPr>
          <w:p>
            <w:pPr>
              <w:jc w:val="center"/>
              <w:ind w:right="272"/>
              <w:spacing w:after="0"/>
              <w:rPr>
                <w:sz w:val="20"/>
                <w:szCs w:val="20"/>
                <w:color w:val="auto"/>
              </w:rPr>
            </w:pPr>
            <w:r>
              <w:rPr>
                <w:rFonts w:ascii="Arial" w:cs="Arial" w:eastAsia="Arial" w:hAnsi="Arial"/>
                <w:sz w:val="16"/>
                <w:szCs w:val="16"/>
                <w:b w:val="1"/>
                <w:bCs w:val="1"/>
                <w:color w:val="auto"/>
                <w:w w:val="81"/>
              </w:rPr>
              <w:t>Leases</w:t>
            </w:r>
          </w:p>
        </w:tc>
        <w:tc>
          <w:tcPr>
            <w:tcW w:w="1140" w:type="dxa"/>
            <w:vAlign w:val="bottom"/>
          </w:tcPr>
          <w:p>
            <w:pPr>
              <w:jc w:val="right"/>
              <w:ind w:right="370"/>
              <w:spacing w:after="0"/>
              <w:rPr>
                <w:sz w:val="20"/>
                <w:szCs w:val="20"/>
                <w:color w:val="auto"/>
              </w:rPr>
            </w:pPr>
            <w:r>
              <w:rPr>
                <w:rFonts w:ascii="Arial" w:cs="Arial" w:eastAsia="Arial" w:hAnsi="Arial"/>
                <w:sz w:val="16"/>
                <w:szCs w:val="16"/>
                <w:b w:val="1"/>
                <w:bCs w:val="1"/>
                <w:color w:val="auto"/>
              </w:rPr>
              <w:t>Leases</w:t>
            </w:r>
          </w:p>
        </w:tc>
      </w:tr>
      <w:tr>
        <w:trPr>
          <w:trHeight w:val="42"/>
        </w:trPr>
        <w:tc>
          <w:tcPr>
            <w:tcW w:w="3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Weighted-average term (in years)</w:t>
            </w:r>
          </w:p>
        </w:tc>
        <w:tc>
          <w:tcPr>
            <w:tcW w:w="2080" w:type="dxa"/>
            <w:vAlign w:val="bottom"/>
            <w:tcBorders>
              <w:bottom w:val="single" w:sz="8" w:color="CFF0FC"/>
            </w:tcBorders>
            <w:shd w:val="clear" w:color="auto" w:fill="CFF0FC"/>
          </w:tcPr>
          <w:p>
            <w:pPr>
              <w:ind w:left="1500"/>
              <w:spacing w:after="0"/>
              <w:rPr>
                <w:sz w:val="20"/>
                <w:szCs w:val="20"/>
                <w:color w:val="auto"/>
              </w:rPr>
            </w:pPr>
            <w:r>
              <w:rPr>
                <w:rFonts w:ascii="Arial" w:cs="Arial" w:eastAsia="Arial" w:hAnsi="Arial"/>
                <w:sz w:val="20"/>
                <w:szCs w:val="20"/>
                <w:color w:val="auto"/>
              </w:rPr>
              <w:t>5.6</w:t>
            </w:r>
          </w:p>
        </w:tc>
        <w:tc>
          <w:tcPr>
            <w:tcW w:w="126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20"/>
                <w:szCs w:val="20"/>
                <w:color w:val="auto"/>
              </w:rPr>
              <w:t>0.3</w:t>
            </w:r>
          </w:p>
        </w:tc>
        <w:tc>
          <w:tcPr>
            <w:tcW w:w="136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20"/>
                <w:szCs w:val="20"/>
                <w:color w:val="auto"/>
              </w:rPr>
              <w:t>6.1</w:t>
            </w:r>
          </w:p>
        </w:tc>
        <w:tc>
          <w:tcPr>
            <w:tcW w:w="114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20"/>
                <w:szCs w:val="20"/>
                <w:color w:val="auto"/>
              </w:rPr>
              <w:t>1.3</w:t>
            </w:r>
          </w:p>
        </w:tc>
      </w:tr>
      <w:tr>
        <w:trPr>
          <w:trHeight w:val="259"/>
        </w:trPr>
        <w:tc>
          <w:tcPr>
            <w:tcW w:w="3560" w:type="dxa"/>
            <w:vAlign w:val="bottom"/>
          </w:tcPr>
          <w:p>
            <w:pPr>
              <w:spacing w:after="0"/>
              <w:rPr>
                <w:sz w:val="20"/>
                <w:szCs w:val="20"/>
                <w:color w:val="auto"/>
              </w:rPr>
            </w:pPr>
            <w:r>
              <w:rPr>
                <w:rFonts w:ascii="Arial" w:cs="Arial" w:eastAsia="Arial" w:hAnsi="Arial"/>
                <w:sz w:val="20"/>
                <w:szCs w:val="20"/>
                <w:color w:val="auto"/>
              </w:rPr>
              <w:t>Weighted-average discount rate</w:t>
            </w:r>
          </w:p>
        </w:tc>
        <w:tc>
          <w:tcPr>
            <w:tcW w:w="2080" w:type="dxa"/>
            <w:vAlign w:val="bottom"/>
          </w:tcPr>
          <w:p>
            <w:pPr>
              <w:ind w:left="1500"/>
              <w:spacing w:after="0"/>
              <w:rPr>
                <w:sz w:val="20"/>
                <w:szCs w:val="20"/>
                <w:color w:val="auto"/>
              </w:rPr>
            </w:pPr>
            <w:r>
              <w:rPr>
                <w:rFonts w:ascii="Arial" w:cs="Arial" w:eastAsia="Arial" w:hAnsi="Arial"/>
                <w:sz w:val="20"/>
                <w:szCs w:val="20"/>
                <w:color w:val="auto"/>
              </w:rPr>
              <w:t>4.0%</w:t>
            </w:r>
          </w:p>
        </w:tc>
        <w:tc>
          <w:tcPr>
            <w:tcW w:w="1260" w:type="dxa"/>
            <w:vAlign w:val="bottom"/>
          </w:tcPr>
          <w:p>
            <w:pPr>
              <w:jc w:val="right"/>
              <w:ind w:right="50"/>
              <w:spacing w:after="0"/>
              <w:rPr>
                <w:sz w:val="20"/>
                <w:szCs w:val="20"/>
                <w:color w:val="auto"/>
              </w:rPr>
            </w:pPr>
            <w:r>
              <w:rPr>
                <w:rFonts w:ascii="Arial" w:cs="Arial" w:eastAsia="Arial" w:hAnsi="Arial"/>
                <w:sz w:val="20"/>
                <w:szCs w:val="20"/>
                <w:color w:val="auto"/>
              </w:rPr>
              <w:t>13.4%</w:t>
            </w:r>
          </w:p>
        </w:tc>
        <w:tc>
          <w:tcPr>
            <w:tcW w:w="1360" w:type="dxa"/>
            <w:vAlign w:val="bottom"/>
          </w:tcPr>
          <w:p>
            <w:pPr>
              <w:ind w:left="760"/>
              <w:spacing w:after="0"/>
              <w:rPr>
                <w:sz w:val="20"/>
                <w:szCs w:val="20"/>
                <w:color w:val="auto"/>
              </w:rPr>
            </w:pPr>
            <w:r>
              <w:rPr>
                <w:rFonts w:ascii="Arial" w:cs="Arial" w:eastAsia="Arial" w:hAnsi="Arial"/>
                <w:sz w:val="20"/>
                <w:szCs w:val="20"/>
                <w:color w:val="auto"/>
              </w:rPr>
              <w:t>3.9%</w:t>
            </w:r>
          </w:p>
        </w:tc>
        <w:tc>
          <w:tcPr>
            <w:tcW w:w="1140" w:type="dxa"/>
            <w:vAlign w:val="bottom"/>
          </w:tcPr>
          <w:p>
            <w:pPr>
              <w:jc w:val="right"/>
              <w:spacing w:after="0"/>
              <w:rPr>
                <w:sz w:val="20"/>
                <w:szCs w:val="20"/>
                <w:color w:val="auto"/>
              </w:rPr>
            </w:pPr>
            <w:r>
              <w:rPr>
                <w:rFonts w:ascii="Arial" w:cs="Arial" w:eastAsia="Arial" w:hAnsi="Arial"/>
                <w:sz w:val="20"/>
                <w:szCs w:val="20"/>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2698750</wp:posOffset>
            </wp:positionH>
            <wp:positionV relativeFrom="paragraph">
              <wp:posOffset>-671830</wp:posOffset>
            </wp:positionV>
            <wp:extent cx="3264535" cy="63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3">
                      <a:extLst>
                        <a:ext uri="{28A0092B-C50C-407E-A947-70E740481C1C}"/>
                      </a:extLst>
                    </a:blip>
                    <a:srcRect/>
                    <a:stretch>
                      <a:fillRect/>
                    </a:stretch>
                  </pic:blipFill>
                  <pic:spPr bwMode="auto">
                    <a:xfrm>
                      <a:off x="0" y="0"/>
                      <a:ext cx="3264535" cy="6350"/>
                    </a:xfrm>
                    <a:prstGeom prst="rect">
                      <a:avLst/>
                    </a:prstGeom>
                    <a:noFill/>
                  </pic:spPr>
                </pic:pic>
              </a:graphicData>
            </a:graphic>
          </wp:anchor>
        </w:drawing>
        <w:drawing>
          <wp:anchor simplePos="0" relativeHeight="251657728" behindDoc="1" locked="0" layoutInCell="0" allowOverlap="1">
            <wp:simplePos x="0" y="0"/>
            <wp:positionH relativeFrom="column">
              <wp:posOffset>2698750</wp:posOffset>
            </wp:positionH>
            <wp:positionV relativeFrom="paragraph">
              <wp:posOffset>-360680</wp:posOffset>
            </wp:positionV>
            <wp:extent cx="3264535" cy="63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4">
                      <a:extLst>
                        <a:ext uri="{28A0092B-C50C-407E-A947-70E740481C1C}"/>
                      </a:extLst>
                    </a:blip>
                    <a:srcRect/>
                    <a:stretch>
                      <a:fillRect/>
                    </a:stretch>
                  </pic:blipFill>
                  <pic:spPr bwMode="auto">
                    <a:xfrm>
                      <a:off x="0" y="0"/>
                      <a:ext cx="3264535" cy="6350"/>
                    </a:xfrm>
                    <a:prstGeom prst="rect">
                      <a:avLst/>
                    </a:prstGeom>
                    <a:noFill/>
                  </pic:spPr>
                </pic:pic>
              </a:graphicData>
            </a:graphic>
          </wp:anchor>
        </w:drawing>
      </w:r>
    </w:p>
    <w:p>
      <w:pPr>
        <w:spacing w:after="0" w:line="240" w:lineRule="exact"/>
        <w:rPr>
          <w:sz w:val="20"/>
          <w:szCs w:val="20"/>
          <w:color w:val="auto"/>
        </w:rPr>
      </w:pPr>
    </w:p>
    <w:p>
      <w:pPr>
        <w:ind w:right="240"/>
        <w:spacing w:after="0" w:line="302" w:lineRule="auto"/>
        <w:rPr>
          <w:sz w:val="20"/>
          <w:szCs w:val="20"/>
          <w:color w:val="auto"/>
        </w:rPr>
      </w:pPr>
      <w:r>
        <w:rPr>
          <w:rFonts w:ascii="Arial" w:cs="Arial" w:eastAsia="Arial" w:hAnsi="Arial"/>
          <w:sz w:val="20"/>
          <w:szCs w:val="20"/>
          <w:color w:val="auto"/>
        </w:rPr>
        <w:t>The maturity of our lease liabilities on an undiscounted basis, including a reconciliation to the total lease liabilities reported on the consolidated balance sheet as of December 31, 2025,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40" w:type="dxa"/>
            <w:vAlign w:val="bottom"/>
          </w:tcPr>
          <w:p>
            <w:pPr>
              <w:jc w:val="right"/>
              <w:ind w:right="302"/>
              <w:spacing w:after="0"/>
              <w:rPr>
                <w:sz w:val="20"/>
                <w:szCs w:val="20"/>
                <w:color w:val="auto"/>
              </w:rPr>
            </w:pPr>
            <w:r>
              <w:rPr>
                <w:rFonts w:ascii="Arial" w:cs="Arial" w:eastAsia="Arial" w:hAnsi="Arial"/>
                <w:sz w:val="16"/>
                <w:szCs w:val="16"/>
                <w:b w:val="1"/>
                <w:bCs w:val="1"/>
                <w:color w:val="auto"/>
                <w:w w:val="90"/>
              </w:rPr>
              <w:t>Operating Leases</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Finance Leases</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jc w:val="right"/>
              <w:ind w:right="362"/>
              <w:spacing w:after="0"/>
              <w:rPr>
                <w:sz w:val="20"/>
                <w:szCs w:val="20"/>
                <w:color w:val="auto"/>
              </w:rPr>
            </w:pPr>
            <w:r>
              <w:rPr>
                <w:rFonts w:ascii="Arial" w:cs="Arial" w:eastAsia="Arial" w:hAnsi="Arial"/>
                <w:sz w:val="16"/>
                <w:szCs w:val="16"/>
                <w:b w:val="1"/>
                <w:bCs w:val="1"/>
                <w:color w:val="auto"/>
              </w:rPr>
              <w:t>Total Leases</w:t>
            </w:r>
          </w:p>
        </w:tc>
      </w:tr>
      <w:tr>
        <w:trPr>
          <w:trHeight w:val="42"/>
        </w:trPr>
        <w:tc>
          <w:tcPr>
            <w:tcW w:w="3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80"/>
        </w:trPr>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20"/>
                <w:szCs w:val="20"/>
                <w:color w:val="auto"/>
              </w:rPr>
              <w:t>140</w:t>
            </w:r>
          </w:p>
        </w:tc>
        <w:tc>
          <w:tcPr>
            <w:tcW w:w="1480" w:type="dxa"/>
            <w:vAlign w:val="bottom"/>
            <w:tcBorders>
              <w:bottom w:val="single" w:sz="8" w:color="CFF0FC"/>
            </w:tcBorders>
            <w:shd w:val="clear" w:color="auto" w:fill="CFF0FC"/>
          </w:tcPr>
          <w:p>
            <w:pPr>
              <w:jc w:val="right"/>
              <w:ind w:right="1167"/>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w:t>
            </w:r>
          </w:p>
        </w:tc>
        <w:tc>
          <w:tcPr>
            <w:tcW w:w="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142</w:t>
            </w:r>
          </w:p>
        </w:tc>
      </w:tr>
      <w:tr>
        <w:trPr>
          <w:trHeight w:val="259"/>
        </w:trPr>
        <w:tc>
          <w:tcPr>
            <w:tcW w:w="3040" w:type="dxa"/>
            <w:vAlign w:val="bottom"/>
          </w:tcPr>
          <w:p>
            <w:pPr>
              <w:spacing w:after="0"/>
              <w:rPr>
                <w:sz w:val="20"/>
                <w:szCs w:val="20"/>
                <w:color w:val="auto"/>
              </w:rPr>
            </w:pPr>
            <w:r>
              <w:rPr>
                <w:rFonts w:ascii="Arial" w:cs="Arial" w:eastAsia="Arial" w:hAnsi="Arial"/>
                <w:sz w:val="20"/>
                <w:szCs w:val="20"/>
                <w:color w:val="auto"/>
              </w:rPr>
              <w:t>2027</w:t>
            </w:r>
          </w:p>
        </w:tc>
        <w:tc>
          <w:tcPr>
            <w:tcW w:w="980" w:type="dxa"/>
            <w:vAlign w:val="bottom"/>
          </w:tcPr>
          <w:p>
            <w:pPr>
              <w:spacing w:after="0"/>
              <w:rPr>
                <w:sz w:val="22"/>
                <w:szCs w:val="22"/>
                <w:color w:val="auto"/>
              </w:rPr>
            </w:pPr>
          </w:p>
        </w:tc>
        <w:tc>
          <w:tcPr>
            <w:tcW w:w="1640" w:type="dxa"/>
            <w:vAlign w:val="bottom"/>
          </w:tcPr>
          <w:p>
            <w:pPr>
              <w:jc w:val="right"/>
              <w:ind w:right="102"/>
              <w:spacing w:after="0"/>
              <w:rPr>
                <w:sz w:val="20"/>
                <w:szCs w:val="20"/>
                <w:color w:val="auto"/>
              </w:rPr>
            </w:pPr>
            <w:r>
              <w:rPr>
                <w:rFonts w:ascii="Arial" w:cs="Arial" w:eastAsia="Arial" w:hAnsi="Arial"/>
                <w:sz w:val="20"/>
                <w:szCs w:val="20"/>
                <w:color w:val="auto"/>
              </w:rPr>
              <w:t>121</w:t>
            </w:r>
          </w:p>
        </w:tc>
        <w:tc>
          <w:tcPr>
            <w:tcW w:w="1480" w:type="dxa"/>
            <w:vAlign w:val="bottom"/>
          </w:tcPr>
          <w:p>
            <w:pPr>
              <w:spacing w:after="0"/>
              <w:rPr>
                <w:sz w:val="22"/>
                <w:szCs w:val="22"/>
                <w:color w:val="auto"/>
              </w:rPr>
            </w:pPr>
          </w:p>
        </w:tc>
        <w:tc>
          <w:tcPr>
            <w:tcW w:w="4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1460" w:type="dxa"/>
            <w:vAlign w:val="bottom"/>
          </w:tcPr>
          <w:p>
            <w:pPr>
              <w:jc w:val="right"/>
              <w:ind w:right="2"/>
              <w:spacing w:after="0"/>
              <w:rPr>
                <w:sz w:val="20"/>
                <w:szCs w:val="20"/>
                <w:color w:val="auto"/>
              </w:rPr>
            </w:pPr>
            <w:r>
              <w:rPr>
                <w:rFonts w:ascii="Arial" w:cs="Arial" w:eastAsia="Arial" w:hAnsi="Arial"/>
                <w:sz w:val="20"/>
                <w:szCs w:val="20"/>
                <w:color w:val="auto"/>
              </w:rPr>
              <w:t>121</w:t>
            </w:r>
          </w:p>
        </w:tc>
      </w:tr>
      <w:tr>
        <w:trPr>
          <w:trHeight w:val="41"/>
        </w:trPr>
        <w:tc>
          <w:tcPr>
            <w:tcW w:w="3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80"/>
        </w:trPr>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2028</w:t>
            </w:r>
          </w:p>
        </w:tc>
        <w:tc>
          <w:tcPr>
            <w:tcW w:w="98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20"/>
                <w:szCs w:val="20"/>
                <w:color w:val="auto"/>
              </w:rPr>
              <w:t>112</w:t>
            </w:r>
          </w:p>
        </w:tc>
        <w:tc>
          <w:tcPr>
            <w:tcW w:w="14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112</w:t>
            </w:r>
          </w:p>
        </w:tc>
      </w:tr>
      <w:tr>
        <w:trPr>
          <w:trHeight w:val="259"/>
        </w:trPr>
        <w:tc>
          <w:tcPr>
            <w:tcW w:w="3040" w:type="dxa"/>
            <w:vAlign w:val="bottom"/>
          </w:tcPr>
          <w:p>
            <w:pPr>
              <w:spacing w:after="0"/>
              <w:rPr>
                <w:sz w:val="20"/>
                <w:szCs w:val="20"/>
                <w:color w:val="auto"/>
              </w:rPr>
            </w:pPr>
            <w:r>
              <w:rPr>
                <w:rFonts w:ascii="Arial" w:cs="Arial" w:eastAsia="Arial" w:hAnsi="Arial"/>
                <w:sz w:val="20"/>
                <w:szCs w:val="20"/>
                <w:color w:val="auto"/>
              </w:rPr>
              <w:t>2029</w:t>
            </w:r>
          </w:p>
        </w:tc>
        <w:tc>
          <w:tcPr>
            <w:tcW w:w="980" w:type="dxa"/>
            <w:vAlign w:val="bottom"/>
          </w:tcPr>
          <w:p>
            <w:pPr>
              <w:spacing w:after="0"/>
              <w:rPr>
                <w:sz w:val="22"/>
                <w:szCs w:val="22"/>
                <w:color w:val="auto"/>
              </w:rPr>
            </w:pPr>
          </w:p>
        </w:tc>
        <w:tc>
          <w:tcPr>
            <w:tcW w:w="1640" w:type="dxa"/>
            <w:vAlign w:val="bottom"/>
          </w:tcPr>
          <w:p>
            <w:pPr>
              <w:jc w:val="right"/>
              <w:ind w:right="102"/>
              <w:spacing w:after="0"/>
              <w:rPr>
                <w:sz w:val="20"/>
                <w:szCs w:val="20"/>
                <w:color w:val="auto"/>
              </w:rPr>
            </w:pPr>
            <w:r>
              <w:rPr>
                <w:rFonts w:ascii="Arial" w:cs="Arial" w:eastAsia="Arial" w:hAnsi="Arial"/>
                <w:sz w:val="20"/>
                <w:szCs w:val="20"/>
                <w:color w:val="auto"/>
              </w:rPr>
              <w:t>101</w:t>
            </w:r>
          </w:p>
        </w:tc>
        <w:tc>
          <w:tcPr>
            <w:tcW w:w="1480" w:type="dxa"/>
            <w:vAlign w:val="bottom"/>
          </w:tcPr>
          <w:p>
            <w:pPr>
              <w:spacing w:after="0"/>
              <w:rPr>
                <w:sz w:val="22"/>
                <w:szCs w:val="22"/>
                <w:color w:val="auto"/>
              </w:rPr>
            </w:pPr>
          </w:p>
        </w:tc>
        <w:tc>
          <w:tcPr>
            <w:tcW w:w="4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1460" w:type="dxa"/>
            <w:vAlign w:val="bottom"/>
          </w:tcPr>
          <w:p>
            <w:pPr>
              <w:jc w:val="right"/>
              <w:ind w:right="2"/>
              <w:spacing w:after="0"/>
              <w:rPr>
                <w:sz w:val="20"/>
                <w:szCs w:val="20"/>
                <w:color w:val="auto"/>
              </w:rPr>
            </w:pPr>
            <w:r>
              <w:rPr>
                <w:rFonts w:ascii="Arial" w:cs="Arial" w:eastAsia="Arial" w:hAnsi="Arial"/>
                <w:sz w:val="20"/>
                <w:szCs w:val="20"/>
                <w:color w:val="auto"/>
              </w:rPr>
              <w:t>101</w:t>
            </w:r>
          </w:p>
        </w:tc>
      </w:tr>
      <w:tr>
        <w:trPr>
          <w:trHeight w:val="41"/>
        </w:trPr>
        <w:tc>
          <w:tcPr>
            <w:tcW w:w="3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80"/>
        </w:trPr>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2030</w:t>
            </w:r>
          </w:p>
        </w:tc>
        <w:tc>
          <w:tcPr>
            <w:tcW w:w="98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20"/>
                <w:szCs w:val="20"/>
                <w:color w:val="auto"/>
              </w:rPr>
              <w:t>85</w:t>
            </w:r>
          </w:p>
        </w:tc>
        <w:tc>
          <w:tcPr>
            <w:tcW w:w="14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85</w:t>
            </w:r>
          </w:p>
        </w:tc>
      </w:tr>
      <w:tr>
        <w:trPr>
          <w:trHeight w:val="259"/>
        </w:trPr>
        <w:tc>
          <w:tcPr>
            <w:tcW w:w="3040" w:type="dxa"/>
            <w:vAlign w:val="bottom"/>
          </w:tcPr>
          <w:p>
            <w:pPr>
              <w:spacing w:after="0"/>
              <w:rPr>
                <w:sz w:val="20"/>
                <w:szCs w:val="20"/>
                <w:color w:val="auto"/>
              </w:rPr>
            </w:pPr>
            <w:r>
              <w:rPr>
                <w:rFonts w:ascii="Arial" w:cs="Arial" w:eastAsia="Arial" w:hAnsi="Arial"/>
                <w:sz w:val="20"/>
                <w:szCs w:val="20"/>
                <w:color w:val="auto"/>
              </w:rPr>
              <w:t>Thereafter</w:t>
            </w:r>
          </w:p>
        </w:tc>
        <w:tc>
          <w:tcPr>
            <w:tcW w:w="980" w:type="dxa"/>
            <w:vAlign w:val="bottom"/>
          </w:tcPr>
          <w:p>
            <w:pPr>
              <w:spacing w:after="0"/>
              <w:rPr>
                <w:sz w:val="22"/>
                <w:szCs w:val="22"/>
                <w:color w:val="auto"/>
              </w:rPr>
            </w:pPr>
          </w:p>
        </w:tc>
        <w:tc>
          <w:tcPr>
            <w:tcW w:w="1640" w:type="dxa"/>
            <w:vAlign w:val="bottom"/>
          </w:tcPr>
          <w:p>
            <w:pPr>
              <w:jc w:val="right"/>
              <w:ind w:right="102"/>
              <w:spacing w:after="0"/>
              <w:rPr>
                <w:sz w:val="20"/>
                <w:szCs w:val="20"/>
                <w:color w:val="auto"/>
              </w:rPr>
            </w:pPr>
            <w:r>
              <w:rPr>
                <w:rFonts w:ascii="Arial" w:cs="Arial" w:eastAsia="Arial" w:hAnsi="Arial"/>
                <w:sz w:val="20"/>
                <w:szCs w:val="20"/>
                <w:color w:val="auto"/>
              </w:rPr>
              <w:t>109</w:t>
            </w:r>
          </w:p>
        </w:tc>
        <w:tc>
          <w:tcPr>
            <w:tcW w:w="1480" w:type="dxa"/>
            <w:vAlign w:val="bottom"/>
          </w:tcPr>
          <w:p>
            <w:pPr>
              <w:spacing w:after="0"/>
              <w:rPr>
                <w:sz w:val="22"/>
                <w:szCs w:val="22"/>
                <w:color w:val="auto"/>
              </w:rPr>
            </w:pPr>
          </w:p>
        </w:tc>
        <w:tc>
          <w:tcPr>
            <w:tcW w:w="4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1460" w:type="dxa"/>
            <w:vAlign w:val="bottom"/>
          </w:tcPr>
          <w:p>
            <w:pPr>
              <w:jc w:val="right"/>
              <w:ind w:right="2"/>
              <w:spacing w:after="0"/>
              <w:rPr>
                <w:sz w:val="20"/>
                <w:szCs w:val="20"/>
                <w:color w:val="auto"/>
              </w:rPr>
            </w:pPr>
            <w:r>
              <w:rPr>
                <w:rFonts w:ascii="Arial" w:cs="Arial" w:eastAsia="Arial" w:hAnsi="Arial"/>
                <w:sz w:val="20"/>
                <w:szCs w:val="20"/>
                <w:color w:val="auto"/>
              </w:rPr>
              <w:t>109</w:t>
            </w:r>
          </w:p>
        </w:tc>
      </w:tr>
      <w:tr>
        <w:trPr>
          <w:trHeight w:val="51"/>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80"/>
        </w:trPr>
        <w:tc>
          <w:tcPr>
            <w:tcW w:w="3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future lease payments</w:t>
            </w:r>
          </w:p>
        </w:tc>
        <w:tc>
          <w:tcPr>
            <w:tcW w:w="98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20"/>
                <w:szCs w:val="20"/>
                <w:color w:val="auto"/>
              </w:rPr>
              <w:t>668</w:t>
            </w:r>
          </w:p>
        </w:tc>
        <w:tc>
          <w:tcPr>
            <w:tcW w:w="14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w:t>
            </w:r>
          </w:p>
        </w:tc>
        <w:tc>
          <w:tcPr>
            <w:tcW w:w="40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bottom w:val="single" w:sz="8" w:color="CFF0FC"/>
            </w:tcBorders>
            <w:shd w:val="clear" w:color="auto" w:fill="CFF0FC"/>
          </w:tcPr>
          <w:p>
            <w:pPr>
              <w:jc w:val="right"/>
              <w:ind w:right="2"/>
              <w:spacing w:after="0"/>
              <w:rPr>
                <w:sz w:val="20"/>
                <w:szCs w:val="20"/>
                <w:color w:val="auto"/>
              </w:rPr>
            </w:pPr>
            <w:r>
              <w:rPr>
                <w:rFonts w:ascii="Arial" w:cs="Arial" w:eastAsia="Arial" w:hAnsi="Arial"/>
                <w:sz w:val="20"/>
                <w:szCs w:val="20"/>
                <w:color w:val="auto"/>
              </w:rPr>
              <w:t>670</w:t>
            </w:r>
          </w:p>
        </w:tc>
      </w:tr>
      <w:tr>
        <w:trPr>
          <w:trHeight w:val="259"/>
        </w:trPr>
        <w:tc>
          <w:tcPr>
            <w:tcW w:w="3040" w:type="dxa"/>
            <w:vAlign w:val="bottom"/>
          </w:tcPr>
          <w:p>
            <w:pPr>
              <w:spacing w:after="0"/>
              <w:rPr>
                <w:sz w:val="20"/>
                <w:szCs w:val="20"/>
                <w:color w:val="auto"/>
              </w:rPr>
            </w:pPr>
            <w:r>
              <w:rPr>
                <w:rFonts w:ascii="Arial" w:cs="Arial" w:eastAsia="Arial" w:hAnsi="Arial"/>
                <w:sz w:val="20"/>
                <w:szCs w:val="20"/>
                <w:color w:val="auto"/>
              </w:rPr>
              <w:t>Interest</w:t>
            </w:r>
          </w:p>
        </w:tc>
        <w:tc>
          <w:tcPr>
            <w:tcW w:w="980" w:type="dxa"/>
            <w:vAlign w:val="bottom"/>
          </w:tcPr>
          <w:p>
            <w:pPr>
              <w:spacing w:after="0"/>
              <w:rPr>
                <w:sz w:val="22"/>
                <w:szCs w:val="22"/>
                <w:color w:val="auto"/>
              </w:rPr>
            </w:pPr>
          </w:p>
        </w:tc>
        <w:tc>
          <w:tcPr>
            <w:tcW w:w="1640" w:type="dxa"/>
            <w:vAlign w:val="bottom"/>
          </w:tcPr>
          <w:p>
            <w:pPr>
              <w:jc w:val="right"/>
              <w:ind w:right="22"/>
              <w:spacing w:after="0"/>
              <w:rPr>
                <w:sz w:val="20"/>
                <w:szCs w:val="20"/>
                <w:color w:val="auto"/>
              </w:rPr>
            </w:pPr>
            <w:r>
              <w:rPr>
                <w:rFonts w:ascii="Arial" w:cs="Arial" w:eastAsia="Arial" w:hAnsi="Arial"/>
                <w:sz w:val="20"/>
                <w:szCs w:val="20"/>
                <w:color w:val="auto"/>
              </w:rPr>
              <w:t>(71)</w:t>
            </w:r>
          </w:p>
        </w:tc>
        <w:tc>
          <w:tcPr>
            <w:tcW w:w="1480" w:type="dxa"/>
            <w:vAlign w:val="bottom"/>
          </w:tcPr>
          <w:p>
            <w:pPr>
              <w:spacing w:after="0"/>
              <w:rPr>
                <w:sz w:val="22"/>
                <w:szCs w:val="22"/>
                <w:color w:val="auto"/>
              </w:rPr>
            </w:pPr>
          </w:p>
        </w:tc>
        <w:tc>
          <w:tcPr>
            <w:tcW w:w="4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51"/>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59"/>
        </w:trPr>
        <w:tc>
          <w:tcPr>
            <w:tcW w:w="3040" w:type="dxa"/>
            <w:vAlign w:val="bottom"/>
            <w:shd w:val="clear" w:color="auto" w:fill="CFF0FC"/>
          </w:tcPr>
          <w:p>
            <w:pPr>
              <w:spacing w:after="0"/>
              <w:rPr>
                <w:sz w:val="20"/>
                <w:szCs w:val="20"/>
                <w:color w:val="auto"/>
              </w:rPr>
            </w:pPr>
            <w:r>
              <w:rPr>
                <w:rFonts w:ascii="Arial" w:cs="Arial" w:eastAsia="Arial" w:hAnsi="Arial"/>
                <w:sz w:val="20"/>
                <w:szCs w:val="20"/>
                <w:color w:val="auto"/>
              </w:rPr>
              <w:t>Total lease liabilities</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40" w:type="dxa"/>
            <w:vAlign w:val="bottom"/>
            <w:shd w:val="clear" w:color="auto" w:fill="CFF0FC"/>
          </w:tcPr>
          <w:p>
            <w:pPr>
              <w:jc w:val="right"/>
              <w:ind w:right="102"/>
              <w:spacing w:after="0"/>
              <w:rPr>
                <w:sz w:val="20"/>
                <w:szCs w:val="20"/>
                <w:color w:val="auto"/>
              </w:rPr>
            </w:pPr>
            <w:r>
              <w:rPr>
                <w:rFonts w:ascii="Arial" w:cs="Arial" w:eastAsia="Arial" w:hAnsi="Arial"/>
                <w:sz w:val="20"/>
                <w:szCs w:val="20"/>
                <w:color w:val="auto"/>
              </w:rPr>
              <w:t>597</w:t>
            </w:r>
          </w:p>
        </w:tc>
        <w:tc>
          <w:tcPr>
            <w:tcW w:w="1480" w:type="dxa"/>
            <w:vAlign w:val="bottom"/>
            <w:shd w:val="clear" w:color="auto" w:fill="CFF0FC"/>
          </w:tcPr>
          <w:p>
            <w:pPr>
              <w:jc w:val="right"/>
              <w:ind w:right="1167"/>
              <w:spacing w:after="0"/>
              <w:rPr>
                <w:sz w:val="20"/>
                <w:szCs w:val="20"/>
                <w:color w:val="auto"/>
              </w:rPr>
            </w:pPr>
            <w:r>
              <w:rPr>
                <w:rFonts w:ascii="Arial" w:cs="Arial" w:eastAsia="Arial" w:hAnsi="Arial"/>
                <w:sz w:val="20"/>
                <w:szCs w:val="20"/>
                <w:color w:val="auto"/>
              </w:rPr>
              <w:t>$</w:t>
            </w:r>
          </w:p>
        </w:tc>
        <w:tc>
          <w:tcPr>
            <w:tcW w:w="40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2</w:t>
            </w:r>
          </w:p>
        </w:tc>
        <w:tc>
          <w:tcPr>
            <w:tcW w:w="40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FF0FC"/>
          </w:tcPr>
          <w:p>
            <w:pPr>
              <w:jc w:val="right"/>
              <w:ind w:right="2"/>
              <w:spacing w:after="0"/>
              <w:rPr>
                <w:sz w:val="20"/>
                <w:szCs w:val="20"/>
                <w:color w:val="auto"/>
              </w:rPr>
            </w:pPr>
            <w:r>
              <w:rPr>
                <w:rFonts w:ascii="Arial" w:cs="Arial" w:eastAsia="Arial" w:hAnsi="Arial"/>
                <w:sz w:val="20"/>
                <w:szCs w:val="20"/>
                <w:color w:val="auto"/>
              </w:rPr>
              <w:t>599</w:t>
            </w:r>
          </w:p>
        </w:tc>
      </w:tr>
      <w:tr>
        <w:trPr>
          <w:trHeight w:val="86"/>
        </w:trPr>
        <w:tc>
          <w:tcPr>
            <w:tcW w:w="304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c>
          <w:tcPr>
            <w:tcW w:w="1640" w:type="dxa"/>
            <w:vAlign w:val="bottom"/>
            <w:shd w:val="clear" w:color="auto" w:fill="CFF0FC"/>
          </w:tcPr>
          <w:p>
            <w:pPr>
              <w:spacing w:after="0"/>
              <w:rPr>
                <w:sz w:val="7"/>
                <w:szCs w:val="7"/>
                <w:color w:val="auto"/>
              </w:rPr>
            </w:pPr>
          </w:p>
        </w:tc>
        <w:tc>
          <w:tcPr>
            <w:tcW w:w="148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46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-1761490</wp:posOffset>
            </wp:positionV>
            <wp:extent cx="3514725" cy="63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5">
                      <a:extLst>
                        <a:ext uri="{28A0092B-C50C-407E-A947-70E740481C1C}"/>
                      </a:extLst>
                    </a:blip>
                    <a:srcRect/>
                    <a:stretch>
                      <a:fillRect/>
                    </a:stretch>
                  </pic:blipFill>
                  <pic:spPr bwMode="auto">
                    <a:xfrm>
                      <a:off x="0" y="0"/>
                      <a:ext cx="3514725" cy="6350"/>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-612140</wp:posOffset>
            </wp:positionV>
            <wp:extent cx="3514725" cy="63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6">
                      <a:extLst>
                        <a:ext uri="{28A0092B-C50C-407E-A947-70E740481C1C}"/>
                      </a:extLst>
                    </a:blip>
                    <a:srcRect/>
                    <a:stretch>
                      <a:fillRect/>
                    </a:stretch>
                  </pic:blipFill>
                  <pic:spPr bwMode="auto">
                    <a:xfrm>
                      <a:off x="0" y="0"/>
                      <a:ext cx="3514725" cy="6350"/>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-224790</wp:posOffset>
            </wp:positionV>
            <wp:extent cx="3514725" cy="63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7">
                      <a:extLst>
                        <a:ext uri="{28A0092B-C50C-407E-A947-70E740481C1C}"/>
                      </a:extLst>
                    </a:blip>
                    <a:srcRect/>
                    <a:stretch>
                      <a:fillRect/>
                    </a:stretch>
                  </pic:blipFill>
                  <pic:spPr bwMode="auto">
                    <a:xfrm>
                      <a:off x="0" y="0"/>
                      <a:ext cx="3514725" cy="6350"/>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-27940</wp:posOffset>
            </wp:positionV>
            <wp:extent cx="3514725" cy="2857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68">
                      <a:extLst>
                        <a:ext uri="{28A0092B-C50C-407E-A947-70E740481C1C}"/>
                      </a:extLst>
                    </a:blip>
                    <a:srcRect/>
                    <a:stretch>
                      <a:fillRect/>
                    </a:stretch>
                  </pic:blipFill>
                  <pic:spPr bwMode="auto">
                    <a:xfrm>
                      <a:off x="0" y="0"/>
                      <a:ext cx="3514725" cy="2857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 Commitments and Contingencies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Guarantees</w:t>
      </w:r>
    </w:p>
    <w:p>
      <w:pPr>
        <w:spacing w:after="0" w:line="260" w:lineRule="exact"/>
        <w:rPr>
          <w:sz w:val="20"/>
          <w:szCs w:val="20"/>
          <w:color w:val="auto"/>
        </w:rPr>
      </w:pPr>
    </w:p>
    <w:p>
      <w:pPr>
        <w:ind w:right="800"/>
        <w:spacing w:after="0" w:line="302" w:lineRule="auto"/>
        <w:rPr>
          <w:sz w:val="20"/>
          <w:szCs w:val="20"/>
          <w:color w:val="auto"/>
        </w:rPr>
      </w:pPr>
      <w:r>
        <w:rPr>
          <w:rFonts w:ascii="Arial" w:cs="Arial" w:eastAsia="Arial" w:hAnsi="Arial"/>
          <w:sz w:val="20"/>
          <w:szCs w:val="20"/>
          <w:color w:val="auto"/>
        </w:rPr>
        <w:t>Guarantees issued by certain of WTW’s subsidiaries with respect to the senior notes and credit facilities are discussed in Note 11 — Debt.</w:t>
      </w:r>
    </w:p>
    <w:p>
      <w:pPr>
        <w:spacing w:after="0" w:line="201" w:lineRule="exact"/>
        <w:rPr>
          <w:sz w:val="20"/>
          <w:szCs w:val="20"/>
          <w:color w:val="auto"/>
        </w:rPr>
      </w:pPr>
    </w:p>
    <w:p>
      <w:pPr>
        <w:ind w:right="60"/>
        <w:spacing w:after="0" w:line="347" w:lineRule="auto"/>
        <w:rPr>
          <w:sz w:val="20"/>
          <w:szCs w:val="20"/>
          <w:color w:val="auto"/>
        </w:rPr>
      </w:pPr>
      <w:r>
        <w:rPr>
          <w:rFonts w:ascii="Arial" w:cs="Arial" w:eastAsia="Arial" w:hAnsi="Arial"/>
          <w:sz w:val="18"/>
          <w:szCs w:val="18"/>
          <w:color w:val="auto"/>
        </w:rPr>
        <w:t>Certain of WTW’s subsidiaries in the U.S. and the U.K. have given the landlords of some leased properties occupied by the Company guarantees with respect to the repayment of the lease obligations. The operating lease obligations subject to such guarantees amounted to $273 million and $301 million at December 31, 2025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2024, respectively. There were no finance lease obligations subject to such guarantees at December 31, 2025 and</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2024.</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Liabilities</w:t>
      </w:r>
    </w:p>
    <w:p>
      <w:pPr>
        <w:spacing w:after="0" w:line="260" w:lineRule="exact"/>
        <w:rPr>
          <w:sz w:val="20"/>
          <w:szCs w:val="20"/>
          <w:color w:val="auto"/>
        </w:rPr>
      </w:pPr>
    </w:p>
    <w:p>
      <w:pPr>
        <w:ind w:right="20"/>
        <w:spacing w:after="0" w:line="330" w:lineRule="auto"/>
        <w:rPr>
          <w:sz w:val="20"/>
          <w:szCs w:val="20"/>
          <w:color w:val="auto"/>
        </w:rPr>
      </w:pPr>
      <w:r>
        <w:rPr>
          <w:rFonts w:ascii="Arial" w:cs="Arial" w:eastAsia="Arial" w:hAnsi="Arial"/>
          <w:sz w:val="19"/>
          <w:szCs w:val="19"/>
          <w:color w:val="auto"/>
        </w:rPr>
        <w:t>In addition to the contingent consideration that may be payable related to our acquisitions (see Note 12 — Fair Value Measurements and Investments), we have deferred consideration of $2 million at December 31, 2025, which is payable until 2027. The Company had deferred consideration of $2 million at December 31, 2024.</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Contractual Obligations</w:t>
      </w:r>
    </w:p>
    <w:p>
      <w:pPr>
        <w:spacing w:after="0" w:line="260" w:lineRule="exact"/>
        <w:rPr>
          <w:sz w:val="20"/>
          <w:szCs w:val="20"/>
          <w:color w:val="auto"/>
        </w:rPr>
      </w:pPr>
    </w:p>
    <w:p>
      <w:pPr>
        <w:ind w:right="20"/>
        <w:spacing w:after="0" w:line="355" w:lineRule="auto"/>
        <w:rPr>
          <w:sz w:val="20"/>
          <w:szCs w:val="20"/>
          <w:color w:val="auto"/>
        </w:rPr>
      </w:pPr>
      <w:r>
        <w:rPr>
          <w:rFonts w:ascii="Arial" w:cs="Arial" w:eastAsia="Arial" w:hAnsi="Arial"/>
          <w:sz w:val="18"/>
          <w:szCs w:val="18"/>
          <w:color w:val="auto"/>
        </w:rPr>
        <w:t>For certain subsidiaries and associates, the Company has the right to purchase shares (a call option) from co-shareholders at various dates in the future. In addition, the co-shareholders of certain subsidiaries and associates have the right to sell their shares (a put option) to the Company at various dates in the future. Generally, the exercise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24</w:t>
      </w:r>
    </w:p>
    <w:p>
      <w:pPr>
        <w:sectPr>
          <w:pgSz w:w="11900" w:h="16838" w:orient="portrait"/>
          <w:cols w:equalWidth="0" w:num="1">
            <w:col w:w="9400"/>
          </w:cols>
          <w:pgMar w:left="1260" w:top="1440" w:right="1246" w:bottom="0" w:gutter="0" w:footer="0" w:header="0"/>
          <w:type w:val="continuous"/>
        </w:sectPr>
      </w:pPr>
    </w:p>
    <w:bookmarkStart w:id="245" w:name="page246"/>
    <w:bookmarkEnd w:id="245"/>
    <w:p>
      <w:pPr>
        <w:spacing w:after="0" w:line="330" w:lineRule="auto"/>
        <w:rPr>
          <w:sz w:val="20"/>
          <w:szCs w:val="20"/>
          <w:color w:val="auto"/>
        </w:rPr>
      </w:pPr>
      <w:r>
        <w:rPr>
          <w:rFonts w:ascii="Arial" w:cs="Arial" w:eastAsia="Arial" w:hAnsi="Arial"/>
          <w:sz w:val="19"/>
          <w:szCs w:val="19"/>
          <w:color w:val="auto"/>
        </w:rPr>
        <w:t>prices of such put options and call options are formula-based (using revenue and earnings) and are designed to reflect fair value. Based on current projections of profitability and exchange rates, and assuming the put options are exercised, the potential amount payable from these put options is not expected to exceed $3 million.</w:t>
      </w:r>
    </w:p>
    <w:p>
      <w:pPr>
        <w:spacing w:after="0" w:line="179" w:lineRule="exact"/>
        <w:rPr>
          <w:sz w:val="20"/>
          <w:szCs w:val="20"/>
          <w:color w:val="auto"/>
        </w:rPr>
      </w:pPr>
    </w:p>
    <w:p>
      <w:pPr>
        <w:jc w:val="both"/>
        <w:ind w:right="80"/>
        <w:spacing w:after="0" w:line="355" w:lineRule="auto"/>
        <w:rPr>
          <w:sz w:val="20"/>
          <w:szCs w:val="20"/>
          <w:color w:val="auto"/>
        </w:rPr>
      </w:pPr>
      <w:r>
        <w:rPr>
          <w:rFonts w:ascii="Arial" w:cs="Arial" w:eastAsia="Arial" w:hAnsi="Arial"/>
          <w:sz w:val="18"/>
          <w:szCs w:val="18"/>
          <w:color w:val="auto"/>
        </w:rPr>
        <w:t>Additionally, the Company has capital commitments with Trident V Parallel Fund, LP, an investment fund managed by Stone Point Capital, Dowling Capital Partners I, LP., and PruVen Capital Partners Fund II, LP. At December 31, 2025, the Company is obligated to make capital contributions of $22 million, collectively, to these funds.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Indemnification Agreements</w:t>
      </w:r>
    </w:p>
    <w:p>
      <w:pPr>
        <w:spacing w:after="0" w:line="260" w:lineRule="exact"/>
        <w:rPr>
          <w:sz w:val="20"/>
          <w:szCs w:val="20"/>
          <w:color w:val="auto"/>
        </w:rPr>
      </w:pPr>
    </w:p>
    <w:p>
      <w:pPr>
        <w:ind w:right="60"/>
        <w:spacing w:after="0" w:line="329" w:lineRule="auto"/>
        <w:rPr>
          <w:sz w:val="20"/>
          <w:szCs w:val="20"/>
          <w:color w:val="auto"/>
        </w:rPr>
      </w:pPr>
      <w:r>
        <w:rPr>
          <w:rFonts w:ascii="Arial" w:cs="Arial" w:eastAsia="Arial" w:hAnsi="Arial"/>
          <w:sz w:val="19"/>
          <w:szCs w:val="19"/>
          <w:color w:val="auto"/>
        </w:rPr>
        <w:t>WTW has various agreements with third parties pursuant to which it may be obligated to indemnify the other party to the agreement with respect to certain matters. Generally, these indemnification provisions are included in contracts arising in the normal course of business and in connection with the purchase and sale of certain businesses. It is not possible to predict the maximum potential amount of future payments that may become due under these indemnification agreements because of the conditional nature of the Company’s obligations, the limited history of prior indemnification claims, and the unique facts of each particular agreement and each indemnification provision therein (even where such indemnification provisions are subject to a maximum liability limit). As of December 31, 2025, we have not incurred a material loss with respect to the indemnification of such third parties. In addition, as of December 31, 2025, we do not believe that any potential liability that may arise from such indemnity obligations is probable or will be material.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6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24</w:t>
      </w:r>
    </w:p>
    <w:p>
      <w:pPr>
        <w:sectPr>
          <w:pgSz w:w="11900" w:h="16838" w:orient="portrait"/>
          <w:cols w:equalWidth="0" w:num="1">
            <w:col w:w="9400"/>
          </w:cols>
          <w:pgMar w:left="1260" w:top="1173" w:right="1246" w:bottom="0" w:gutter="0" w:footer="0" w:header="0"/>
          <w:type w:val="continuous"/>
        </w:sectPr>
      </w:pPr>
    </w:p>
    <w:bookmarkStart w:id="246" w:name="page247"/>
    <w:bookmarkEnd w:id="2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60" w:lineRule="exact"/>
        <w:rPr>
          <w:sz w:val="20"/>
          <w:szCs w:val="20"/>
          <w:color w:val="auto"/>
        </w:rPr>
      </w:pPr>
    </w:p>
    <w:p>
      <w:pPr>
        <w:ind w:right="100"/>
        <w:spacing w:after="0" w:line="330" w:lineRule="auto"/>
        <w:rPr>
          <w:sz w:val="20"/>
          <w:szCs w:val="20"/>
          <w:color w:val="auto"/>
        </w:rPr>
      </w:pPr>
      <w:r>
        <w:rPr>
          <w:rFonts w:ascii="Arial" w:cs="Arial" w:eastAsia="Arial" w:hAnsi="Arial"/>
          <w:sz w:val="19"/>
          <w:szCs w:val="19"/>
          <w:color w:val="auto"/>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spacing w:after="0" w:line="178" w:lineRule="exact"/>
        <w:rPr>
          <w:sz w:val="20"/>
          <w:szCs w:val="20"/>
          <w:color w:val="auto"/>
        </w:rPr>
      </w:pPr>
    </w:p>
    <w:p>
      <w:pPr>
        <w:ind w:right="200"/>
        <w:spacing w:after="0" w:line="329" w:lineRule="auto"/>
        <w:rPr>
          <w:sz w:val="20"/>
          <w:szCs w:val="20"/>
          <w:color w:val="auto"/>
        </w:rPr>
      </w:pPr>
      <w:r>
        <w:rPr>
          <w:rFonts w:ascii="Arial" w:cs="Arial" w:eastAsia="Arial" w:hAnsi="Arial"/>
          <w:sz w:val="19"/>
          <w:szCs w:val="19"/>
          <w:color w:val="auto"/>
        </w:rPr>
        <w:t>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16 — Supplementary Information for Certain Balance Sheet Accounts for the amounts accrued at December 31, 2025 and 2024 in the consolidated balance sheets.</w:t>
      </w:r>
    </w:p>
    <w:p>
      <w:pPr>
        <w:spacing w:after="0" w:line="184" w:lineRule="exact"/>
        <w:rPr>
          <w:sz w:val="20"/>
          <w:szCs w:val="20"/>
          <w:color w:val="auto"/>
        </w:rPr>
      </w:pPr>
    </w:p>
    <w:p>
      <w:pPr>
        <w:ind w:right="100"/>
        <w:spacing w:after="0" w:line="329" w:lineRule="auto"/>
        <w:rPr>
          <w:sz w:val="20"/>
          <w:szCs w:val="20"/>
          <w:color w:val="auto"/>
        </w:rPr>
      </w:pPr>
      <w:r>
        <w:rPr>
          <w:rFonts w:ascii="Arial" w:cs="Arial" w:eastAsia="Arial" w:hAnsi="Arial"/>
          <w:sz w:val="19"/>
          <w:szCs w:val="19"/>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a particular quarterly or annual period.</w:t>
      </w:r>
    </w:p>
    <w:p>
      <w:pPr>
        <w:spacing w:after="0" w:line="183" w:lineRule="exact"/>
        <w:rPr>
          <w:sz w:val="20"/>
          <w:szCs w:val="20"/>
          <w:color w:val="auto"/>
        </w:rPr>
      </w:pPr>
    </w:p>
    <w:p>
      <w:pPr>
        <w:ind w:right="80"/>
        <w:spacing w:after="0" w:line="352" w:lineRule="auto"/>
        <w:rPr>
          <w:sz w:val="20"/>
          <w:szCs w:val="20"/>
          <w:color w:val="auto"/>
        </w:rPr>
      </w:pPr>
      <w:r>
        <w:rPr>
          <w:rFonts w:ascii="Arial" w:cs="Arial" w:eastAsia="Arial" w:hAnsi="Arial"/>
          <w:sz w:val="18"/>
          <w:szCs w:val="18"/>
          <w:color w:val="auto"/>
        </w:rPr>
        <w:t xml:space="preserve">The Company provides for contingent liabilities based 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 Supplementary Information for Certain Balance Sheet Accounts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Additional details of specific balance sheet accounts are detailed below.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Prepaid and other current assets consist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00" w:type="dxa"/>
            <w:vAlign w:val="bottom"/>
          </w:tcPr>
          <w:p>
            <w:pPr>
              <w:jc w:val="right"/>
              <w:ind w:right="223"/>
              <w:spacing w:after="0"/>
              <w:rPr>
                <w:sz w:val="20"/>
                <w:szCs w:val="20"/>
                <w:color w:val="auto"/>
              </w:rPr>
            </w:pPr>
            <w:r>
              <w:rPr>
                <w:rFonts w:ascii="Arial" w:cs="Arial" w:eastAsia="Arial" w:hAnsi="Arial"/>
                <w:sz w:val="16"/>
                <w:szCs w:val="16"/>
                <w:b w:val="1"/>
                <w:bCs w:val="1"/>
                <w:color w:val="auto"/>
                <w:w w:val="92"/>
              </w:rPr>
              <w:t>December 31,</w:t>
            </w:r>
          </w:p>
        </w:tc>
        <w:tc>
          <w:tcPr>
            <w:tcW w:w="300" w:type="dxa"/>
            <w:vAlign w:val="bottom"/>
          </w:tcPr>
          <w:p>
            <w:pPr>
              <w:spacing w:after="0"/>
              <w:rPr>
                <w:sz w:val="16"/>
                <w:szCs w:val="16"/>
                <w:color w:val="auto"/>
              </w:rPr>
            </w:pPr>
          </w:p>
        </w:tc>
        <w:tc>
          <w:tcPr>
            <w:tcW w:w="1280" w:type="dxa"/>
            <w:vAlign w:val="bottom"/>
          </w:tcPr>
          <w:p>
            <w:pPr>
              <w:jc w:val="right"/>
              <w:ind w:right="203"/>
              <w:spacing w:after="0"/>
              <w:rPr>
                <w:sz w:val="20"/>
                <w:szCs w:val="20"/>
                <w:color w:val="auto"/>
              </w:rPr>
            </w:pPr>
            <w:r>
              <w:rPr>
                <w:rFonts w:ascii="Arial" w:cs="Arial" w:eastAsia="Arial" w:hAnsi="Arial"/>
                <w:sz w:val="16"/>
                <w:szCs w:val="16"/>
                <w:b w:val="1"/>
                <w:bCs w:val="1"/>
                <w:color w:val="auto"/>
                <w:w w:val="92"/>
              </w:rPr>
              <w:t>December 31,</w:t>
            </w:r>
          </w:p>
        </w:tc>
      </w:tr>
      <w:tr>
        <w:trPr>
          <w:trHeight w:val="240"/>
        </w:trPr>
        <w:tc>
          <w:tcPr>
            <w:tcW w:w="45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jc w:val="right"/>
              <w:ind w:right="523"/>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20"/>
                <w:szCs w:val="20"/>
                <w:color w:val="auto"/>
              </w:rPr>
            </w:pPr>
          </w:p>
        </w:tc>
        <w:tc>
          <w:tcPr>
            <w:tcW w:w="1280" w:type="dxa"/>
            <w:vAlign w:val="bottom"/>
          </w:tcPr>
          <w:p>
            <w:pPr>
              <w:jc w:val="right"/>
              <w:ind w:right="523"/>
              <w:spacing w:after="0"/>
              <w:rPr>
                <w:sz w:val="20"/>
                <w:szCs w:val="20"/>
                <w:color w:val="auto"/>
              </w:rPr>
            </w:pPr>
            <w:r>
              <w:rPr>
                <w:rFonts w:ascii="Arial" w:cs="Arial" w:eastAsia="Arial" w:hAnsi="Arial"/>
                <w:sz w:val="16"/>
                <w:szCs w:val="16"/>
                <w:b w:val="1"/>
                <w:bCs w:val="1"/>
                <w:color w:val="auto"/>
              </w:rPr>
              <w:t>2024</w:t>
            </w:r>
          </w:p>
        </w:tc>
      </w:tr>
      <w:tr>
        <w:trPr>
          <w:trHeight w:val="42"/>
        </w:trPr>
        <w:tc>
          <w:tcPr>
            <w:tcW w:w="45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Prepayments and accrued income</w:t>
            </w:r>
          </w:p>
        </w:tc>
        <w:tc>
          <w:tcPr>
            <w:tcW w:w="1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128</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123</w:t>
            </w:r>
          </w:p>
        </w:tc>
      </w:tr>
      <w:tr>
        <w:trPr>
          <w:trHeight w:val="274"/>
        </w:trPr>
        <w:tc>
          <w:tcPr>
            <w:tcW w:w="4580" w:type="dxa"/>
            <w:vAlign w:val="bottom"/>
          </w:tcPr>
          <w:p>
            <w:pPr>
              <w:spacing w:after="0"/>
              <w:rPr>
                <w:sz w:val="20"/>
                <w:szCs w:val="20"/>
                <w:color w:val="auto"/>
              </w:rPr>
            </w:pPr>
            <w:r>
              <w:rPr>
                <w:rFonts w:ascii="Arial" w:cs="Arial" w:eastAsia="Arial" w:hAnsi="Arial"/>
                <w:sz w:val="20"/>
                <w:szCs w:val="20"/>
                <w:color w:val="auto"/>
              </w:rPr>
              <w:t>Deferred contract costs</w:t>
            </w:r>
          </w:p>
        </w:tc>
        <w:tc>
          <w:tcPr>
            <w:tcW w:w="1940" w:type="dxa"/>
            <w:vAlign w:val="bottom"/>
          </w:tcPr>
          <w:p>
            <w:pPr>
              <w:spacing w:after="0"/>
              <w:rPr>
                <w:sz w:val="23"/>
                <w:szCs w:val="23"/>
                <w:color w:val="auto"/>
              </w:rPr>
            </w:pPr>
          </w:p>
        </w:tc>
        <w:tc>
          <w:tcPr>
            <w:tcW w:w="1300" w:type="dxa"/>
            <w:vAlign w:val="bottom"/>
          </w:tcPr>
          <w:p>
            <w:pPr>
              <w:jc w:val="right"/>
              <w:ind w:right="23"/>
              <w:spacing w:after="0"/>
              <w:rPr>
                <w:sz w:val="20"/>
                <w:szCs w:val="20"/>
                <w:color w:val="auto"/>
              </w:rPr>
            </w:pPr>
            <w:r>
              <w:rPr>
                <w:rFonts w:ascii="Arial" w:cs="Arial" w:eastAsia="Arial" w:hAnsi="Arial"/>
                <w:sz w:val="20"/>
                <w:szCs w:val="20"/>
                <w:color w:val="auto"/>
              </w:rPr>
              <w:t>88</w:t>
            </w:r>
          </w:p>
        </w:tc>
        <w:tc>
          <w:tcPr>
            <w:tcW w:w="30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20"/>
                <w:szCs w:val="20"/>
                <w:color w:val="auto"/>
              </w:rPr>
              <w:t>85</w:t>
            </w:r>
          </w:p>
        </w:tc>
      </w:tr>
      <w:tr>
        <w:trPr>
          <w:trHeight w:val="41"/>
        </w:trPr>
        <w:tc>
          <w:tcPr>
            <w:tcW w:w="45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Derivatives and investments</w:t>
            </w:r>
          </w:p>
        </w:tc>
        <w:tc>
          <w:tcPr>
            <w:tcW w:w="19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28</w:t>
            </w:r>
          </w:p>
        </w:tc>
        <w:tc>
          <w:tcPr>
            <w:tcW w:w="3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1</w:t>
            </w:r>
          </w:p>
        </w:tc>
      </w:tr>
      <w:tr>
        <w:trPr>
          <w:trHeight w:val="274"/>
        </w:trPr>
        <w:tc>
          <w:tcPr>
            <w:tcW w:w="4580" w:type="dxa"/>
            <w:vAlign w:val="bottom"/>
          </w:tcPr>
          <w:p>
            <w:pPr>
              <w:spacing w:after="0"/>
              <w:rPr>
                <w:sz w:val="20"/>
                <w:szCs w:val="20"/>
                <w:color w:val="auto"/>
              </w:rPr>
            </w:pPr>
            <w:r>
              <w:rPr>
                <w:rFonts w:ascii="Arial" w:cs="Arial" w:eastAsia="Arial" w:hAnsi="Arial"/>
                <w:sz w:val="20"/>
                <w:szCs w:val="20"/>
                <w:color w:val="auto"/>
              </w:rPr>
              <w:t>Deferred compensation plan assets</w:t>
            </w:r>
          </w:p>
        </w:tc>
        <w:tc>
          <w:tcPr>
            <w:tcW w:w="1940" w:type="dxa"/>
            <w:vAlign w:val="bottom"/>
          </w:tcPr>
          <w:p>
            <w:pPr>
              <w:spacing w:after="0"/>
              <w:rPr>
                <w:sz w:val="23"/>
                <w:szCs w:val="23"/>
                <w:color w:val="auto"/>
              </w:rPr>
            </w:pPr>
          </w:p>
        </w:tc>
        <w:tc>
          <w:tcPr>
            <w:tcW w:w="1300" w:type="dxa"/>
            <w:vAlign w:val="bottom"/>
          </w:tcPr>
          <w:p>
            <w:pPr>
              <w:jc w:val="right"/>
              <w:ind w:right="23"/>
              <w:spacing w:after="0"/>
              <w:rPr>
                <w:sz w:val="20"/>
                <w:szCs w:val="20"/>
                <w:color w:val="auto"/>
              </w:rPr>
            </w:pPr>
            <w:r>
              <w:rPr>
                <w:rFonts w:ascii="Arial" w:cs="Arial" w:eastAsia="Arial" w:hAnsi="Arial"/>
                <w:sz w:val="20"/>
                <w:szCs w:val="20"/>
                <w:color w:val="auto"/>
              </w:rPr>
              <w:t>21</w:t>
            </w:r>
          </w:p>
        </w:tc>
        <w:tc>
          <w:tcPr>
            <w:tcW w:w="30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20"/>
                <w:szCs w:val="20"/>
                <w:color w:val="auto"/>
              </w:rPr>
              <w:t>18</w:t>
            </w:r>
          </w:p>
        </w:tc>
      </w:tr>
      <w:tr>
        <w:trPr>
          <w:trHeight w:val="41"/>
        </w:trPr>
        <w:tc>
          <w:tcPr>
            <w:tcW w:w="45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Corporate income and other taxes</w:t>
            </w:r>
          </w:p>
        </w:tc>
        <w:tc>
          <w:tcPr>
            <w:tcW w:w="19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241</w:t>
            </w:r>
          </w:p>
        </w:tc>
        <w:tc>
          <w:tcPr>
            <w:tcW w:w="3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106</w:t>
            </w:r>
          </w:p>
        </w:tc>
      </w:tr>
      <w:tr>
        <w:trPr>
          <w:trHeight w:val="314"/>
        </w:trPr>
        <w:tc>
          <w:tcPr>
            <w:tcW w:w="4580" w:type="dxa"/>
            <w:vAlign w:val="bottom"/>
          </w:tcPr>
          <w:p>
            <w:pPr>
              <w:spacing w:after="0"/>
              <w:rPr>
                <w:sz w:val="20"/>
                <w:szCs w:val="20"/>
                <w:color w:val="auto"/>
              </w:rPr>
            </w:pPr>
            <w:r>
              <w:rPr>
                <w:rFonts w:ascii="Arial" w:cs="Arial" w:eastAsia="Arial" w:hAnsi="Arial"/>
                <w:sz w:val="20"/>
                <w:szCs w:val="20"/>
                <w:color w:val="auto"/>
              </w:rPr>
              <w:t xml:space="preserve">Earnout receivable </w:t>
            </w:r>
            <w:r>
              <w:rPr>
                <w:rFonts w:ascii="Arial" w:cs="Arial" w:eastAsia="Arial" w:hAnsi="Arial"/>
                <w:sz w:val="26"/>
                <w:szCs w:val="26"/>
                <w:color w:val="auto"/>
                <w:vertAlign w:val="superscript"/>
              </w:rPr>
              <w:t>(i)</w:t>
            </w:r>
          </w:p>
        </w:tc>
        <w:tc>
          <w:tcPr>
            <w:tcW w:w="1940" w:type="dxa"/>
            <w:vAlign w:val="bottom"/>
          </w:tcPr>
          <w:p>
            <w:pPr>
              <w:spacing w:after="0"/>
              <w:rPr>
                <w:sz w:val="24"/>
                <w:szCs w:val="24"/>
                <w:color w:val="auto"/>
              </w:rPr>
            </w:pPr>
          </w:p>
        </w:tc>
        <w:tc>
          <w:tcPr>
            <w:tcW w:w="1300" w:type="dxa"/>
            <w:vAlign w:val="bottom"/>
          </w:tcPr>
          <w:p>
            <w:pPr>
              <w:jc w:val="right"/>
              <w:ind w:right="23"/>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1280" w:type="dxa"/>
            <w:vAlign w:val="bottom"/>
          </w:tcPr>
          <w:p>
            <w:pPr>
              <w:jc w:val="right"/>
              <w:ind w:right="23"/>
              <w:spacing w:after="0"/>
              <w:rPr>
                <w:sz w:val="20"/>
                <w:szCs w:val="20"/>
                <w:color w:val="auto"/>
              </w:rPr>
            </w:pPr>
            <w:r>
              <w:rPr>
                <w:rFonts w:ascii="Arial" w:cs="Arial" w:eastAsia="Arial" w:hAnsi="Arial"/>
                <w:sz w:val="20"/>
                <w:szCs w:val="20"/>
                <w:color w:val="auto"/>
              </w:rPr>
              <w:t>750</w:t>
            </w:r>
          </w:p>
        </w:tc>
      </w:tr>
      <w:tr>
        <w:trPr>
          <w:trHeight w:val="294"/>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Short-term note receivable</w:t>
            </w:r>
          </w:p>
        </w:tc>
        <w:tc>
          <w:tcPr>
            <w:tcW w:w="19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74</w:t>
            </w:r>
          </w:p>
        </w:tc>
      </w:tr>
      <w:tr>
        <w:trPr>
          <w:trHeight w:val="274"/>
        </w:trPr>
        <w:tc>
          <w:tcPr>
            <w:tcW w:w="4580" w:type="dxa"/>
            <w:vAlign w:val="bottom"/>
          </w:tcPr>
          <w:p>
            <w:pPr>
              <w:spacing w:after="0"/>
              <w:rPr>
                <w:sz w:val="20"/>
                <w:szCs w:val="20"/>
                <w:color w:val="auto"/>
              </w:rPr>
            </w:pPr>
            <w:r>
              <w:rPr>
                <w:rFonts w:ascii="Arial" w:cs="Arial" w:eastAsia="Arial" w:hAnsi="Arial"/>
                <w:sz w:val="20"/>
                <w:szCs w:val="20"/>
                <w:color w:val="auto"/>
              </w:rPr>
              <w:t>Held-to-maturity securities</w:t>
            </w:r>
          </w:p>
        </w:tc>
        <w:tc>
          <w:tcPr>
            <w:tcW w:w="1940" w:type="dxa"/>
            <w:vAlign w:val="bottom"/>
          </w:tcPr>
          <w:p>
            <w:pPr>
              <w:spacing w:after="0"/>
              <w:rPr>
                <w:sz w:val="23"/>
                <w:szCs w:val="23"/>
                <w:color w:val="auto"/>
              </w:rPr>
            </w:pPr>
          </w:p>
        </w:tc>
        <w:tc>
          <w:tcPr>
            <w:tcW w:w="1300" w:type="dxa"/>
            <w:vAlign w:val="bottom"/>
          </w:tcPr>
          <w:p>
            <w:pPr>
              <w:jc w:val="right"/>
              <w:ind w:right="23"/>
              <w:spacing w:after="0"/>
              <w:rPr>
                <w:sz w:val="20"/>
                <w:szCs w:val="20"/>
                <w:color w:val="auto"/>
              </w:rPr>
            </w:pPr>
            <w:r>
              <w:rPr>
                <w:rFonts w:ascii="Arial" w:cs="Arial" w:eastAsia="Arial" w:hAnsi="Arial"/>
                <w:sz w:val="20"/>
                <w:szCs w:val="20"/>
                <w:color w:val="auto"/>
              </w:rPr>
              <w:t>8</w:t>
            </w:r>
          </w:p>
        </w:tc>
        <w:tc>
          <w:tcPr>
            <w:tcW w:w="30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20"/>
                <w:szCs w:val="20"/>
                <w:color w:val="auto"/>
              </w:rPr>
              <w:t>—</w:t>
            </w:r>
          </w:p>
        </w:tc>
      </w:tr>
      <w:tr>
        <w:trPr>
          <w:trHeight w:val="41"/>
        </w:trPr>
        <w:tc>
          <w:tcPr>
            <w:tcW w:w="45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94"/>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Available-for-sale securities</w:t>
            </w:r>
          </w:p>
        </w:tc>
        <w:tc>
          <w:tcPr>
            <w:tcW w:w="19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25</w:t>
            </w:r>
          </w:p>
        </w:tc>
        <w:tc>
          <w:tcPr>
            <w:tcW w:w="30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w:t>
            </w:r>
          </w:p>
        </w:tc>
      </w:tr>
      <w:tr>
        <w:trPr>
          <w:trHeight w:val="274"/>
        </w:trPr>
        <w:tc>
          <w:tcPr>
            <w:tcW w:w="4580" w:type="dxa"/>
            <w:vAlign w:val="bottom"/>
          </w:tcPr>
          <w:p>
            <w:pPr>
              <w:spacing w:after="0"/>
              <w:rPr>
                <w:sz w:val="20"/>
                <w:szCs w:val="20"/>
                <w:color w:val="auto"/>
              </w:rPr>
            </w:pPr>
            <w:r>
              <w:rPr>
                <w:rFonts w:ascii="Arial" w:cs="Arial" w:eastAsia="Arial" w:hAnsi="Arial"/>
                <w:sz w:val="20"/>
                <w:szCs w:val="20"/>
                <w:color w:val="auto"/>
              </w:rPr>
              <w:t>Other current assets</w:t>
            </w:r>
          </w:p>
        </w:tc>
        <w:tc>
          <w:tcPr>
            <w:tcW w:w="1940" w:type="dxa"/>
            <w:vAlign w:val="bottom"/>
          </w:tcPr>
          <w:p>
            <w:pPr>
              <w:spacing w:after="0"/>
              <w:rPr>
                <w:sz w:val="23"/>
                <w:szCs w:val="23"/>
                <w:color w:val="auto"/>
              </w:rPr>
            </w:pPr>
          </w:p>
        </w:tc>
        <w:tc>
          <w:tcPr>
            <w:tcW w:w="1300" w:type="dxa"/>
            <w:vAlign w:val="bottom"/>
          </w:tcPr>
          <w:p>
            <w:pPr>
              <w:jc w:val="right"/>
              <w:ind w:right="23"/>
              <w:spacing w:after="0"/>
              <w:rPr>
                <w:sz w:val="20"/>
                <w:szCs w:val="20"/>
                <w:color w:val="auto"/>
              </w:rPr>
            </w:pPr>
            <w:r>
              <w:rPr>
                <w:rFonts w:ascii="Arial" w:cs="Arial" w:eastAsia="Arial" w:hAnsi="Arial"/>
                <w:sz w:val="20"/>
                <w:szCs w:val="20"/>
                <w:color w:val="auto"/>
              </w:rPr>
              <w:t>56</w:t>
            </w:r>
          </w:p>
        </w:tc>
        <w:tc>
          <w:tcPr>
            <w:tcW w:w="30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20"/>
                <w:szCs w:val="20"/>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-1976120</wp:posOffset>
            </wp:positionV>
            <wp:extent cx="1921510" cy="63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0">
                      <a:extLst>
                        <a:ext uri="{28A0092B-C50C-407E-A947-70E740481C1C}"/>
                      </a:extLst>
                    </a:blip>
                    <a:srcRect/>
                    <a:stretch>
                      <a:fillRect/>
                    </a:stretch>
                  </pic:blipFill>
                  <pic:spPr bwMode="auto">
                    <a:xfrm>
                      <a:off x="0" y="0"/>
                      <a:ext cx="1921510" cy="635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26035</wp:posOffset>
            </wp:positionV>
            <wp:extent cx="1921510" cy="63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1">
                      <a:extLst>
                        <a:ext uri="{28A0092B-C50C-407E-A947-70E740481C1C}"/>
                      </a:extLst>
                    </a:blip>
                    <a:srcRect/>
                    <a:stretch>
                      <a:fillRect/>
                    </a:stretch>
                  </pic:blipFill>
                  <pic:spPr bwMode="auto">
                    <a:xfrm>
                      <a:off x="0" y="0"/>
                      <a:ext cx="1921510"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24</w:t>
      </w:r>
    </w:p>
    <w:p>
      <w:pPr>
        <w:sectPr>
          <w:pgSz w:w="11900" w:h="16838" w:orient="portrait"/>
          <w:cols w:equalWidth="0" w:num="1">
            <w:col w:w="9400"/>
          </w:cols>
          <w:pgMar w:left="1260" w:top="1440" w:right="1246" w:bottom="0" w:gutter="0" w:footer="0" w:header="0"/>
          <w:type w:val="continuous"/>
        </w:sectPr>
      </w:pPr>
    </w:p>
    <w:bookmarkStart w:id="247" w:name="page248"/>
    <w:bookmarkEnd w:id="247"/>
    <w:p>
      <w:pPr>
        <w:spacing w:after="0"/>
        <w:tabs>
          <w:tab w:leader="none" w:pos="6340" w:val="left"/>
          <w:tab w:leader="none" w:pos="7380" w:val="left"/>
          <w:tab w:leader="none" w:pos="7940" w:val="left"/>
          <w:tab w:leader="none" w:pos="882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2796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2">
                      <a:extLst>
                        <a:ext uri="{28A0092B-C50C-407E-A947-70E740481C1C}"/>
                      </a:extLst>
                    </a:blip>
                    <a:srcRect/>
                    <a:stretch>
                      <a:fillRect/>
                    </a:stretch>
                  </pic:blipFill>
                  <pic:spPr bwMode="auto">
                    <a:xfrm>
                      <a:off x="0" y="0"/>
                      <a:ext cx="5967730" cy="227965"/>
                    </a:xfrm>
                    <a:prstGeom prst="rect">
                      <a:avLst/>
                    </a:prstGeom>
                    <a:noFill/>
                  </pic:spPr>
                </pic:pic>
              </a:graphicData>
            </a:graphic>
          </wp:anchor>
        </w:drawing>
        <w:t>Total prepaid and other current assets</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595</w:t>
        <w:tab/>
        <w:t>$</w:t>
      </w:r>
      <w:r>
        <w:rPr>
          <w:sz w:val="20"/>
          <w:szCs w:val="20"/>
          <w:color w:val="auto"/>
        </w:rPr>
        <w:tab/>
      </w:r>
      <w:r>
        <w:rPr>
          <w:rFonts w:ascii="Arial" w:cs="Arial" w:eastAsia="Arial" w:hAnsi="Arial"/>
          <w:sz w:val="17"/>
          <w:szCs w:val="17"/>
          <w:color w:val="auto"/>
        </w:rPr>
        <w:t>1,217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95655" cy="6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3">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(i) See Note 3 — Acquisitions and Divestitures for more information.</w:t>
      </w: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77"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12 / 24</w:t>
      </w:r>
    </w:p>
    <w:p>
      <w:pPr>
        <w:sectPr>
          <w:pgSz w:w="11900" w:h="16838" w:orient="portrait"/>
          <w:cols w:equalWidth="0" w:num="1">
            <w:col w:w="9280"/>
          </w:cols>
          <w:pgMar w:left="1260" w:top="1177" w:right="1366" w:bottom="0" w:gutter="0" w:footer="0" w:header="0"/>
          <w:type w:val="continuous"/>
        </w:sectPr>
      </w:pPr>
    </w:p>
    <w:bookmarkStart w:id="248" w:name="page249"/>
    <w:bookmarkEnd w:id="2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Other non-current assets consist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jc w:val="center"/>
              <w:ind w:right="223"/>
              <w:spacing w:after="0"/>
              <w:rPr>
                <w:sz w:val="20"/>
                <w:szCs w:val="20"/>
                <w:color w:val="auto"/>
              </w:rPr>
            </w:pPr>
            <w:r>
              <w:rPr>
                <w:rFonts w:ascii="Arial" w:cs="Arial" w:eastAsia="Arial" w:hAnsi="Arial"/>
                <w:sz w:val="16"/>
                <w:szCs w:val="16"/>
                <w:b w:val="1"/>
                <w:bCs w:val="1"/>
                <w:color w:val="auto"/>
                <w:w w:val="88"/>
              </w:rPr>
              <w:t>December 31,</w:t>
            </w:r>
          </w:p>
        </w:tc>
        <w:tc>
          <w:tcPr>
            <w:tcW w:w="260" w:type="dxa"/>
            <w:vAlign w:val="bottom"/>
          </w:tcPr>
          <w:p>
            <w:pPr>
              <w:spacing w:after="0"/>
              <w:rPr>
                <w:sz w:val="16"/>
                <w:szCs w:val="16"/>
                <w:color w:val="auto"/>
              </w:rPr>
            </w:pPr>
          </w:p>
        </w:tc>
        <w:tc>
          <w:tcPr>
            <w:tcW w:w="1300" w:type="dxa"/>
            <w:vAlign w:val="bottom"/>
          </w:tcPr>
          <w:p>
            <w:pPr>
              <w:jc w:val="center"/>
              <w:ind w:right="163"/>
              <w:spacing w:after="0"/>
              <w:rPr>
                <w:sz w:val="20"/>
                <w:szCs w:val="20"/>
                <w:color w:val="auto"/>
              </w:rPr>
            </w:pPr>
            <w:r>
              <w:rPr>
                <w:rFonts w:ascii="Arial" w:cs="Arial" w:eastAsia="Arial" w:hAnsi="Arial"/>
                <w:sz w:val="16"/>
                <w:szCs w:val="16"/>
                <w:b w:val="1"/>
                <w:bCs w:val="1"/>
                <w:color w:val="auto"/>
                <w:w w:val="88"/>
              </w:rPr>
              <w:t>December 31,</w:t>
            </w:r>
          </w:p>
        </w:tc>
      </w:tr>
      <w:tr>
        <w:trPr>
          <w:trHeight w:val="240"/>
        </w:trPr>
        <w:tc>
          <w:tcPr>
            <w:tcW w:w="5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jc w:val="center"/>
              <w:ind w:right="223"/>
              <w:spacing w:after="0"/>
              <w:rPr>
                <w:sz w:val="20"/>
                <w:szCs w:val="20"/>
                <w:color w:val="auto"/>
              </w:rPr>
            </w:pPr>
            <w:r>
              <w:rPr>
                <w:rFonts w:ascii="Arial" w:cs="Arial" w:eastAsia="Arial" w:hAnsi="Arial"/>
                <w:sz w:val="16"/>
                <w:szCs w:val="16"/>
                <w:b w:val="1"/>
                <w:bCs w:val="1"/>
                <w:color w:val="auto"/>
                <w:w w:val="89"/>
              </w:rPr>
              <w:t>2025</w:t>
            </w:r>
          </w:p>
        </w:tc>
        <w:tc>
          <w:tcPr>
            <w:tcW w:w="260" w:type="dxa"/>
            <w:vAlign w:val="bottom"/>
          </w:tcPr>
          <w:p>
            <w:pPr>
              <w:spacing w:after="0"/>
              <w:rPr>
                <w:sz w:val="20"/>
                <w:szCs w:val="20"/>
                <w:color w:val="auto"/>
              </w:rPr>
            </w:pPr>
          </w:p>
        </w:tc>
        <w:tc>
          <w:tcPr>
            <w:tcW w:w="1300" w:type="dxa"/>
            <w:vAlign w:val="bottom"/>
          </w:tcPr>
          <w:p>
            <w:pPr>
              <w:jc w:val="center"/>
              <w:ind w:right="163"/>
              <w:spacing w:after="0"/>
              <w:rPr>
                <w:sz w:val="20"/>
                <w:szCs w:val="20"/>
                <w:color w:val="auto"/>
              </w:rPr>
            </w:pPr>
            <w:r>
              <w:rPr>
                <w:rFonts w:ascii="Arial" w:cs="Arial" w:eastAsia="Arial" w:hAnsi="Arial"/>
                <w:sz w:val="16"/>
                <w:szCs w:val="16"/>
                <w:b w:val="1"/>
                <w:bCs w:val="1"/>
                <w:color w:val="auto"/>
                <w:w w:val="89"/>
              </w:rPr>
              <w:t>2024</w:t>
            </w:r>
          </w:p>
        </w:tc>
      </w:tr>
      <w:tr>
        <w:trPr>
          <w:trHeight w:val="42"/>
        </w:trPr>
        <w:tc>
          <w:tcPr>
            <w:tcW w:w="5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Prepayments and accrued income</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FF0FC"/>
            </w:tcBorders>
            <w:shd w:val="clear" w:color="auto" w:fill="CFF0FC"/>
          </w:tcPr>
          <w:p>
            <w:pPr>
              <w:jc w:val="right"/>
              <w:ind w:right="63"/>
              <w:spacing w:after="0"/>
              <w:rPr>
                <w:sz w:val="20"/>
                <w:szCs w:val="20"/>
                <w:color w:val="auto"/>
              </w:rPr>
            </w:pPr>
            <w:r>
              <w:rPr>
                <w:rFonts w:ascii="Arial" w:cs="Arial" w:eastAsia="Arial" w:hAnsi="Arial"/>
                <w:sz w:val="20"/>
                <w:szCs w:val="20"/>
                <w:color w:val="auto"/>
              </w:rPr>
              <w:t>20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17</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rPr>
              <w:t>Deferred contract costs</w:t>
            </w:r>
          </w:p>
        </w:tc>
        <w:tc>
          <w:tcPr>
            <w:tcW w:w="760" w:type="dxa"/>
            <w:vAlign w:val="bottom"/>
          </w:tcPr>
          <w:p>
            <w:pPr>
              <w:spacing w:after="0"/>
              <w:rPr>
                <w:sz w:val="23"/>
                <w:szCs w:val="23"/>
                <w:color w:val="auto"/>
              </w:rPr>
            </w:pPr>
          </w:p>
        </w:tc>
        <w:tc>
          <w:tcPr>
            <w:tcW w:w="1320" w:type="dxa"/>
            <w:vAlign w:val="bottom"/>
          </w:tcPr>
          <w:p>
            <w:pPr>
              <w:jc w:val="right"/>
              <w:ind w:right="63"/>
              <w:spacing w:after="0"/>
              <w:rPr>
                <w:sz w:val="20"/>
                <w:szCs w:val="20"/>
                <w:color w:val="auto"/>
              </w:rPr>
            </w:pPr>
            <w:r>
              <w:rPr>
                <w:rFonts w:ascii="Arial" w:cs="Arial" w:eastAsia="Arial" w:hAnsi="Arial"/>
                <w:sz w:val="20"/>
                <w:szCs w:val="20"/>
                <w:color w:val="auto"/>
              </w:rPr>
              <w:t>179</w:t>
            </w:r>
          </w:p>
        </w:tc>
        <w:tc>
          <w:tcPr>
            <w:tcW w:w="260" w:type="dxa"/>
            <w:vAlign w:val="bottom"/>
          </w:tcPr>
          <w:p>
            <w:pPr>
              <w:spacing w:after="0"/>
              <w:rPr>
                <w:sz w:val="23"/>
                <w:szCs w:val="23"/>
                <w:color w:val="auto"/>
              </w:rPr>
            </w:pPr>
          </w:p>
        </w:tc>
        <w:tc>
          <w:tcPr>
            <w:tcW w:w="1300" w:type="dxa"/>
            <w:vAlign w:val="bottom"/>
          </w:tcPr>
          <w:p>
            <w:pPr>
              <w:jc w:val="right"/>
              <w:ind w:right="23"/>
              <w:spacing w:after="0"/>
              <w:rPr>
                <w:sz w:val="20"/>
                <w:szCs w:val="20"/>
                <w:color w:val="auto"/>
              </w:rPr>
            </w:pPr>
            <w:r>
              <w:rPr>
                <w:rFonts w:ascii="Arial" w:cs="Arial" w:eastAsia="Arial" w:hAnsi="Arial"/>
                <w:sz w:val="20"/>
                <w:szCs w:val="20"/>
                <w:color w:val="auto"/>
              </w:rPr>
              <w:t>155</w:t>
            </w:r>
          </w:p>
        </w:tc>
      </w:tr>
      <w:tr>
        <w:trPr>
          <w:trHeight w:val="41"/>
        </w:trPr>
        <w:tc>
          <w:tcPr>
            <w:tcW w:w="5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Deferred compensation plan assets</w:t>
            </w:r>
          </w:p>
        </w:tc>
        <w:tc>
          <w:tcPr>
            <w:tcW w:w="7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63"/>
              <w:spacing w:after="0"/>
              <w:rPr>
                <w:sz w:val="20"/>
                <w:szCs w:val="20"/>
                <w:color w:val="auto"/>
              </w:rPr>
            </w:pPr>
            <w:r>
              <w:rPr>
                <w:rFonts w:ascii="Arial" w:cs="Arial" w:eastAsia="Arial" w:hAnsi="Arial"/>
                <w:sz w:val="20"/>
                <w:szCs w:val="20"/>
                <w:color w:val="auto"/>
              </w:rPr>
              <w:t>119</w:t>
            </w:r>
          </w:p>
        </w:tc>
        <w:tc>
          <w:tcPr>
            <w:tcW w:w="2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111</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rPr>
              <w:t>Deferred tax assets</w:t>
            </w:r>
          </w:p>
        </w:tc>
        <w:tc>
          <w:tcPr>
            <w:tcW w:w="760" w:type="dxa"/>
            <w:vAlign w:val="bottom"/>
          </w:tcPr>
          <w:p>
            <w:pPr>
              <w:spacing w:after="0"/>
              <w:rPr>
                <w:sz w:val="23"/>
                <w:szCs w:val="23"/>
                <w:color w:val="auto"/>
              </w:rPr>
            </w:pPr>
          </w:p>
        </w:tc>
        <w:tc>
          <w:tcPr>
            <w:tcW w:w="1320" w:type="dxa"/>
            <w:vAlign w:val="bottom"/>
          </w:tcPr>
          <w:p>
            <w:pPr>
              <w:jc w:val="right"/>
              <w:ind w:right="63"/>
              <w:spacing w:after="0"/>
              <w:rPr>
                <w:sz w:val="20"/>
                <w:szCs w:val="20"/>
                <w:color w:val="auto"/>
              </w:rPr>
            </w:pPr>
            <w:r>
              <w:rPr>
                <w:rFonts w:ascii="Arial" w:cs="Arial" w:eastAsia="Arial" w:hAnsi="Arial"/>
                <w:sz w:val="20"/>
                <w:szCs w:val="20"/>
                <w:color w:val="auto"/>
              </w:rPr>
              <w:t>167</w:t>
            </w:r>
          </w:p>
        </w:tc>
        <w:tc>
          <w:tcPr>
            <w:tcW w:w="260" w:type="dxa"/>
            <w:vAlign w:val="bottom"/>
          </w:tcPr>
          <w:p>
            <w:pPr>
              <w:spacing w:after="0"/>
              <w:rPr>
                <w:sz w:val="23"/>
                <w:szCs w:val="23"/>
                <w:color w:val="auto"/>
              </w:rPr>
            </w:pPr>
          </w:p>
        </w:tc>
        <w:tc>
          <w:tcPr>
            <w:tcW w:w="1300" w:type="dxa"/>
            <w:vAlign w:val="bottom"/>
          </w:tcPr>
          <w:p>
            <w:pPr>
              <w:jc w:val="right"/>
              <w:ind w:right="23"/>
              <w:spacing w:after="0"/>
              <w:rPr>
                <w:sz w:val="20"/>
                <w:szCs w:val="20"/>
                <w:color w:val="auto"/>
              </w:rPr>
            </w:pPr>
            <w:r>
              <w:rPr>
                <w:rFonts w:ascii="Arial" w:cs="Arial" w:eastAsia="Arial" w:hAnsi="Arial"/>
                <w:sz w:val="20"/>
                <w:szCs w:val="20"/>
                <w:color w:val="auto"/>
              </w:rPr>
              <w:t>238</w:t>
            </w:r>
          </w:p>
        </w:tc>
      </w:tr>
      <w:tr>
        <w:trPr>
          <w:trHeight w:val="41"/>
        </w:trPr>
        <w:tc>
          <w:tcPr>
            <w:tcW w:w="5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Accounts receivable, net</w:t>
            </w:r>
          </w:p>
        </w:tc>
        <w:tc>
          <w:tcPr>
            <w:tcW w:w="7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63"/>
              <w:spacing w:after="0"/>
              <w:rPr>
                <w:sz w:val="20"/>
                <w:szCs w:val="20"/>
                <w:color w:val="auto"/>
              </w:rPr>
            </w:pPr>
            <w:r>
              <w:rPr>
                <w:rFonts w:ascii="Arial" w:cs="Arial" w:eastAsia="Arial" w:hAnsi="Arial"/>
                <w:sz w:val="20"/>
                <w:szCs w:val="20"/>
                <w:color w:val="auto"/>
              </w:rPr>
              <w:t>42</w:t>
            </w:r>
          </w:p>
        </w:tc>
        <w:tc>
          <w:tcPr>
            <w:tcW w:w="2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18</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rPr>
              <w:t>Investment in associates</w:t>
            </w:r>
          </w:p>
        </w:tc>
        <w:tc>
          <w:tcPr>
            <w:tcW w:w="760" w:type="dxa"/>
            <w:vAlign w:val="bottom"/>
          </w:tcPr>
          <w:p>
            <w:pPr>
              <w:spacing w:after="0"/>
              <w:rPr>
                <w:sz w:val="23"/>
                <w:szCs w:val="23"/>
                <w:color w:val="auto"/>
              </w:rPr>
            </w:pPr>
          </w:p>
        </w:tc>
        <w:tc>
          <w:tcPr>
            <w:tcW w:w="1320" w:type="dxa"/>
            <w:vAlign w:val="bottom"/>
          </w:tcPr>
          <w:p>
            <w:pPr>
              <w:jc w:val="right"/>
              <w:ind w:right="63"/>
              <w:spacing w:after="0"/>
              <w:rPr>
                <w:sz w:val="20"/>
                <w:szCs w:val="20"/>
                <w:color w:val="auto"/>
              </w:rPr>
            </w:pPr>
            <w:r>
              <w:rPr>
                <w:rFonts w:ascii="Arial" w:cs="Arial" w:eastAsia="Arial" w:hAnsi="Arial"/>
                <w:sz w:val="20"/>
                <w:szCs w:val="20"/>
                <w:color w:val="auto"/>
              </w:rPr>
              <w:t>100</w:t>
            </w:r>
          </w:p>
        </w:tc>
        <w:tc>
          <w:tcPr>
            <w:tcW w:w="260" w:type="dxa"/>
            <w:vAlign w:val="bottom"/>
          </w:tcPr>
          <w:p>
            <w:pPr>
              <w:spacing w:after="0"/>
              <w:rPr>
                <w:sz w:val="23"/>
                <w:szCs w:val="23"/>
                <w:color w:val="auto"/>
              </w:rPr>
            </w:pPr>
          </w:p>
        </w:tc>
        <w:tc>
          <w:tcPr>
            <w:tcW w:w="1300" w:type="dxa"/>
            <w:vAlign w:val="bottom"/>
          </w:tcPr>
          <w:p>
            <w:pPr>
              <w:jc w:val="right"/>
              <w:ind w:right="23"/>
              <w:spacing w:after="0"/>
              <w:rPr>
                <w:sz w:val="20"/>
                <w:szCs w:val="20"/>
                <w:color w:val="auto"/>
              </w:rPr>
            </w:pPr>
            <w:r>
              <w:rPr>
                <w:rFonts w:ascii="Arial" w:cs="Arial" w:eastAsia="Arial" w:hAnsi="Arial"/>
                <w:sz w:val="20"/>
                <w:szCs w:val="20"/>
                <w:color w:val="auto"/>
              </w:rPr>
              <w:t>84</w:t>
            </w:r>
          </w:p>
        </w:tc>
      </w:tr>
      <w:tr>
        <w:trPr>
          <w:trHeight w:val="41"/>
        </w:trPr>
        <w:tc>
          <w:tcPr>
            <w:tcW w:w="5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 investments</w:t>
            </w:r>
          </w:p>
        </w:tc>
        <w:tc>
          <w:tcPr>
            <w:tcW w:w="7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63"/>
              <w:spacing w:after="0"/>
              <w:rPr>
                <w:sz w:val="20"/>
                <w:szCs w:val="20"/>
                <w:color w:val="auto"/>
              </w:rPr>
            </w:pPr>
            <w:r>
              <w:rPr>
                <w:rFonts w:ascii="Arial" w:cs="Arial" w:eastAsia="Arial" w:hAnsi="Arial"/>
                <w:sz w:val="20"/>
                <w:szCs w:val="20"/>
                <w:color w:val="auto"/>
              </w:rPr>
              <w:t>78</w:t>
            </w:r>
          </w:p>
        </w:tc>
        <w:tc>
          <w:tcPr>
            <w:tcW w:w="2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73</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rPr>
              <w:t>Held-to-maturity securities</w:t>
            </w:r>
          </w:p>
        </w:tc>
        <w:tc>
          <w:tcPr>
            <w:tcW w:w="760" w:type="dxa"/>
            <w:vAlign w:val="bottom"/>
          </w:tcPr>
          <w:p>
            <w:pPr>
              <w:spacing w:after="0"/>
              <w:rPr>
                <w:sz w:val="23"/>
                <w:szCs w:val="23"/>
                <w:color w:val="auto"/>
              </w:rPr>
            </w:pPr>
          </w:p>
        </w:tc>
        <w:tc>
          <w:tcPr>
            <w:tcW w:w="1320" w:type="dxa"/>
            <w:vAlign w:val="bottom"/>
          </w:tcPr>
          <w:p>
            <w:pPr>
              <w:jc w:val="right"/>
              <w:ind w:right="63"/>
              <w:spacing w:after="0"/>
              <w:rPr>
                <w:sz w:val="20"/>
                <w:szCs w:val="20"/>
                <w:color w:val="auto"/>
              </w:rPr>
            </w:pPr>
            <w:r>
              <w:rPr>
                <w:rFonts w:ascii="Arial" w:cs="Arial" w:eastAsia="Arial" w:hAnsi="Arial"/>
                <w:sz w:val="20"/>
                <w:szCs w:val="20"/>
                <w:color w:val="auto"/>
              </w:rPr>
              <w:t>43</w:t>
            </w:r>
          </w:p>
        </w:tc>
        <w:tc>
          <w:tcPr>
            <w:tcW w:w="260" w:type="dxa"/>
            <w:vAlign w:val="bottom"/>
          </w:tcPr>
          <w:p>
            <w:pPr>
              <w:spacing w:after="0"/>
              <w:rPr>
                <w:sz w:val="23"/>
                <w:szCs w:val="23"/>
                <w:color w:val="auto"/>
              </w:rPr>
            </w:pPr>
          </w:p>
        </w:tc>
        <w:tc>
          <w:tcPr>
            <w:tcW w:w="1300" w:type="dxa"/>
            <w:vAlign w:val="bottom"/>
          </w:tcPr>
          <w:p>
            <w:pPr>
              <w:jc w:val="right"/>
              <w:ind w:right="23"/>
              <w:spacing w:after="0"/>
              <w:rPr>
                <w:sz w:val="20"/>
                <w:szCs w:val="20"/>
                <w:color w:val="auto"/>
              </w:rPr>
            </w:pPr>
            <w:r>
              <w:rPr>
                <w:rFonts w:ascii="Arial" w:cs="Arial" w:eastAsia="Arial" w:hAnsi="Arial"/>
                <w:sz w:val="20"/>
                <w:szCs w:val="20"/>
                <w:color w:val="auto"/>
              </w:rPr>
              <w:t>—</w:t>
            </w:r>
          </w:p>
        </w:tc>
      </w:tr>
      <w:tr>
        <w:trPr>
          <w:trHeight w:val="41"/>
        </w:trPr>
        <w:tc>
          <w:tcPr>
            <w:tcW w:w="5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Insurance recovery receivables</w:t>
            </w:r>
          </w:p>
        </w:tc>
        <w:tc>
          <w:tcPr>
            <w:tcW w:w="7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63"/>
              <w:spacing w:after="0"/>
              <w:rPr>
                <w:sz w:val="20"/>
                <w:szCs w:val="20"/>
                <w:color w:val="auto"/>
              </w:rPr>
            </w:pPr>
            <w:r>
              <w:rPr>
                <w:rFonts w:ascii="Arial" w:cs="Arial" w:eastAsia="Arial" w:hAnsi="Arial"/>
                <w:sz w:val="20"/>
                <w:szCs w:val="20"/>
                <w:color w:val="auto"/>
              </w:rPr>
              <w:t>59</w:t>
            </w:r>
          </w:p>
        </w:tc>
        <w:tc>
          <w:tcPr>
            <w:tcW w:w="2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76</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rPr>
              <w:t>Other non-current assets</w:t>
            </w:r>
          </w:p>
        </w:tc>
        <w:tc>
          <w:tcPr>
            <w:tcW w:w="760" w:type="dxa"/>
            <w:vAlign w:val="bottom"/>
          </w:tcPr>
          <w:p>
            <w:pPr>
              <w:spacing w:after="0"/>
              <w:rPr>
                <w:sz w:val="23"/>
                <w:szCs w:val="23"/>
                <w:color w:val="auto"/>
              </w:rPr>
            </w:pPr>
          </w:p>
        </w:tc>
        <w:tc>
          <w:tcPr>
            <w:tcW w:w="1320" w:type="dxa"/>
            <w:vAlign w:val="bottom"/>
          </w:tcPr>
          <w:p>
            <w:pPr>
              <w:jc w:val="right"/>
              <w:ind w:right="63"/>
              <w:spacing w:after="0"/>
              <w:rPr>
                <w:sz w:val="20"/>
                <w:szCs w:val="20"/>
                <w:color w:val="auto"/>
              </w:rPr>
            </w:pPr>
            <w:r>
              <w:rPr>
                <w:rFonts w:ascii="Arial" w:cs="Arial" w:eastAsia="Arial" w:hAnsi="Arial"/>
                <w:sz w:val="20"/>
                <w:szCs w:val="20"/>
                <w:color w:val="auto"/>
              </w:rPr>
              <w:t>59</w:t>
            </w:r>
          </w:p>
        </w:tc>
        <w:tc>
          <w:tcPr>
            <w:tcW w:w="260" w:type="dxa"/>
            <w:vAlign w:val="bottom"/>
          </w:tcPr>
          <w:p>
            <w:pPr>
              <w:spacing w:after="0"/>
              <w:rPr>
                <w:sz w:val="23"/>
                <w:szCs w:val="23"/>
                <w:color w:val="auto"/>
              </w:rPr>
            </w:pPr>
          </w:p>
        </w:tc>
        <w:tc>
          <w:tcPr>
            <w:tcW w:w="1300" w:type="dxa"/>
            <w:vAlign w:val="bottom"/>
          </w:tcPr>
          <w:p>
            <w:pPr>
              <w:jc w:val="right"/>
              <w:ind w:right="23"/>
              <w:spacing w:after="0"/>
              <w:rPr>
                <w:sz w:val="20"/>
                <w:szCs w:val="20"/>
                <w:color w:val="auto"/>
              </w:rPr>
            </w:pPr>
            <w:r>
              <w:rPr>
                <w:rFonts w:ascii="Arial" w:cs="Arial" w:eastAsia="Arial" w:hAnsi="Arial"/>
                <w:sz w:val="20"/>
                <w:szCs w:val="20"/>
                <w:color w:val="auto"/>
              </w:rPr>
              <w:t>34</w:t>
            </w:r>
          </w:p>
        </w:tc>
      </w:tr>
      <w:tr>
        <w:trPr>
          <w:trHeight w:val="51"/>
        </w:trPr>
        <w:tc>
          <w:tcPr>
            <w:tcW w:w="5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4"/>
        </w:trPr>
        <w:tc>
          <w:tcPr>
            <w:tcW w:w="5760" w:type="dxa"/>
            <w:vAlign w:val="bottom"/>
            <w:shd w:val="clear" w:color="auto" w:fill="CFF0FC"/>
          </w:tcPr>
          <w:p>
            <w:pPr>
              <w:spacing w:after="0"/>
              <w:rPr>
                <w:sz w:val="20"/>
                <w:szCs w:val="20"/>
                <w:color w:val="auto"/>
              </w:rPr>
            </w:pPr>
            <w:r>
              <w:rPr>
                <w:rFonts w:ascii="Arial" w:cs="Arial" w:eastAsia="Arial" w:hAnsi="Arial"/>
                <w:sz w:val="20"/>
                <w:szCs w:val="20"/>
                <w:color w:val="auto"/>
              </w:rPr>
              <w:t>Total other non-current assets</w:t>
            </w:r>
          </w:p>
        </w:tc>
        <w:tc>
          <w:tcPr>
            <w:tcW w:w="7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CFF0FC"/>
          </w:tcPr>
          <w:p>
            <w:pPr>
              <w:jc w:val="right"/>
              <w:ind w:right="63"/>
              <w:spacing w:after="0"/>
              <w:rPr>
                <w:sz w:val="20"/>
                <w:szCs w:val="20"/>
                <w:color w:val="auto"/>
              </w:rPr>
            </w:pPr>
            <w:r>
              <w:rPr>
                <w:rFonts w:ascii="Arial" w:cs="Arial" w:eastAsia="Arial" w:hAnsi="Arial"/>
                <w:sz w:val="20"/>
                <w:szCs w:val="20"/>
                <w:color w:val="auto"/>
              </w:rPr>
              <w:t>866</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ind w:right="23"/>
              <w:spacing w:after="0"/>
              <w:rPr>
                <w:sz w:val="20"/>
                <w:szCs w:val="20"/>
                <w:color w:val="auto"/>
              </w:rPr>
            </w:pPr>
            <w:r>
              <w:rPr>
                <w:rFonts w:ascii="Arial" w:cs="Arial" w:eastAsia="Arial" w:hAnsi="Arial"/>
                <w:sz w:val="20"/>
                <w:szCs w:val="20"/>
                <w:color w:val="auto"/>
              </w:rPr>
              <w:t>806</w:t>
            </w:r>
          </w:p>
        </w:tc>
      </w:tr>
      <w:tr>
        <w:trPr>
          <w:trHeight w:val="86"/>
        </w:trPr>
        <w:tc>
          <w:tcPr>
            <w:tcW w:w="5760" w:type="dxa"/>
            <w:vAlign w:val="bottom"/>
            <w:shd w:val="clear" w:color="auto" w:fill="CFF0FC"/>
          </w:tcPr>
          <w:p>
            <w:pPr>
              <w:spacing w:after="0"/>
              <w:rPr>
                <w:sz w:val="7"/>
                <w:szCs w:val="7"/>
                <w:color w:val="auto"/>
              </w:rPr>
            </w:pPr>
          </w:p>
        </w:tc>
        <w:tc>
          <w:tcPr>
            <w:tcW w:w="760" w:type="dxa"/>
            <w:vAlign w:val="bottom"/>
            <w:shd w:val="clear" w:color="auto" w:fill="CFF0FC"/>
          </w:tcPr>
          <w:p>
            <w:pPr>
              <w:spacing w:after="0"/>
              <w:rPr>
                <w:sz w:val="7"/>
                <w:szCs w:val="7"/>
                <w:color w:val="auto"/>
              </w:rPr>
            </w:pPr>
          </w:p>
        </w:tc>
        <w:tc>
          <w:tcPr>
            <w:tcW w:w="132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300" w:type="dxa"/>
            <w:vAlign w:val="bottom"/>
            <w:shd w:val="clear" w:color="auto" w:fill="CFF0FC"/>
          </w:tcPr>
          <w:p>
            <w:pPr>
              <w:spacing w:after="0"/>
              <w:rPr>
                <w:sz w:val="7"/>
                <w:szCs w:val="7"/>
                <w:color w:val="auto"/>
              </w:rPr>
            </w:pPr>
          </w:p>
        </w:tc>
      </w:tr>
      <w:tr>
        <w:trPr>
          <w:trHeight w:val="559"/>
        </w:trPr>
        <w:tc>
          <w:tcPr>
            <w:tcW w:w="5760" w:type="dxa"/>
            <w:vAlign w:val="bottom"/>
          </w:tcPr>
          <w:p>
            <w:pPr>
              <w:spacing w:after="0"/>
              <w:rPr>
                <w:sz w:val="20"/>
                <w:szCs w:val="20"/>
                <w:color w:val="auto"/>
              </w:rPr>
            </w:pPr>
            <w:r>
              <w:rPr>
                <w:rFonts w:ascii="Arial" w:cs="Arial" w:eastAsia="Arial" w:hAnsi="Arial"/>
                <w:sz w:val="20"/>
                <w:szCs w:val="20"/>
                <w:color w:val="auto"/>
                <w:w w:val="99"/>
              </w:rPr>
              <w:t>Deferred revenue and accrued expenses consist of the following:</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3"/>
        </w:trPr>
        <w:tc>
          <w:tcPr>
            <w:tcW w:w="5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jc w:val="center"/>
              <w:ind w:right="203"/>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Pr>
          <w:p>
            <w:pPr>
              <w:spacing w:after="0"/>
              <w:rPr>
                <w:sz w:val="24"/>
                <w:szCs w:val="24"/>
                <w:color w:val="auto"/>
              </w:rPr>
            </w:pPr>
          </w:p>
        </w:tc>
        <w:tc>
          <w:tcPr>
            <w:tcW w:w="1300" w:type="dxa"/>
            <w:vAlign w:val="bottom"/>
          </w:tcPr>
          <w:p>
            <w:pPr>
              <w:jc w:val="center"/>
              <w:ind w:right="163"/>
              <w:spacing w:after="0"/>
              <w:rPr>
                <w:sz w:val="20"/>
                <w:szCs w:val="20"/>
                <w:color w:val="auto"/>
              </w:rPr>
            </w:pPr>
            <w:r>
              <w:rPr>
                <w:rFonts w:ascii="Arial" w:cs="Arial" w:eastAsia="Arial" w:hAnsi="Arial"/>
                <w:sz w:val="16"/>
                <w:szCs w:val="16"/>
                <w:b w:val="1"/>
                <w:bCs w:val="1"/>
                <w:color w:val="auto"/>
                <w:w w:val="88"/>
              </w:rPr>
              <w:t>December 31,</w:t>
            </w:r>
          </w:p>
        </w:tc>
      </w:tr>
      <w:tr>
        <w:trPr>
          <w:trHeight w:val="240"/>
        </w:trPr>
        <w:tc>
          <w:tcPr>
            <w:tcW w:w="5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jc w:val="right"/>
              <w:ind w:right="523"/>
              <w:spacing w:after="0"/>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20"/>
                <w:szCs w:val="20"/>
                <w:color w:val="auto"/>
              </w:rPr>
            </w:pPr>
          </w:p>
        </w:tc>
        <w:tc>
          <w:tcPr>
            <w:tcW w:w="1300" w:type="dxa"/>
            <w:vAlign w:val="bottom"/>
          </w:tcPr>
          <w:p>
            <w:pPr>
              <w:jc w:val="center"/>
              <w:ind w:right="123"/>
              <w:spacing w:after="0"/>
              <w:rPr>
                <w:sz w:val="20"/>
                <w:szCs w:val="20"/>
                <w:color w:val="auto"/>
              </w:rPr>
            </w:pPr>
            <w:r>
              <w:rPr>
                <w:rFonts w:ascii="Arial" w:cs="Arial" w:eastAsia="Arial" w:hAnsi="Arial"/>
                <w:sz w:val="16"/>
                <w:szCs w:val="16"/>
                <w:b w:val="1"/>
                <w:bCs w:val="1"/>
                <w:color w:val="auto"/>
                <w:w w:val="89"/>
              </w:rPr>
              <w:t>2024</w:t>
            </w:r>
          </w:p>
        </w:tc>
      </w:tr>
      <w:tr>
        <w:trPr>
          <w:trHeight w:val="42"/>
        </w:trPr>
        <w:tc>
          <w:tcPr>
            <w:tcW w:w="5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Accounts payable, accrued liabilities and deferred revenue</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20"/>
                <w:szCs w:val="20"/>
                <w:color w:val="auto"/>
              </w:rPr>
              <w:t>986</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1,053</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rPr>
              <w:t>Accrued discretionary and incentive compensation</w:t>
            </w:r>
          </w:p>
        </w:tc>
        <w:tc>
          <w:tcPr>
            <w:tcW w:w="760" w:type="dxa"/>
            <w:vAlign w:val="bottom"/>
          </w:tcPr>
          <w:p>
            <w:pPr>
              <w:spacing w:after="0"/>
              <w:rPr>
                <w:sz w:val="23"/>
                <w:szCs w:val="23"/>
                <w:color w:val="auto"/>
              </w:rPr>
            </w:pPr>
          </w:p>
        </w:tc>
        <w:tc>
          <w:tcPr>
            <w:tcW w:w="1320" w:type="dxa"/>
            <w:vAlign w:val="bottom"/>
          </w:tcPr>
          <w:p>
            <w:pPr>
              <w:jc w:val="right"/>
              <w:ind w:right="43"/>
              <w:spacing w:after="0"/>
              <w:rPr>
                <w:sz w:val="20"/>
                <w:szCs w:val="20"/>
                <w:color w:val="auto"/>
              </w:rPr>
            </w:pPr>
            <w:r>
              <w:rPr>
                <w:rFonts w:ascii="Arial" w:cs="Arial" w:eastAsia="Arial" w:hAnsi="Arial"/>
                <w:sz w:val="20"/>
                <w:szCs w:val="20"/>
                <w:color w:val="auto"/>
              </w:rPr>
              <w:t>821</w:t>
            </w:r>
          </w:p>
        </w:tc>
        <w:tc>
          <w:tcPr>
            <w:tcW w:w="260" w:type="dxa"/>
            <w:vAlign w:val="bottom"/>
          </w:tcPr>
          <w:p>
            <w:pPr>
              <w:spacing w:after="0"/>
              <w:rPr>
                <w:sz w:val="23"/>
                <w:szCs w:val="23"/>
                <w:color w:val="auto"/>
              </w:rPr>
            </w:pPr>
          </w:p>
        </w:tc>
        <w:tc>
          <w:tcPr>
            <w:tcW w:w="1300" w:type="dxa"/>
            <w:vAlign w:val="bottom"/>
          </w:tcPr>
          <w:p>
            <w:pPr>
              <w:jc w:val="right"/>
              <w:ind w:right="23"/>
              <w:spacing w:after="0"/>
              <w:rPr>
                <w:sz w:val="20"/>
                <w:szCs w:val="20"/>
                <w:color w:val="auto"/>
              </w:rPr>
            </w:pPr>
            <w:r>
              <w:rPr>
                <w:rFonts w:ascii="Arial" w:cs="Arial" w:eastAsia="Arial" w:hAnsi="Arial"/>
                <w:sz w:val="20"/>
                <w:szCs w:val="20"/>
                <w:color w:val="auto"/>
              </w:rPr>
              <w:t>835</w:t>
            </w:r>
          </w:p>
        </w:tc>
      </w:tr>
      <w:tr>
        <w:trPr>
          <w:trHeight w:val="41"/>
        </w:trPr>
        <w:tc>
          <w:tcPr>
            <w:tcW w:w="5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Accrued vacation</w:t>
            </w:r>
          </w:p>
        </w:tc>
        <w:tc>
          <w:tcPr>
            <w:tcW w:w="7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20"/>
                <w:szCs w:val="20"/>
                <w:color w:val="auto"/>
              </w:rPr>
              <w:t>157</w:t>
            </w:r>
          </w:p>
        </w:tc>
        <w:tc>
          <w:tcPr>
            <w:tcW w:w="2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154</w:t>
            </w:r>
          </w:p>
        </w:tc>
      </w:tr>
      <w:tr>
        <w:trPr>
          <w:trHeight w:val="274"/>
        </w:trPr>
        <w:tc>
          <w:tcPr>
            <w:tcW w:w="5760" w:type="dxa"/>
            <w:vAlign w:val="bottom"/>
          </w:tcPr>
          <w:p>
            <w:pPr>
              <w:spacing w:after="0"/>
              <w:rPr>
                <w:sz w:val="20"/>
                <w:szCs w:val="20"/>
                <w:color w:val="auto"/>
              </w:rPr>
            </w:pPr>
            <w:r>
              <w:rPr>
                <w:rFonts w:ascii="Arial" w:cs="Arial" w:eastAsia="Arial" w:hAnsi="Arial"/>
                <w:sz w:val="20"/>
                <w:szCs w:val="20"/>
                <w:color w:val="auto"/>
              </w:rPr>
              <w:t>Accrued 401(k) contributions</w:t>
            </w:r>
          </w:p>
        </w:tc>
        <w:tc>
          <w:tcPr>
            <w:tcW w:w="760" w:type="dxa"/>
            <w:vAlign w:val="bottom"/>
          </w:tcPr>
          <w:p>
            <w:pPr>
              <w:spacing w:after="0"/>
              <w:rPr>
                <w:sz w:val="23"/>
                <w:szCs w:val="23"/>
                <w:color w:val="auto"/>
              </w:rPr>
            </w:pPr>
          </w:p>
        </w:tc>
        <w:tc>
          <w:tcPr>
            <w:tcW w:w="1320" w:type="dxa"/>
            <w:vAlign w:val="bottom"/>
          </w:tcPr>
          <w:p>
            <w:pPr>
              <w:jc w:val="right"/>
              <w:ind w:right="43"/>
              <w:spacing w:after="0"/>
              <w:rPr>
                <w:sz w:val="20"/>
                <w:szCs w:val="20"/>
                <w:color w:val="auto"/>
              </w:rPr>
            </w:pPr>
            <w:r>
              <w:rPr>
                <w:rFonts w:ascii="Arial" w:cs="Arial" w:eastAsia="Arial" w:hAnsi="Arial"/>
                <w:sz w:val="20"/>
                <w:szCs w:val="20"/>
                <w:color w:val="auto"/>
              </w:rPr>
              <w:t>61</w:t>
            </w:r>
          </w:p>
        </w:tc>
        <w:tc>
          <w:tcPr>
            <w:tcW w:w="260" w:type="dxa"/>
            <w:vAlign w:val="bottom"/>
          </w:tcPr>
          <w:p>
            <w:pPr>
              <w:spacing w:after="0"/>
              <w:rPr>
                <w:sz w:val="23"/>
                <w:szCs w:val="23"/>
                <w:color w:val="auto"/>
              </w:rPr>
            </w:pPr>
          </w:p>
        </w:tc>
        <w:tc>
          <w:tcPr>
            <w:tcW w:w="1300" w:type="dxa"/>
            <w:vAlign w:val="bottom"/>
          </w:tcPr>
          <w:p>
            <w:pPr>
              <w:jc w:val="right"/>
              <w:ind w:right="23"/>
              <w:spacing w:after="0"/>
              <w:rPr>
                <w:sz w:val="20"/>
                <w:szCs w:val="20"/>
                <w:color w:val="auto"/>
              </w:rPr>
            </w:pPr>
            <w:r>
              <w:rPr>
                <w:rFonts w:ascii="Arial" w:cs="Arial" w:eastAsia="Arial" w:hAnsi="Arial"/>
                <w:sz w:val="20"/>
                <w:szCs w:val="20"/>
                <w:color w:val="auto"/>
              </w:rPr>
              <w:t>63</w:t>
            </w:r>
          </w:p>
        </w:tc>
      </w:tr>
      <w:tr>
        <w:trPr>
          <w:trHeight w:val="41"/>
        </w:trPr>
        <w:tc>
          <w:tcPr>
            <w:tcW w:w="5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304"/>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 employee-related liabilities</w:t>
            </w:r>
          </w:p>
        </w:tc>
        <w:tc>
          <w:tcPr>
            <w:tcW w:w="7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43"/>
              <w:spacing w:after="0"/>
              <w:rPr>
                <w:sz w:val="20"/>
                <w:szCs w:val="20"/>
                <w:color w:val="auto"/>
              </w:rPr>
            </w:pPr>
            <w:r>
              <w:rPr>
                <w:rFonts w:ascii="Arial" w:cs="Arial" w:eastAsia="Arial" w:hAnsi="Arial"/>
                <w:sz w:val="20"/>
                <w:szCs w:val="20"/>
                <w:color w:val="auto"/>
              </w:rPr>
              <w:t>62</w:t>
            </w:r>
          </w:p>
        </w:tc>
        <w:tc>
          <w:tcPr>
            <w:tcW w:w="2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106</w:t>
            </w:r>
          </w:p>
        </w:tc>
      </w:tr>
      <w:tr>
        <w:trPr>
          <w:trHeight w:val="319"/>
        </w:trPr>
        <w:tc>
          <w:tcPr>
            <w:tcW w:w="5760" w:type="dxa"/>
            <w:vAlign w:val="bottom"/>
          </w:tcPr>
          <w:p>
            <w:pPr>
              <w:spacing w:after="0"/>
              <w:rPr>
                <w:sz w:val="20"/>
                <w:szCs w:val="20"/>
                <w:color w:val="auto"/>
              </w:rPr>
            </w:pPr>
            <w:r>
              <w:rPr>
                <w:rFonts w:ascii="Arial" w:cs="Arial" w:eastAsia="Arial" w:hAnsi="Arial"/>
                <w:sz w:val="20"/>
                <w:szCs w:val="20"/>
                <w:color w:val="auto"/>
              </w:rPr>
              <w:t>Total deferred revenue and accrued expenses</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43"/>
              <w:spacing w:after="0"/>
              <w:rPr>
                <w:sz w:val="20"/>
                <w:szCs w:val="20"/>
                <w:color w:val="auto"/>
              </w:rPr>
            </w:pPr>
            <w:r>
              <w:rPr>
                <w:rFonts w:ascii="Arial" w:cs="Arial" w:eastAsia="Arial" w:hAnsi="Arial"/>
                <w:sz w:val="20"/>
                <w:szCs w:val="20"/>
                <w:color w:val="auto"/>
              </w:rPr>
              <w:t>2,087</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23"/>
              <w:spacing w:after="0"/>
              <w:rPr>
                <w:sz w:val="20"/>
                <w:szCs w:val="20"/>
                <w:color w:val="auto"/>
              </w:rPr>
            </w:pPr>
            <w:r>
              <w:rPr>
                <w:rFonts w:ascii="Arial" w:cs="Arial" w:eastAsia="Arial" w:hAnsi="Arial"/>
                <w:sz w:val="20"/>
                <w:szCs w:val="20"/>
                <w:color w:val="auto"/>
              </w:rPr>
              <w:t>2,211</w:t>
            </w:r>
          </w:p>
        </w:tc>
      </w:tr>
      <w:tr>
        <w:trPr>
          <w:trHeight w:val="600"/>
        </w:trPr>
        <w:tc>
          <w:tcPr>
            <w:tcW w:w="5760" w:type="dxa"/>
            <w:vAlign w:val="bottom"/>
          </w:tcPr>
          <w:p>
            <w:pPr>
              <w:spacing w:after="0"/>
              <w:rPr>
                <w:sz w:val="20"/>
                <w:szCs w:val="20"/>
                <w:color w:val="auto"/>
              </w:rPr>
            </w:pPr>
            <w:r>
              <w:rPr>
                <w:rFonts w:ascii="Arial" w:cs="Arial" w:eastAsia="Arial" w:hAnsi="Arial"/>
                <w:sz w:val="20"/>
                <w:szCs w:val="20"/>
                <w:color w:val="auto"/>
              </w:rPr>
              <w:t>Other current liabilities consist of the following:</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9"/>
        </w:trPr>
        <w:tc>
          <w:tcPr>
            <w:tcW w:w="5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jc w:val="center"/>
              <w:ind w:right="163"/>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Pr>
          <w:p>
            <w:pPr>
              <w:spacing w:after="0"/>
              <w:rPr>
                <w:sz w:val="24"/>
                <w:szCs w:val="24"/>
                <w:color w:val="auto"/>
              </w:rPr>
            </w:pPr>
          </w:p>
        </w:tc>
        <w:tc>
          <w:tcPr>
            <w:tcW w:w="1300" w:type="dxa"/>
            <w:vAlign w:val="bottom"/>
          </w:tcPr>
          <w:p>
            <w:pPr>
              <w:jc w:val="center"/>
              <w:ind w:right="143"/>
              <w:spacing w:after="0"/>
              <w:rPr>
                <w:sz w:val="20"/>
                <w:szCs w:val="20"/>
                <w:color w:val="auto"/>
              </w:rPr>
            </w:pPr>
            <w:r>
              <w:rPr>
                <w:rFonts w:ascii="Arial" w:cs="Arial" w:eastAsia="Arial" w:hAnsi="Arial"/>
                <w:sz w:val="16"/>
                <w:szCs w:val="16"/>
                <w:b w:val="1"/>
                <w:bCs w:val="1"/>
                <w:color w:val="auto"/>
                <w:w w:val="90"/>
              </w:rPr>
              <w:t>December 31,</w:t>
            </w:r>
          </w:p>
        </w:tc>
      </w:tr>
      <w:tr>
        <w:trPr>
          <w:trHeight w:val="240"/>
        </w:trPr>
        <w:tc>
          <w:tcPr>
            <w:tcW w:w="5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20" w:type="dxa"/>
            <w:vAlign w:val="bottom"/>
          </w:tcPr>
          <w:p>
            <w:pPr>
              <w:jc w:val="center"/>
              <w:ind w:right="183"/>
              <w:spacing w:after="0"/>
              <w:rPr>
                <w:sz w:val="20"/>
                <w:szCs w:val="20"/>
                <w:color w:val="auto"/>
              </w:rPr>
            </w:pPr>
            <w:r>
              <w:rPr>
                <w:rFonts w:ascii="Arial" w:cs="Arial" w:eastAsia="Arial" w:hAnsi="Arial"/>
                <w:sz w:val="16"/>
                <w:szCs w:val="16"/>
                <w:b w:val="1"/>
                <w:bCs w:val="1"/>
                <w:color w:val="auto"/>
                <w:w w:val="89"/>
              </w:rPr>
              <w:t>2025</w:t>
            </w:r>
          </w:p>
        </w:tc>
        <w:tc>
          <w:tcPr>
            <w:tcW w:w="260" w:type="dxa"/>
            <w:vAlign w:val="bottom"/>
          </w:tcPr>
          <w:p>
            <w:pPr>
              <w:spacing w:after="0"/>
              <w:rPr>
                <w:sz w:val="20"/>
                <w:szCs w:val="20"/>
                <w:color w:val="auto"/>
              </w:rPr>
            </w:pPr>
          </w:p>
        </w:tc>
        <w:tc>
          <w:tcPr>
            <w:tcW w:w="1300" w:type="dxa"/>
            <w:vAlign w:val="bottom"/>
          </w:tcPr>
          <w:p>
            <w:pPr>
              <w:jc w:val="center"/>
              <w:ind w:right="123"/>
              <w:spacing w:after="0"/>
              <w:rPr>
                <w:sz w:val="20"/>
                <w:szCs w:val="20"/>
                <w:color w:val="auto"/>
              </w:rPr>
            </w:pPr>
            <w:r>
              <w:rPr>
                <w:rFonts w:ascii="Arial" w:cs="Arial" w:eastAsia="Arial" w:hAnsi="Arial"/>
                <w:sz w:val="16"/>
                <w:szCs w:val="16"/>
                <w:b w:val="1"/>
                <w:bCs w:val="1"/>
                <w:color w:val="auto"/>
                <w:w w:val="89"/>
              </w:rPr>
              <w:t>2024</w:t>
            </w:r>
          </w:p>
        </w:tc>
      </w:tr>
      <w:tr>
        <w:trPr>
          <w:trHeight w:val="42"/>
        </w:trPr>
        <w:tc>
          <w:tcPr>
            <w:tcW w:w="5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0"/>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Dividends payable</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109</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107</w:t>
            </w:r>
          </w:p>
        </w:tc>
      </w:tr>
      <w:tr>
        <w:trPr>
          <w:trHeight w:val="259"/>
        </w:trPr>
        <w:tc>
          <w:tcPr>
            <w:tcW w:w="5760" w:type="dxa"/>
            <w:vAlign w:val="bottom"/>
          </w:tcPr>
          <w:p>
            <w:pPr>
              <w:spacing w:after="0"/>
              <w:rPr>
                <w:sz w:val="20"/>
                <w:szCs w:val="20"/>
                <w:color w:val="auto"/>
              </w:rPr>
            </w:pPr>
            <w:r>
              <w:rPr>
                <w:rFonts w:ascii="Arial" w:cs="Arial" w:eastAsia="Arial" w:hAnsi="Arial"/>
                <w:sz w:val="20"/>
                <w:szCs w:val="20"/>
                <w:color w:val="auto"/>
              </w:rPr>
              <w:t>Income taxes payable</w:t>
            </w:r>
          </w:p>
        </w:tc>
        <w:tc>
          <w:tcPr>
            <w:tcW w:w="760" w:type="dxa"/>
            <w:vAlign w:val="bottom"/>
          </w:tcPr>
          <w:p>
            <w:pPr>
              <w:spacing w:after="0"/>
              <w:rPr>
                <w:sz w:val="22"/>
                <w:szCs w:val="22"/>
                <w:color w:val="auto"/>
              </w:rPr>
            </w:pPr>
          </w:p>
        </w:tc>
        <w:tc>
          <w:tcPr>
            <w:tcW w:w="1320" w:type="dxa"/>
            <w:vAlign w:val="bottom"/>
          </w:tcPr>
          <w:p>
            <w:pPr>
              <w:jc w:val="right"/>
              <w:ind w:right="23"/>
              <w:spacing w:after="0"/>
              <w:rPr>
                <w:sz w:val="20"/>
                <w:szCs w:val="20"/>
                <w:color w:val="auto"/>
              </w:rPr>
            </w:pPr>
            <w:r>
              <w:rPr>
                <w:rFonts w:ascii="Arial" w:cs="Arial" w:eastAsia="Arial" w:hAnsi="Arial"/>
                <w:sz w:val="20"/>
                <w:szCs w:val="20"/>
                <w:color w:val="auto"/>
              </w:rPr>
              <w:t>104</w:t>
            </w:r>
          </w:p>
        </w:tc>
        <w:tc>
          <w:tcPr>
            <w:tcW w:w="26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Arial" w:cs="Arial" w:eastAsia="Arial" w:hAnsi="Arial"/>
                <w:sz w:val="20"/>
                <w:szCs w:val="20"/>
                <w:color w:val="auto"/>
              </w:rPr>
              <w:t>105</w:t>
            </w:r>
          </w:p>
        </w:tc>
      </w:tr>
      <w:tr>
        <w:trPr>
          <w:trHeight w:val="41"/>
        </w:trPr>
        <w:tc>
          <w:tcPr>
            <w:tcW w:w="5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0"/>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Interest payable</w:t>
            </w:r>
          </w:p>
        </w:tc>
        <w:tc>
          <w:tcPr>
            <w:tcW w:w="7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62</w:t>
            </w:r>
          </w:p>
        </w:tc>
        <w:tc>
          <w:tcPr>
            <w:tcW w:w="2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61</w:t>
            </w:r>
          </w:p>
        </w:tc>
      </w:tr>
      <w:tr>
        <w:trPr>
          <w:trHeight w:val="259"/>
        </w:trPr>
        <w:tc>
          <w:tcPr>
            <w:tcW w:w="5760" w:type="dxa"/>
            <w:vAlign w:val="bottom"/>
          </w:tcPr>
          <w:p>
            <w:pPr>
              <w:spacing w:after="0"/>
              <w:rPr>
                <w:sz w:val="20"/>
                <w:szCs w:val="20"/>
                <w:color w:val="auto"/>
              </w:rPr>
            </w:pPr>
            <w:r>
              <w:rPr>
                <w:rFonts w:ascii="Arial" w:cs="Arial" w:eastAsia="Arial" w:hAnsi="Arial"/>
                <w:sz w:val="20"/>
                <w:szCs w:val="20"/>
                <w:color w:val="auto"/>
              </w:rPr>
              <w:t>Deferred compensation plan liabilities</w:t>
            </w:r>
          </w:p>
        </w:tc>
        <w:tc>
          <w:tcPr>
            <w:tcW w:w="760" w:type="dxa"/>
            <w:vAlign w:val="bottom"/>
          </w:tcPr>
          <w:p>
            <w:pPr>
              <w:spacing w:after="0"/>
              <w:rPr>
                <w:sz w:val="22"/>
                <w:szCs w:val="22"/>
                <w:color w:val="auto"/>
              </w:rPr>
            </w:pPr>
          </w:p>
        </w:tc>
        <w:tc>
          <w:tcPr>
            <w:tcW w:w="1320" w:type="dxa"/>
            <w:vAlign w:val="bottom"/>
          </w:tcPr>
          <w:p>
            <w:pPr>
              <w:jc w:val="right"/>
              <w:ind w:right="23"/>
              <w:spacing w:after="0"/>
              <w:rPr>
                <w:sz w:val="20"/>
                <w:szCs w:val="20"/>
                <w:color w:val="auto"/>
              </w:rPr>
            </w:pPr>
            <w:r>
              <w:rPr>
                <w:rFonts w:ascii="Arial" w:cs="Arial" w:eastAsia="Arial" w:hAnsi="Arial"/>
                <w:sz w:val="20"/>
                <w:szCs w:val="20"/>
                <w:color w:val="auto"/>
              </w:rPr>
              <w:t>20</w:t>
            </w:r>
          </w:p>
        </w:tc>
        <w:tc>
          <w:tcPr>
            <w:tcW w:w="26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Arial" w:cs="Arial" w:eastAsia="Arial" w:hAnsi="Arial"/>
                <w:sz w:val="20"/>
                <w:szCs w:val="20"/>
                <w:color w:val="auto"/>
              </w:rPr>
              <w:t>17</w:t>
            </w:r>
          </w:p>
        </w:tc>
      </w:tr>
      <w:tr>
        <w:trPr>
          <w:trHeight w:val="41"/>
        </w:trPr>
        <w:tc>
          <w:tcPr>
            <w:tcW w:w="5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0"/>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Contingent and deferred consideration on acquisitions</w:t>
            </w:r>
          </w:p>
        </w:tc>
        <w:tc>
          <w:tcPr>
            <w:tcW w:w="7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4</w:t>
            </w:r>
          </w:p>
        </w:tc>
        <w:tc>
          <w:tcPr>
            <w:tcW w:w="2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33</w:t>
            </w:r>
          </w:p>
        </w:tc>
      </w:tr>
      <w:tr>
        <w:trPr>
          <w:trHeight w:val="259"/>
        </w:trPr>
        <w:tc>
          <w:tcPr>
            <w:tcW w:w="5760" w:type="dxa"/>
            <w:vAlign w:val="bottom"/>
          </w:tcPr>
          <w:p>
            <w:pPr>
              <w:spacing w:after="0"/>
              <w:rPr>
                <w:sz w:val="20"/>
                <w:szCs w:val="20"/>
                <w:color w:val="auto"/>
              </w:rPr>
            </w:pPr>
            <w:r>
              <w:rPr>
                <w:rFonts w:ascii="Arial" w:cs="Arial" w:eastAsia="Arial" w:hAnsi="Arial"/>
                <w:sz w:val="20"/>
                <w:szCs w:val="20"/>
                <w:color w:val="auto"/>
              </w:rPr>
              <w:t>Accrued retirement benefits</w:t>
            </w:r>
          </w:p>
        </w:tc>
        <w:tc>
          <w:tcPr>
            <w:tcW w:w="760" w:type="dxa"/>
            <w:vAlign w:val="bottom"/>
          </w:tcPr>
          <w:p>
            <w:pPr>
              <w:spacing w:after="0"/>
              <w:rPr>
                <w:sz w:val="22"/>
                <w:szCs w:val="22"/>
                <w:color w:val="auto"/>
              </w:rPr>
            </w:pPr>
          </w:p>
        </w:tc>
        <w:tc>
          <w:tcPr>
            <w:tcW w:w="1320" w:type="dxa"/>
            <w:vAlign w:val="bottom"/>
          </w:tcPr>
          <w:p>
            <w:pPr>
              <w:jc w:val="right"/>
              <w:ind w:right="23"/>
              <w:spacing w:after="0"/>
              <w:rPr>
                <w:sz w:val="20"/>
                <w:szCs w:val="20"/>
                <w:color w:val="auto"/>
              </w:rPr>
            </w:pPr>
            <w:r>
              <w:rPr>
                <w:rFonts w:ascii="Arial" w:cs="Arial" w:eastAsia="Arial" w:hAnsi="Arial"/>
                <w:sz w:val="20"/>
                <w:szCs w:val="20"/>
                <w:color w:val="auto"/>
              </w:rPr>
              <w:t>25</w:t>
            </w:r>
          </w:p>
        </w:tc>
        <w:tc>
          <w:tcPr>
            <w:tcW w:w="26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Arial" w:cs="Arial" w:eastAsia="Arial" w:hAnsi="Arial"/>
                <w:sz w:val="20"/>
                <w:szCs w:val="20"/>
                <w:color w:val="auto"/>
              </w:rPr>
              <w:t>28</w:t>
            </w:r>
          </w:p>
        </w:tc>
      </w:tr>
      <w:tr>
        <w:trPr>
          <w:trHeight w:val="41"/>
        </w:trPr>
        <w:tc>
          <w:tcPr>
            <w:tcW w:w="5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0"/>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Payroll and other benefits-related liabilities</w:t>
            </w:r>
          </w:p>
        </w:tc>
        <w:tc>
          <w:tcPr>
            <w:tcW w:w="7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201</w:t>
            </w:r>
          </w:p>
        </w:tc>
        <w:tc>
          <w:tcPr>
            <w:tcW w:w="2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166</w:t>
            </w:r>
          </w:p>
        </w:tc>
      </w:tr>
      <w:tr>
        <w:trPr>
          <w:trHeight w:val="259"/>
        </w:trPr>
        <w:tc>
          <w:tcPr>
            <w:tcW w:w="5760" w:type="dxa"/>
            <w:vAlign w:val="bottom"/>
          </w:tcPr>
          <w:p>
            <w:pPr>
              <w:spacing w:after="0"/>
              <w:rPr>
                <w:sz w:val="20"/>
                <w:szCs w:val="20"/>
                <w:color w:val="auto"/>
              </w:rPr>
            </w:pPr>
            <w:r>
              <w:rPr>
                <w:rFonts w:ascii="Arial" w:cs="Arial" w:eastAsia="Arial" w:hAnsi="Arial"/>
                <w:sz w:val="20"/>
                <w:szCs w:val="20"/>
                <w:color w:val="auto"/>
              </w:rPr>
              <w:t>Other taxes payable</w:t>
            </w:r>
          </w:p>
        </w:tc>
        <w:tc>
          <w:tcPr>
            <w:tcW w:w="760" w:type="dxa"/>
            <w:vAlign w:val="bottom"/>
          </w:tcPr>
          <w:p>
            <w:pPr>
              <w:spacing w:after="0"/>
              <w:rPr>
                <w:sz w:val="22"/>
                <w:szCs w:val="22"/>
                <w:color w:val="auto"/>
              </w:rPr>
            </w:pPr>
          </w:p>
        </w:tc>
        <w:tc>
          <w:tcPr>
            <w:tcW w:w="1320" w:type="dxa"/>
            <w:vAlign w:val="bottom"/>
          </w:tcPr>
          <w:p>
            <w:pPr>
              <w:jc w:val="right"/>
              <w:ind w:right="23"/>
              <w:spacing w:after="0"/>
              <w:rPr>
                <w:sz w:val="20"/>
                <w:szCs w:val="20"/>
                <w:color w:val="auto"/>
              </w:rPr>
            </w:pPr>
            <w:r>
              <w:rPr>
                <w:rFonts w:ascii="Arial" w:cs="Arial" w:eastAsia="Arial" w:hAnsi="Arial"/>
                <w:sz w:val="20"/>
                <w:szCs w:val="20"/>
                <w:color w:val="auto"/>
              </w:rPr>
              <w:t>111</w:t>
            </w:r>
          </w:p>
        </w:tc>
        <w:tc>
          <w:tcPr>
            <w:tcW w:w="26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Arial" w:cs="Arial" w:eastAsia="Arial" w:hAnsi="Arial"/>
                <w:sz w:val="20"/>
                <w:szCs w:val="20"/>
                <w:color w:val="auto"/>
              </w:rPr>
              <w:t>98</w:t>
            </w:r>
          </w:p>
        </w:tc>
      </w:tr>
      <w:tr>
        <w:trPr>
          <w:trHeight w:val="41"/>
        </w:trPr>
        <w:tc>
          <w:tcPr>
            <w:tcW w:w="5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0"/>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Derivatives</w:t>
            </w:r>
          </w:p>
        </w:tc>
        <w:tc>
          <w:tcPr>
            <w:tcW w:w="7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1</w:t>
            </w:r>
          </w:p>
        </w:tc>
        <w:tc>
          <w:tcPr>
            <w:tcW w:w="2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5</w:t>
            </w:r>
          </w:p>
        </w:tc>
      </w:tr>
      <w:tr>
        <w:trPr>
          <w:trHeight w:val="259"/>
        </w:trPr>
        <w:tc>
          <w:tcPr>
            <w:tcW w:w="5760" w:type="dxa"/>
            <w:vAlign w:val="bottom"/>
          </w:tcPr>
          <w:p>
            <w:pPr>
              <w:spacing w:after="0"/>
              <w:rPr>
                <w:sz w:val="20"/>
                <w:szCs w:val="20"/>
                <w:color w:val="auto"/>
              </w:rPr>
            </w:pPr>
            <w:r>
              <w:rPr>
                <w:rFonts w:ascii="Arial" w:cs="Arial" w:eastAsia="Arial" w:hAnsi="Arial"/>
                <w:sz w:val="20"/>
                <w:szCs w:val="20"/>
                <w:color w:val="auto"/>
              </w:rPr>
              <w:t>Third-party commissions</w:t>
            </w:r>
          </w:p>
        </w:tc>
        <w:tc>
          <w:tcPr>
            <w:tcW w:w="760" w:type="dxa"/>
            <w:vAlign w:val="bottom"/>
          </w:tcPr>
          <w:p>
            <w:pPr>
              <w:spacing w:after="0"/>
              <w:rPr>
                <w:sz w:val="22"/>
                <w:szCs w:val="22"/>
                <w:color w:val="auto"/>
              </w:rPr>
            </w:pPr>
          </w:p>
        </w:tc>
        <w:tc>
          <w:tcPr>
            <w:tcW w:w="1320" w:type="dxa"/>
            <w:vAlign w:val="bottom"/>
          </w:tcPr>
          <w:p>
            <w:pPr>
              <w:jc w:val="right"/>
              <w:ind w:right="23"/>
              <w:spacing w:after="0"/>
              <w:rPr>
                <w:sz w:val="20"/>
                <w:szCs w:val="20"/>
                <w:color w:val="auto"/>
              </w:rPr>
            </w:pPr>
            <w:r>
              <w:rPr>
                <w:rFonts w:ascii="Arial" w:cs="Arial" w:eastAsia="Arial" w:hAnsi="Arial"/>
                <w:sz w:val="20"/>
                <w:szCs w:val="20"/>
                <w:color w:val="auto"/>
              </w:rPr>
              <w:t>108</w:t>
            </w:r>
          </w:p>
        </w:tc>
        <w:tc>
          <w:tcPr>
            <w:tcW w:w="260" w:type="dxa"/>
            <w:vAlign w:val="bottom"/>
          </w:tcPr>
          <w:p>
            <w:pPr>
              <w:spacing w:after="0"/>
              <w:rPr>
                <w:sz w:val="22"/>
                <w:szCs w:val="22"/>
                <w:color w:val="auto"/>
              </w:rPr>
            </w:pPr>
          </w:p>
        </w:tc>
        <w:tc>
          <w:tcPr>
            <w:tcW w:w="1300" w:type="dxa"/>
            <w:vAlign w:val="bottom"/>
          </w:tcPr>
          <w:p>
            <w:pPr>
              <w:jc w:val="right"/>
              <w:ind w:right="3"/>
              <w:spacing w:after="0"/>
              <w:rPr>
                <w:sz w:val="20"/>
                <w:szCs w:val="20"/>
                <w:color w:val="auto"/>
              </w:rPr>
            </w:pPr>
            <w:r>
              <w:rPr>
                <w:rFonts w:ascii="Arial" w:cs="Arial" w:eastAsia="Arial" w:hAnsi="Arial"/>
                <w:sz w:val="20"/>
                <w:szCs w:val="20"/>
                <w:color w:val="auto"/>
              </w:rPr>
              <w:t>97</w:t>
            </w:r>
          </w:p>
        </w:tc>
      </w:tr>
      <w:tr>
        <w:trPr>
          <w:trHeight w:val="41"/>
        </w:trPr>
        <w:tc>
          <w:tcPr>
            <w:tcW w:w="5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0"/>
        </w:trPr>
        <w:tc>
          <w:tcPr>
            <w:tcW w:w="5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 current liabilities</w:t>
            </w:r>
          </w:p>
        </w:tc>
        <w:tc>
          <w:tcPr>
            <w:tcW w:w="7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52</w:t>
            </w:r>
          </w:p>
        </w:tc>
        <w:tc>
          <w:tcPr>
            <w:tcW w:w="2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48</w:t>
            </w:r>
          </w:p>
        </w:tc>
      </w:tr>
      <w:tr>
        <w:trPr>
          <w:trHeight w:val="259"/>
        </w:trPr>
        <w:tc>
          <w:tcPr>
            <w:tcW w:w="5760" w:type="dxa"/>
            <w:vAlign w:val="bottom"/>
          </w:tcPr>
          <w:p>
            <w:pPr>
              <w:spacing w:after="0"/>
              <w:rPr>
                <w:sz w:val="20"/>
                <w:szCs w:val="20"/>
                <w:color w:val="auto"/>
              </w:rPr>
            </w:pPr>
            <w:r>
              <w:rPr>
                <w:rFonts w:ascii="Arial" w:cs="Arial" w:eastAsia="Arial" w:hAnsi="Arial"/>
                <w:sz w:val="20"/>
                <w:szCs w:val="20"/>
                <w:color w:val="auto"/>
              </w:rPr>
              <w:t>Total other current liabilities</w:t>
            </w:r>
          </w:p>
        </w:tc>
        <w:tc>
          <w:tcPr>
            <w:tcW w:w="760" w:type="dxa"/>
            <w:vAlign w:val="bottom"/>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ind w:right="23"/>
              <w:spacing w:after="0"/>
              <w:rPr>
                <w:sz w:val="20"/>
                <w:szCs w:val="20"/>
                <w:color w:val="auto"/>
              </w:rPr>
            </w:pPr>
            <w:r>
              <w:rPr>
                <w:rFonts w:ascii="Arial" w:cs="Arial" w:eastAsia="Arial" w:hAnsi="Arial"/>
                <w:sz w:val="20"/>
                <w:szCs w:val="20"/>
                <w:color w:val="auto"/>
              </w:rPr>
              <w:t>797</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3"/>
              <w:spacing w:after="0"/>
              <w:rPr>
                <w:sz w:val="20"/>
                <w:szCs w:val="20"/>
                <w:color w:val="auto"/>
              </w:rPr>
            </w:pPr>
            <w:r>
              <w:rPr>
                <w:rFonts w:ascii="Arial" w:cs="Arial" w:eastAsia="Arial" w:hAnsi="Arial"/>
                <w:sz w:val="20"/>
                <w:szCs w:val="20"/>
                <w:color w:val="auto"/>
              </w:rPr>
              <w:t>765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4036695</wp:posOffset>
            </wp:positionH>
            <wp:positionV relativeFrom="paragraph">
              <wp:posOffset>-7320280</wp:posOffset>
            </wp:positionV>
            <wp:extent cx="1926590" cy="63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5">
                      <a:extLst>
                        <a:ext uri="{28A0092B-C50C-407E-A947-70E740481C1C}"/>
                      </a:extLst>
                    </a:blip>
                    <a:srcRect/>
                    <a:stretch>
                      <a:fillRect/>
                    </a:stretch>
                  </pic:blipFill>
                  <pic:spPr bwMode="auto">
                    <a:xfrm>
                      <a:off x="0" y="0"/>
                      <a:ext cx="1926590" cy="635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-5317490</wp:posOffset>
            </wp:positionV>
            <wp:extent cx="1926590" cy="63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6">
                      <a:extLst>
                        <a:ext uri="{28A0092B-C50C-407E-A947-70E740481C1C}"/>
                      </a:extLst>
                    </a:blip>
                    <a:srcRect/>
                    <a:stretch>
                      <a:fillRect/>
                    </a:stretch>
                  </pic:blipFill>
                  <pic:spPr bwMode="auto">
                    <a:xfrm>
                      <a:off x="0" y="0"/>
                      <a:ext cx="1926590" cy="635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-5111115</wp:posOffset>
            </wp:positionV>
            <wp:extent cx="1926590" cy="2857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7">
                      <a:extLst>
                        <a:ext uri="{28A0092B-C50C-407E-A947-70E740481C1C}"/>
                      </a:extLst>
                    </a:blip>
                    <a:srcRect/>
                    <a:stretch>
                      <a:fillRect/>
                    </a:stretch>
                  </pic:blipFill>
                  <pic:spPr bwMode="auto">
                    <a:xfrm>
                      <a:off x="0" y="0"/>
                      <a:ext cx="1926590" cy="28575"/>
                    </a:xfrm>
                    <a:prstGeom prst="rect">
                      <a:avLst/>
                    </a:prstGeom>
                    <a:noFill/>
                  </pic:spPr>
                </pic:pic>
              </a:graphicData>
            </a:graphic>
          </wp:anchor>
        </w:drawing>
        <w:drawing>
          <wp:anchor simplePos="0" relativeHeight="251657728" behindDoc="1" locked="0" layoutInCell="0" allowOverlap="1">
            <wp:simplePos x="0" y="0"/>
            <wp:positionH relativeFrom="column">
              <wp:posOffset>4047490</wp:posOffset>
            </wp:positionH>
            <wp:positionV relativeFrom="paragraph">
              <wp:posOffset>-4292600</wp:posOffset>
            </wp:positionV>
            <wp:extent cx="1916430" cy="63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78">
                      <a:extLst>
                        <a:ext uri="{28A0092B-C50C-407E-A947-70E740481C1C}"/>
                      </a:extLst>
                    </a:blip>
                    <a:srcRect/>
                    <a:stretch>
                      <a:fillRect/>
                    </a:stretch>
                  </pic:blipFill>
                  <pic:spPr bwMode="auto">
                    <a:xfrm>
                      <a:off x="0" y="0"/>
                      <a:ext cx="1916430" cy="6350"/>
                    </a:xfrm>
                    <a:prstGeom prst="rect">
                      <a:avLst/>
                    </a:prstGeom>
                    <a:noFill/>
                  </pic:spPr>
                </pic:pic>
              </a:graphicData>
            </a:graphic>
          </wp:anchor>
        </w:drawing>
        <w:drawing>
          <wp:anchor simplePos="0" relativeHeight="251657728" behindDoc="1" locked="0" layoutInCell="0" allowOverlap="1">
            <wp:simplePos x="0" y="0"/>
            <wp:positionH relativeFrom="column">
              <wp:posOffset>4047490</wp:posOffset>
            </wp:positionH>
            <wp:positionV relativeFrom="paragraph">
              <wp:posOffset>-3288030</wp:posOffset>
            </wp:positionV>
            <wp:extent cx="1916430" cy="63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79">
                      <a:extLst>
                        <a:ext uri="{28A0092B-C50C-407E-A947-70E740481C1C}"/>
                      </a:extLst>
                    </a:blip>
                    <a:srcRect/>
                    <a:stretch>
                      <a:fillRect/>
                    </a:stretch>
                  </pic:blipFill>
                  <pic:spPr bwMode="auto">
                    <a:xfrm>
                      <a:off x="0" y="0"/>
                      <a:ext cx="1916430" cy="6350"/>
                    </a:xfrm>
                    <a:prstGeom prst="rect">
                      <a:avLst/>
                    </a:prstGeom>
                    <a:noFill/>
                  </pic:spPr>
                </pic:pic>
              </a:graphicData>
            </a:graphic>
          </wp:anchor>
        </w:drawing>
        <w:drawing>
          <wp:anchor simplePos="0" relativeHeight="251657728" behindDoc="1" locked="0" layoutInCell="0" allowOverlap="1">
            <wp:simplePos x="0" y="0"/>
            <wp:positionH relativeFrom="column">
              <wp:posOffset>4047490</wp:posOffset>
            </wp:positionH>
            <wp:positionV relativeFrom="paragraph">
              <wp:posOffset>-3081655</wp:posOffset>
            </wp:positionV>
            <wp:extent cx="1916430" cy="285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0">
                      <a:extLst>
                        <a:ext uri="{28A0092B-C50C-407E-A947-70E740481C1C}"/>
                      </a:extLst>
                    </a:blip>
                    <a:srcRect/>
                    <a:stretch>
                      <a:fillRect/>
                    </a:stretch>
                  </pic:blipFill>
                  <pic:spPr bwMode="auto">
                    <a:xfrm>
                      <a:off x="0" y="0"/>
                      <a:ext cx="1916430" cy="2857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-2272030</wp:posOffset>
            </wp:positionV>
            <wp:extent cx="1913255" cy="63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1">
                      <a:extLst>
                        <a:ext uri="{28A0092B-C50C-407E-A947-70E740481C1C}"/>
                      </a:extLst>
                    </a:blip>
                    <a:srcRect/>
                    <a:stretch>
                      <a:fillRect/>
                    </a:stretch>
                  </pic:blipFill>
                  <pic:spPr bwMode="auto">
                    <a:xfrm>
                      <a:off x="0" y="0"/>
                      <a:ext cx="1913255" cy="635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-170180</wp:posOffset>
            </wp:positionV>
            <wp:extent cx="1913255" cy="63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2">
                      <a:extLst>
                        <a:ext uri="{28A0092B-C50C-407E-A947-70E740481C1C}"/>
                      </a:extLst>
                    </a:blip>
                    <a:srcRect/>
                    <a:stretch>
                      <a:fillRect/>
                    </a:stretch>
                  </pic:blipFill>
                  <pic:spPr bwMode="auto">
                    <a:xfrm>
                      <a:off x="0" y="0"/>
                      <a:ext cx="1913255" cy="635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26035</wp:posOffset>
            </wp:positionV>
            <wp:extent cx="1913255" cy="2857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3">
                      <a:extLst>
                        <a:ext uri="{28A0092B-C50C-407E-A947-70E740481C1C}"/>
                      </a:extLst>
                    </a:blip>
                    <a:srcRect/>
                    <a:stretch>
                      <a:fillRect/>
                    </a:stretch>
                  </pic:blipFill>
                  <pic:spPr bwMode="auto">
                    <a:xfrm>
                      <a:off x="0" y="0"/>
                      <a:ext cx="1913255"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24</w:t>
      </w:r>
    </w:p>
    <w:p>
      <w:pPr>
        <w:sectPr>
          <w:pgSz w:w="11900" w:h="16838" w:orient="portrait"/>
          <w:cols w:equalWidth="0" w:num="1">
            <w:col w:w="9400"/>
          </w:cols>
          <w:pgMar w:left="1260" w:top="1440" w:right="1246" w:bottom="0" w:gutter="0" w:footer="0" w:header="0"/>
          <w:type w:val="continuous"/>
        </w:sectPr>
      </w:pPr>
    </w:p>
    <w:bookmarkStart w:id="249" w:name="page250"/>
    <w:bookmarkEnd w:id="249"/>
    <w:p>
      <w:pPr>
        <w:spacing w:after="0"/>
        <w:rPr>
          <w:sz w:val="20"/>
          <w:szCs w:val="20"/>
          <w:color w:val="auto"/>
        </w:rPr>
      </w:pPr>
      <w:r>
        <w:rPr>
          <w:rFonts w:ascii="Arial" w:cs="Arial" w:eastAsia="Arial" w:hAnsi="Arial"/>
          <w:sz w:val="20"/>
          <w:szCs w:val="20"/>
          <w:color w:val="auto"/>
        </w:rPr>
        <w:t>Provision for liabilities consists of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320" w:type="dxa"/>
            <w:vAlign w:val="bottom"/>
          </w:tcPr>
          <w:p>
            <w:pPr>
              <w:jc w:val="right"/>
              <w:ind w:right="228"/>
              <w:spacing w:after="0"/>
              <w:rPr>
                <w:sz w:val="20"/>
                <w:szCs w:val="20"/>
                <w:color w:val="auto"/>
              </w:rPr>
            </w:pPr>
            <w:r>
              <w:rPr>
                <w:rFonts w:ascii="Arial" w:cs="Arial" w:eastAsia="Arial" w:hAnsi="Arial"/>
                <w:sz w:val="16"/>
                <w:szCs w:val="16"/>
                <w:b w:val="1"/>
                <w:bCs w:val="1"/>
                <w:color w:val="auto"/>
                <w:w w:val="94"/>
              </w:rPr>
              <w:t>December 31,</w:t>
            </w:r>
          </w:p>
        </w:tc>
        <w:tc>
          <w:tcPr>
            <w:tcW w:w="280" w:type="dxa"/>
            <w:vAlign w:val="bottom"/>
          </w:tcPr>
          <w:p>
            <w:pPr>
              <w:spacing w:after="0"/>
              <w:rPr>
                <w:sz w:val="16"/>
                <w:szCs w:val="16"/>
                <w:color w:val="auto"/>
              </w:rPr>
            </w:pPr>
          </w:p>
        </w:tc>
        <w:tc>
          <w:tcPr>
            <w:tcW w:w="1280" w:type="dxa"/>
            <w:vAlign w:val="bottom"/>
          </w:tcPr>
          <w:p>
            <w:pPr>
              <w:jc w:val="right"/>
              <w:ind w:right="208"/>
              <w:spacing w:after="0"/>
              <w:rPr>
                <w:sz w:val="20"/>
                <w:szCs w:val="20"/>
                <w:color w:val="auto"/>
              </w:rPr>
            </w:pPr>
            <w:r>
              <w:rPr>
                <w:rFonts w:ascii="Arial" w:cs="Arial" w:eastAsia="Arial" w:hAnsi="Arial"/>
                <w:sz w:val="16"/>
                <w:szCs w:val="16"/>
                <w:b w:val="1"/>
                <w:bCs w:val="1"/>
                <w:color w:val="auto"/>
                <w:w w:val="92"/>
              </w:rPr>
              <w:t>December 31,</w:t>
            </w:r>
          </w:p>
        </w:tc>
      </w:tr>
      <w:tr>
        <w:trPr>
          <w:trHeight w:val="240"/>
        </w:trPr>
        <w:tc>
          <w:tcPr>
            <w:tcW w:w="38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20" w:type="dxa"/>
            <w:vAlign w:val="bottom"/>
          </w:tcPr>
          <w:p>
            <w:pPr>
              <w:jc w:val="right"/>
              <w:ind w:right="548"/>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20"/>
                <w:szCs w:val="20"/>
                <w:color w:val="auto"/>
              </w:rPr>
            </w:pPr>
          </w:p>
        </w:tc>
        <w:tc>
          <w:tcPr>
            <w:tcW w:w="1280" w:type="dxa"/>
            <w:vAlign w:val="bottom"/>
          </w:tcPr>
          <w:p>
            <w:pPr>
              <w:jc w:val="right"/>
              <w:ind w:right="508"/>
              <w:spacing w:after="0"/>
              <w:rPr>
                <w:sz w:val="20"/>
                <w:szCs w:val="20"/>
                <w:color w:val="auto"/>
              </w:rPr>
            </w:pPr>
            <w:r>
              <w:rPr>
                <w:rFonts w:ascii="Arial" w:cs="Arial" w:eastAsia="Arial" w:hAnsi="Arial"/>
                <w:sz w:val="16"/>
                <w:szCs w:val="16"/>
                <w:b w:val="1"/>
                <w:bCs w:val="1"/>
                <w:color w:val="auto"/>
              </w:rPr>
              <w:t>2024</w:t>
            </w:r>
          </w:p>
        </w:tc>
      </w:tr>
      <w:tr>
        <w:trPr>
          <w:trHeight w:val="42"/>
        </w:trPr>
        <w:tc>
          <w:tcPr>
            <w:tcW w:w="384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0"/>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Claims, lawsuits and other proceedings</w:t>
            </w:r>
          </w:p>
        </w:tc>
        <w:tc>
          <w:tcPr>
            <w:tcW w:w="2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2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20"/>
                <w:szCs w:val="20"/>
                <w:color w:val="auto"/>
              </w:rPr>
              <w:t>281</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20"/>
                <w:szCs w:val="20"/>
                <w:color w:val="auto"/>
              </w:rPr>
              <w:t>284</w:t>
            </w:r>
          </w:p>
        </w:tc>
      </w:tr>
      <w:tr>
        <w:trPr>
          <w:trHeight w:val="259"/>
        </w:trPr>
        <w:tc>
          <w:tcPr>
            <w:tcW w:w="3840" w:type="dxa"/>
            <w:vAlign w:val="bottom"/>
          </w:tcPr>
          <w:p>
            <w:pPr>
              <w:spacing w:after="0"/>
              <w:rPr>
                <w:sz w:val="20"/>
                <w:szCs w:val="20"/>
                <w:color w:val="auto"/>
              </w:rPr>
            </w:pPr>
            <w:r>
              <w:rPr>
                <w:rFonts w:ascii="Arial" w:cs="Arial" w:eastAsia="Arial" w:hAnsi="Arial"/>
                <w:sz w:val="20"/>
                <w:szCs w:val="20"/>
                <w:color w:val="auto"/>
              </w:rPr>
              <w:t>Other provisions</w:t>
            </w:r>
          </w:p>
        </w:tc>
        <w:tc>
          <w:tcPr>
            <w:tcW w:w="2680" w:type="dxa"/>
            <w:vAlign w:val="bottom"/>
          </w:tcPr>
          <w:p>
            <w:pPr>
              <w:spacing w:after="0"/>
              <w:rPr>
                <w:sz w:val="22"/>
                <w:szCs w:val="22"/>
                <w:color w:val="auto"/>
              </w:rPr>
            </w:pPr>
          </w:p>
        </w:tc>
        <w:tc>
          <w:tcPr>
            <w:tcW w:w="1320" w:type="dxa"/>
            <w:vAlign w:val="bottom"/>
          </w:tcPr>
          <w:p>
            <w:pPr>
              <w:jc w:val="right"/>
              <w:ind w:right="28"/>
              <w:spacing w:after="0"/>
              <w:rPr>
                <w:sz w:val="20"/>
                <w:szCs w:val="20"/>
                <w:color w:val="auto"/>
              </w:rPr>
            </w:pPr>
            <w:r>
              <w:rPr>
                <w:rFonts w:ascii="Arial" w:cs="Arial" w:eastAsia="Arial" w:hAnsi="Arial"/>
                <w:sz w:val="20"/>
                <w:szCs w:val="20"/>
                <w:color w:val="auto"/>
              </w:rPr>
              <w:t>59</w:t>
            </w:r>
          </w:p>
        </w:tc>
        <w:tc>
          <w:tcPr>
            <w:tcW w:w="280" w:type="dxa"/>
            <w:vAlign w:val="bottom"/>
          </w:tcPr>
          <w:p>
            <w:pPr>
              <w:spacing w:after="0"/>
              <w:rPr>
                <w:sz w:val="22"/>
                <w:szCs w:val="22"/>
                <w:color w:val="auto"/>
              </w:rPr>
            </w:pPr>
          </w:p>
        </w:tc>
        <w:tc>
          <w:tcPr>
            <w:tcW w:w="1280" w:type="dxa"/>
            <w:vAlign w:val="bottom"/>
          </w:tcPr>
          <w:p>
            <w:pPr>
              <w:jc w:val="right"/>
              <w:ind w:right="8"/>
              <w:spacing w:after="0"/>
              <w:rPr>
                <w:sz w:val="20"/>
                <w:szCs w:val="20"/>
                <w:color w:val="auto"/>
              </w:rPr>
            </w:pPr>
            <w:r>
              <w:rPr>
                <w:rFonts w:ascii="Arial" w:cs="Arial" w:eastAsia="Arial" w:hAnsi="Arial"/>
                <w:sz w:val="20"/>
                <w:szCs w:val="20"/>
                <w:color w:val="auto"/>
              </w:rPr>
              <w:t>57</w:t>
            </w:r>
          </w:p>
        </w:tc>
      </w:tr>
      <w:tr>
        <w:trPr>
          <w:trHeight w:val="51"/>
        </w:trPr>
        <w:tc>
          <w:tcPr>
            <w:tcW w:w="384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9"/>
        </w:trPr>
        <w:tc>
          <w:tcPr>
            <w:tcW w:w="3840" w:type="dxa"/>
            <w:vAlign w:val="bottom"/>
            <w:shd w:val="clear" w:color="auto" w:fill="CFF0FC"/>
          </w:tcPr>
          <w:p>
            <w:pPr>
              <w:spacing w:after="0"/>
              <w:rPr>
                <w:sz w:val="20"/>
                <w:szCs w:val="20"/>
                <w:color w:val="auto"/>
              </w:rPr>
            </w:pPr>
            <w:r>
              <w:rPr>
                <w:rFonts w:ascii="Arial" w:cs="Arial" w:eastAsia="Arial" w:hAnsi="Arial"/>
                <w:sz w:val="20"/>
                <w:szCs w:val="20"/>
                <w:color w:val="auto"/>
              </w:rPr>
              <w:t>Total provision for liabilities</w:t>
            </w:r>
          </w:p>
        </w:tc>
        <w:tc>
          <w:tcPr>
            <w:tcW w:w="2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CFF0FC"/>
          </w:tcPr>
          <w:p>
            <w:pPr>
              <w:jc w:val="right"/>
              <w:ind w:right="28"/>
              <w:spacing w:after="0"/>
              <w:rPr>
                <w:sz w:val="20"/>
                <w:szCs w:val="20"/>
                <w:color w:val="auto"/>
              </w:rPr>
            </w:pPr>
            <w:r>
              <w:rPr>
                <w:rFonts w:ascii="Arial" w:cs="Arial" w:eastAsia="Arial" w:hAnsi="Arial"/>
                <w:sz w:val="20"/>
                <w:szCs w:val="20"/>
                <w:color w:val="auto"/>
              </w:rPr>
              <w:t>340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80" w:type="dxa"/>
            <w:vAlign w:val="bottom"/>
            <w:shd w:val="clear" w:color="auto" w:fill="CFF0FC"/>
          </w:tcPr>
          <w:p>
            <w:pPr>
              <w:jc w:val="right"/>
              <w:ind w:right="8"/>
              <w:spacing w:after="0"/>
              <w:rPr>
                <w:sz w:val="20"/>
                <w:szCs w:val="20"/>
                <w:color w:val="auto"/>
              </w:rPr>
            </w:pPr>
            <w:r>
              <w:rPr>
                <w:rFonts w:ascii="Arial" w:cs="Arial" w:eastAsia="Arial" w:hAnsi="Arial"/>
                <w:sz w:val="20"/>
                <w:szCs w:val="20"/>
                <w:color w:val="auto"/>
              </w:rPr>
              <w:t>341</w:t>
            </w:r>
          </w:p>
        </w:tc>
      </w:tr>
      <w:tr>
        <w:trPr>
          <w:trHeight w:val="86"/>
        </w:trPr>
        <w:tc>
          <w:tcPr>
            <w:tcW w:w="3840" w:type="dxa"/>
            <w:vAlign w:val="bottom"/>
            <w:shd w:val="clear" w:color="auto" w:fill="CFF0FC"/>
          </w:tcPr>
          <w:p>
            <w:pPr>
              <w:spacing w:after="0"/>
              <w:rPr>
                <w:sz w:val="7"/>
                <w:szCs w:val="7"/>
                <w:color w:val="auto"/>
              </w:rPr>
            </w:pPr>
          </w:p>
        </w:tc>
        <w:tc>
          <w:tcPr>
            <w:tcW w:w="2680" w:type="dxa"/>
            <w:vAlign w:val="bottom"/>
            <w:shd w:val="clear" w:color="auto" w:fill="CFF0FC"/>
          </w:tcPr>
          <w:p>
            <w:pPr>
              <w:spacing w:after="0"/>
              <w:rPr>
                <w:sz w:val="7"/>
                <w:szCs w:val="7"/>
                <w:color w:val="auto"/>
              </w:rPr>
            </w:pPr>
          </w:p>
        </w:tc>
        <w:tc>
          <w:tcPr>
            <w:tcW w:w="132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280" w:type="dxa"/>
            <w:vAlign w:val="bottom"/>
            <w:shd w:val="clear" w:color="auto" w:fill="CFF0FC"/>
          </w:tcPr>
          <w:p>
            <w:pPr>
              <w:spacing w:after="0"/>
              <w:rPr>
                <w:sz w:val="7"/>
                <w:szCs w:val="7"/>
                <w:color w:val="auto"/>
              </w:rPr>
            </w:pPr>
          </w:p>
        </w:tc>
      </w:tr>
      <w:tr>
        <w:trPr>
          <w:trHeight w:val="799"/>
        </w:trPr>
        <w:tc>
          <w:tcPr>
            <w:tcW w:w="3840" w:type="dxa"/>
            <w:vAlign w:val="bottom"/>
          </w:tcPr>
          <w:p>
            <w:pPr>
              <w:spacing w:after="0"/>
              <w:rPr>
                <w:sz w:val="24"/>
                <w:szCs w:val="24"/>
                <w:color w:val="auto"/>
              </w:rPr>
            </w:pPr>
          </w:p>
        </w:tc>
        <w:tc>
          <w:tcPr>
            <w:tcW w:w="2680" w:type="dxa"/>
            <w:vAlign w:val="bottom"/>
          </w:tcPr>
          <w:p>
            <w:pPr>
              <w:jc w:val="right"/>
              <w:ind w:right="1580"/>
              <w:spacing w:after="0"/>
              <w:rPr>
                <w:sz w:val="20"/>
                <w:szCs w:val="20"/>
                <w:color w:val="auto"/>
              </w:rPr>
            </w:pPr>
            <w:r>
              <w:rPr>
                <w:rFonts w:ascii="Arial" w:cs="Arial" w:eastAsia="Arial" w:hAnsi="Arial"/>
                <w:sz w:val="20"/>
                <w:szCs w:val="20"/>
                <w:color w:val="auto"/>
              </w:rPr>
              <w:t>122</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891"/>
        </w:trPr>
        <w:tc>
          <w:tcPr>
            <w:tcW w:w="3840" w:type="dxa"/>
            <w:vAlign w:val="bottom"/>
            <w:tcBorders>
              <w:bottom w:val="single" w:sz="8" w:color="010101"/>
            </w:tcBorders>
          </w:tcPr>
          <w:p>
            <w:pPr>
              <w:spacing w:after="0"/>
              <w:rPr>
                <w:sz w:val="24"/>
                <w:szCs w:val="24"/>
                <w:color w:val="auto"/>
              </w:rPr>
            </w:pPr>
          </w:p>
        </w:tc>
        <w:tc>
          <w:tcPr>
            <w:tcW w:w="2680" w:type="dxa"/>
            <w:vAlign w:val="bottom"/>
            <w:tcBorders>
              <w:bottom w:val="single" w:sz="8" w:color="010101"/>
            </w:tcBorders>
          </w:tcPr>
          <w:p>
            <w:pPr>
              <w:spacing w:after="0"/>
              <w:rPr>
                <w:sz w:val="24"/>
                <w:szCs w:val="24"/>
                <w:color w:val="auto"/>
              </w:rPr>
            </w:pPr>
          </w:p>
        </w:tc>
        <w:tc>
          <w:tcPr>
            <w:tcW w:w="13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2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4">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5">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-1697990</wp:posOffset>
            </wp:positionV>
            <wp:extent cx="1914525" cy="63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6">
                      <a:extLst>
                        <a:ext uri="{28A0092B-C50C-407E-A947-70E740481C1C}"/>
                      </a:extLst>
                    </a:blip>
                    <a:srcRect/>
                    <a:stretch>
                      <a:fillRect/>
                    </a:stretch>
                  </pic:blipFill>
                  <pic:spPr bwMode="auto">
                    <a:xfrm>
                      <a:off x="0" y="0"/>
                      <a:ext cx="1914525" cy="635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-1310640</wp:posOffset>
            </wp:positionV>
            <wp:extent cx="1914525" cy="63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7">
                      <a:extLst>
                        <a:ext uri="{28A0092B-C50C-407E-A947-70E740481C1C}"/>
                      </a:extLst>
                    </a:blip>
                    <a:srcRect/>
                    <a:stretch>
                      <a:fillRect/>
                    </a:stretch>
                  </pic:blipFill>
                  <pic:spPr bwMode="auto">
                    <a:xfrm>
                      <a:off x="0" y="0"/>
                      <a:ext cx="1914525" cy="635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-1113790</wp:posOffset>
            </wp:positionV>
            <wp:extent cx="1914525" cy="2857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88">
                      <a:extLst>
                        <a:ext uri="{28A0092B-C50C-407E-A947-70E740481C1C}"/>
                      </a:extLst>
                    </a:blip>
                    <a:srcRect/>
                    <a:stretch>
                      <a:fillRect/>
                    </a:stretch>
                  </pic:blipFill>
                  <pic:spPr bwMode="auto">
                    <a:xfrm>
                      <a:off x="0" y="0"/>
                      <a:ext cx="1914525" cy="28575"/>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24</w:t>
      </w:r>
    </w:p>
    <w:p>
      <w:pPr>
        <w:sectPr>
          <w:pgSz w:w="11900" w:h="16838" w:orient="portrait"/>
          <w:cols w:equalWidth="0" w:num="1">
            <w:col w:w="9400"/>
          </w:cols>
          <w:pgMar w:left="1260" w:top="1163" w:right="1246" w:bottom="0" w:gutter="0" w:footer="0" w:header="0"/>
          <w:type w:val="continuous"/>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Other non-current liabilities consist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gridSpan w:val="3"/>
          </w:tcPr>
          <w:p>
            <w:pPr>
              <w:jc w:val="right"/>
              <w:ind w:right="122"/>
              <w:spacing w:after="0"/>
              <w:rPr>
                <w:sz w:val="20"/>
                <w:szCs w:val="20"/>
                <w:color w:val="auto"/>
              </w:rPr>
            </w:pPr>
            <w:r>
              <w:rPr>
                <w:rFonts w:ascii="Arial" w:cs="Arial" w:eastAsia="Arial" w:hAnsi="Arial"/>
                <w:sz w:val="16"/>
                <w:szCs w:val="16"/>
                <w:b w:val="1"/>
                <w:bCs w:val="1"/>
                <w:color w:val="auto"/>
              </w:rPr>
              <w:t>December 31,</w:t>
            </w:r>
          </w:p>
        </w:tc>
        <w:tc>
          <w:tcPr>
            <w:tcW w:w="40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r>
      <w:tr>
        <w:trPr>
          <w:trHeight w:val="240"/>
        </w:trPr>
        <w:tc>
          <w:tcPr>
            <w:tcW w:w="5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523"/>
              <w:spacing w:after="0"/>
              <w:rPr>
                <w:sz w:val="20"/>
                <w:szCs w:val="20"/>
                <w:color w:val="auto"/>
              </w:rPr>
            </w:pPr>
            <w:r>
              <w:rPr>
                <w:rFonts w:ascii="Arial" w:cs="Arial" w:eastAsia="Arial" w:hAnsi="Arial"/>
                <w:sz w:val="16"/>
                <w:szCs w:val="16"/>
                <w:b w:val="1"/>
                <w:bCs w:val="1"/>
                <w:color w:val="auto"/>
              </w:rPr>
              <w:t>2024</w:t>
            </w:r>
          </w:p>
        </w:tc>
      </w:tr>
      <w:tr>
        <w:trPr>
          <w:trHeight w:val="42"/>
        </w:trPr>
        <w:tc>
          <w:tcPr>
            <w:tcW w:w="5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Deferred and long-term compensation plan liabilities</w:t>
            </w:r>
          </w:p>
        </w:tc>
        <w:tc>
          <w:tcPr>
            <w:tcW w:w="11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ind w:right="184"/>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98</w:t>
            </w:r>
          </w:p>
        </w:tc>
      </w:tr>
      <w:tr>
        <w:trPr>
          <w:trHeight w:val="274"/>
        </w:trPr>
        <w:tc>
          <w:tcPr>
            <w:tcW w:w="5140" w:type="dxa"/>
            <w:vAlign w:val="bottom"/>
          </w:tcPr>
          <w:p>
            <w:pPr>
              <w:spacing w:after="0"/>
              <w:rPr>
                <w:sz w:val="20"/>
                <w:szCs w:val="20"/>
                <w:color w:val="auto"/>
              </w:rPr>
            </w:pPr>
            <w:r>
              <w:rPr>
                <w:rFonts w:ascii="Arial" w:cs="Arial" w:eastAsia="Arial" w:hAnsi="Arial"/>
                <w:sz w:val="20"/>
                <w:szCs w:val="20"/>
                <w:color w:val="auto"/>
              </w:rPr>
              <w:t>Contingent and deferred consideration on acquisitions</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12</w:t>
            </w: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8</w:t>
            </w:r>
          </w:p>
        </w:tc>
      </w:tr>
      <w:tr>
        <w:trPr>
          <w:trHeight w:val="41"/>
        </w:trPr>
        <w:tc>
          <w:tcPr>
            <w:tcW w:w="5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Liabilities for uncertain tax positions</w:t>
            </w:r>
          </w:p>
        </w:tc>
        <w:tc>
          <w:tcPr>
            <w:tcW w:w="11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w:t>
            </w:r>
          </w:p>
        </w:tc>
        <w:tc>
          <w:tcPr>
            <w:tcW w:w="4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75</w:t>
            </w:r>
          </w:p>
        </w:tc>
      </w:tr>
      <w:tr>
        <w:trPr>
          <w:trHeight w:val="274"/>
        </w:trPr>
        <w:tc>
          <w:tcPr>
            <w:tcW w:w="514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41</w:t>
            </w: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45</w:t>
            </w:r>
          </w:p>
        </w:tc>
      </w:tr>
      <w:tr>
        <w:trPr>
          <w:trHeight w:val="41"/>
        </w:trPr>
        <w:tc>
          <w:tcPr>
            <w:tcW w:w="5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Finance leases</w:t>
            </w:r>
          </w:p>
        </w:tc>
        <w:tc>
          <w:tcPr>
            <w:tcW w:w="11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2</w:t>
            </w:r>
          </w:p>
        </w:tc>
      </w:tr>
      <w:tr>
        <w:trPr>
          <w:trHeight w:val="274"/>
        </w:trPr>
        <w:tc>
          <w:tcPr>
            <w:tcW w:w="5140" w:type="dxa"/>
            <w:vAlign w:val="bottom"/>
          </w:tcPr>
          <w:p>
            <w:pPr>
              <w:spacing w:after="0"/>
              <w:rPr>
                <w:sz w:val="20"/>
                <w:szCs w:val="20"/>
                <w:color w:val="auto"/>
              </w:rPr>
            </w:pPr>
            <w:r>
              <w:rPr>
                <w:rFonts w:ascii="Arial" w:cs="Arial" w:eastAsia="Arial" w:hAnsi="Arial"/>
                <w:sz w:val="20"/>
                <w:szCs w:val="20"/>
                <w:color w:val="auto"/>
              </w:rPr>
              <w:t>Other non-current liabilities</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62</w:t>
            </w: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71</w:t>
            </w:r>
          </w:p>
        </w:tc>
      </w:tr>
      <w:tr>
        <w:trPr>
          <w:trHeight w:val="51"/>
        </w:trPr>
        <w:tc>
          <w:tcPr>
            <w:tcW w:w="5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4"/>
        </w:trPr>
        <w:tc>
          <w:tcPr>
            <w:tcW w:w="5140" w:type="dxa"/>
            <w:vAlign w:val="bottom"/>
            <w:shd w:val="clear" w:color="auto" w:fill="CFF0FC"/>
          </w:tcPr>
          <w:p>
            <w:pPr>
              <w:spacing w:after="0"/>
              <w:rPr>
                <w:sz w:val="20"/>
                <w:szCs w:val="20"/>
                <w:color w:val="auto"/>
              </w:rPr>
            </w:pPr>
            <w:r>
              <w:rPr>
                <w:rFonts w:ascii="Arial" w:cs="Arial" w:eastAsia="Arial" w:hAnsi="Arial"/>
                <w:sz w:val="20"/>
                <w:szCs w:val="20"/>
                <w:color w:val="auto"/>
              </w:rPr>
              <w:t>Total other non-current liabilities</w:t>
            </w:r>
          </w:p>
        </w:tc>
        <w:tc>
          <w:tcPr>
            <w:tcW w:w="1100" w:type="dxa"/>
            <w:vAlign w:val="bottom"/>
            <w:shd w:val="clear" w:color="auto" w:fill="CFF0FC"/>
          </w:tcPr>
          <w:p>
            <w:pPr>
              <w:spacing w:after="0"/>
              <w:rPr>
                <w:sz w:val="23"/>
                <w:szCs w:val="23"/>
                <w:color w:val="auto"/>
              </w:rPr>
            </w:pPr>
          </w:p>
        </w:tc>
        <w:tc>
          <w:tcPr>
            <w:tcW w:w="500" w:type="dxa"/>
            <w:vAlign w:val="bottom"/>
            <w:shd w:val="clear" w:color="auto" w:fill="CFF0FC"/>
          </w:tcPr>
          <w:p>
            <w:pPr>
              <w:jc w:val="right"/>
              <w:ind w:right="184"/>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spacing w:after="0"/>
              <w:rPr>
                <w:sz w:val="23"/>
                <w:szCs w:val="2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246</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80" w:type="dxa"/>
            <w:vAlign w:val="bottom"/>
            <w:shd w:val="clear" w:color="auto" w:fill="CFF0FC"/>
          </w:tcPr>
          <w:p>
            <w:pPr>
              <w:spacing w:after="0"/>
              <w:rPr>
                <w:sz w:val="23"/>
                <w:szCs w:val="23"/>
                <w:color w:val="auto"/>
              </w:rPr>
            </w:pPr>
          </w:p>
        </w:tc>
        <w:tc>
          <w:tcPr>
            <w:tcW w:w="1020" w:type="dxa"/>
            <w:vAlign w:val="bottom"/>
            <w:shd w:val="clear" w:color="auto" w:fill="CFF0FC"/>
          </w:tcPr>
          <w:p>
            <w:pPr>
              <w:jc w:val="right"/>
              <w:ind w:right="23"/>
              <w:spacing w:after="0"/>
              <w:rPr>
                <w:sz w:val="20"/>
                <w:szCs w:val="20"/>
                <w:color w:val="auto"/>
              </w:rPr>
            </w:pPr>
            <w:r>
              <w:rPr>
                <w:rFonts w:ascii="Arial" w:cs="Arial" w:eastAsia="Arial" w:hAnsi="Arial"/>
                <w:sz w:val="20"/>
                <w:szCs w:val="20"/>
                <w:color w:val="auto"/>
              </w:rPr>
              <w:t>299</w:t>
            </w:r>
          </w:p>
        </w:tc>
      </w:tr>
      <w:tr>
        <w:trPr>
          <w:trHeight w:val="86"/>
        </w:trPr>
        <w:tc>
          <w:tcPr>
            <w:tcW w:w="514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r>
      <w:tr>
        <w:trPr>
          <w:trHeight w:val="679"/>
        </w:trPr>
        <w:tc>
          <w:tcPr>
            <w:tcW w:w="5140" w:type="dxa"/>
            <w:vAlign w:val="bottom"/>
          </w:tcPr>
          <w:p>
            <w:pPr>
              <w:spacing w:after="0"/>
              <w:rPr>
                <w:sz w:val="20"/>
                <w:szCs w:val="20"/>
                <w:color w:val="auto"/>
              </w:rPr>
            </w:pPr>
            <w:r>
              <w:rPr>
                <w:rFonts w:ascii="Arial" w:cs="Arial" w:eastAsia="Arial" w:hAnsi="Arial"/>
                <w:sz w:val="20"/>
                <w:szCs w:val="20"/>
                <w:b w:val="1"/>
                <w:bCs w:val="1"/>
                <w:color w:val="auto"/>
              </w:rPr>
              <w:t>Note 17 — Other (Loss)/Income, Net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80"/>
        </w:trPr>
        <w:tc>
          <w:tcPr>
            <w:tcW w:w="5140" w:type="dxa"/>
            <w:vAlign w:val="bottom"/>
          </w:tcPr>
          <w:p>
            <w:pPr>
              <w:spacing w:after="0"/>
              <w:rPr>
                <w:sz w:val="20"/>
                <w:szCs w:val="20"/>
                <w:color w:val="auto"/>
              </w:rPr>
            </w:pPr>
            <w:r>
              <w:rPr>
                <w:rFonts w:ascii="Arial" w:cs="Arial" w:eastAsia="Arial" w:hAnsi="Arial"/>
                <w:sz w:val="20"/>
                <w:szCs w:val="20"/>
                <w:color w:val="auto"/>
              </w:rPr>
              <w:t>Other (loss)/income, net consists of the following:</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63"/>
        </w:trPr>
        <w:tc>
          <w:tcPr>
            <w:tcW w:w="5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40" w:type="dxa"/>
            <w:vAlign w:val="bottom"/>
            <w:gridSpan w:val="5"/>
          </w:tcPr>
          <w:p>
            <w:pPr>
              <w:ind w:left="220"/>
              <w:spacing w:after="0"/>
              <w:rPr>
                <w:sz w:val="20"/>
                <w:szCs w:val="20"/>
                <w:color w:val="auto"/>
              </w:rPr>
            </w:pPr>
            <w:r>
              <w:rPr>
                <w:rFonts w:ascii="Arial" w:cs="Arial" w:eastAsia="Arial" w:hAnsi="Arial"/>
                <w:sz w:val="16"/>
                <w:szCs w:val="16"/>
                <w:b w:val="1"/>
                <w:bCs w:val="1"/>
                <w:color w:val="auto"/>
                <w:w w:val="93"/>
              </w:rPr>
              <w:t>Years ended December 31,</w:t>
            </w:r>
          </w:p>
        </w:tc>
        <w:tc>
          <w:tcPr>
            <w:tcW w:w="1020" w:type="dxa"/>
            <w:vAlign w:val="bottom"/>
          </w:tcPr>
          <w:p>
            <w:pPr>
              <w:spacing w:after="0"/>
              <w:rPr>
                <w:sz w:val="24"/>
                <w:szCs w:val="24"/>
                <w:color w:val="auto"/>
              </w:rPr>
            </w:pPr>
          </w:p>
        </w:tc>
      </w:tr>
      <w:tr>
        <w:trPr>
          <w:trHeight w:val="314"/>
        </w:trPr>
        <w:tc>
          <w:tcPr>
            <w:tcW w:w="5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jc w:val="right"/>
              <w:ind w:right="62"/>
              <w:spacing w:after="0"/>
              <w:rPr>
                <w:sz w:val="20"/>
                <w:szCs w:val="20"/>
                <w:color w:val="auto"/>
              </w:rPr>
            </w:pPr>
            <w:r>
              <w:rPr>
                <w:rFonts w:ascii="Arial" w:cs="Arial" w:eastAsia="Arial" w:hAnsi="Arial"/>
                <w:sz w:val="16"/>
                <w:szCs w:val="16"/>
                <w:b w:val="1"/>
                <w:bCs w:val="1"/>
                <w:color w:val="auto"/>
                <w:w w:val="89"/>
              </w:rPr>
              <w:t>2024</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403"/>
              <w:spacing w:after="0"/>
              <w:rPr>
                <w:sz w:val="20"/>
                <w:szCs w:val="20"/>
                <w:color w:val="auto"/>
              </w:rPr>
            </w:pPr>
            <w:r>
              <w:rPr>
                <w:rFonts w:ascii="Arial" w:cs="Arial" w:eastAsia="Arial" w:hAnsi="Arial"/>
                <w:sz w:val="16"/>
                <w:szCs w:val="16"/>
                <w:b w:val="1"/>
                <w:bCs w:val="1"/>
                <w:color w:val="auto"/>
              </w:rPr>
              <w:t>2023</w:t>
            </w:r>
          </w:p>
        </w:tc>
      </w:tr>
      <w:tr>
        <w:trPr>
          <w:trHeight w:val="42"/>
        </w:trPr>
        <w:tc>
          <w:tcPr>
            <w:tcW w:w="5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Gain/(loss) on disposal of operations</w:t>
            </w:r>
          </w:p>
        </w:tc>
        <w:tc>
          <w:tcPr>
            <w:tcW w:w="1100" w:type="dxa"/>
            <w:vAlign w:val="bottom"/>
            <w:tcBorders>
              <w:bottom w:val="single" w:sz="8" w:color="CFF0FC"/>
            </w:tcBorders>
            <w:shd w:val="clear" w:color="auto" w:fill="CFF0FC"/>
          </w:tcPr>
          <w:p>
            <w:pPr>
              <w:jc w:val="right"/>
              <w:ind w:right="587"/>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CFF0FC"/>
            </w:tcBorders>
            <w:shd w:val="clear" w:color="auto" w:fill="CFF0FC"/>
          </w:tcPr>
          <w:p>
            <w:pPr>
              <w:jc w:val="right"/>
              <w:ind w:right="64"/>
              <w:spacing w:after="0"/>
              <w:rPr>
                <w:sz w:val="20"/>
                <w:szCs w:val="20"/>
                <w:color w:val="auto"/>
              </w:rPr>
            </w:pPr>
            <w:r>
              <w:rPr>
                <w:rFonts w:ascii="Arial" w:cs="Arial" w:eastAsia="Arial" w:hAnsi="Arial"/>
                <w:sz w:val="20"/>
                <w:szCs w:val="20"/>
                <w:color w:val="auto"/>
              </w:rPr>
              <w:t>40</w:t>
            </w:r>
          </w:p>
        </w:tc>
        <w:tc>
          <w:tcPr>
            <w:tcW w:w="460" w:type="dxa"/>
            <w:vAlign w:val="bottom"/>
            <w:tcBorders>
              <w:bottom w:val="single" w:sz="8" w:color="CFF0FC"/>
            </w:tcBorders>
            <w:shd w:val="clear" w:color="auto" w:fill="CFF0FC"/>
          </w:tcPr>
          <w:p>
            <w:pPr>
              <w:jc w:val="right"/>
              <w:ind w:right="187"/>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(337)</w:t>
            </w:r>
          </w:p>
        </w:tc>
        <w:tc>
          <w:tcPr>
            <w:tcW w:w="2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43</w:t>
            </w:r>
          </w:p>
        </w:tc>
      </w:tr>
      <w:tr>
        <w:trPr>
          <w:trHeight w:val="274"/>
        </w:trPr>
        <w:tc>
          <w:tcPr>
            <w:tcW w:w="5140" w:type="dxa"/>
            <w:vAlign w:val="bottom"/>
          </w:tcPr>
          <w:p>
            <w:pPr>
              <w:spacing w:after="0"/>
              <w:rPr>
                <w:sz w:val="20"/>
                <w:szCs w:val="20"/>
                <w:color w:val="auto"/>
              </w:rPr>
            </w:pPr>
            <w:r>
              <w:rPr>
                <w:rFonts w:ascii="Arial" w:cs="Arial" w:eastAsia="Arial" w:hAnsi="Arial"/>
                <w:sz w:val="20"/>
                <w:szCs w:val="20"/>
                <w:color w:val="auto"/>
                <w:w w:val="96"/>
              </w:rPr>
              <w:t>Net periodic pension and postretirement benefit (cost)/credit</w:t>
            </w:r>
          </w:p>
        </w:tc>
        <w:tc>
          <w:tcPr>
            <w:tcW w:w="1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(46)</w:t>
            </w: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jc w:val="right"/>
              <w:ind w:right="60"/>
              <w:spacing w:after="0"/>
              <w:rPr>
                <w:sz w:val="20"/>
                <w:szCs w:val="20"/>
                <w:color w:val="auto"/>
              </w:rPr>
            </w:pPr>
            <w:r>
              <w:rPr>
                <w:rFonts w:ascii="Arial" w:cs="Arial" w:eastAsia="Arial" w:hAnsi="Arial"/>
                <w:sz w:val="20"/>
                <w:szCs w:val="20"/>
                <w:color w:val="auto"/>
                <w:w w:val="98"/>
              </w:rPr>
              <w:t>64</w:t>
            </w:r>
          </w:p>
        </w:tc>
        <w:tc>
          <w:tcPr>
            <w:tcW w:w="28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109</w:t>
            </w:r>
          </w:p>
        </w:tc>
      </w:tr>
      <w:tr>
        <w:trPr>
          <w:trHeight w:val="41"/>
        </w:trPr>
        <w:tc>
          <w:tcPr>
            <w:tcW w:w="5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314"/>
        </w:trPr>
        <w:tc>
          <w:tcPr>
            <w:tcW w:w="514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Foreign exchange (loss)/gain </w:t>
            </w:r>
            <w:r>
              <w:rPr>
                <w:rFonts w:ascii="Arial" w:cs="Arial" w:eastAsia="Arial" w:hAnsi="Arial"/>
                <w:sz w:val="26"/>
                <w:szCs w:val="26"/>
                <w:color w:val="auto"/>
                <w:vertAlign w:val="superscript"/>
              </w:rPr>
              <w:t>(i)</w:t>
            </w:r>
          </w:p>
        </w:tc>
        <w:tc>
          <w:tcPr>
            <w:tcW w:w="1100" w:type="dxa"/>
            <w:vAlign w:val="bottom"/>
            <w:shd w:val="clear" w:color="auto" w:fill="CFF0FC"/>
          </w:tcPr>
          <w:p>
            <w:pPr>
              <w:spacing w:after="0"/>
              <w:rPr>
                <w:sz w:val="24"/>
                <w:szCs w:val="2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w:t>
            </w:r>
          </w:p>
        </w:tc>
        <w:tc>
          <w:tcPr>
            <w:tcW w:w="46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40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9</w:t>
            </w:r>
          </w:p>
        </w:tc>
        <w:tc>
          <w:tcPr>
            <w:tcW w:w="28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w:t>
            </w:r>
          </w:p>
        </w:tc>
      </w:tr>
      <w:tr>
        <w:trPr>
          <w:trHeight w:val="274"/>
        </w:trPr>
        <w:tc>
          <w:tcPr>
            <w:tcW w:w="5140" w:type="dxa"/>
            <w:vAlign w:val="bottom"/>
          </w:tcPr>
          <w:p>
            <w:pPr>
              <w:spacing w:after="0"/>
              <w:rPr>
                <w:sz w:val="20"/>
                <w:szCs w:val="20"/>
                <w:color w:val="auto"/>
              </w:rPr>
            </w:pPr>
            <w:r>
              <w:rPr>
                <w:rFonts w:ascii="Arial" w:cs="Arial" w:eastAsia="Arial" w:hAnsi="Arial"/>
                <w:sz w:val="20"/>
                <w:szCs w:val="20"/>
                <w:color w:val="auto"/>
              </w:rPr>
              <w:t>Other</w:t>
            </w:r>
          </w:p>
        </w:tc>
        <w:tc>
          <w:tcPr>
            <w:tcW w:w="1100" w:type="dxa"/>
            <w:vAlign w:val="bottom"/>
          </w:tcPr>
          <w:p>
            <w:pPr>
              <w:spacing w:after="0"/>
              <w:rPr>
                <w:sz w:val="23"/>
                <w:szCs w:val="23"/>
                <w:color w:val="auto"/>
              </w:rPr>
            </w:pPr>
          </w:p>
        </w:tc>
        <w:tc>
          <w:tcPr>
            <w:tcW w:w="500" w:type="dxa"/>
            <w:vAlign w:val="bottom"/>
          </w:tcPr>
          <w:p>
            <w:pPr>
              <w:jc w:val="right"/>
              <w:ind w:right="64"/>
              <w:spacing w:after="0"/>
              <w:rPr>
                <w:sz w:val="20"/>
                <w:szCs w:val="20"/>
                <w:color w:val="auto"/>
              </w:rPr>
            </w:pPr>
            <w:r>
              <w:rPr>
                <w:rFonts w:ascii="Arial" w:cs="Arial" w:eastAsia="Arial" w:hAnsi="Arial"/>
                <w:sz w:val="20"/>
                <w:szCs w:val="20"/>
                <w:color w:val="auto"/>
              </w:rPr>
              <w:t>2</w:t>
            </w: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jc w:val="right"/>
              <w:ind w:right="60"/>
              <w:spacing w:after="0"/>
              <w:rPr>
                <w:sz w:val="20"/>
                <w:szCs w:val="20"/>
                <w:color w:val="auto"/>
              </w:rPr>
            </w:pPr>
            <w:r>
              <w:rPr>
                <w:rFonts w:ascii="Arial" w:cs="Arial" w:eastAsia="Arial" w:hAnsi="Arial"/>
                <w:sz w:val="20"/>
                <w:szCs w:val="20"/>
                <w:color w:val="auto"/>
              </w:rPr>
              <w:t>2</w:t>
            </w:r>
          </w:p>
        </w:tc>
        <w:tc>
          <w:tcPr>
            <w:tcW w:w="28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20"/>
                <w:szCs w:val="20"/>
                <w:color w:val="auto"/>
              </w:rPr>
              <w:t>5</w:t>
            </w:r>
          </w:p>
        </w:tc>
      </w:tr>
      <w:tr>
        <w:trPr>
          <w:trHeight w:val="51"/>
        </w:trPr>
        <w:tc>
          <w:tcPr>
            <w:tcW w:w="5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4"/>
        </w:trPr>
        <w:tc>
          <w:tcPr>
            <w:tcW w:w="5140" w:type="dxa"/>
            <w:vAlign w:val="bottom"/>
            <w:shd w:val="clear" w:color="auto" w:fill="CFF0FC"/>
          </w:tcPr>
          <w:p>
            <w:pPr>
              <w:spacing w:after="0"/>
              <w:rPr>
                <w:sz w:val="20"/>
                <w:szCs w:val="20"/>
                <w:color w:val="auto"/>
              </w:rPr>
            </w:pPr>
            <w:r>
              <w:rPr>
                <w:rFonts w:ascii="Arial" w:cs="Arial" w:eastAsia="Arial" w:hAnsi="Arial"/>
                <w:sz w:val="20"/>
                <w:szCs w:val="20"/>
                <w:color w:val="auto"/>
              </w:rPr>
              <w:t>Other (loss)/income, net</w:t>
            </w:r>
          </w:p>
        </w:tc>
        <w:tc>
          <w:tcPr>
            <w:tcW w:w="1100" w:type="dxa"/>
            <w:vAlign w:val="bottom"/>
            <w:shd w:val="clear" w:color="auto" w:fill="CFF0FC"/>
          </w:tcPr>
          <w:p>
            <w:pPr>
              <w:jc w:val="right"/>
              <w:ind w:right="587"/>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w:t>
            </w:r>
          </w:p>
        </w:tc>
        <w:tc>
          <w:tcPr>
            <w:tcW w:w="460" w:type="dxa"/>
            <w:vAlign w:val="bottom"/>
            <w:shd w:val="clear" w:color="auto" w:fill="CFF0FC"/>
          </w:tcPr>
          <w:p>
            <w:pPr>
              <w:jc w:val="right"/>
              <w:ind w:right="187"/>
              <w:spacing w:after="0"/>
              <w:rPr>
                <w:sz w:val="20"/>
                <w:szCs w:val="20"/>
                <w:color w:val="auto"/>
              </w:rPr>
            </w:pPr>
            <w:r>
              <w:rPr>
                <w:rFonts w:ascii="Arial" w:cs="Arial" w:eastAsia="Arial" w:hAnsi="Arial"/>
                <w:sz w:val="20"/>
                <w:szCs w:val="20"/>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(262)</w:t>
            </w:r>
          </w:p>
        </w:tc>
        <w:tc>
          <w:tcPr>
            <w:tcW w:w="280" w:type="dxa"/>
            <w:vAlign w:val="bottom"/>
            <w:shd w:val="clear" w:color="auto" w:fill="CFF0FC"/>
          </w:tcPr>
          <w:p>
            <w:pPr>
              <w:ind w:left="8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ind w:right="23"/>
              <w:spacing w:after="0"/>
              <w:rPr>
                <w:sz w:val="20"/>
                <w:szCs w:val="20"/>
                <w:color w:val="auto"/>
              </w:rPr>
            </w:pPr>
            <w:r>
              <w:rPr>
                <w:rFonts w:ascii="Arial" w:cs="Arial" w:eastAsia="Arial" w:hAnsi="Arial"/>
                <w:sz w:val="20"/>
                <w:szCs w:val="20"/>
                <w:color w:val="auto"/>
              </w:rPr>
              <w:t>146</w:t>
            </w:r>
          </w:p>
        </w:tc>
      </w:tr>
      <w:tr>
        <w:trPr>
          <w:trHeight w:val="86"/>
        </w:trPr>
        <w:tc>
          <w:tcPr>
            <w:tcW w:w="514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4036695</wp:posOffset>
            </wp:positionH>
            <wp:positionV relativeFrom="paragraph">
              <wp:posOffset>-3728085</wp:posOffset>
            </wp:positionV>
            <wp:extent cx="1926590" cy="63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89">
                      <a:extLst>
                        <a:ext uri="{28A0092B-C50C-407E-A947-70E740481C1C}"/>
                      </a:extLst>
                    </a:blip>
                    <a:srcRect/>
                    <a:stretch>
                      <a:fillRect/>
                    </a:stretch>
                  </pic:blipFill>
                  <pic:spPr bwMode="auto">
                    <a:xfrm>
                      <a:off x="0" y="0"/>
                      <a:ext cx="1926590" cy="635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-2523490</wp:posOffset>
            </wp:positionV>
            <wp:extent cx="1926590" cy="63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0">
                      <a:extLst>
                        <a:ext uri="{28A0092B-C50C-407E-A947-70E740481C1C}"/>
                      </a:extLst>
                    </a:blip>
                    <a:srcRect/>
                    <a:stretch>
                      <a:fillRect/>
                    </a:stretch>
                  </pic:blipFill>
                  <pic:spPr bwMode="auto">
                    <a:xfrm>
                      <a:off x="0" y="0"/>
                      <a:ext cx="1926590" cy="635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-2317750</wp:posOffset>
            </wp:positionV>
            <wp:extent cx="1926590" cy="2857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1">
                      <a:extLst>
                        <a:ext uri="{28A0092B-C50C-407E-A947-70E740481C1C}"/>
                      </a:extLst>
                    </a:blip>
                    <a:srcRect/>
                    <a:stretch>
                      <a:fillRect/>
                    </a:stretch>
                  </pic:blipFill>
                  <pic:spPr bwMode="auto">
                    <a:xfrm>
                      <a:off x="0" y="0"/>
                      <a:ext cx="1926590" cy="28575"/>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-1238250</wp:posOffset>
            </wp:positionV>
            <wp:extent cx="2490470" cy="63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2">
                      <a:extLst>
                        <a:ext uri="{28A0092B-C50C-407E-A947-70E740481C1C}"/>
                      </a:extLst>
                    </a:blip>
                    <a:srcRect/>
                    <a:stretch>
                      <a:fillRect/>
                    </a:stretch>
                  </pic:blipFill>
                  <pic:spPr bwMode="auto">
                    <a:xfrm>
                      <a:off x="0" y="0"/>
                      <a:ext cx="2490470" cy="6350"/>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-1038860</wp:posOffset>
            </wp:positionV>
            <wp:extent cx="2490470" cy="63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3">
                      <a:extLst>
                        <a:ext uri="{28A0092B-C50C-407E-A947-70E740481C1C}"/>
                      </a:extLst>
                    </a:blip>
                    <a:srcRect/>
                    <a:stretch>
                      <a:fillRect/>
                    </a:stretch>
                  </pic:blipFill>
                  <pic:spPr bwMode="auto">
                    <a:xfrm>
                      <a:off x="0" y="0"/>
                      <a:ext cx="2490470" cy="6350"/>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-233680</wp:posOffset>
            </wp:positionV>
            <wp:extent cx="2490470" cy="63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4">
                      <a:extLst>
                        <a:ext uri="{28A0092B-C50C-407E-A947-70E740481C1C}"/>
                      </a:extLst>
                    </a:blip>
                    <a:srcRect/>
                    <a:stretch>
                      <a:fillRect/>
                    </a:stretch>
                  </pic:blipFill>
                  <pic:spPr bwMode="auto">
                    <a:xfrm>
                      <a:off x="0" y="0"/>
                      <a:ext cx="2490470" cy="6350"/>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-27940</wp:posOffset>
            </wp:positionV>
            <wp:extent cx="2490470" cy="2857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5">
                      <a:extLst>
                        <a:ext uri="{28A0092B-C50C-407E-A947-70E740481C1C}"/>
                      </a:extLst>
                    </a:blip>
                    <a:srcRect/>
                    <a:stretch>
                      <a:fillRect/>
                    </a:stretch>
                  </pic:blipFill>
                  <pic:spPr bwMode="auto">
                    <a:xfrm>
                      <a:off x="0" y="0"/>
                      <a:ext cx="2490470"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203200</wp:posOffset>
            </wp:positionV>
            <wp:extent cx="795655" cy="63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6">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(i) Includes the offsetting effects of the Company's foreign currency hedging program. See Note 10 — Derivative Financial Instruments.</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 Accumulated Other Comprehensive Loss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other comprehensive (loss)/income are as follows:</w:t>
      </w:r>
    </w:p>
    <w:p>
      <w:pPr>
        <w:spacing w:after="0" w:line="223" w:lineRule="exact"/>
        <w:rPr>
          <w:sz w:val="20"/>
          <w:szCs w:val="20"/>
          <w:color w:val="auto"/>
        </w:rPr>
      </w:pPr>
    </w:p>
    <w:tbl>
      <w:tblPr>
        <w:tblLayout w:type="fixed"/>
        <w:tblInd w:w="2900" w:type="dxa"/>
        <w:tblCellMar>
          <w:top w:w="0" w:type="dxa"/>
          <w:left w:w="0" w:type="dxa"/>
          <w:bottom w:w="0" w:type="dxa"/>
          <w:right w:w="0" w:type="dxa"/>
        </w:tblCellMar>
      </w:tblPr>
      <w:tr>
        <w:trPr>
          <w:trHeight w:val="184"/>
        </w:trPr>
        <w:tc>
          <w:tcPr>
            <w:tcW w:w="210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8"/>
              </w:rPr>
              <w:t>December 31, 2025</w:t>
            </w:r>
          </w:p>
        </w:tc>
        <w:tc>
          <w:tcPr>
            <w:tcW w:w="21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 2024</w:t>
            </w:r>
          </w:p>
        </w:tc>
        <w:tc>
          <w:tcPr>
            <w:tcW w:w="2100" w:type="dxa"/>
            <w:vAlign w:val="bottom"/>
            <w:gridSpan w:val="3"/>
          </w:tcPr>
          <w:p>
            <w:pPr>
              <w:jc w:val="center"/>
              <w:ind w:left="40"/>
              <w:spacing w:after="0"/>
              <w:rPr>
                <w:sz w:val="20"/>
                <w:szCs w:val="20"/>
                <w:color w:val="auto"/>
              </w:rPr>
            </w:pPr>
            <w:r>
              <w:rPr>
                <w:rFonts w:ascii="Arial" w:cs="Arial" w:eastAsia="Arial" w:hAnsi="Arial"/>
                <w:sz w:val="16"/>
                <w:szCs w:val="16"/>
                <w:b w:val="1"/>
                <w:bCs w:val="1"/>
                <w:color w:val="auto"/>
                <w:w w:val="90"/>
              </w:rPr>
              <w:t>December 31, 2023</w:t>
            </w:r>
          </w:p>
        </w:tc>
      </w:tr>
      <w:tr>
        <w:trPr>
          <w:trHeight w:val="250"/>
        </w:trPr>
        <w:tc>
          <w:tcPr>
            <w:tcW w:w="700" w:type="dxa"/>
            <w:vAlign w:val="bottom"/>
          </w:tcPr>
          <w:p>
            <w:pPr>
              <w:jc w:val="center"/>
              <w:ind w:right="120"/>
              <w:spacing w:after="0"/>
              <w:rPr>
                <w:sz w:val="20"/>
                <w:szCs w:val="20"/>
                <w:color w:val="auto"/>
              </w:rPr>
            </w:pPr>
            <w:r>
              <w:rPr>
                <w:rFonts w:ascii="Arial" w:cs="Arial" w:eastAsia="Arial" w:hAnsi="Arial"/>
                <w:sz w:val="16"/>
                <w:szCs w:val="16"/>
                <w:b w:val="1"/>
                <w:bCs w:val="1"/>
                <w:color w:val="auto"/>
                <w:w w:val="90"/>
              </w:rPr>
              <w:t>Before</w:t>
            </w:r>
          </w:p>
        </w:tc>
        <w:tc>
          <w:tcPr>
            <w:tcW w:w="6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2"/>
              </w:rPr>
              <w:t>Net of</w:t>
            </w:r>
          </w:p>
        </w:tc>
        <w:tc>
          <w:tcPr>
            <w:tcW w:w="800" w:type="dxa"/>
            <w:vAlign w:val="bottom"/>
          </w:tcPr>
          <w:p>
            <w:pPr>
              <w:jc w:val="center"/>
              <w:ind w:right="20"/>
              <w:spacing w:after="0"/>
              <w:rPr>
                <w:sz w:val="20"/>
                <w:szCs w:val="20"/>
                <w:color w:val="auto"/>
              </w:rPr>
            </w:pPr>
            <w:r>
              <w:rPr>
                <w:rFonts w:ascii="Arial" w:cs="Arial" w:eastAsia="Arial" w:hAnsi="Arial"/>
                <w:sz w:val="16"/>
                <w:szCs w:val="16"/>
                <w:b w:val="1"/>
                <w:bCs w:val="1"/>
                <w:color w:val="auto"/>
                <w:w w:val="90"/>
              </w:rPr>
              <w:t>Before</w:t>
            </w:r>
          </w:p>
        </w:tc>
        <w:tc>
          <w:tcPr>
            <w:tcW w:w="6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8"/>
              </w:rPr>
              <w:t>Net of</w:t>
            </w:r>
          </w:p>
        </w:tc>
        <w:tc>
          <w:tcPr>
            <w:tcW w:w="800" w:type="dxa"/>
            <w:vAlign w:val="bottom"/>
          </w:tcPr>
          <w:p>
            <w:pPr>
              <w:jc w:val="center"/>
              <w:ind w:right="20"/>
              <w:spacing w:after="0"/>
              <w:rPr>
                <w:sz w:val="20"/>
                <w:szCs w:val="20"/>
                <w:color w:val="auto"/>
              </w:rPr>
            </w:pPr>
            <w:r>
              <w:rPr>
                <w:rFonts w:ascii="Arial" w:cs="Arial" w:eastAsia="Arial" w:hAnsi="Arial"/>
                <w:sz w:val="16"/>
                <w:szCs w:val="16"/>
                <w:b w:val="1"/>
                <w:bCs w:val="1"/>
                <w:color w:val="auto"/>
                <w:w w:val="90"/>
              </w:rPr>
              <w:t>Before</w:t>
            </w:r>
          </w:p>
        </w:tc>
        <w:tc>
          <w:tcPr>
            <w:tcW w:w="600" w:type="dxa"/>
            <w:vAlign w:val="bottom"/>
          </w:tcPr>
          <w:p>
            <w:pPr>
              <w:spacing w:after="0"/>
              <w:rPr>
                <w:sz w:val="21"/>
                <w:szCs w:val="21"/>
                <w:color w:val="auto"/>
              </w:rPr>
            </w:pPr>
          </w:p>
        </w:tc>
        <w:tc>
          <w:tcPr>
            <w:tcW w:w="700" w:type="dxa"/>
            <w:vAlign w:val="bottom"/>
          </w:tcPr>
          <w:p>
            <w:pPr>
              <w:jc w:val="center"/>
              <w:ind w:left="40"/>
              <w:spacing w:after="0"/>
              <w:rPr>
                <w:sz w:val="20"/>
                <w:szCs w:val="20"/>
                <w:color w:val="auto"/>
              </w:rPr>
            </w:pPr>
            <w:r>
              <w:rPr>
                <w:rFonts w:ascii="Arial" w:cs="Arial" w:eastAsia="Arial" w:hAnsi="Arial"/>
                <w:sz w:val="16"/>
                <w:szCs w:val="16"/>
                <w:b w:val="1"/>
                <w:bCs w:val="1"/>
                <w:color w:val="auto"/>
                <w:w w:val="92"/>
              </w:rPr>
              <w:t>Net of</w:t>
            </w:r>
          </w:p>
        </w:tc>
      </w:tr>
      <w:tr>
        <w:trPr>
          <w:trHeight w:val="240"/>
        </w:trPr>
        <w:tc>
          <w:tcPr>
            <w:tcW w:w="700" w:type="dxa"/>
            <w:vAlign w:val="bottom"/>
          </w:tcPr>
          <w:p>
            <w:pPr>
              <w:jc w:val="center"/>
              <w:ind w:right="120"/>
              <w:spacing w:after="0"/>
              <w:rPr>
                <w:sz w:val="20"/>
                <w:szCs w:val="20"/>
                <w:color w:val="auto"/>
              </w:rPr>
            </w:pPr>
            <w:r>
              <w:rPr>
                <w:rFonts w:ascii="Arial" w:cs="Arial" w:eastAsia="Arial" w:hAnsi="Arial"/>
                <w:sz w:val="16"/>
                <w:szCs w:val="16"/>
                <w:b w:val="1"/>
                <w:bCs w:val="1"/>
                <w:color w:val="auto"/>
                <w:w w:val="94"/>
              </w:rPr>
              <w:t>tax</w:t>
            </w:r>
          </w:p>
        </w:tc>
        <w:tc>
          <w:tcPr>
            <w:tcW w:w="6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94"/>
              </w:rPr>
              <w:t>tax</w:t>
            </w:r>
          </w:p>
        </w:tc>
        <w:tc>
          <w:tcPr>
            <w:tcW w:w="800" w:type="dxa"/>
            <w:vAlign w:val="bottom"/>
          </w:tcPr>
          <w:p>
            <w:pPr>
              <w:jc w:val="center"/>
              <w:ind w:right="20"/>
              <w:spacing w:after="0"/>
              <w:rPr>
                <w:sz w:val="20"/>
                <w:szCs w:val="20"/>
                <w:color w:val="auto"/>
              </w:rPr>
            </w:pPr>
            <w:r>
              <w:rPr>
                <w:rFonts w:ascii="Arial" w:cs="Arial" w:eastAsia="Arial" w:hAnsi="Arial"/>
                <w:sz w:val="16"/>
                <w:szCs w:val="16"/>
                <w:b w:val="1"/>
                <w:bCs w:val="1"/>
                <w:color w:val="auto"/>
                <w:w w:val="94"/>
              </w:rPr>
              <w:t>tax</w:t>
            </w:r>
          </w:p>
        </w:tc>
        <w:tc>
          <w:tcPr>
            <w:tcW w:w="6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6"/>
              </w:rPr>
              <w:t>tax</w:t>
            </w:r>
          </w:p>
        </w:tc>
        <w:tc>
          <w:tcPr>
            <w:tcW w:w="800" w:type="dxa"/>
            <w:vAlign w:val="bottom"/>
          </w:tcPr>
          <w:p>
            <w:pPr>
              <w:jc w:val="center"/>
              <w:ind w:right="20"/>
              <w:spacing w:after="0"/>
              <w:rPr>
                <w:sz w:val="20"/>
                <w:szCs w:val="20"/>
                <w:color w:val="auto"/>
              </w:rPr>
            </w:pPr>
            <w:r>
              <w:rPr>
                <w:rFonts w:ascii="Arial" w:cs="Arial" w:eastAsia="Arial" w:hAnsi="Arial"/>
                <w:sz w:val="16"/>
                <w:szCs w:val="16"/>
                <w:b w:val="1"/>
                <w:bCs w:val="1"/>
                <w:color w:val="auto"/>
                <w:w w:val="94"/>
              </w:rPr>
              <w:t>tax</w:t>
            </w:r>
          </w:p>
        </w:tc>
        <w:tc>
          <w:tcPr>
            <w:tcW w:w="600" w:type="dxa"/>
            <w:vAlign w:val="bottom"/>
          </w:tcPr>
          <w:p>
            <w:pPr>
              <w:spacing w:after="0"/>
              <w:rPr>
                <w:sz w:val="20"/>
                <w:szCs w:val="20"/>
                <w:color w:val="auto"/>
              </w:rPr>
            </w:pPr>
          </w:p>
        </w:tc>
        <w:tc>
          <w:tcPr>
            <w:tcW w:w="700" w:type="dxa"/>
            <w:vAlign w:val="bottom"/>
          </w:tcPr>
          <w:p>
            <w:pPr>
              <w:jc w:val="center"/>
              <w:ind w:left="40"/>
              <w:spacing w:after="0"/>
              <w:rPr>
                <w:sz w:val="20"/>
                <w:szCs w:val="20"/>
                <w:color w:val="auto"/>
              </w:rPr>
            </w:pPr>
            <w:r>
              <w:rPr>
                <w:rFonts w:ascii="Arial" w:cs="Arial" w:eastAsia="Arial" w:hAnsi="Arial"/>
                <w:sz w:val="16"/>
                <w:szCs w:val="16"/>
                <w:b w:val="1"/>
                <w:bCs w:val="1"/>
                <w:color w:val="auto"/>
                <w:w w:val="94"/>
              </w:rPr>
              <w:t>tax</w:t>
            </w:r>
          </w:p>
        </w:tc>
      </w:tr>
      <w:tr>
        <w:trPr>
          <w:trHeight w:val="240"/>
        </w:trPr>
        <w:tc>
          <w:tcPr>
            <w:tcW w:w="700" w:type="dxa"/>
            <w:vAlign w:val="bottom"/>
          </w:tcPr>
          <w:p>
            <w:pPr>
              <w:jc w:val="center"/>
              <w:ind w:right="80"/>
              <w:spacing w:after="0"/>
              <w:rPr>
                <w:sz w:val="20"/>
                <w:szCs w:val="20"/>
                <w:color w:val="auto"/>
              </w:rPr>
            </w:pPr>
            <w:r>
              <w:rPr>
                <w:rFonts w:ascii="Arial" w:cs="Arial" w:eastAsia="Arial" w:hAnsi="Arial"/>
                <w:sz w:val="16"/>
                <w:szCs w:val="16"/>
                <w:b w:val="1"/>
                <w:bCs w:val="1"/>
                <w:color w:val="auto"/>
                <w:w w:val="93"/>
              </w:rPr>
              <w:t>amount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4"/>
              </w:rPr>
              <w:t>Tax</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9"/>
              </w:rPr>
              <w:t>amount</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9"/>
              </w:rPr>
              <w:t>amount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4"/>
              </w:rPr>
              <w:t>Tax</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9"/>
              </w:rPr>
              <w:t>amount</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9"/>
              </w:rPr>
              <w:t>amount</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rPr>
              <w:t>Tax</w:t>
            </w:r>
          </w:p>
        </w:tc>
        <w:tc>
          <w:tcPr>
            <w:tcW w:w="700" w:type="dxa"/>
            <w:vAlign w:val="bottom"/>
          </w:tcPr>
          <w:p>
            <w:pPr>
              <w:jc w:val="center"/>
              <w:ind w:left="100"/>
              <w:spacing w:after="0"/>
              <w:rPr>
                <w:sz w:val="20"/>
                <w:szCs w:val="20"/>
                <w:color w:val="auto"/>
              </w:rPr>
            </w:pPr>
            <w:r>
              <w:rPr>
                <w:rFonts w:ascii="Arial" w:cs="Arial" w:eastAsia="Arial" w:hAnsi="Arial"/>
                <w:sz w:val="16"/>
                <w:szCs w:val="16"/>
                <w:b w:val="1"/>
                <w:bCs w:val="1"/>
                <w:color w:val="auto"/>
                <w:w w:val="89"/>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-442595</wp:posOffset>
            </wp:positionV>
            <wp:extent cx="5967730" cy="660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7">
                      <a:extLst>
                        <a:ext uri="{28A0092B-C50C-407E-A947-70E740481C1C}"/>
                      </a:extLst>
                    </a:blip>
                    <a:srcRect/>
                    <a:stretch>
                      <a:fillRect/>
                    </a:stretch>
                  </pic:blipFill>
                  <pic:spPr bwMode="auto">
                    <a:xfrm>
                      <a:off x="0" y="0"/>
                      <a:ext cx="5967730" cy="66040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income/(loss):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78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40"/>
              <w:spacing w:after="0"/>
              <w:rPr>
                <w:sz w:val="20"/>
                <w:szCs w:val="20"/>
                <w:color w:val="auto"/>
              </w:rPr>
            </w:pPr>
            <w:r>
              <w:rPr>
                <w:rFonts w:ascii="Arial" w:cs="Arial" w:eastAsia="Arial" w:hAnsi="Arial"/>
                <w:sz w:val="20"/>
                <w:szCs w:val="20"/>
                <w:color w:val="auto"/>
              </w:rPr>
              <w:t>412</w:t>
            </w:r>
          </w:p>
        </w:tc>
        <w:tc>
          <w:tcPr>
            <w:tcW w:w="2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4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ind w:right="40"/>
              <w:spacing w:after="0"/>
              <w:rPr>
                <w:sz w:val="20"/>
                <w:szCs w:val="20"/>
                <w:color w:val="auto"/>
              </w:rPr>
            </w:pPr>
            <w:r>
              <w:rPr>
                <w:rFonts w:ascii="Arial" w:cs="Arial" w:eastAsia="Arial" w:hAnsi="Arial"/>
                <w:sz w:val="20"/>
                <w:szCs w:val="20"/>
                <w:color w:val="auto"/>
              </w:rPr>
              <w:t>412</w:t>
            </w:r>
          </w:p>
        </w:tc>
        <w:tc>
          <w:tcPr>
            <w:tcW w:w="720" w:type="dxa"/>
            <w:vAlign w:val="bottom"/>
          </w:tcPr>
          <w:p>
            <w:pPr>
              <w:jc w:val="right"/>
              <w:spacing w:after="0"/>
              <w:rPr>
                <w:sz w:val="20"/>
                <w:szCs w:val="20"/>
                <w:color w:val="auto"/>
              </w:rPr>
            </w:pPr>
            <w:r>
              <w:rPr>
                <w:rFonts w:ascii="Arial" w:cs="Arial" w:eastAsia="Arial" w:hAnsi="Arial"/>
                <w:sz w:val="20"/>
                <w:szCs w:val="20"/>
                <w:color w:val="auto"/>
              </w:rPr>
              <w:t>$ (204)</w:t>
            </w:r>
          </w:p>
        </w:tc>
        <w:tc>
          <w:tcPr>
            <w:tcW w:w="2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420" w:type="dxa"/>
            <w:vAlign w:val="bottom"/>
          </w:tcPr>
          <w:p>
            <w:pPr>
              <w:ind w:left="1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 (204)</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40"/>
              <w:spacing w:after="0"/>
              <w:rPr>
                <w:sz w:val="20"/>
                <w:szCs w:val="20"/>
                <w:color w:val="auto"/>
              </w:rPr>
            </w:pPr>
            <w:r>
              <w:rPr>
                <w:rFonts w:ascii="Arial" w:cs="Arial" w:eastAsia="Arial" w:hAnsi="Arial"/>
                <w:sz w:val="20"/>
                <w:szCs w:val="20"/>
                <w:color w:val="auto"/>
              </w:rPr>
              <w:t>173</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rPr>
              <w:t>173</w:t>
            </w:r>
          </w:p>
        </w:tc>
        <w:tc>
          <w:tcPr>
            <w:tcW w:w="0" w:type="dxa"/>
            <w:vAlign w:val="bottom"/>
          </w:tcPr>
          <w:p>
            <w:pPr>
              <w:spacing w:after="0"/>
              <w:rPr>
                <w:sz w:val="1"/>
                <w:szCs w:val="1"/>
                <w:color w:val="auto"/>
              </w:rPr>
            </w:pPr>
          </w:p>
        </w:tc>
      </w:tr>
      <w:tr>
        <w:trPr>
          <w:trHeight w:val="41"/>
        </w:trPr>
        <w:tc>
          <w:tcPr>
            <w:tcW w:w="2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Defined pension and post-retirement</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benefits</w:t>
            </w:r>
          </w:p>
        </w:tc>
        <w:tc>
          <w:tcPr>
            <w:tcW w:w="2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8"/>
              </w:rPr>
              <w:t>(122)</w:t>
            </w:r>
          </w:p>
        </w:tc>
        <w:tc>
          <w:tcPr>
            <w:tcW w:w="2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31</w:t>
            </w:r>
          </w:p>
        </w:tc>
        <w:tc>
          <w:tcPr>
            <w:tcW w:w="2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(91)</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(128)</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34</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(94)</w:t>
            </w:r>
          </w:p>
        </w:tc>
        <w:tc>
          <w:tcPr>
            <w:tcW w:w="2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8"/>
              </w:rPr>
              <w:t>(546)</w:t>
            </w:r>
          </w:p>
        </w:tc>
        <w:tc>
          <w:tcPr>
            <w:tcW w:w="2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138</w:t>
            </w:r>
          </w:p>
        </w:tc>
        <w:tc>
          <w:tcPr>
            <w:tcW w:w="2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8"/>
              </w:rPr>
              <w:t>(408)</w:t>
            </w:r>
          </w:p>
        </w:tc>
        <w:tc>
          <w:tcPr>
            <w:tcW w:w="0" w:type="dxa"/>
            <w:vAlign w:val="bottom"/>
          </w:tcPr>
          <w:p>
            <w:pPr>
              <w:spacing w:after="0"/>
              <w:rPr>
                <w:sz w:val="1"/>
                <w:szCs w:val="1"/>
                <w:color w:val="auto"/>
              </w:rPr>
            </w:pPr>
          </w:p>
        </w:tc>
      </w:tr>
      <w:tr>
        <w:trPr>
          <w:trHeight w:val="259"/>
        </w:trPr>
        <w:tc>
          <w:tcPr>
            <w:tcW w:w="2780" w:type="dxa"/>
            <w:vAlign w:val="bottom"/>
          </w:tcPr>
          <w:p>
            <w:pPr>
              <w:ind w:left="20"/>
              <w:spacing w:after="0"/>
              <w:rPr>
                <w:sz w:val="20"/>
                <w:szCs w:val="20"/>
                <w:color w:val="auto"/>
              </w:rPr>
            </w:pPr>
            <w:r>
              <w:rPr>
                <w:rFonts w:ascii="Arial" w:cs="Arial" w:eastAsia="Arial" w:hAnsi="Arial"/>
                <w:sz w:val="16"/>
                <w:szCs w:val="16"/>
                <w:color w:val="auto"/>
              </w:rPr>
              <w:t>Derivative instruments</w:t>
            </w:r>
          </w:p>
        </w:tc>
        <w:tc>
          <w:tcPr>
            <w:tcW w:w="260" w:type="dxa"/>
            <w:vAlign w:val="bottom"/>
          </w:tcPr>
          <w:p>
            <w:pPr>
              <w:spacing w:after="0"/>
              <w:rPr>
                <w:sz w:val="22"/>
                <w:szCs w:val="22"/>
                <w:color w:val="auto"/>
              </w:rPr>
            </w:pPr>
          </w:p>
        </w:tc>
        <w:tc>
          <w:tcPr>
            <w:tcW w:w="540" w:type="dxa"/>
            <w:vAlign w:val="bottom"/>
          </w:tcPr>
          <w:p>
            <w:pPr>
              <w:jc w:val="right"/>
              <w:ind w:right="40"/>
              <w:spacing w:after="0"/>
              <w:rPr>
                <w:sz w:val="20"/>
                <w:szCs w:val="20"/>
                <w:color w:val="auto"/>
              </w:rPr>
            </w:pPr>
            <w:r>
              <w:rPr>
                <w:rFonts w:ascii="Arial" w:cs="Arial" w:eastAsia="Arial" w:hAnsi="Arial"/>
                <w:sz w:val="20"/>
                <w:szCs w:val="20"/>
                <w:color w:val="auto"/>
              </w:rPr>
              <w:t>4</w:t>
            </w:r>
          </w:p>
        </w:tc>
        <w:tc>
          <w:tcPr>
            <w:tcW w:w="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20"/>
                <w:szCs w:val="20"/>
                <w:color w:val="auto"/>
              </w:rPr>
              <w:t>(1)</w:t>
            </w:r>
          </w:p>
        </w:tc>
        <w:tc>
          <w:tcPr>
            <w:tcW w:w="240" w:type="dxa"/>
            <w:vAlign w:val="bottom"/>
          </w:tcPr>
          <w:p>
            <w:pPr>
              <w:spacing w:after="0"/>
              <w:rPr>
                <w:sz w:val="22"/>
                <w:szCs w:val="22"/>
                <w:color w:val="auto"/>
              </w:rPr>
            </w:pPr>
          </w:p>
        </w:tc>
        <w:tc>
          <w:tcPr>
            <w:tcW w:w="520" w:type="dxa"/>
            <w:vAlign w:val="bottom"/>
          </w:tcPr>
          <w:p>
            <w:pPr>
              <w:jc w:val="right"/>
              <w:ind w:right="40"/>
              <w:spacing w:after="0"/>
              <w:rPr>
                <w:sz w:val="20"/>
                <w:szCs w:val="20"/>
                <w:color w:val="auto"/>
              </w:rPr>
            </w:pPr>
            <w:r>
              <w:rPr>
                <w:rFonts w:ascii="Arial" w:cs="Arial" w:eastAsia="Arial" w:hAnsi="Arial"/>
                <w:sz w:val="20"/>
                <w:szCs w:val="20"/>
                <w:color w:val="auto"/>
              </w:rPr>
              <w:t>3</w:t>
            </w:r>
          </w:p>
        </w:tc>
        <w:tc>
          <w:tcPr>
            <w:tcW w:w="720" w:type="dxa"/>
            <w:vAlign w:val="bottom"/>
          </w:tcPr>
          <w:p>
            <w:pPr>
              <w:jc w:val="right"/>
              <w:spacing w:after="0"/>
              <w:rPr>
                <w:sz w:val="20"/>
                <w:szCs w:val="20"/>
                <w:color w:val="auto"/>
              </w:rPr>
            </w:pPr>
            <w:r>
              <w:rPr>
                <w:rFonts w:ascii="Arial" w:cs="Arial" w:eastAsia="Arial" w:hAnsi="Arial"/>
                <w:sz w:val="20"/>
                <w:szCs w:val="20"/>
                <w:color w:val="auto"/>
              </w:rPr>
              <w:t>(4)</w:t>
            </w:r>
          </w:p>
        </w:tc>
        <w:tc>
          <w:tcPr>
            <w:tcW w:w="280" w:type="dxa"/>
            <w:vAlign w:val="bottom"/>
          </w:tcPr>
          <w:p>
            <w:pPr>
              <w:spacing w:after="0"/>
              <w:rPr>
                <w:sz w:val="22"/>
                <w:szCs w:val="22"/>
                <w:color w:val="auto"/>
              </w:rPr>
            </w:pPr>
          </w:p>
        </w:tc>
        <w:tc>
          <w:tcPr>
            <w:tcW w:w="420" w:type="dxa"/>
            <w:vAlign w:val="bottom"/>
          </w:tcPr>
          <w:p>
            <w:pPr>
              <w:ind w:left="120"/>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22"/>
                <w:szCs w:val="22"/>
                <w:color w:val="auto"/>
              </w:rPr>
            </w:pPr>
          </w:p>
        </w:tc>
        <w:tc>
          <w:tcPr>
            <w:tcW w:w="540" w:type="dxa"/>
            <w:vAlign w:val="bottom"/>
          </w:tcPr>
          <w:p>
            <w:pPr>
              <w:jc w:val="right"/>
              <w:ind w:right="40"/>
              <w:spacing w:after="0"/>
              <w:rPr>
                <w:sz w:val="20"/>
                <w:szCs w:val="20"/>
                <w:color w:val="auto"/>
              </w:rPr>
            </w:pPr>
            <w:r>
              <w:rPr>
                <w:rFonts w:ascii="Arial" w:cs="Arial" w:eastAsia="Arial" w:hAnsi="Arial"/>
                <w:sz w:val="20"/>
                <w:szCs w:val="20"/>
                <w:color w:val="auto"/>
              </w:rPr>
              <w:t>3</w:t>
            </w: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(1)</w:t>
            </w: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51"/>
        </w:trPr>
        <w:tc>
          <w:tcPr>
            <w:tcW w:w="2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comprehensive income/(loss)</w:t>
            </w:r>
          </w:p>
        </w:tc>
        <w:tc>
          <w:tcPr>
            <w:tcW w:w="2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294</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30</w:t>
            </w:r>
          </w:p>
        </w:tc>
        <w:tc>
          <w:tcPr>
            <w:tcW w:w="24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324</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(336)</w:t>
            </w:r>
          </w:p>
        </w:tc>
        <w:tc>
          <w:tcPr>
            <w:tcW w:w="28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34</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(302)</w:t>
            </w:r>
          </w:p>
        </w:tc>
        <w:tc>
          <w:tcPr>
            <w:tcW w:w="2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8"/>
              </w:rPr>
              <w:t>(370)</w:t>
            </w:r>
          </w:p>
        </w:tc>
        <w:tc>
          <w:tcPr>
            <w:tcW w:w="2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137</w:t>
            </w:r>
          </w:p>
        </w:tc>
        <w:tc>
          <w:tcPr>
            <w:tcW w:w="2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98"/>
              </w:rPr>
              <w:t>(233)</w:t>
            </w:r>
          </w:p>
        </w:tc>
        <w:tc>
          <w:tcPr>
            <w:tcW w:w="0" w:type="dxa"/>
            <w:vAlign w:val="bottom"/>
          </w:tcPr>
          <w:p>
            <w:pPr>
              <w:spacing w:after="0"/>
              <w:rPr>
                <w:sz w:val="1"/>
                <w:szCs w:val="1"/>
                <w:color w:val="auto"/>
              </w:rPr>
            </w:pPr>
          </w:p>
        </w:tc>
      </w:tr>
      <w:tr>
        <w:trPr>
          <w:trHeight w:val="208"/>
        </w:trPr>
        <w:tc>
          <w:tcPr>
            <w:tcW w:w="2780" w:type="dxa"/>
            <w:vAlign w:val="bottom"/>
          </w:tcPr>
          <w:p>
            <w:pPr>
              <w:spacing w:after="0"/>
              <w:rPr>
                <w:sz w:val="20"/>
                <w:szCs w:val="20"/>
                <w:color w:val="auto"/>
              </w:rPr>
            </w:pPr>
            <w:r>
              <w:rPr>
                <w:rFonts w:ascii="Arial" w:cs="Arial" w:eastAsia="Arial" w:hAnsi="Arial"/>
                <w:sz w:val="16"/>
                <w:szCs w:val="16"/>
                <w:color w:val="auto"/>
              </w:rPr>
              <w:t>Less: Other comprehensive income</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780" w:type="dxa"/>
            <w:vAlign w:val="bottom"/>
          </w:tcPr>
          <w:p>
            <w:pPr>
              <w:ind w:left="160"/>
              <w:spacing w:after="0"/>
              <w:rPr>
                <w:sz w:val="20"/>
                <w:szCs w:val="20"/>
                <w:color w:val="auto"/>
              </w:rPr>
            </w:pPr>
            <w:r>
              <w:rPr>
                <w:rFonts w:ascii="Arial" w:cs="Arial" w:eastAsia="Arial" w:hAnsi="Arial"/>
                <w:sz w:val="16"/>
                <w:szCs w:val="16"/>
                <w:color w:val="auto"/>
                <w:w w:val="95"/>
              </w:rPr>
              <w:t>attributable to non-controlling interests</w:t>
            </w:r>
          </w:p>
        </w:tc>
        <w:tc>
          <w:tcPr>
            <w:tcW w:w="260" w:type="dxa"/>
            <w:vAlign w:val="bottom"/>
          </w:tcPr>
          <w:p>
            <w:pPr>
              <w:spacing w:after="0"/>
              <w:rPr>
                <w:sz w:val="20"/>
                <w:szCs w:val="20"/>
                <w:color w:val="auto"/>
              </w:rPr>
            </w:pPr>
          </w:p>
        </w:tc>
        <w:tc>
          <w:tcPr>
            <w:tcW w:w="540" w:type="dxa"/>
            <w:vAlign w:val="bottom"/>
          </w:tcPr>
          <w:p>
            <w:pPr>
              <w:jc w:val="right"/>
              <w:ind w:right="40"/>
              <w:spacing w:after="0" w:line="222" w:lineRule="exact"/>
              <w:rPr>
                <w:sz w:val="20"/>
                <w:szCs w:val="20"/>
                <w:color w:val="auto"/>
              </w:rPr>
            </w:pPr>
            <w:r>
              <w:rPr>
                <w:rFonts w:ascii="Arial" w:cs="Arial" w:eastAsia="Arial" w:hAnsi="Arial"/>
                <w:sz w:val="20"/>
                <w:szCs w:val="20"/>
                <w:color w:val="auto"/>
              </w:rPr>
              <w:t>—</w:t>
            </w:r>
          </w:p>
        </w:tc>
        <w:tc>
          <w:tcPr>
            <w:tcW w:w="260" w:type="dxa"/>
            <w:vAlign w:val="bottom"/>
          </w:tcPr>
          <w:p>
            <w:pPr>
              <w:spacing w:after="0"/>
              <w:rPr>
                <w:sz w:val="20"/>
                <w:szCs w:val="20"/>
                <w:color w:val="auto"/>
              </w:rPr>
            </w:pPr>
          </w:p>
        </w:tc>
        <w:tc>
          <w:tcPr>
            <w:tcW w:w="440" w:type="dxa"/>
            <w:vAlign w:val="bottom"/>
          </w:tcPr>
          <w:p>
            <w:pPr>
              <w:jc w:val="right"/>
              <w:ind w:right="20"/>
              <w:spacing w:after="0" w:line="222" w:lineRule="exact"/>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520" w:type="dxa"/>
            <w:vAlign w:val="bottom"/>
          </w:tcPr>
          <w:p>
            <w:pPr>
              <w:jc w:val="right"/>
              <w:ind w:right="40"/>
              <w:spacing w:after="0" w:line="222" w:lineRule="exact"/>
              <w:rPr>
                <w:sz w:val="20"/>
                <w:szCs w:val="20"/>
                <w:color w:val="auto"/>
              </w:rPr>
            </w:pPr>
            <w:r>
              <w:rPr>
                <w:rFonts w:ascii="Arial" w:cs="Arial" w:eastAsia="Arial" w:hAnsi="Arial"/>
                <w:sz w:val="20"/>
                <w:szCs w:val="20"/>
                <w:color w:val="auto"/>
              </w:rPr>
              <w:t>—</w:t>
            </w:r>
          </w:p>
        </w:tc>
        <w:tc>
          <w:tcPr>
            <w:tcW w:w="720" w:type="dxa"/>
            <w:vAlign w:val="bottom"/>
          </w:tcPr>
          <w:p>
            <w:pPr>
              <w:jc w:val="right"/>
              <w:ind w:right="20"/>
              <w:spacing w:after="0" w:line="222" w:lineRule="exact"/>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420" w:type="dxa"/>
            <w:vAlign w:val="bottom"/>
          </w:tcPr>
          <w:p>
            <w:pPr>
              <w:ind w:left="120"/>
              <w:spacing w:after="0" w:line="222" w:lineRule="exact"/>
              <w:rPr>
                <w:sz w:val="20"/>
                <w:szCs w:val="20"/>
                <w:color w:val="auto"/>
              </w:rPr>
            </w:pPr>
            <w:r>
              <w:rPr>
                <w:rFonts w:ascii="Arial" w:cs="Arial" w:eastAsia="Arial" w:hAnsi="Arial"/>
                <w:sz w:val="20"/>
                <w:szCs w:val="20"/>
                <w:color w:val="auto"/>
              </w:rPr>
              <w:t>—</w:t>
            </w:r>
          </w:p>
        </w:tc>
        <w:tc>
          <w:tcPr>
            <w:tcW w:w="760" w:type="dxa"/>
            <w:vAlign w:val="bottom"/>
          </w:tcPr>
          <w:p>
            <w:pPr>
              <w:jc w:val="right"/>
              <w:ind w:right="20"/>
              <w:spacing w:after="0" w:line="222"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540" w:type="dxa"/>
            <w:vAlign w:val="bottom"/>
          </w:tcPr>
          <w:p>
            <w:pPr>
              <w:jc w:val="right"/>
              <w:spacing w:after="0" w:line="222" w:lineRule="exact"/>
              <w:rPr>
                <w:sz w:val="20"/>
                <w:szCs w:val="20"/>
                <w:color w:val="auto"/>
              </w:rPr>
            </w:pPr>
            <w:r>
              <w:rPr>
                <w:rFonts w:ascii="Arial" w:cs="Arial" w:eastAsia="Arial" w:hAnsi="Arial"/>
                <w:sz w:val="20"/>
                <w:szCs w:val="20"/>
                <w:color w:val="auto"/>
              </w:rPr>
              <w:t>(2)</w:t>
            </w:r>
          </w:p>
        </w:tc>
        <w:tc>
          <w:tcPr>
            <w:tcW w:w="220" w:type="dxa"/>
            <w:vAlign w:val="bottom"/>
          </w:tcPr>
          <w:p>
            <w:pPr>
              <w:spacing w:after="0"/>
              <w:rPr>
                <w:sz w:val="20"/>
                <w:szCs w:val="20"/>
                <w:color w:val="auto"/>
              </w:rPr>
            </w:pPr>
          </w:p>
        </w:tc>
        <w:tc>
          <w:tcPr>
            <w:tcW w:w="500" w:type="dxa"/>
            <w:vAlign w:val="bottom"/>
          </w:tcPr>
          <w:p>
            <w:pPr>
              <w:jc w:val="right"/>
              <w:ind w:right="40"/>
              <w:spacing w:after="0" w:line="222" w:lineRule="exact"/>
              <w:rPr>
                <w:sz w:val="20"/>
                <w:szCs w:val="20"/>
                <w:color w:val="auto"/>
              </w:rPr>
            </w:pPr>
            <w:r>
              <w:rPr>
                <w:rFonts w:ascii="Arial" w:cs="Arial" w:eastAsia="Arial" w:hAnsi="Arial"/>
                <w:sz w:val="20"/>
                <w:szCs w:val="20"/>
                <w:color w:val="auto"/>
              </w:rPr>
              <w:t>—</w:t>
            </w:r>
          </w:p>
        </w:tc>
        <w:tc>
          <w:tcPr>
            <w:tcW w:w="200" w:type="dxa"/>
            <w:vAlign w:val="bottom"/>
          </w:tcPr>
          <w:p>
            <w:pPr>
              <w:spacing w:after="0"/>
              <w:rPr>
                <w:sz w:val="20"/>
                <w:szCs w:val="20"/>
                <w:color w:val="auto"/>
              </w:rPr>
            </w:pPr>
          </w:p>
        </w:tc>
        <w:tc>
          <w:tcPr>
            <w:tcW w:w="520" w:type="dxa"/>
            <w:vAlign w:val="bottom"/>
          </w:tcPr>
          <w:p>
            <w:pPr>
              <w:jc w:val="right"/>
              <w:spacing w:after="0" w:line="222"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32"/>
        </w:trPr>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income/(loss)</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attributable</w:t>
            </w: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vMerge w:val="restart"/>
            <w:shd w:val="clear" w:color="auto" w:fill="CFF0FC"/>
          </w:tcPr>
          <w:p>
            <w:pPr>
              <w:jc w:val="right"/>
              <w:ind w:right="40"/>
              <w:spacing w:after="0"/>
              <w:rPr>
                <w:sz w:val="20"/>
                <w:szCs w:val="20"/>
                <w:color w:val="auto"/>
              </w:rPr>
            </w:pPr>
            <w:r>
              <w:rPr>
                <w:rFonts w:ascii="Arial" w:cs="Arial" w:eastAsia="Arial" w:hAnsi="Arial"/>
                <w:sz w:val="20"/>
                <w:szCs w:val="20"/>
                <w:color w:val="auto"/>
              </w:rPr>
              <w:t>294</w:t>
            </w:r>
          </w:p>
        </w:tc>
        <w:tc>
          <w:tcPr>
            <w:tcW w:w="260" w:type="dxa"/>
            <w:vAlign w:val="bottom"/>
            <w:vMerge w:val="restart"/>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440" w:type="dxa"/>
            <w:vAlign w:val="bottom"/>
            <w:vMerge w:val="restart"/>
            <w:shd w:val="clear" w:color="auto" w:fill="CFF0FC"/>
          </w:tcPr>
          <w:p>
            <w:pPr>
              <w:jc w:val="right"/>
              <w:ind w:right="20"/>
              <w:spacing w:after="0"/>
              <w:rPr>
                <w:sz w:val="20"/>
                <w:szCs w:val="20"/>
                <w:color w:val="auto"/>
              </w:rPr>
            </w:pPr>
            <w:r>
              <w:rPr>
                <w:rFonts w:ascii="Arial" w:cs="Arial" w:eastAsia="Arial" w:hAnsi="Arial"/>
                <w:sz w:val="20"/>
                <w:szCs w:val="20"/>
                <w:color w:val="auto"/>
              </w:rPr>
              <w:t>30</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vMerge w:val="restart"/>
            <w:shd w:val="clear" w:color="auto" w:fill="CFF0FC"/>
          </w:tcPr>
          <w:p>
            <w:pPr>
              <w:jc w:val="right"/>
              <w:ind w:right="40"/>
              <w:spacing w:after="0"/>
              <w:rPr>
                <w:sz w:val="20"/>
                <w:szCs w:val="20"/>
                <w:color w:val="auto"/>
              </w:rPr>
            </w:pPr>
            <w:r>
              <w:rPr>
                <w:rFonts w:ascii="Arial" w:cs="Arial" w:eastAsia="Arial" w:hAnsi="Arial"/>
                <w:sz w:val="20"/>
                <w:szCs w:val="20"/>
                <w:color w:val="auto"/>
              </w:rPr>
              <w:t>324</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 (336)</w:t>
            </w:r>
          </w:p>
        </w:tc>
        <w:tc>
          <w:tcPr>
            <w:tcW w:w="280" w:type="dxa"/>
            <w:vAlign w:val="bottom"/>
            <w:vMerge w:val="restart"/>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420" w:type="dxa"/>
            <w:vAlign w:val="bottom"/>
            <w:vMerge w:val="restart"/>
            <w:shd w:val="clear" w:color="auto" w:fill="CFF0FC"/>
          </w:tcPr>
          <w:p>
            <w:pPr>
              <w:ind w:left="120"/>
              <w:spacing w:after="0"/>
              <w:rPr>
                <w:sz w:val="20"/>
                <w:szCs w:val="20"/>
                <w:color w:val="auto"/>
              </w:rPr>
            </w:pPr>
            <w:r>
              <w:rPr>
                <w:rFonts w:ascii="Arial" w:cs="Arial" w:eastAsia="Arial" w:hAnsi="Arial"/>
                <w:sz w:val="20"/>
                <w:szCs w:val="20"/>
                <w:color w:val="auto"/>
              </w:rPr>
              <w:t>34</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 (302)</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w w:val="98"/>
              </w:rPr>
              <w:t>(372)</w:t>
            </w: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00" w:type="dxa"/>
            <w:vAlign w:val="bottom"/>
            <w:vMerge w:val="restart"/>
            <w:shd w:val="clear" w:color="auto" w:fill="CFF0FC"/>
          </w:tcPr>
          <w:p>
            <w:pPr>
              <w:jc w:val="right"/>
              <w:ind w:right="40"/>
              <w:spacing w:after="0"/>
              <w:rPr>
                <w:sz w:val="20"/>
                <w:szCs w:val="20"/>
                <w:color w:val="auto"/>
              </w:rPr>
            </w:pPr>
            <w:r>
              <w:rPr>
                <w:rFonts w:ascii="Arial" w:cs="Arial" w:eastAsia="Arial" w:hAnsi="Arial"/>
                <w:sz w:val="20"/>
                <w:szCs w:val="20"/>
                <w:color w:val="auto"/>
              </w:rPr>
              <w:t>137</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20"/>
                <w:szCs w:val="20"/>
                <w:color w:val="auto"/>
                <w:w w:val="98"/>
              </w:rPr>
              <w:t>(235)</w:t>
            </w:r>
          </w:p>
        </w:tc>
        <w:tc>
          <w:tcPr>
            <w:tcW w:w="0" w:type="dxa"/>
            <w:vAlign w:val="bottom"/>
          </w:tcPr>
          <w:p>
            <w:pPr>
              <w:spacing w:after="0"/>
              <w:rPr>
                <w:sz w:val="1"/>
                <w:szCs w:val="1"/>
                <w:color w:val="auto"/>
              </w:rPr>
            </w:pPr>
          </w:p>
        </w:tc>
      </w:tr>
      <w:tr>
        <w:trPr>
          <w:trHeight w:val="186"/>
        </w:trPr>
        <w:tc>
          <w:tcPr>
            <w:tcW w:w="2780" w:type="dxa"/>
            <w:vAlign w:val="bottom"/>
            <w:vMerge w:val="restart"/>
            <w:shd w:val="clear" w:color="auto" w:fill="CFF0FC"/>
          </w:tcPr>
          <w:p>
            <w:pPr>
              <w:ind w:left="120"/>
              <w:spacing w:after="0"/>
              <w:rPr>
                <w:sz w:val="20"/>
                <w:szCs w:val="20"/>
                <w:color w:val="auto"/>
              </w:rPr>
            </w:pPr>
            <w:r>
              <w:rPr>
                <w:rFonts w:ascii="Arial" w:cs="Arial" w:eastAsia="Arial" w:hAnsi="Arial"/>
                <w:sz w:val="16"/>
                <w:szCs w:val="16"/>
                <w:color w:val="auto"/>
              </w:rPr>
              <w:t>to WTW</w:t>
            </w:r>
          </w:p>
        </w:tc>
        <w:tc>
          <w:tcPr>
            <w:tcW w:w="26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60" w:type="dxa"/>
            <w:vAlign w:val="bottom"/>
            <w:vMerge w:val="continue"/>
            <w:shd w:val="clear" w:color="auto" w:fill="CFF0FC"/>
          </w:tcPr>
          <w:p>
            <w:pPr>
              <w:spacing w:after="0"/>
              <w:rPr>
                <w:sz w:val="16"/>
                <w:szCs w:val="16"/>
                <w:color w:val="auto"/>
              </w:rPr>
            </w:pPr>
          </w:p>
        </w:tc>
        <w:tc>
          <w:tcPr>
            <w:tcW w:w="440" w:type="dxa"/>
            <w:vAlign w:val="bottom"/>
            <w:vMerge w:val="continue"/>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420" w:type="dxa"/>
            <w:vAlign w:val="bottom"/>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500" w:type="dxa"/>
            <w:vAlign w:val="bottom"/>
            <w:vMerge w:val="continue"/>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780" w:type="dxa"/>
            <w:vAlign w:val="bottom"/>
            <w:vMerge w:val="continue"/>
            <w:shd w:val="clear" w:color="auto" w:fill="CFF0FC"/>
          </w:tcPr>
          <w:p>
            <w:pPr>
              <w:spacing w:after="0"/>
              <w:rPr>
                <w:sz w:val="4"/>
                <w:szCs w:val="4"/>
                <w:color w:val="auto"/>
              </w:rPr>
            </w:pPr>
          </w:p>
        </w:tc>
        <w:tc>
          <w:tcPr>
            <w:tcW w:w="260" w:type="dxa"/>
            <w:vAlign w:val="bottom"/>
            <w:shd w:val="clear" w:color="auto" w:fill="CFF0FC"/>
          </w:tcPr>
          <w:p>
            <w:pPr>
              <w:spacing w:after="0"/>
              <w:rPr>
                <w:sz w:val="4"/>
                <w:szCs w:val="4"/>
                <w:color w:val="auto"/>
              </w:rPr>
            </w:pPr>
          </w:p>
        </w:tc>
        <w:tc>
          <w:tcPr>
            <w:tcW w:w="540" w:type="dxa"/>
            <w:vAlign w:val="bottom"/>
            <w:shd w:val="clear" w:color="auto" w:fill="CFF0FC"/>
          </w:tcPr>
          <w:p>
            <w:pPr>
              <w:spacing w:after="0"/>
              <w:rPr>
                <w:sz w:val="4"/>
                <w:szCs w:val="4"/>
                <w:color w:val="auto"/>
              </w:rPr>
            </w:pPr>
          </w:p>
        </w:tc>
        <w:tc>
          <w:tcPr>
            <w:tcW w:w="260" w:type="dxa"/>
            <w:vAlign w:val="bottom"/>
            <w:shd w:val="clear" w:color="auto" w:fill="CFF0FC"/>
          </w:tcPr>
          <w:p>
            <w:pPr>
              <w:spacing w:after="0"/>
              <w:rPr>
                <w:sz w:val="4"/>
                <w:szCs w:val="4"/>
                <w:color w:val="auto"/>
              </w:rPr>
            </w:pPr>
          </w:p>
        </w:tc>
        <w:tc>
          <w:tcPr>
            <w:tcW w:w="440" w:type="dxa"/>
            <w:vAlign w:val="bottom"/>
            <w:shd w:val="clear" w:color="auto" w:fill="CFF0FC"/>
          </w:tcPr>
          <w:p>
            <w:pPr>
              <w:spacing w:after="0"/>
              <w:rPr>
                <w:sz w:val="4"/>
                <w:szCs w:val="4"/>
                <w:color w:val="auto"/>
              </w:rPr>
            </w:pPr>
          </w:p>
        </w:tc>
        <w:tc>
          <w:tcPr>
            <w:tcW w:w="240" w:type="dxa"/>
            <w:vAlign w:val="bottom"/>
            <w:shd w:val="clear" w:color="auto" w:fill="CFF0FC"/>
          </w:tcPr>
          <w:p>
            <w:pPr>
              <w:spacing w:after="0"/>
              <w:rPr>
                <w:sz w:val="4"/>
                <w:szCs w:val="4"/>
                <w:color w:val="auto"/>
              </w:rPr>
            </w:pPr>
          </w:p>
        </w:tc>
        <w:tc>
          <w:tcPr>
            <w:tcW w:w="520" w:type="dxa"/>
            <w:vAlign w:val="bottom"/>
            <w:shd w:val="clear" w:color="auto" w:fill="CFF0FC"/>
          </w:tcPr>
          <w:p>
            <w:pPr>
              <w:spacing w:after="0"/>
              <w:rPr>
                <w:sz w:val="4"/>
                <w:szCs w:val="4"/>
                <w:color w:val="auto"/>
              </w:rPr>
            </w:pPr>
          </w:p>
        </w:tc>
        <w:tc>
          <w:tcPr>
            <w:tcW w:w="720" w:type="dxa"/>
            <w:vAlign w:val="bottom"/>
            <w:shd w:val="clear" w:color="auto" w:fill="CFF0FC"/>
          </w:tcPr>
          <w:p>
            <w:pPr>
              <w:spacing w:after="0"/>
              <w:rPr>
                <w:sz w:val="4"/>
                <w:szCs w:val="4"/>
                <w:color w:val="auto"/>
              </w:rPr>
            </w:pPr>
          </w:p>
        </w:tc>
        <w:tc>
          <w:tcPr>
            <w:tcW w:w="280" w:type="dxa"/>
            <w:vAlign w:val="bottom"/>
            <w:shd w:val="clear" w:color="auto" w:fill="CFF0FC"/>
          </w:tcPr>
          <w:p>
            <w:pPr>
              <w:spacing w:after="0"/>
              <w:rPr>
                <w:sz w:val="4"/>
                <w:szCs w:val="4"/>
                <w:color w:val="auto"/>
              </w:rPr>
            </w:pPr>
          </w:p>
        </w:tc>
        <w:tc>
          <w:tcPr>
            <w:tcW w:w="420" w:type="dxa"/>
            <w:vAlign w:val="bottom"/>
            <w:shd w:val="clear" w:color="auto" w:fill="CFF0FC"/>
          </w:tcPr>
          <w:p>
            <w:pPr>
              <w:spacing w:after="0"/>
              <w:rPr>
                <w:sz w:val="4"/>
                <w:szCs w:val="4"/>
                <w:color w:val="auto"/>
              </w:rPr>
            </w:pPr>
          </w:p>
        </w:tc>
        <w:tc>
          <w:tcPr>
            <w:tcW w:w="760" w:type="dxa"/>
            <w:vAlign w:val="bottom"/>
            <w:shd w:val="clear" w:color="auto" w:fill="CFF0FC"/>
          </w:tcPr>
          <w:p>
            <w:pPr>
              <w:spacing w:after="0"/>
              <w:rPr>
                <w:sz w:val="4"/>
                <w:szCs w:val="4"/>
                <w:color w:val="auto"/>
              </w:rPr>
            </w:pPr>
          </w:p>
        </w:tc>
        <w:tc>
          <w:tcPr>
            <w:tcW w:w="200" w:type="dxa"/>
            <w:vAlign w:val="bottom"/>
            <w:shd w:val="clear" w:color="auto" w:fill="CFF0FC"/>
          </w:tcPr>
          <w:p>
            <w:pPr>
              <w:spacing w:after="0"/>
              <w:rPr>
                <w:sz w:val="4"/>
                <w:szCs w:val="4"/>
                <w:color w:val="auto"/>
              </w:rPr>
            </w:pPr>
          </w:p>
        </w:tc>
        <w:tc>
          <w:tcPr>
            <w:tcW w:w="540" w:type="dxa"/>
            <w:vAlign w:val="bottom"/>
            <w:shd w:val="clear" w:color="auto" w:fill="CFF0FC"/>
          </w:tcPr>
          <w:p>
            <w:pPr>
              <w:spacing w:after="0"/>
              <w:rPr>
                <w:sz w:val="4"/>
                <w:szCs w:val="4"/>
                <w:color w:val="auto"/>
              </w:rPr>
            </w:pPr>
          </w:p>
        </w:tc>
        <w:tc>
          <w:tcPr>
            <w:tcW w:w="220" w:type="dxa"/>
            <w:vAlign w:val="bottom"/>
            <w:shd w:val="clear" w:color="auto" w:fill="CFF0FC"/>
          </w:tcPr>
          <w:p>
            <w:pPr>
              <w:spacing w:after="0"/>
              <w:rPr>
                <w:sz w:val="4"/>
                <w:szCs w:val="4"/>
                <w:color w:val="auto"/>
              </w:rPr>
            </w:pPr>
          </w:p>
        </w:tc>
        <w:tc>
          <w:tcPr>
            <w:tcW w:w="500" w:type="dxa"/>
            <w:vAlign w:val="bottom"/>
            <w:shd w:val="clear" w:color="auto" w:fill="CFF0FC"/>
          </w:tcPr>
          <w:p>
            <w:pPr>
              <w:spacing w:after="0"/>
              <w:rPr>
                <w:sz w:val="4"/>
                <w:szCs w:val="4"/>
                <w:color w:val="auto"/>
              </w:rPr>
            </w:pPr>
          </w:p>
        </w:tc>
        <w:tc>
          <w:tcPr>
            <w:tcW w:w="200" w:type="dxa"/>
            <w:vAlign w:val="bottom"/>
            <w:shd w:val="clear" w:color="auto" w:fill="CFF0FC"/>
          </w:tcPr>
          <w:p>
            <w:pPr>
              <w:spacing w:after="0"/>
              <w:rPr>
                <w:sz w:val="4"/>
                <w:szCs w:val="4"/>
                <w:color w:val="auto"/>
              </w:rPr>
            </w:pPr>
          </w:p>
        </w:tc>
        <w:tc>
          <w:tcPr>
            <w:tcW w:w="520" w:type="dxa"/>
            <w:vAlign w:val="bottom"/>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7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-958215</wp:posOffset>
            </wp:positionV>
            <wp:extent cx="4125595" cy="63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598">
                      <a:extLst>
                        <a:ext uri="{28A0092B-C50C-407E-A947-70E740481C1C}"/>
                      </a:extLst>
                    </a:blip>
                    <a:srcRect/>
                    <a:stretch>
                      <a:fillRect/>
                    </a:stretch>
                  </pic:blipFill>
                  <pic:spPr bwMode="auto">
                    <a:xfrm>
                      <a:off x="0" y="0"/>
                      <a:ext cx="4125595" cy="635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-462915</wp:posOffset>
            </wp:positionV>
            <wp:extent cx="4125595" cy="63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599">
                      <a:extLst>
                        <a:ext uri="{28A0092B-C50C-407E-A947-70E740481C1C}"/>
                      </a:extLst>
                    </a:blip>
                    <a:srcRect/>
                    <a:stretch>
                      <a:fillRect/>
                    </a:stretch>
                  </pic:blipFill>
                  <pic:spPr bwMode="auto">
                    <a:xfrm>
                      <a:off x="0" y="0"/>
                      <a:ext cx="4125595" cy="635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-27940</wp:posOffset>
            </wp:positionV>
            <wp:extent cx="4125595" cy="2857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0">
                      <a:extLst>
                        <a:ext uri="{28A0092B-C50C-407E-A947-70E740481C1C}"/>
                      </a:extLst>
                    </a:blip>
                    <a:srcRect/>
                    <a:stretch>
                      <a:fillRect/>
                    </a:stretch>
                  </pic:blipFill>
                  <pic:spPr bwMode="auto">
                    <a:xfrm>
                      <a:off x="0" y="0"/>
                      <a:ext cx="4125595"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24</w:t>
      </w:r>
    </w:p>
    <w:p>
      <w:pPr>
        <w:sectPr>
          <w:pgSz w:w="11900" w:h="16838" w:orient="portrait"/>
          <w:cols w:equalWidth="0" w:num="1">
            <w:col w:w="9400"/>
          </w:cols>
          <w:pgMar w:left="1260" w:top="1440" w:right="1246" w:bottom="0" w:gutter="0" w:footer="0" w:header="0"/>
          <w:type w:val="continuous"/>
        </w:sectPr>
      </w:pPr>
    </w:p>
    <w:bookmarkStart w:id="251" w:name="page252"/>
    <w:bookmarkEnd w:id="251"/>
    <w:p>
      <w:pPr>
        <w:jc w:val="center"/>
        <w:ind w:right="6"/>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16 / 24</w:t>
      </w:r>
    </w:p>
    <w:p>
      <w:pPr>
        <w:sectPr>
          <w:pgSz w:w="11900" w:h="16838" w:orient="portrait"/>
          <w:cols w:equalWidth="0" w:num="1">
            <w:col w:w="9026"/>
          </w:cols>
          <w:pgMar w:left="1440" w:top="1413" w:right="1440" w:bottom="0" w:gutter="0" w:footer="0" w:header="0"/>
          <w:type w:val="continuous"/>
        </w:sectPr>
      </w:pPr>
    </w:p>
    <w:bookmarkStart w:id="252" w:name="page253"/>
    <w:bookmarkEnd w:id="252"/>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 w:right="100"/>
        <w:spacing w:after="0" w:line="307" w:lineRule="auto"/>
        <w:rPr>
          <w:sz w:val="20"/>
          <w:szCs w:val="20"/>
          <w:color w:val="auto"/>
        </w:rPr>
      </w:pPr>
      <w:r>
        <w:rPr>
          <w:rFonts w:ascii="Arial" w:cs="Arial" w:eastAsia="Arial" w:hAnsi="Arial"/>
          <w:sz w:val="20"/>
          <w:szCs w:val="20"/>
          <w:color w:val="auto"/>
        </w:rPr>
        <w:t>Changes in accumulated other comprehensive loss, net of non-controlling interests and net of tax are provided in the following table. This table excludes amounts attributable to non-controlling interests, which are not material for further disclosure.</w:t>
      </w:r>
    </w:p>
    <w:p>
      <w:pPr>
        <w:spacing w:after="0" w:line="152"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center"/>
              <w:ind w:right="187"/>
              <w:spacing w:after="0"/>
              <w:rPr>
                <w:sz w:val="20"/>
                <w:szCs w:val="20"/>
                <w:color w:val="auto"/>
              </w:rPr>
            </w:pPr>
            <w:r>
              <w:rPr>
                <w:rFonts w:ascii="Arial" w:cs="Arial" w:eastAsia="Arial" w:hAnsi="Arial"/>
                <w:sz w:val="16"/>
                <w:szCs w:val="16"/>
                <w:b w:val="1"/>
                <w:bCs w:val="1"/>
                <w:color w:val="auto"/>
                <w:w w:val="91"/>
              </w:rPr>
              <w:t>Defined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ind w:right="167"/>
              <w:spacing w:after="0"/>
              <w:rPr>
                <w:sz w:val="20"/>
                <w:szCs w:val="20"/>
                <w:color w:val="auto"/>
              </w:rPr>
            </w:pPr>
            <w:r>
              <w:rPr>
                <w:rFonts w:ascii="Arial" w:cs="Arial" w:eastAsia="Arial" w:hAnsi="Arial"/>
                <w:sz w:val="16"/>
                <w:szCs w:val="16"/>
                <w:b w:val="1"/>
                <w:bCs w:val="1"/>
                <w:color w:val="auto"/>
                <w:w w:val="84"/>
              </w:rPr>
              <w:t>pension</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ind w:right="167"/>
              <w:spacing w:after="0"/>
              <w:rPr>
                <w:sz w:val="20"/>
                <w:szCs w:val="20"/>
                <w:color w:val="auto"/>
              </w:rPr>
            </w:pPr>
            <w:r>
              <w:rPr>
                <w:rFonts w:ascii="Arial" w:cs="Arial" w:eastAsia="Arial" w:hAnsi="Arial"/>
                <w:sz w:val="16"/>
                <w:szCs w:val="16"/>
                <w:b w:val="1"/>
                <w:bCs w:val="1"/>
                <w:color w:val="auto"/>
                <w:w w:val="88"/>
              </w:rPr>
              <w:t>and post-</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center"/>
              <w:ind w:right="204"/>
              <w:spacing w:after="0"/>
              <w:rPr>
                <w:sz w:val="20"/>
                <w:szCs w:val="20"/>
                <w:color w:val="auto"/>
              </w:rPr>
            </w:pPr>
            <w:r>
              <w:rPr>
                <w:rFonts w:ascii="Arial" w:cs="Arial" w:eastAsia="Arial" w:hAnsi="Arial"/>
                <w:sz w:val="16"/>
                <w:szCs w:val="16"/>
                <w:b w:val="1"/>
                <w:bCs w:val="1"/>
                <w:color w:val="auto"/>
                <w:w w:val="91"/>
              </w:rPr>
              <w:t>Foreign</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ind w:right="167"/>
              <w:spacing w:after="0"/>
              <w:rPr>
                <w:sz w:val="20"/>
                <w:szCs w:val="20"/>
                <w:color w:val="auto"/>
              </w:rPr>
            </w:pPr>
            <w:r>
              <w:rPr>
                <w:rFonts w:ascii="Arial" w:cs="Arial" w:eastAsia="Arial" w:hAnsi="Arial"/>
                <w:sz w:val="16"/>
                <w:szCs w:val="16"/>
                <w:b w:val="1"/>
                <w:bCs w:val="1"/>
                <w:color w:val="auto"/>
                <w:w w:val="91"/>
              </w:rPr>
              <w:t>retirement</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0"/>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center"/>
              <w:ind w:right="164"/>
              <w:spacing w:after="0"/>
              <w:rPr>
                <w:sz w:val="20"/>
                <w:szCs w:val="20"/>
                <w:color w:val="auto"/>
              </w:rPr>
            </w:pPr>
            <w:r>
              <w:rPr>
                <w:rFonts w:ascii="Arial" w:cs="Arial" w:eastAsia="Arial" w:hAnsi="Arial"/>
                <w:sz w:val="16"/>
                <w:szCs w:val="16"/>
                <w:b w:val="1"/>
                <w:bCs w:val="1"/>
                <w:color w:val="auto"/>
                <w:w w:val="91"/>
              </w:rPr>
              <w:t>currency</w:t>
            </w:r>
          </w:p>
        </w:tc>
        <w:tc>
          <w:tcPr>
            <w:tcW w:w="200" w:type="dxa"/>
            <w:vAlign w:val="bottom"/>
          </w:tcPr>
          <w:p>
            <w:pPr>
              <w:spacing w:after="0"/>
              <w:rPr>
                <w:sz w:val="20"/>
                <w:szCs w:val="20"/>
                <w:color w:val="auto"/>
              </w:rPr>
            </w:pPr>
          </w:p>
        </w:tc>
        <w:tc>
          <w:tcPr>
            <w:tcW w:w="1020" w:type="dxa"/>
            <w:vAlign w:val="bottom"/>
          </w:tcPr>
          <w:p>
            <w:pPr>
              <w:jc w:val="right"/>
              <w:ind w:right="181"/>
              <w:spacing w:after="0"/>
              <w:rPr>
                <w:sz w:val="20"/>
                <w:szCs w:val="20"/>
                <w:color w:val="auto"/>
              </w:rPr>
            </w:pPr>
            <w:r>
              <w:rPr>
                <w:rFonts w:ascii="Arial" w:cs="Arial" w:eastAsia="Arial" w:hAnsi="Arial"/>
                <w:sz w:val="16"/>
                <w:szCs w:val="16"/>
                <w:b w:val="1"/>
                <w:bCs w:val="1"/>
                <w:color w:val="auto"/>
                <w:w w:val="94"/>
              </w:rPr>
              <w:t>Derivative</w:t>
            </w:r>
          </w:p>
        </w:tc>
        <w:tc>
          <w:tcPr>
            <w:tcW w:w="1180" w:type="dxa"/>
            <w:vAlign w:val="bottom"/>
            <w:gridSpan w:val="2"/>
          </w:tcPr>
          <w:p>
            <w:pPr>
              <w:jc w:val="center"/>
              <w:ind w:right="7"/>
              <w:spacing w:after="0"/>
              <w:rPr>
                <w:sz w:val="20"/>
                <w:szCs w:val="20"/>
                <w:color w:val="auto"/>
              </w:rPr>
            </w:pPr>
            <w:r>
              <w:rPr>
                <w:rFonts w:ascii="Arial" w:cs="Arial" w:eastAsia="Arial" w:hAnsi="Arial"/>
                <w:sz w:val="16"/>
                <w:szCs w:val="16"/>
                <w:b w:val="1"/>
                <w:bCs w:val="1"/>
                <w:color w:val="auto"/>
                <w:w w:val="85"/>
              </w:rPr>
              <w:t>benefit costs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82"/>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center"/>
              <w:ind w:right="164"/>
              <w:spacing w:after="0"/>
              <w:rPr>
                <w:sz w:val="20"/>
                <w:szCs w:val="20"/>
                <w:color w:val="auto"/>
              </w:rPr>
            </w:pPr>
            <w:r>
              <w:rPr>
                <w:rFonts w:ascii="Arial" w:cs="Arial" w:eastAsia="Arial" w:hAnsi="Arial"/>
                <w:sz w:val="16"/>
                <w:szCs w:val="16"/>
                <w:b w:val="1"/>
                <w:bCs w:val="1"/>
                <w:color w:val="auto"/>
                <w:w w:val="90"/>
              </w:rPr>
              <w:t>translation</w:t>
            </w:r>
          </w:p>
        </w:tc>
        <w:tc>
          <w:tcPr>
            <w:tcW w:w="1220" w:type="dxa"/>
            <w:vAlign w:val="bottom"/>
            <w:gridSpan w:val="2"/>
          </w:tcPr>
          <w:p>
            <w:pPr>
              <w:jc w:val="right"/>
              <w:ind w:right="61"/>
              <w:spacing w:after="0"/>
              <w:rPr>
                <w:sz w:val="20"/>
                <w:szCs w:val="20"/>
                <w:color w:val="auto"/>
              </w:rPr>
            </w:pPr>
            <w:r>
              <w:rPr>
                <w:rFonts w:ascii="Arial" w:cs="Arial" w:eastAsia="Arial" w:hAnsi="Arial"/>
                <w:sz w:val="16"/>
                <w:szCs w:val="16"/>
                <w:b w:val="1"/>
                <w:bCs w:val="1"/>
                <w:color w:val="auto"/>
                <w:w w:val="95"/>
              </w:rPr>
              <w:t xml:space="preserve">instruments </w:t>
            </w:r>
            <w:r>
              <w:rPr>
                <w:rFonts w:ascii="Arial" w:cs="Arial" w:eastAsia="Arial" w:hAnsi="Arial"/>
                <w:sz w:val="21"/>
                <w:szCs w:val="21"/>
                <w:b w:val="1"/>
                <w:bCs w:val="1"/>
                <w:color w:val="auto"/>
                <w:w w:val="95"/>
                <w:vertAlign w:val="superscript"/>
              </w:rPr>
              <w:t>(i)</w:t>
            </w:r>
          </w:p>
        </w:tc>
        <w:tc>
          <w:tcPr>
            <w:tcW w:w="200" w:type="dxa"/>
            <w:vAlign w:val="bottom"/>
          </w:tcPr>
          <w:p>
            <w:pPr>
              <w:spacing w:after="0"/>
              <w:rPr>
                <w:sz w:val="24"/>
                <w:szCs w:val="24"/>
                <w:color w:val="auto"/>
              </w:rPr>
            </w:pPr>
          </w:p>
        </w:tc>
        <w:tc>
          <w:tcPr>
            <w:tcW w:w="980" w:type="dxa"/>
            <w:vAlign w:val="bottom"/>
          </w:tcPr>
          <w:p>
            <w:pPr>
              <w:jc w:val="center"/>
              <w:ind w:right="147"/>
              <w:spacing w:after="0"/>
              <w:rPr>
                <w:sz w:val="20"/>
                <w:szCs w:val="20"/>
                <w:color w:val="auto"/>
              </w:rPr>
            </w:pPr>
            <w:r>
              <w:rPr>
                <w:rFonts w:ascii="Arial" w:cs="Arial" w:eastAsia="Arial" w:hAnsi="Arial"/>
                <w:sz w:val="11"/>
                <w:szCs w:val="11"/>
                <w:b w:val="1"/>
                <w:bCs w:val="1"/>
                <w:color w:val="auto"/>
              </w:rPr>
              <w:t>(ii)</w:t>
            </w:r>
          </w:p>
        </w:tc>
        <w:tc>
          <w:tcPr>
            <w:tcW w:w="280" w:type="dxa"/>
            <w:vAlign w:val="bottom"/>
          </w:tcPr>
          <w:p>
            <w:pPr>
              <w:spacing w:after="0"/>
              <w:rPr>
                <w:sz w:val="24"/>
                <w:szCs w:val="24"/>
                <w:color w:val="auto"/>
              </w:rPr>
            </w:pPr>
          </w:p>
        </w:tc>
        <w:tc>
          <w:tcPr>
            <w:tcW w:w="860" w:type="dxa"/>
            <w:vAlign w:val="bottom"/>
          </w:tcPr>
          <w:p>
            <w:pPr>
              <w:jc w:val="right"/>
              <w:ind w:right="301"/>
              <w:spacing w:after="0"/>
              <w:rPr>
                <w:sz w:val="20"/>
                <w:szCs w:val="20"/>
                <w:color w:val="auto"/>
              </w:rPr>
            </w:pPr>
            <w:r>
              <w:rPr>
                <w:rFonts w:ascii="Arial" w:cs="Arial" w:eastAsia="Arial" w:hAnsi="Arial"/>
                <w:sz w:val="16"/>
                <w:szCs w:val="16"/>
                <w:b w:val="1"/>
                <w:bCs w:val="1"/>
                <w:color w:val="auto"/>
              </w:rPr>
              <w:t>Total</w:t>
            </w:r>
          </w:p>
        </w:tc>
      </w:tr>
      <w:tr>
        <w:trPr>
          <w:trHeight w:val="280"/>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January 1, 2023</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(987)</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9</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(1,643)</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(2,621)</w:t>
            </w:r>
          </w:p>
        </w:tc>
      </w:tr>
      <w:tr>
        <w:trPr>
          <w:trHeight w:val="259"/>
        </w:trPr>
        <w:tc>
          <w:tcPr>
            <w:tcW w:w="4620" w:type="dxa"/>
            <w:vAlign w:val="bottom"/>
          </w:tcPr>
          <w:p>
            <w:pPr>
              <w:ind w:left="40"/>
              <w:spacing w:after="0"/>
              <w:rPr>
                <w:sz w:val="20"/>
                <w:szCs w:val="20"/>
                <w:color w:val="auto"/>
              </w:rPr>
            </w:pPr>
            <w:r>
              <w:rPr>
                <w:rFonts w:ascii="Arial" w:cs="Arial" w:eastAsia="Arial" w:hAnsi="Arial"/>
                <w:sz w:val="20"/>
                <w:szCs w:val="20"/>
                <w:color w:val="auto"/>
              </w:rPr>
              <w:t>Other comprehensive income/(loss) before</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00"/>
        </w:trPr>
        <w:tc>
          <w:tcPr>
            <w:tcW w:w="4620" w:type="dxa"/>
            <w:vAlign w:val="bottom"/>
          </w:tcPr>
          <w:p>
            <w:pPr>
              <w:ind w:left="40"/>
              <w:spacing w:after="0"/>
              <w:rPr>
                <w:sz w:val="20"/>
                <w:szCs w:val="20"/>
                <w:color w:val="auto"/>
              </w:rPr>
            </w:pPr>
            <w:r>
              <w:rPr>
                <w:rFonts w:ascii="Arial" w:cs="Arial" w:eastAsia="Arial" w:hAnsi="Arial"/>
                <w:sz w:val="20"/>
                <w:szCs w:val="20"/>
                <w:color w:val="auto"/>
              </w:rPr>
              <w:t>reclassifications</w:t>
            </w:r>
          </w:p>
        </w:tc>
        <w:tc>
          <w:tcPr>
            <w:tcW w:w="240" w:type="dxa"/>
            <w:vAlign w:val="bottom"/>
          </w:tcPr>
          <w:p>
            <w:pPr>
              <w:spacing w:after="0"/>
              <w:rPr>
                <w:sz w:val="24"/>
                <w:szCs w:val="24"/>
                <w:color w:val="auto"/>
              </w:rPr>
            </w:pPr>
          </w:p>
        </w:tc>
        <w:tc>
          <w:tcPr>
            <w:tcW w:w="1000" w:type="dxa"/>
            <w:vAlign w:val="bottom"/>
          </w:tcPr>
          <w:p>
            <w:pPr>
              <w:jc w:val="right"/>
              <w:ind w:right="44"/>
              <w:spacing w:after="0"/>
              <w:rPr>
                <w:sz w:val="20"/>
                <w:szCs w:val="20"/>
                <w:color w:val="auto"/>
              </w:rPr>
            </w:pPr>
            <w:r>
              <w:rPr>
                <w:rFonts w:ascii="Arial" w:cs="Arial" w:eastAsia="Arial" w:hAnsi="Arial"/>
                <w:sz w:val="20"/>
                <w:szCs w:val="20"/>
                <w:color w:val="auto"/>
              </w:rPr>
              <w:t>171</w:t>
            </w:r>
          </w:p>
        </w:tc>
        <w:tc>
          <w:tcPr>
            <w:tcW w:w="2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(444)</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(271)</w:t>
            </w:r>
          </w:p>
        </w:tc>
      </w:tr>
      <w:tr>
        <w:trPr>
          <w:trHeight w:val="41"/>
        </w:trPr>
        <w:tc>
          <w:tcPr>
            <w:tcW w:w="4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9"/>
        </w:trPr>
        <w:tc>
          <w:tcPr>
            <w:tcW w:w="4620" w:type="dxa"/>
            <w:vAlign w:val="bottom"/>
            <w:shd w:val="clear" w:color="auto" w:fill="CFF0FC"/>
          </w:tcPr>
          <w:p>
            <w:pPr>
              <w:ind w:left="40"/>
              <w:spacing w:after="0"/>
              <w:rPr>
                <w:sz w:val="20"/>
                <w:szCs w:val="20"/>
                <w:color w:val="auto"/>
              </w:rPr>
            </w:pPr>
            <w:r>
              <w:rPr>
                <w:rFonts w:ascii="Arial" w:cs="Arial" w:eastAsia="Arial" w:hAnsi="Arial"/>
                <w:sz w:val="20"/>
                <w:szCs w:val="20"/>
                <w:color w:val="auto"/>
              </w:rPr>
              <w:t>Loss reclassified from accumulated other</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r>
      <w:tr>
        <w:trPr>
          <w:trHeight w:val="321"/>
        </w:trPr>
        <w:tc>
          <w:tcPr>
            <w:tcW w:w="4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w w:val="93"/>
              </w:rPr>
              <w:t>comprehensive loss (net of income tax benefit of $11)</w:t>
            </w:r>
          </w:p>
        </w:tc>
        <w:tc>
          <w:tcPr>
            <w:tcW w:w="2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20"/>
                <w:szCs w:val="20"/>
                <w:color w:val="auto"/>
              </w:rPr>
              <w:t>36</w:t>
            </w:r>
          </w:p>
        </w:tc>
        <w:tc>
          <w:tcPr>
            <w:tcW w:w="2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36</w:t>
            </w:r>
          </w:p>
        </w:tc>
      </w:tr>
      <w:tr>
        <w:trPr>
          <w:trHeight w:val="259"/>
        </w:trPr>
        <w:tc>
          <w:tcPr>
            <w:tcW w:w="4620" w:type="dxa"/>
            <w:vAlign w:val="bottom"/>
          </w:tcPr>
          <w:p>
            <w:pPr>
              <w:ind w:left="40"/>
              <w:spacing w:after="0"/>
              <w:rPr>
                <w:sz w:val="20"/>
                <w:szCs w:val="20"/>
                <w:color w:val="auto"/>
              </w:rPr>
            </w:pPr>
            <w:r>
              <w:rPr>
                <w:rFonts w:ascii="Arial" w:cs="Arial" w:eastAsia="Arial" w:hAnsi="Arial"/>
                <w:sz w:val="20"/>
                <w:szCs w:val="20"/>
                <w:color w:val="auto"/>
              </w:rPr>
              <w:t>Net other comprehensive income/(loss)</w:t>
            </w:r>
          </w:p>
        </w:tc>
        <w:tc>
          <w:tcPr>
            <w:tcW w:w="240" w:type="dxa"/>
            <w:vAlign w:val="bottom"/>
          </w:tcPr>
          <w:p>
            <w:pPr>
              <w:spacing w:after="0"/>
              <w:rPr>
                <w:sz w:val="22"/>
                <w:szCs w:val="22"/>
                <w:color w:val="auto"/>
              </w:rPr>
            </w:pPr>
          </w:p>
        </w:tc>
        <w:tc>
          <w:tcPr>
            <w:tcW w:w="1000" w:type="dxa"/>
            <w:vAlign w:val="bottom"/>
          </w:tcPr>
          <w:p>
            <w:pPr>
              <w:jc w:val="right"/>
              <w:ind w:right="44"/>
              <w:spacing w:after="0"/>
              <w:rPr>
                <w:sz w:val="20"/>
                <w:szCs w:val="20"/>
                <w:color w:val="auto"/>
              </w:rPr>
            </w:pPr>
            <w:r>
              <w:rPr>
                <w:rFonts w:ascii="Arial" w:cs="Arial" w:eastAsia="Arial" w:hAnsi="Arial"/>
                <w:sz w:val="20"/>
                <w:szCs w:val="20"/>
                <w:color w:val="auto"/>
              </w:rPr>
              <w:t>171</w:t>
            </w:r>
          </w:p>
        </w:tc>
        <w:tc>
          <w:tcPr>
            <w:tcW w:w="200" w:type="dxa"/>
            <w:vAlign w:val="bottom"/>
          </w:tcPr>
          <w:p>
            <w:pPr>
              <w:spacing w:after="0"/>
              <w:rPr>
                <w:sz w:val="22"/>
                <w:szCs w:val="22"/>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(408)</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(235)</w:t>
            </w:r>
          </w:p>
        </w:tc>
      </w:tr>
      <w:tr>
        <w:trPr>
          <w:trHeight w:val="51"/>
        </w:trPr>
        <w:tc>
          <w:tcPr>
            <w:tcW w:w="4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9"/>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Balance, December 31, 2023</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(816)</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11</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(2,051)</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(2,856)</w:t>
            </w:r>
          </w:p>
        </w:tc>
      </w:tr>
      <w:tr>
        <w:trPr>
          <w:trHeight w:val="86"/>
        </w:trPr>
        <w:tc>
          <w:tcPr>
            <w:tcW w:w="46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r>
      <w:tr>
        <w:trPr>
          <w:trHeight w:val="259"/>
        </w:trPr>
        <w:tc>
          <w:tcPr>
            <w:tcW w:w="4620" w:type="dxa"/>
            <w:vAlign w:val="bottom"/>
          </w:tcPr>
          <w:p>
            <w:pPr>
              <w:ind w:left="40"/>
              <w:spacing w:after="0"/>
              <w:rPr>
                <w:sz w:val="20"/>
                <w:szCs w:val="20"/>
                <w:color w:val="auto"/>
              </w:rPr>
            </w:pPr>
            <w:r>
              <w:rPr>
                <w:rFonts w:ascii="Arial" w:cs="Arial" w:eastAsia="Arial" w:hAnsi="Arial"/>
                <w:sz w:val="20"/>
                <w:szCs w:val="20"/>
                <w:color w:val="auto"/>
              </w:rPr>
              <w:t>Other comprehensive loss before reclassifications</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(204)</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(150)</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(356)</w:t>
            </w:r>
          </w:p>
        </w:tc>
      </w:tr>
      <w:tr>
        <w:trPr>
          <w:trHeight w:val="41"/>
        </w:trPr>
        <w:tc>
          <w:tcPr>
            <w:tcW w:w="4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9"/>
        </w:trPr>
        <w:tc>
          <w:tcPr>
            <w:tcW w:w="4620" w:type="dxa"/>
            <w:vAlign w:val="bottom"/>
            <w:shd w:val="clear" w:color="auto" w:fill="CFF0FC"/>
          </w:tcPr>
          <w:p>
            <w:pPr>
              <w:ind w:left="40"/>
              <w:spacing w:after="0"/>
              <w:rPr>
                <w:sz w:val="20"/>
                <w:szCs w:val="20"/>
                <w:color w:val="auto"/>
              </w:rPr>
            </w:pPr>
            <w:r>
              <w:rPr>
                <w:rFonts w:ascii="Arial" w:cs="Arial" w:eastAsia="Arial" w:hAnsi="Arial"/>
                <w:sz w:val="20"/>
                <w:szCs w:val="20"/>
                <w:color w:val="auto"/>
              </w:rPr>
              <w:t>(Gain)/loss reclassified from accumulated other</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r>
      <w:tr>
        <w:trPr>
          <w:trHeight w:val="321"/>
        </w:trPr>
        <w:tc>
          <w:tcPr>
            <w:tcW w:w="4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w w:val="93"/>
              </w:rPr>
              <w:t>comprehensive loss (net of income tax benefit of $18)</w:t>
            </w:r>
          </w:p>
        </w:tc>
        <w:tc>
          <w:tcPr>
            <w:tcW w:w="2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2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20"/>
                <w:szCs w:val="20"/>
                <w:color w:val="auto"/>
              </w:rPr>
              <w:t>56</w:t>
            </w:r>
          </w:p>
        </w:tc>
        <w:tc>
          <w:tcPr>
            <w:tcW w:w="2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54</w:t>
            </w:r>
          </w:p>
        </w:tc>
      </w:tr>
      <w:tr>
        <w:trPr>
          <w:trHeight w:val="259"/>
        </w:trPr>
        <w:tc>
          <w:tcPr>
            <w:tcW w:w="4620" w:type="dxa"/>
            <w:vAlign w:val="bottom"/>
          </w:tcPr>
          <w:p>
            <w:pPr>
              <w:ind w:left="40"/>
              <w:spacing w:after="0"/>
              <w:rPr>
                <w:sz w:val="20"/>
                <w:szCs w:val="20"/>
                <w:color w:val="auto"/>
              </w:rPr>
            </w:pPr>
            <w:r>
              <w:rPr>
                <w:rFonts w:ascii="Arial" w:cs="Arial" w:eastAsia="Arial" w:hAnsi="Arial"/>
                <w:sz w:val="20"/>
                <w:szCs w:val="20"/>
                <w:color w:val="auto"/>
              </w:rPr>
              <w:t>Net other comprehensive loss</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(204)</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(4)</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(94)</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(302)</w:t>
            </w:r>
          </w:p>
        </w:tc>
      </w:tr>
      <w:tr>
        <w:trPr>
          <w:trHeight w:val="51"/>
        </w:trPr>
        <w:tc>
          <w:tcPr>
            <w:tcW w:w="4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9"/>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Balance, December 31, 2024</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(1,020)</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7</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(2,145)</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(3,158)</w:t>
            </w:r>
          </w:p>
        </w:tc>
      </w:tr>
      <w:tr>
        <w:trPr>
          <w:trHeight w:val="86"/>
        </w:trPr>
        <w:tc>
          <w:tcPr>
            <w:tcW w:w="46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r>
      <w:tr>
        <w:trPr>
          <w:trHeight w:val="259"/>
        </w:trPr>
        <w:tc>
          <w:tcPr>
            <w:tcW w:w="4620" w:type="dxa"/>
            <w:vAlign w:val="bottom"/>
          </w:tcPr>
          <w:p>
            <w:pPr>
              <w:ind w:left="40"/>
              <w:spacing w:after="0"/>
              <w:rPr>
                <w:sz w:val="20"/>
                <w:szCs w:val="20"/>
                <w:color w:val="auto"/>
              </w:rPr>
            </w:pPr>
            <w:r>
              <w:rPr>
                <w:rFonts w:ascii="Arial" w:cs="Arial" w:eastAsia="Arial" w:hAnsi="Arial"/>
                <w:sz w:val="20"/>
                <w:szCs w:val="20"/>
                <w:color w:val="auto"/>
              </w:rPr>
              <w:t>Other comprehensive income/(loss) before</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300"/>
        </w:trPr>
        <w:tc>
          <w:tcPr>
            <w:tcW w:w="4620" w:type="dxa"/>
            <w:vAlign w:val="bottom"/>
          </w:tcPr>
          <w:p>
            <w:pPr>
              <w:ind w:left="40"/>
              <w:spacing w:after="0"/>
              <w:rPr>
                <w:sz w:val="20"/>
                <w:szCs w:val="20"/>
                <w:color w:val="auto"/>
              </w:rPr>
            </w:pPr>
            <w:r>
              <w:rPr>
                <w:rFonts w:ascii="Arial" w:cs="Arial" w:eastAsia="Arial" w:hAnsi="Arial"/>
                <w:sz w:val="20"/>
                <w:szCs w:val="20"/>
                <w:color w:val="auto"/>
              </w:rPr>
              <w:t>reclassifications</w:t>
            </w:r>
          </w:p>
        </w:tc>
        <w:tc>
          <w:tcPr>
            <w:tcW w:w="240" w:type="dxa"/>
            <w:vAlign w:val="bottom"/>
          </w:tcPr>
          <w:p>
            <w:pPr>
              <w:spacing w:after="0"/>
              <w:rPr>
                <w:sz w:val="24"/>
                <w:szCs w:val="24"/>
                <w:color w:val="auto"/>
              </w:rPr>
            </w:pPr>
          </w:p>
        </w:tc>
        <w:tc>
          <w:tcPr>
            <w:tcW w:w="1000" w:type="dxa"/>
            <w:vAlign w:val="bottom"/>
          </w:tcPr>
          <w:p>
            <w:pPr>
              <w:jc w:val="right"/>
              <w:ind w:right="44"/>
              <w:spacing w:after="0"/>
              <w:rPr>
                <w:sz w:val="20"/>
                <w:szCs w:val="20"/>
                <w:color w:val="auto"/>
              </w:rPr>
            </w:pPr>
            <w:r>
              <w:rPr>
                <w:rFonts w:ascii="Arial" w:cs="Arial" w:eastAsia="Arial" w:hAnsi="Arial"/>
                <w:sz w:val="20"/>
                <w:szCs w:val="20"/>
                <w:color w:val="auto"/>
              </w:rPr>
              <w:t>412</w:t>
            </w:r>
          </w:p>
        </w:tc>
        <w:tc>
          <w:tcPr>
            <w:tcW w:w="200" w:type="dxa"/>
            <w:vAlign w:val="bottom"/>
          </w:tcPr>
          <w:p>
            <w:pPr>
              <w:spacing w:after="0"/>
              <w:rPr>
                <w:sz w:val="24"/>
                <w:szCs w:val="24"/>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6</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(166)</w:t>
            </w:r>
          </w:p>
        </w:tc>
        <w:tc>
          <w:tcPr>
            <w:tcW w:w="28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252</w:t>
            </w:r>
          </w:p>
        </w:tc>
      </w:tr>
      <w:tr>
        <w:trPr>
          <w:trHeight w:val="41"/>
        </w:trPr>
        <w:tc>
          <w:tcPr>
            <w:tcW w:w="4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59"/>
        </w:trPr>
        <w:tc>
          <w:tcPr>
            <w:tcW w:w="4620" w:type="dxa"/>
            <w:vAlign w:val="bottom"/>
            <w:shd w:val="clear" w:color="auto" w:fill="CFF0FC"/>
          </w:tcPr>
          <w:p>
            <w:pPr>
              <w:ind w:left="40"/>
              <w:spacing w:after="0"/>
              <w:rPr>
                <w:sz w:val="20"/>
                <w:szCs w:val="20"/>
                <w:color w:val="auto"/>
              </w:rPr>
            </w:pPr>
            <w:r>
              <w:rPr>
                <w:rFonts w:ascii="Arial" w:cs="Arial" w:eastAsia="Arial" w:hAnsi="Arial"/>
                <w:sz w:val="20"/>
                <w:szCs w:val="20"/>
                <w:color w:val="auto"/>
              </w:rPr>
              <w:t>(Gain)/loss reclassified from accumulated other</w:t>
            </w:r>
          </w:p>
        </w:tc>
        <w:tc>
          <w:tcPr>
            <w:tcW w:w="2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r>
      <w:tr>
        <w:trPr>
          <w:trHeight w:val="321"/>
        </w:trPr>
        <w:tc>
          <w:tcPr>
            <w:tcW w:w="4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w w:val="93"/>
              </w:rPr>
              <w:t>comprehensive loss (net of income tax benefit of $25)</w:t>
            </w:r>
          </w:p>
        </w:tc>
        <w:tc>
          <w:tcPr>
            <w:tcW w:w="2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w:t>
            </w:r>
          </w:p>
        </w:tc>
        <w:tc>
          <w:tcPr>
            <w:tcW w:w="2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20"/>
                <w:szCs w:val="20"/>
                <w:color w:val="auto"/>
              </w:rPr>
              <w:t>75</w:t>
            </w:r>
          </w:p>
        </w:tc>
        <w:tc>
          <w:tcPr>
            <w:tcW w:w="2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20"/>
                <w:szCs w:val="20"/>
                <w:color w:val="auto"/>
              </w:rPr>
              <w:t>72</w:t>
            </w:r>
          </w:p>
        </w:tc>
      </w:tr>
      <w:tr>
        <w:trPr>
          <w:trHeight w:val="259"/>
        </w:trPr>
        <w:tc>
          <w:tcPr>
            <w:tcW w:w="4620" w:type="dxa"/>
            <w:vAlign w:val="bottom"/>
          </w:tcPr>
          <w:p>
            <w:pPr>
              <w:ind w:left="40"/>
              <w:spacing w:after="0"/>
              <w:rPr>
                <w:sz w:val="20"/>
                <w:szCs w:val="20"/>
                <w:color w:val="auto"/>
              </w:rPr>
            </w:pPr>
            <w:r>
              <w:rPr>
                <w:rFonts w:ascii="Arial" w:cs="Arial" w:eastAsia="Arial" w:hAnsi="Arial"/>
                <w:sz w:val="20"/>
                <w:szCs w:val="20"/>
                <w:color w:val="auto"/>
              </w:rPr>
              <w:t>Net other comprehensive income/(loss)</w:t>
            </w:r>
          </w:p>
        </w:tc>
        <w:tc>
          <w:tcPr>
            <w:tcW w:w="240" w:type="dxa"/>
            <w:vAlign w:val="bottom"/>
          </w:tcPr>
          <w:p>
            <w:pPr>
              <w:spacing w:after="0"/>
              <w:rPr>
                <w:sz w:val="22"/>
                <w:szCs w:val="22"/>
                <w:color w:val="auto"/>
              </w:rPr>
            </w:pPr>
          </w:p>
        </w:tc>
        <w:tc>
          <w:tcPr>
            <w:tcW w:w="1000" w:type="dxa"/>
            <w:vAlign w:val="bottom"/>
          </w:tcPr>
          <w:p>
            <w:pPr>
              <w:jc w:val="right"/>
              <w:ind w:right="44"/>
              <w:spacing w:after="0"/>
              <w:rPr>
                <w:sz w:val="20"/>
                <w:szCs w:val="20"/>
                <w:color w:val="auto"/>
              </w:rPr>
            </w:pPr>
            <w:r>
              <w:rPr>
                <w:rFonts w:ascii="Arial" w:cs="Arial" w:eastAsia="Arial" w:hAnsi="Arial"/>
                <w:sz w:val="20"/>
                <w:szCs w:val="20"/>
                <w:color w:val="auto"/>
              </w:rPr>
              <w:t>412</w:t>
            </w:r>
          </w:p>
        </w:tc>
        <w:tc>
          <w:tcPr>
            <w:tcW w:w="200" w:type="dxa"/>
            <w:vAlign w:val="bottom"/>
          </w:tcPr>
          <w:p>
            <w:pPr>
              <w:spacing w:after="0"/>
              <w:rPr>
                <w:sz w:val="22"/>
                <w:szCs w:val="22"/>
                <w:color w:val="auto"/>
              </w:rPr>
            </w:pPr>
          </w:p>
        </w:tc>
        <w:tc>
          <w:tcPr>
            <w:tcW w:w="1020" w:type="dxa"/>
            <w:vAlign w:val="bottom"/>
          </w:tcPr>
          <w:p>
            <w:pPr>
              <w:jc w:val="right"/>
              <w:ind w:right="41"/>
              <w:spacing w:after="0"/>
              <w:rPr>
                <w:sz w:val="20"/>
                <w:szCs w:val="20"/>
                <w:color w:val="auto"/>
              </w:rPr>
            </w:pPr>
            <w:r>
              <w:rPr>
                <w:rFonts w:ascii="Arial" w:cs="Arial" w:eastAsia="Arial" w:hAnsi="Arial"/>
                <w:sz w:val="20"/>
                <w:szCs w:val="20"/>
                <w:color w:val="auto"/>
              </w:rPr>
              <w:t>3</w:t>
            </w: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(91)</w:t>
            </w:r>
          </w:p>
        </w:tc>
        <w:tc>
          <w:tcPr>
            <w:tcW w:w="280" w:type="dxa"/>
            <w:vAlign w:val="bottom"/>
          </w:tcPr>
          <w:p>
            <w:pPr>
              <w:spacing w:after="0"/>
              <w:rPr>
                <w:sz w:val="22"/>
                <w:szCs w:val="22"/>
                <w:color w:val="auto"/>
              </w:rPr>
            </w:pPr>
          </w:p>
        </w:tc>
        <w:tc>
          <w:tcPr>
            <w:tcW w:w="860" w:type="dxa"/>
            <w:vAlign w:val="bottom"/>
          </w:tcPr>
          <w:p>
            <w:pPr>
              <w:jc w:val="right"/>
              <w:ind w:right="1"/>
              <w:spacing w:after="0"/>
              <w:rPr>
                <w:sz w:val="20"/>
                <w:szCs w:val="20"/>
                <w:color w:val="auto"/>
              </w:rPr>
            </w:pPr>
            <w:r>
              <w:rPr>
                <w:rFonts w:ascii="Arial" w:cs="Arial" w:eastAsia="Arial" w:hAnsi="Arial"/>
                <w:sz w:val="20"/>
                <w:szCs w:val="20"/>
                <w:color w:val="auto"/>
              </w:rPr>
              <w:t>324</w:t>
            </w:r>
          </w:p>
        </w:tc>
      </w:tr>
      <w:tr>
        <w:trPr>
          <w:trHeight w:val="51"/>
        </w:trPr>
        <w:tc>
          <w:tcPr>
            <w:tcW w:w="4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9"/>
        </w:trPr>
        <w:tc>
          <w:tcPr>
            <w:tcW w:w="4620" w:type="dxa"/>
            <w:vAlign w:val="bottom"/>
            <w:shd w:val="clear" w:color="auto" w:fill="CFF0FC"/>
          </w:tcPr>
          <w:p>
            <w:pPr>
              <w:spacing w:after="0"/>
              <w:rPr>
                <w:sz w:val="20"/>
                <w:szCs w:val="20"/>
                <w:color w:val="auto"/>
              </w:rPr>
            </w:pPr>
            <w:r>
              <w:rPr>
                <w:rFonts w:ascii="Arial" w:cs="Arial" w:eastAsia="Arial" w:hAnsi="Arial"/>
                <w:sz w:val="20"/>
                <w:szCs w:val="20"/>
                <w:color w:val="auto"/>
              </w:rPr>
              <w:t>Balance, December 31, 2025</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(608)</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(2,236)</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(2,834)</w:t>
            </w:r>
          </w:p>
        </w:tc>
      </w:tr>
      <w:tr>
        <w:trPr>
          <w:trHeight w:val="86"/>
        </w:trPr>
        <w:tc>
          <w:tcPr>
            <w:tcW w:w="462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-3539490</wp:posOffset>
            </wp:positionV>
            <wp:extent cx="2948940" cy="63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2">
                      <a:extLst>
                        <a:ext uri="{28A0092B-C50C-407E-A947-70E740481C1C}"/>
                      </a:extLst>
                    </a:blip>
                    <a:srcRect/>
                    <a:stretch>
                      <a:fillRect/>
                    </a:stretch>
                  </pic:blipFill>
                  <pic:spPr bwMode="auto">
                    <a:xfrm>
                      <a:off x="0" y="0"/>
                      <a:ext cx="2948940" cy="6350"/>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-2586990</wp:posOffset>
            </wp:positionV>
            <wp:extent cx="2948940" cy="63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3">
                      <a:extLst>
                        <a:ext uri="{28A0092B-C50C-407E-A947-70E740481C1C}"/>
                      </a:extLst>
                    </a:blip>
                    <a:srcRect/>
                    <a:stretch>
                      <a:fillRect/>
                    </a:stretch>
                  </pic:blipFill>
                  <pic:spPr bwMode="auto">
                    <a:xfrm>
                      <a:off x="0" y="0"/>
                      <a:ext cx="2948940" cy="6350"/>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-2390140</wp:posOffset>
            </wp:positionV>
            <wp:extent cx="2948940" cy="63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4">
                      <a:extLst>
                        <a:ext uri="{28A0092B-C50C-407E-A947-70E740481C1C}"/>
                      </a:extLst>
                    </a:blip>
                    <a:srcRect/>
                    <a:stretch>
                      <a:fillRect/>
                    </a:stretch>
                  </pic:blipFill>
                  <pic:spPr bwMode="auto">
                    <a:xfrm>
                      <a:off x="0" y="0"/>
                      <a:ext cx="2948940" cy="6350"/>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-2193290</wp:posOffset>
            </wp:positionV>
            <wp:extent cx="2948940" cy="2857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5">
                      <a:extLst>
                        <a:ext uri="{28A0092B-C50C-407E-A947-70E740481C1C}"/>
                      </a:extLst>
                    </a:blip>
                    <a:srcRect/>
                    <a:stretch>
                      <a:fillRect/>
                    </a:stretch>
                  </pic:blipFill>
                  <pic:spPr bwMode="auto">
                    <a:xfrm>
                      <a:off x="0" y="0"/>
                      <a:ext cx="2948940" cy="2857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-1599565</wp:posOffset>
            </wp:positionV>
            <wp:extent cx="2948940" cy="63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6">
                      <a:extLst>
                        <a:ext uri="{28A0092B-C50C-407E-A947-70E740481C1C}"/>
                      </a:extLst>
                    </a:blip>
                    <a:srcRect/>
                    <a:stretch>
                      <a:fillRect/>
                    </a:stretch>
                  </pic:blipFill>
                  <pic:spPr bwMode="auto">
                    <a:xfrm>
                      <a:off x="0" y="0"/>
                      <a:ext cx="2948940" cy="6350"/>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-1402715</wp:posOffset>
            </wp:positionV>
            <wp:extent cx="2948940" cy="63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7">
                      <a:extLst>
                        <a:ext uri="{28A0092B-C50C-407E-A947-70E740481C1C}"/>
                      </a:extLst>
                    </a:blip>
                    <a:srcRect/>
                    <a:stretch>
                      <a:fillRect/>
                    </a:stretch>
                  </pic:blipFill>
                  <pic:spPr bwMode="auto">
                    <a:xfrm>
                      <a:off x="0" y="0"/>
                      <a:ext cx="2948940" cy="6350"/>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-1205865</wp:posOffset>
            </wp:positionV>
            <wp:extent cx="2948940" cy="2857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08">
                      <a:extLst>
                        <a:ext uri="{28A0092B-C50C-407E-A947-70E740481C1C}"/>
                      </a:extLst>
                    </a:blip>
                    <a:srcRect/>
                    <a:stretch>
                      <a:fillRect/>
                    </a:stretch>
                  </pic:blipFill>
                  <pic:spPr bwMode="auto">
                    <a:xfrm>
                      <a:off x="0" y="0"/>
                      <a:ext cx="2948940" cy="28575"/>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-421640</wp:posOffset>
            </wp:positionV>
            <wp:extent cx="2948940" cy="63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09">
                      <a:extLst>
                        <a:ext uri="{28A0092B-C50C-407E-A947-70E740481C1C}"/>
                      </a:extLst>
                    </a:blip>
                    <a:srcRect/>
                    <a:stretch>
                      <a:fillRect/>
                    </a:stretch>
                  </pic:blipFill>
                  <pic:spPr bwMode="auto">
                    <a:xfrm>
                      <a:off x="0" y="0"/>
                      <a:ext cx="2948940" cy="6350"/>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-224790</wp:posOffset>
            </wp:positionV>
            <wp:extent cx="2948940" cy="63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0">
                      <a:extLst>
                        <a:ext uri="{28A0092B-C50C-407E-A947-70E740481C1C}"/>
                      </a:extLst>
                    </a:blip>
                    <a:srcRect/>
                    <a:stretch>
                      <a:fillRect/>
                    </a:stretch>
                  </pic:blipFill>
                  <pic:spPr bwMode="auto">
                    <a:xfrm>
                      <a:off x="0" y="0"/>
                      <a:ext cx="2948940" cy="6350"/>
                    </a:xfrm>
                    <a:prstGeom prst="rect">
                      <a:avLst/>
                    </a:prstGeom>
                    <a:noFill/>
                  </pic:spPr>
                </pic:pic>
              </a:graphicData>
            </a:graphic>
          </wp:anchor>
        </w:drawing>
        <w:drawing>
          <wp:anchor simplePos="0" relativeHeight="251657728" behindDoc="1" locked="0" layoutInCell="0" allowOverlap="1">
            <wp:simplePos x="0" y="0"/>
            <wp:positionH relativeFrom="column">
              <wp:posOffset>3018790</wp:posOffset>
            </wp:positionH>
            <wp:positionV relativeFrom="paragraph">
              <wp:posOffset>-27940</wp:posOffset>
            </wp:positionV>
            <wp:extent cx="2948940" cy="2857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1">
                      <a:extLst>
                        <a:ext uri="{28A0092B-C50C-407E-A947-70E740481C1C}"/>
                      </a:extLst>
                    </a:blip>
                    <a:srcRect/>
                    <a:stretch>
                      <a:fillRect/>
                    </a:stretch>
                  </pic:blipFill>
                  <pic:spPr bwMode="auto">
                    <a:xfrm>
                      <a:off x="0" y="0"/>
                      <a:ext cx="294894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795655" cy="63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2">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26" w:right="20" w:hanging="226"/>
        <w:spacing w:after="0" w:line="386" w:lineRule="auto"/>
        <w:tabs>
          <w:tab w:leader="none" w:pos="226"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Reclassification adjustments from accumulated other comprehensive loss related to derivative instruments are included in Revenue and Salaries and benefits in the accompanying consolidated statements of comprehensive income. See Note 10 — Derivative Financial Instruments for additional details regarding the reclassification adjustments for the derivative settlements.</w:t>
      </w:r>
    </w:p>
    <w:p>
      <w:pPr>
        <w:spacing w:after="0" w:line="52" w:lineRule="exact"/>
        <w:rPr>
          <w:rFonts w:ascii="Arial" w:cs="Arial" w:eastAsia="Arial" w:hAnsi="Arial"/>
          <w:sz w:val="16"/>
          <w:szCs w:val="16"/>
          <w:color w:val="auto"/>
        </w:rPr>
      </w:pPr>
    </w:p>
    <w:p>
      <w:pPr>
        <w:ind w:left="226" w:right="120" w:hanging="226"/>
        <w:spacing w:after="0" w:line="386" w:lineRule="auto"/>
        <w:tabs>
          <w:tab w:leader="none" w:pos="226"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Reclassification adjustments from accumulated other comprehensive loss are included in the computation of net periodic pension cost (see Note 13 — Retirement Benefits). These components are included in Other income/(loss), net in the accompanying consolidated statements of comprehensive income.</w:t>
      </w:r>
    </w:p>
    <w:p>
      <w:pPr>
        <w:spacing w:after="0" w:line="22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19 — Share-based Compensation</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Plan Summaries</w:t>
      </w:r>
    </w:p>
    <w:p>
      <w:pPr>
        <w:spacing w:after="0" w:line="260" w:lineRule="exact"/>
        <w:rPr>
          <w:sz w:val="20"/>
          <w:szCs w:val="20"/>
          <w:color w:val="auto"/>
        </w:rPr>
      </w:pPr>
    </w:p>
    <w:p>
      <w:pPr>
        <w:ind w:left="6" w:right="40"/>
        <w:spacing w:after="0" w:line="310" w:lineRule="auto"/>
        <w:rPr>
          <w:sz w:val="20"/>
          <w:szCs w:val="20"/>
          <w:color w:val="auto"/>
        </w:rPr>
      </w:pPr>
      <w:r>
        <w:rPr>
          <w:rFonts w:ascii="Arial" w:cs="Arial" w:eastAsia="Arial" w:hAnsi="Arial"/>
          <w:sz w:val="20"/>
          <w:szCs w:val="20"/>
          <w:color w:val="auto"/>
        </w:rPr>
        <w:t>On December 31, 2025, the Company had a number of open share-based compensation plans, which provide for the granting of time-based and performance-based options, time-based and performance-based restricted stock units, and various other share-based grants to employees. All of the Company’s share-based compensation plans under which any options, restricted stock units (‘RSUs’) or other share-based grants are outstanding as of December 31, 2025 are described below.</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17 / 24</w:t>
      </w:r>
    </w:p>
    <w:p>
      <w:pPr>
        <w:sectPr>
          <w:pgSz w:w="11900" w:h="16838" w:orient="portrait"/>
          <w:cols w:equalWidth="0" w:num="1">
            <w:col w:w="9406"/>
          </w:cols>
          <w:pgMar w:left="1254" w:top="1440" w:right="1246" w:bottom="0" w:gutter="0" w:footer="0" w:header="0"/>
          <w:type w:val="continuous"/>
        </w:sectPr>
      </w:pPr>
    </w:p>
    <w:bookmarkStart w:id="253" w:name="page254"/>
    <w:bookmarkEnd w:id="253"/>
    <w:p>
      <w:pPr>
        <w:ind w:right="80"/>
        <w:spacing w:after="0" w:line="329" w:lineRule="auto"/>
        <w:rPr>
          <w:sz w:val="20"/>
          <w:szCs w:val="20"/>
          <w:color w:val="auto"/>
        </w:rPr>
      </w:pPr>
      <w:r>
        <w:rPr>
          <w:rFonts w:ascii="Arial" w:cs="Arial" w:eastAsia="Arial" w:hAnsi="Arial"/>
          <w:sz w:val="19"/>
          <w:szCs w:val="19"/>
          <w:color w:val="auto"/>
        </w:rPr>
        <w:t>Approximately 370,000 RSUs vested during 2025. Of these, 229,000 were not issued due to net settlements, cash settlements, and retirement eligibility provisions associated with future issuances. In addition, 72,000 RSUs were issued in 2025 that vested in prior years, and 200,000 shares were issued related to non-qualified retirement plans or the ESPP. In total, approximately 413,000 shares were issued under employee stock compensation plans and non-qualified retirement plans during the year ended</w:t>
      </w:r>
    </w:p>
    <w:p>
      <w:pPr>
        <w:spacing w:after="0" w:line="232" w:lineRule="auto"/>
        <w:rPr>
          <w:sz w:val="20"/>
          <w:szCs w:val="20"/>
          <w:color w:val="auto"/>
        </w:rPr>
      </w:pPr>
      <w:r>
        <w:rPr>
          <w:rFonts w:ascii="Arial" w:cs="Arial" w:eastAsia="Arial" w:hAnsi="Arial"/>
          <w:sz w:val="20"/>
          <w:szCs w:val="20"/>
          <w:color w:val="auto"/>
        </w:rPr>
        <w:t>December 31, 2025. See below for further detail on the RSUs vested in 2025.</w:t>
      </w:r>
    </w:p>
    <w:p>
      <w:pPr>
        <w:spacing w:after="0" w:line="260" w:lineRule="exact"/>
        <w:rPr>
          <w:sz w:val="20"/>
          <w:szCs w:val="20"/>
          <w:color w:val="auto"/>
        </w:rPr>
      </w:pPr>
    </w:p>
    <w:p>
      <w:pPr>
        <w:ind w:right="100"/>
        <w:spacing w:after="0" w:line="329" w:lineRule="auto"/>
        <w:rPr>
          <w:sz w:val="20"/>
          <w:szCs w:val="20"/>
          <w:color w:val="auto"/>
        </w:rPr>
      </w:pPr>
      <w:r>
        <w:rPr>
          <w:rFonts w:ascii="Arial" w:cs="Arial" w:eastAsia="Arial" w:hAnsi="Arial"/>
          <w:sz w:val="19"/>
          <w:szCs w:val="19"/>
          <w:color w:val="auto"/>
        </w:rPr>
        <w:t>The compensation cost recognized for these plans for the years ended December 31, 2025, 2024 and 2023 was $153 million, $121 million and $125 million, respectively. Of these amounts, the portion recognized within transaction and transformation on the consolidated statements of comprehensive income was not material for the year ended December 31, 2025 and was $13 million and $31 million for the years ended December 31, 2024 and 2023, respectively. The total income tax benefits recognized in the consolidated statements of comprehensive income for share-based compensation arrangements for the years ended December 31, 2025, 2024 and 2023 were $23 million, $20 million and $21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2012 Equity Incentive Plan</w:t>
      </w:r>
    </w:p>
    <w:p>
      <w:pPr>
        <w:spacing w:after="0" w:line="260" w:lineRule="exact"/>
        <w:rPr>
          <w:sz w:val="20"/>
          <w:szCs w:val="20"/>
          <w:color w:val="auto"/>
        </w:rPr>
      </w:pPr>
    </w:p>
    <w:p>
      <w:pPr>
        <w:jc w:val="both"/>
        <w:spacing w:after="0" w:line="311" w:lineRule="auto"/>
        <w:rPr>
          <w:sz w:val="20"/>
          <w:szCs w:val="20"/>
          <w:color w:val="auto"/>
        </w:rPr>
      </w:pPr>
      <w:r>
        <w:rPr>
          <w:rFonts w:ascii="Arial" w:cs="Arial" w:eastAsia="Arial" w:hAnsi="Arial"/>
          <w:sz w:val="20"/>
          <w:szCs w:val="20"/>
          <w:color w:val="auto"/>
        </w:rPr>
        <w:t>This plan, established on April 25, 2012 and amended and restated on June 10, 2016, provides for the granting of incentive stock options, time-based or performance-based non-statutory stock options, share appreciation rights, restricted shares, time-based or performance-based RSUs, performance-based awards and other share-based grants or any combination thereof to employees, officers, non-employee directors and consultants of the Company (‘2012 Plan’). The board of directors also adopted a sub-plan under the 2012 Plan to provide an employee sharesave scheme in the U.K.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7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 24</w:t>
      </w:r>
    </w:p>
    <w:p>
      <w:pPr>
        <w:sectPr>
          <w:pgSz w:w="11900" w:h="16838" w:orient="portrait"/>
          <w:cols w:equalWidth="0" w:num="1">
            <w:col w:w="9380"/>
          </w:cols>
          <w:pgMar w:left="1260" w:top="1173" w:right="1266" w:bottom="0" w:gutter="0" w:footer="0" w:header="0"/>
          <w:type w:val="continuous"/>
        </w:sectPr>
      </w:pPr>
    </w:p>
    <w:bookmarkStart w:id="254" w:name="page255"/>
    <w:bookmarkEnd w:id="2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60"/>
        <w:spacing w:after="0" w:line="309" w:lineRule="auto"/>
        <w:rPr>
          <w:sz w:val="20"/>
          <w:szCs w:val="20"/>
          <w:color w:val="auto"/>
        </w:rPr>
      </w:pPr>
      <w:r>
        <w:rPr>
          <w:rFonts w:ascii="Arial" w:cs="Arial" w:eastAsia="Arial" w:hAnsi="Arial"/>
          <w:sz w:val="20"/>
          <w:szCs w:val="20"/>
          <w:color w:val="auto"/>
        </w:rPr>
        <w:t>There were 3,584,223 shares remaining available for grant under this plan as of December 31, 2025. The 2012 Plan shall continue in effect until terminated by the board of directors, except that no incentive stock option may be granted under the 2012 Plan after April 21, 2026 or after its expiration. That termination will not affect the validity of any grants outstanding at that date.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There were no options granted during the years ended December 31, 2025, 2024 and 2023.</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Award Activity</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Classification of options as time-based or performance-based is dependent on the original terms of the award.</w:t>
      </w:r>
    </w:p>
    <w:p>
      <w:pPr>
        <w:spacing w:after="0" w:line="202" w:lineRule="exact"/>
        <w:rPr>
          <w:sz w:val="20"/>
          <w:szCs w:val="20"/>
          <w:color w:val="auto"/>
        </w:rPr>
      </w:pPr>
    </w:p>
    <w:p>
      <w:pPr>
        <w:ind w:right="240"/>
        <w:spacing w:after="0" w:line="375" w:lineRule="auto"/>
        <w:rPr>
          <w:sz w:val="20"/>
          <w:szCs w:val="20"/>
          <w:color w:val="auto"/>
        </w:rPr>
      </w:pPr>
      <w:r>
        <w:rPr>
          <w:rFonts w:ascii="Arial" w:cs="Arial" w:eastAsia="Arial" w:hAnsi="Arial"/>
          <w:sz w:val="17"/>
          <w:szCs w:val="17"/>
          <w:color w:val="auto"/>
        </w:rPr>
        <w:t>During the year ended December 31, 2023, the remaining 15,000 time-based stock options were exercised with a weighted-average exercise price of $117.36, and had no material intrinsic value, leaving no options outstanding at December 31, 2023. Cash received from option exercises under all share-based payment arrangements for the year ended December 31, 2023 was not material. The actual tax benefit recognized for the tax deductions from option exercises of the share-based payment arrangements totaled $6 million for the year ended December 31, 2023.</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Equity-settled RSUs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Valuation Assumptions</w:t>
      </w:r>
    </w:p>
    <w:p>
      <w:pPr>
        <w:spacing w:after="0" w:line="260" w:lineRule="exact"/>
        <w:rPr>
          <w:sz w:val="20"/>
          <w:szCs w:val="20"/>
          <w:color w:val="auto"/>
        </w:rPr>
      </w:pPr>
    </w:p>
    <w:p>
      <w:pPr>
        <w:ind w:right="60"/>
        <w:spacing w:after="0" w:line="349" w:lineRule="auto"/>
        <w:rPr>
          <w:sz w:val="20"/>
          <w:szCs w:val="20"/>
          <w:color w:val="auto"/>
        </w:rPr>
      </w:pPr>
      <w:r>
        <w:rPr>
          <w:rFonts w:ascii="Arial" w:cs="Arial" w:eastAsia="Arial" w:hAnsi="Arial"/>
          <w:sz w:val="18"/>
          <w:szCs w:val="18"/>
          <w:color w:val="auto"/>
        </w:rPr>
        <w:t>The grant date fair value of each time-based RSU is equal to the grant date stock price. Performance-based RSUs granted during the year ended December 31, 2023 contain only non-market-based performance targets, and the grant date fair value of these awards are equal to the grant date stock prices. Because performance-based RSUs granted during the years ended December 31, 2025 and December 31, 2024 contain market-based performance targets, the fair value is estimated on the grant date using a Monte-Carlo simulation that uses the assumptions noted in the following table. Expected volatility is based on the historical volatility of the Company's shares. A historical correlation coefficient was calculated based on daily share price changes between WTW and the constituents in the peer group. The risk-free interest rate is based on the U.S. Treasury yield curve in effect at the time of the grant. Since the award payout includes dividend equivalents and total shareholder return includes the value of reinvested dividends, no dividend assumption is required for the valuation.</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920" w:type="dxa"/>
            <w:vAlign w:val="bottom"/>
          </w:tcPr>
          <w:p>
            <w:pPr>
              <w:jc w:val="right"/>
              <w:ind w:right="28"/>
              <w:spacing w:after="0"/>
              <w:rPr>
                <w:sz w:val="20"/>
                <w:szCs w:val="20"/>
                <w:color w:val="auto"/>
              </w:rPr>
            </w:pPr>
            <w:r>
              <w:rPr>
                <w:rFonts w:ascii="Arial" w:cs="Arial" w:eastAsia="Arial" w:hAnsi="Arial"/>
                <w:sz w:val="16"/>
                <w:szCs w:val="16"/>
                <w:b w:val="1"/>
                <w:bCs w:val="1"/>
                <w:color w:val="auto"/>
              </w:rPr>
              <w:t>Year ended</w:t>
            </w:r>
          </w:p>
        </w:tc>
        <w:tc>
          <w:tcPr>
            <w:tcW w:w="860" w:type="dxa"/>
            <w:vAlign w:val="bottom"/>
          </w:tcPr>
          <w:p>
            <w:pPr>
              <w:spacing w:after="0"/>
              <w:rPr>
                <w:sz w:val="16"/>
                <w:szCs w:val="16"/>
                <w:color w:val="auto"/>
              </w:rPr>
            </w:pPr>
          </w:p>
        </w:tc>
      </w:tr>
      <w:tr>
        <w:trPr>
          <w:trHeight w:val="300"/>
        </w:trPr>
        <w:tc>
          <w:tcPr>
            <w:tcW w:w="5620" w:type="dxa"/>
            <w:vAlign w:val="bottom"/>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Pr>
          <w:p>
            <w:pPr>
              <w:spacing w:after="0"/>
              <w:rPr>
                <w:sz w:val="24"/>
                <w:szCs w:val="24"/>
                <w:color w:val="auto"/>
              </w:rPr>
            </w:pPr>
          </w:p>
        </w:tc>
      </w:tr>
      <w:tr>
        <w:trPr>
          <w:trHeight w:val="281"/>
        </w:trPr>
        <w:tc>
          <w:tcPr>
            <w:tcW w:w="5620" w:type="dxa"/>
            <w:vAlign w:val="bottom"/>
          </w:tcPr>
          <w:p>
            <w:pPr>
              <w:spacing w:after="0"/>
              <w:rPr>
                <w:sz w:val="24"/>
                <w:szCs w:val="24"/>
                <w:color w:val="auto"/>
              </w:rPr>
            </w:pPr>
          </w:p>
        </w:tc>
        <w:tc>
          <w:tcPr>
            <w:tcW w:w="2920" w:type="dxa"/>
            <w:vAlign w:val="bottom"/>
          </w:tcPr>
          <w:p>
            <w:pPr>
              <w:jc w:val="right"/>
              <w:ind w:right="888"/>
              <w:spacing w:after="0"/>
              <w:rPr>
                <w:sz w:val="20"/>
                <w:szCs w:val="20"/>
                <w:color w:val="auto"/>
              </w:rPr>
            </w:pPr>
            <w:r>
              <w:rPr>
                <w:rFonts w:ascii="Arial" w:cs="Arial" w:eastAsia="Arial" w:hAnsi="Arial"/>
                <w:sz w:val="16"/>
                <w:szCs w:val="16"/>
                <w:b w:val="1"/>
                <w:bCs w:val="1"/>
                <w:color w:val="auto"/>
              </w:rPr>
              <w:t>2025</w:t>
            </w:r>
          </w:p>
        </w:tc>
        <w:tc>
          <w:tcPr>
            <w:tcW w:w="860" w:type="dxa"/>
            <w:vAlign w:val="bottom"/>
          </w:tcPr>
          <w:p>
            <w:pPr>
              <w:jc w:val="right"/>
              <w:ind w:right="443"/>
              <w:spacing w:after="0"/>
              <w:rPr>
                <w:sz w:val="20"/>
                <w:szCs w:val="20"/>
                <w:color w:val="auto"/>
              </w:rPr>
            </w:pPr>
            <w:r>
              <w:rPr>
                <w:rFonts w:ascii="Arial" w:cs="Arial" w:eastAsia="Arial" w:hAnsi="Arial"/>
                <w:sz w:val="16"/>
                <w:szCs w:val="16"/>
                <w:b w:val="1"/>
                <w:bCs w:val="1"/>
                <w:color w:val="auto"/>
                <w:w w:val="84"/>
              </w:rPr>
              <w:t>2024</w:t>
            </w:r>
          </w:p>
        </w:tc>
      </w:tr>
      <w:tr>
        <w:trPr>
          <w:trHeight w:val="42"/>
        </w:trPr>
        <w:tc>
          <w:tcPr>
            <w:tcW w:w="56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4"/>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Expected volatility</w:t>
            </w:r>
          </w:p>
        </w:tc>
        <w:tc>
          <w:tcPr>
            <w:tcW w:w="2920" w:type="dxa"/>
            <w:vAlign w:val="bottom"/>
            <w:tcBorders>
              <w:bottom w:val="single" w:sz="8" w:color="CFF0FC"/>
            </w:tcBorders>
            <w:shd w:val="clear" w:color="auto" w:fill="CFF0FC"/>
          </w:tcPr>
          <w:p>
            <w:pPr>
              <w:jc w:val="right"/>
              <w:ind w:right="388"/>
              <w:spacing w:after="0"/>
              <w:rPr>
                <w:sz w:val="20"/>
                <w:szCs w:val="20"/>
                <w:color w:val="auto"/>
              </w:rPr>
            </w:pPr>
            <w:r>
              <w:rPr>
                <w:rFonts w:ascii="Arial" w:cs="Arial" w:eastAsia="Arial" w:hAnsi="Arial"/>
                <w:sz w:val="20"/>
                <w:szCs w:val="20"/>
                <w:color w:val="auto"/>
              </w:rPr>
              <w:t>21.5%</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24.0%</w:t>
            </w:r>
          </w:p>
        </w:tc>
      </w:tr>
      <w:tr>
        <w:trPr>
          <w:trHeight w:val="274"/>
        </w:trPr>
        <w:tc>
          <w:tcPr>
            <w:tcW w:w="5620" w:type="dxa"/>
            <w:vAlign w:val="bottom"/>
          </w:tcPr>
          <w:p>
            <w:pPr>
              <w:spacing w:after="0"/>
              <w:rPr>
                <w:sz w:val="20"/>
                <w:szCs w:val="20"/>
                <w:color w:val="auto"/>
              </w:rPr>
            </w:pPr>
            <w:r>
              <w:rPr>
                <w:rFonts w:ascii="Arial" w:cs="Arial" w:eastAsia="Arial" w:hAnsi="Arial"/>
                <w:sz w:val="20"/>
                <w:szCs w:val="20"/>
                <w:color w:val="auto"/>
              </w:rPr>
              <w:t>Average expected volatility of peer companies</w:t>
            </w:r>
          </w:p>
        </w:tc>
        <w:tc>
          <w:tcPr>
            <w:tcW w:w="2920" w:type="dxa"/>
            <w:vAlign w:val="bottom"/>
          </w:tcPr>
          <w:p>
            <w:pPr>
              <w:jc w:val="right"/>
              <w:ind w:right="388"/>
              <w:spacing w:after="0"/>
              <w:rPr>
                <w:sz w:val="20"/>
                <w:szCs w:val="20"/>
                <w:color w:val="auto"/>
              </w:rPr>
            </w:pPr>
            <w:r>
              <w:rPr>
                <w:rFonts w:ascii="Arial" w:cs="Arial" w:eastAsia="Arial" w:hAnsi="Arial"/>
                <w:sz w:val="20"/>
                <w:szCs w:val="20"/>
                <w:color w:val="auto"/>
              </w:rPr>
              <w:t>30.5%</w:t>
            </w:r>
          </w:p>
        </w:tc>
        <w:tc>
          <w:tcPr>
            <w:tcW w:w="860" w:type="dxa"/>
            <w:vAlign w:val="bottom"/>
          </w:tcPr>
          <w:p>
            <w:pPr>
              <w:jc w:val="right"/>
              <w:spacing w:after="0"/>
              <w:rPr>
                <w:sz w:val="20"/>
                <w:szCs w:val="20"/>
                <w:color w:val="auto"/>
              </w:rPr>
            </w:pPr>
            <w:r>
              <w:rPr>
                <w:rFonts w:ascii="Arial" w:cs="Arial" w:eastAsia="Arial" w:hAnsi="Arial"/>
                <w:sz w:val="20"/>
                <w:szCs w:val="20"/>
                <w:color w:val="auto"/>
              </w:rPr>
              <w:t>30.8%</w:t>
            </w:r>
          </w:p>
        </w:tc>
      </w:tr>
      <w:tr>
        <w:trPr>
          <w:trHeight w:val="41"/>
        </w:trPr>
        <w:tc>
          <w:tcPr>
            <w:tcW w:w="56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4"/>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Average correlation coefficient of peer companies</w:t>
            </w:r>
          </w:p>
        </w:tc>
        <w:tc>
          <w:tcPr>
            <w:tcW w:w="2920" w:type="dxa"/>
            <w:vAlign w:val="bottom"/>
            <w:tcBorders>
              <w:bottom w:val="single" w:sz="8" w:color="CFF0FC"/>
            </w:tcBorders>
            <w:shd w:val="clear" w:color="auto" w:fill="CFF0FC"/>
          </w:tcPr>
          <w:p>
            <w:pPr>
              <w:jc w:val="right"/>
              <w:ind w:right="388"/>
              <w:spacing w:after="0"/>
              <w:rPr>
                <w:sz w:val="20"/>
                <w:szCs w:val="20"/>
                <w:color w:val="auto"/>
              </w:rPr>
            </w:pPr>
            <w:r>
              <w:rPr>
                <w:rFonts w:ascii="Arial" w:cs="Arial" w:eastAsia="Arial" w:hAnsi="Arial"/>
                <w:sz w:val="20"/>
                <w:szCs w:val="20"/>
                <w:color w:val="auto"/>
              </w:rPr>
              <w:t>30.2%</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33.1%</w:t>
            </w:r>
          </w:p>
        </w:tc>
      </w:tr>
      <w:tr>
        <w:trPr>
          <w:trHeight w:val="274"/>
        </w:trPr>
        <w:tc>
          <w:tcPr>
            <w:tcW w:w="5620" w:type="dxa"/>
            <w:vAlign w:val="bottom"/>
          </w:tcPr>
          <w:p>
            <w:pPr>
              <w:spacing w:after="0"/>
              <w:rPr>
                <w:sz w:val="20"/>
                <w:szCs w:val="20"/>
                <w:color w:val="auto"/>
              </w:rPr>
            </w:pPr>
            <w:r>
              <w:rPr>
                <w:rFonts w:ascii="Arial" w:cs="Arial" w:eastAsia="Arial" w:hAnsi="Arial"/>
                <w:sz w:val="20"/>
                <w:szCs w:val="20"/>
                <w:color w:val="auto"/>
              </w:rPr>
              <w:t>Expected life (years)</w:t>
            </w:r>
          </w:p>
        </w:tc>
        <w:tc>
          <w:tcPr>
            <w:tcW w:w="2920" w:type="dxa"/>
            <w:vAlign w:val="bottom"/>
          </w:tcPr>
          <w:p>
            <w:pPr>
              <w:jc w:val="right"/>
              <w:ind w:right="568"/>
              <w:spacing w:after="0"/>
              <w:rPr>
                <w:sz w:val="20"/>
                <w:szCs w:val="20"/>
                <w:color w:val="auto"/>
              </w:rPr>
            </w:pPr>
            <w:r>
              <w:rPr>
                <w:rFonts w:ascii="Arial" w:cs="Arial" w:eastAsia="Arial" w:hAnsi="Arial"/>
                <w:sz w:val="20"/>
                <w:szCs w:val="20"/>
                <w:color w:val="auto"/>
              </w:rPr>
              <w:t>2.7</w:t>
            </w:r>
          </w:p>
        </w:tc>
        <w:tc>
          <w:tcPr>
            <w:tcW w:w="860" w:type="dxa"/>
            <w:vAlign w:val="bottom"/>
          </w:tcPr>
          <w:p>
            <w:pPr>
              <w:jc w:val="right"/>
              <w:ind w:right="103"/>
              <w:spacing w:after="0"/>
              <w:rPr>
                <w:sz w:val="20"/>
                <w:szCs w:val="20"/>
                <w:color w:val="auto"/>
              </w:rPr>
            </w:pPr>
            <w:r>
              <w:rPr>
                <w:rFonts w:ascii="Arial" w:cs="Arial" w:eastAsia="Arial" w:hAnsi="Arial"/>
                <w:sz w:val="20"/>
                <w:szCs w:val="20"/>
                <w:color w:val="auto"/>
              </w:rPr>
              <w:t>2.8</w:t>
            </w:r>
          </w:p>
        </w:tc>
      </w:tr>
      <w:tr>
        <w:trPr>
          <w:trHeight w:val="41"/>
        </w:trPr>
        <w:tc>
          <w:tcPr>
            <w:tcW w:w="56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74"/>
        </w:trPr>
        <w:tc>
          <w:tcPr>
            <w:tcW w:w="5620" w:type="dxa"/>
            <w:vAlign w:val="bottom"/>
            <w:shd w:val="clear" w:color="auto" w:fill="CFF0FC"/>
          </w:tcPr>
          <w:p>
            <w:pPr>
              <w:spacing w:after="0"/>
              <w:rPr>
                <w:sz w:val="20"/>
                <w:szCs w:val="20"/>
                <w:color w:val="auto"/>
              </w:rPr>
            </w:pPr>
            <w:r>
              <w:rPr>
                <w:rFonts w:ascii="Arial" w:cs="Arial" w:eastAsia="Arial" w:hAnsi="Arial"/>
                <w:sz w:val="20"/>
                <w:szCs w:val="20"/>
                <w:color w:val="auto"/>
              </w:rPr>
              <w:t>Risk-free interest rate</w:t>
            </w:r>
          </w:p>
        </w:tc>
        <w:tc>
          <w:tcPr>
            <w:tcW w:w="2920" w:type="dxa"/>
            <w:vAlign w:val="bottom"/>
            <w:shd w:val="clear" w:color="auto" w:fill="CFF0FC"/>
          </w:tcPr>
          <w:p>
            <w:pPr>
              <w:jc w:val="right"/>
              <w:ind w:right="388"/>
              <w:spacing w:after="0"/>
              <w:rPr>
                <w:sz w:val="20"/>
                <w:szCs w:val="20"/>
                <w:color w:val="auto"/>
              </w:rPr>
            </w:pPr>
            <w:r>
              <w:rPr>
                <w:rFonts w:ascii="Arial" w:cs="Arial" w:eastAsia="Arial" w:hAnsi="Arial"/>
                <w:sz w:val="20"/>
                <w:szCs w:val="20"/>
                <w:color w:val="auto"/>
              </w:rPr>
              <w:t>3.8%</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w:t>
            </w:r>
          </w:p>
        </w:tc>
      </w:tr>
      <w:tr>
        <w:trPr>
          <w:trHeight w:val="41"/>
        </w:trPr>
        <w:tc>
          <w:tcPr>
            <w:tcW w:w="5620" w:type="dxa"/>
            <w:vAlign w:val="bottom"/>
            <w:shd w:val="clear" w:color="auto" w:fill="CFF0FC"/>
          </w:tcPr>
          <w:p>
            <w:pPr>
              <w:spacing w:after="0"/>
              <w:rPr>
                <w:sz w:val="3"/>
                <w:szCs w:val="3"/>
                <w:color w:val="auto"/>
              </w:rPr>
            </w:pPr>
          </w:p>
        </w:tc>
        <w:tc>
          <w:tcPr>
            <w:tcW w:w="292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-1171575</wp:posOffset>
            </wp:positionV>
            <wp:extent cx="1576705" cy="63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4">
                      <a:extLst>
                        <a:ext uri="{28A0092B-C50C-407E-A947-70E740481C1C}"/>
                      </a:extLst>
                    </a:blip>
                    <a:srcRect/>
                    <a:stretch>
                      <a:fillRect/>
                    </a:stretch>
                  </pic:blipFill>
                  <pic:spPr bwMode="auto">
                    <a:xfrm>
                      <a:off x="0" y="0"/>
                      <a:ext cx="1576705" cy="6350"/>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-1003935</wp:posOffset>
            </wp:positionV>
            <wp:extent cx="1576705" cy="63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5">
                      <a:extLst>
                        <a:ext uri="{28A0092B-C50C-407E-A947-70E740481C1C}"/>
                      </a:extLst>
                    </a:blip>
                    <a:srcRect/>
                    <a:stretch>
                      <a:fillRect/>
                    </a:stretch>
                  </pic:blipFill>
                  <pic:spPr bwMode="auto">
                    <a:xfrm>
                      <a:off x="0" y="0"/>
                      <a:ext cx="1576705" cy="6350"/>
                    </a:xfrm>
                    <a:prstGeom prst="rect">
                      <a:avLst/>
                    </a:prstGeom>
                    <a:noFill/>
                  </pic:spPr>
                </pic:pic>
              </a:graphicData>
            </a:graphic>
          </wp:anchor>
        </w:drawing>
      </w:r>
    </w:p>
    <w:p>
      <w:pPr>
        <w:spacing w:after="0" w:line="319" w:lineRule="exact"/>
        <w:rPr>
          <w:sz w:val="20"/>
          <w:szCs w:val="20"/>
          <w:color w:val="auto"/>
        </w:rPr>
      </w:pPr>
    </w:p>
    <w:p>
      <w:pPr>
        <w:jc w:val="both"/>
        <w:ind w:right="200"/>
        <w:spacing w:after="0" w:line="355" w:lineRule="auto"/>
        <w:rPr>
          <w:sz w:val="20"/>
          <w:szCs w:val="20"/>
          <w:color w:val="auto"/>
        </w:rPr>
      </w:pPr>
      <w:r>
        <w:rPr>
          <w:rFonts w:ascii="Arial" w:cs="Arial" w:eastAsia="Arial" w:hAnsi="Arial"/>
          <w:sz w:val="18"/>
          <w:szCs w:val="18"/>
          <w:color w:val="auto"/>
        </w:rPr>
        <w:t>During the year ended December 31, 2023, certain performance-based RSU awards were modified to either better align the payout percentages for the broad-based population with the awards granted to the executive officers, or to reflect the impact of the divestment of our Russian business in 2022. In total, 464 grantees benefited from the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 / 24</w:t>
      </w:r>
    </w:p>
    <w:p>
      <w:pPr>
        <w:sectPr>
          <w:pgSz w:w="11900" w:h="16838" w:orient="portrait"/>
          <w:cols w:equalWidth="0" w:num="1">
            <w:col w:w="9400"/>
          </w:cols>
          <w:pgMar w:left="1260" w:top="1440" w:right="1246" w:bottom="0" w:gutter="0" w:footer="0" w:header="0"/>
          <w:type w:val="continuous"/>
        </w:sectPr>
      </w:pPr>
    </w:p>
    <w:bookmarkStart w:id="255" w:name="page256"/>
    <w:bookmarkEnd w:id="255"/>
    <w:p>
      <w:pPr>
        <w:ind w:right="146"/>
        <w:spacing w:after="0" w:line="307" w:lineRule="auto"/>
        <w:rPr>
          <w:sz w:val="20"/>
          <w:szCs w:val="20"/>
          <w:color w:val="auto"/>
        </w:rPr>
      </w:pPr>
      <w:r>
        <w:rPr>
          <w:rFonts w:ascii="Arial" w:cs="Arial" w:eastAsia="Arial" w:hAnsi="Arial"/>
          <w:sz w:val="20"/>
          <w:szCs w:val="20"/>
          <w:color w:val="auto"/>
        </w:rPr>
        <w:t>modifications. Incremental compensation cost of $14 million has been recognized over the remaining service periods, $6 million of which was included within transaction and transformation on the consolidated statement of comprehensive income during the year ended December 31, 2023.</w:t>
      </w:r>
    </w:p>
    <w:p>
      <w:pPr>
        <w:spacing w:after="0" w:line="248"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20 / 24</w:t>
      </w:r>
    </w:p>
    <w:p>
      <w:pPr>
        <w:sectPr>
          <w:pgSz w:w="11900" w:h="16838" w:orient="portrait"/>
          <w:cols w:equalWidth="0" w:num="1">
            <w:col w:w="9206"/>
          </w:cols>
          <w:pgMar w:left="1260" w:top="1173" w:right="1440" w:bottom="0" w:gutter="0" w:footer="0" w:header="0"/>
          <w:type w:val="continuous"/>
        </w:sectPr>
      </w:pPr>
    </w:p>
    <w:bookmarkStart w:id="256" w:name="page257"/>
    <w:bookmarkEnd w:id="256"/>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Award Activity</w:t>
      </w:r>
    </w:p>
    <w:p>
      <w:pPr>
        <w:spacing w:after="0" w:line="380" w:lineRule="exact"/>
        <w:rPr>
          <w:sz w:val="20"/>
          <w:szCs w:val="20"/>
          <w:color w:val="auto"/>
        </w:rPr>
      </w:pPr>
    </w:p>
    <w:p>
      <w:pPr>
        <w:ind w:right="140"/>
        <w:spacing w:after="0" w:line="302" w:lineRule="auto"/>
        <w:rPr>
          <w:sz w:val="20"/>
          <w:szCs w:val="20"/>
          <w:color w:val="auto"/>
        </w:rPr>
      </w:pPr>
      <w:r>
        <w:rPr>
          <w:rFonts w:ascii="Arial" w:cs="Arial" w:eastAsia="Arial" w:hAnsi="Arial"/>
          <w:sz w:val="20"/>
          <w:szCs w:val="20"/>
          <w:color w:val="auto"/>
        </w:rPr>
        <w:t>A summary of time-based and performance-based RSU activity under the plans at December 31, 2025, and changes during the year then ended, is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86"/>
              <w:spacing w:after="0"/>
              <w:rPr>
                <w:sz w:val="20"/>
                <w:szCs w:val="20"/>
                <w:color w:val="auto"/>
              </w:rPr>
            </w:pPr>
            <w:r>
              <w:rPr>
                <w:rFonts w:ascii="Arial" w:cs="Arial" w:eastAsia="Arial" w:hAnsi="Arial"/>
                <w:sz w:val="16"/>
                <w:szCs w:val="16"/>
                <w:b w:val="1"/>
                <w:bCs w:val="1"/>
                <w:color w:val="auto"/>
                <w:w w:val="93"/>
              </w:rPr>
              <w:t>Weighted-</w:t>
            </w:r>
          </w:p>
        </w:tc>
      </w:tr>
      <w:tr>
        <w:trPr>
          <w:trHeight w:val="240"/>
        </w:trPr>
        <w:tc>
          <w:tcPr>
            <w:tcW w:w="47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center"/>
              <w:ind w:right="186"/>
              <w:spacing w:after="0"/>
              <w:rPr>
                <w:sz w:val="20"/>
                <w:szCs w:val="20"/>
                <w:color w:val="auto"/>
              </w:rPr>
            </w:pPr>
            <w:r>
              <w:rPr>
                <w:rFonts w:ascii="Arial" w:cs="Arial" w:eastAsia="Arial" w:hAnsi="Arial"/>
                <w:sz w:val="16"/>
                <w:szCs w:val="16"/>
                <w:b w:val="1"/>
                <w:bCs w:val="1"/>
                <w:color w:val="auto"/>
                <w:w w:val="88"/>
              </w:rPr>
              <w:t>Average</w:t>
            </w:r>
          </w:p>
        </w:tc>
      </w:tr>
      <w:tr>
        <w:trPr>
          <w:trHeight w:val="240"/>
        </w:trPr>
        <w:tc>
          <w:tcPr>
            <w:tcW w:w="4740" w:type="dxa"/>
            <w:vAlign w:val="bottom"/>
          </w:tcPr>
          <w:p>
            <w:pPr>
              <w:spacing w:after="0"/>
              <w:rPr>
                <w:sz w:val="20"/>
                <w:szCs w:val="20"/>
                <w:color w:val="auto"/>
              </w:rPr>
            </w:pPr>
          </w:p>
        </w:tc>
        <w:tc>
          <w:tcPr>
            <w:tcW w:w="3140" w:type="dxa"/>
            <w:vAlign w:val="bottom"/>
          </w:tcPr>
          <w:p>
            <w:pPr>
              <w:jc w:val="right"/>
              <w:ind w:right="483"/>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20"/>
                <w:szCs w:val="20"/>
                <w:color w:val="auto"/>
              </w:rPr>
            </w:pPr>
          </w:p>
        </w:tc>
        <w:tc>
          <w:tcPr>
            <w:tcW w:w="1240" w:type="dxa"/>
            <w:vAlign w:val="bottom"/>
          </w:tcPr>
          <w:p>
            <w:pPr>
              <w:jc w:val="center"/>
              <w:ind w:right="206"/>
              <w:spacing w:after="0"/>
              <w:rPr>
                <w:sz w:val="20"/>
                <w:szCs w:val="20"/>
                <w:color w:val="auto"/>
              </w:rPr>
            </w:pPr>
            <w:r>
              <w:rPr>
                <w:rFonts w:ascii="Arial" w:cs="Arial" w:eastAsia="Arial" w:hAnsi="Arial"/>
                <w:sz w:val="16"/>
                <w:szCs w:val="16"/>
                <w:b w:val="1"/>
                <w:bCs w:val="1"/>
                <w:color w:val="auto"/>
                <w:w w:val="95"/>
              </w:rPr>
              <w:t>Grant Date</w:t>
            </w:r>
          </w:p>
        </w:tc>
      </w:tr>
      <w:tr>
        <w:trPr>
          <w:trHeight w:val="240"/>
        </w:trPr>
        <w:tc>
          <w:tcPr>
            <w:tcW w:w="4740" w:type="dxa"/>
            <w:vAlign w:val="bottom"/>
          </w:tcPr>
          <w:p>
            <w:pPr>
              <w:spacing w:after="0"/>
              <w:rPr>
                <w:sz w:val="20"/>
                <w:szCs w:val="20"/>
                <w:color w:val="auto"/>
              </w:rPr>
            </w:pPr>
          </w:p>
        </w:tc>
        <w:tc>
          <w:tcPr>
            <w:tcW w:w="3140" w:type="dxa"/>
            <w:vAlign w:val="bottom"/>
          </w:tcPr>
          <w:p>
            <w:pPr>
              <w:jc w:val="right"/>
              <w:ind w:right="303"/>
              <w:spacing w:after="0"/>
              <w:rPr>
                <w:sz w:val="20"/>
                <w:szCs w:val="20"/>
                <w:color w:val="auto"/>
              </w:rPr>
            </w:pPr>
            <w:r>
              <w:rPr>
                <w:rFonts w:ascii="Arial" w:cs="Arial" w:eastAsia="Arial" w:hAnsi="Arial"/>
                <w:sz w:val="16"/>
                <w:szCs w:val="16"/>
                <w:b w:val="1"/>
                <w:bCs w:val="1"/>
                <w:color w:val="auto"/>
              </w:rPr>
              <w:t>(thousands)</w:t>
            </w:r>
          </w:p>
        </w:tc>
        <w:tc>
          <w:tcPr>
            <w:tcW w:w="280" w:type="dxa"/>
            <w:vAlign w:val="bottom"/>
          </w:tcPr>
          <w:p>
            <w:pPr>
              <w:spacing w:after="0"/>
              <w:rPr>
                <w:sz w:val="20"/>
                <w:szCs w:val="20"/>
                <w:color w:val="auto"/>
              </w:rPr>
            </w:pPr>
          </w:p>
        </w:tc>
        <w:tc>
          <w:tcPr>
            <w:tcW w:w="1240" w:type="dxa"/>
            <w:vAlign w:val="bottom"/>
          </w:tcPr>
          <w:p>
            <w:pPr>
              <w:jc w:val="center"/>
              <w:ind w:right="206"/>
              <w:spacing w:after="0"/>
              <w:rPr>
                <w:sz w:val="20"/>
                <w:szCs w:val="20"/>
                <w:color w:val="auto"/>
              </w:rPr>
            </w:pPr>
            <w:r>
              <w:rPr>
                <w:rFonts w:ascii="Arial" w:cs="Arial" w:eastAsia="Arial" w:hAnsi="Arial"/>
                <w:sz w:val="16"/>
                <w:szCs w:val="16"/>
                <w:b w:val="1"/>
                <w:bCs w:val="1"/>
                <w:color w:val="auto"/>
                <w:w w:val="96"/>
              </w:rPr>
              <w:t>Fair Value</w:t>
            </w:r>
          </w:p>
        </w:tc>
      </w:tr>
      <w:tr>
        <w:trPr>
          <w:trHeight w:val="42"/>
        </w:trPr>
        <w:tc>
          <w:tcPr>
            <w:tcW w:w="4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0"/>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Time-based RSUs</w:t>
            </w:r>
          </w:p>
        </w:tc>
        <w:tc>
          <w:tcPr>
            <w:tcW w:w="3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r>
      <w:tr>
        <w:trPr>
          <w:trHeight w:val="259"/>
        </w:trPr>
        <w:tc>
          <w:tcPr>
            <w:tcW w:w="4740" w:type="dxa"/>
            <w:vAlign w:val="bottom"/>
          </w:tcPr>
          <w:p>
            <w:pPr>
              <w:ind w:left="120"/>
              <w:spacing w:after="0"/>
              <w:rPr>
                <w:sz w:val="20"/>
                <w:szCs w:val="20"/>
                <w:color w:val="auto"/>
              </w:rPr>
            </w:pPr>
            <w:r>
              <w:rPr>
                <w:rFonts w:ascii="Arial" w:cs="Arial" w:eastAsia="Arial" w:hAnsi="Arial"/>
                <w:sz w:val="20"/>
                <w:szCs w:val="20"/>
                <w:color w:val="auto"/>
              </w:rPr>
              <w:t>Balance as of December 31, 2024</w:t>
            </w:r>
          </w:p>
        </w:tc>
        <w:tc>
          <w:tcPr>
            <w:tcW w:w="3140" w:type="dxa"/>
            <w:vAlign w:val="bottom"/>
          </w:tcPr>
          <w:p>
            <w:pPr>
              <w:jc w:val="right"/>
              <w:ind w:right="63"/>
              <w:spacing w:after="0"/>
              <w:rPr>
                <w:sz w:val="20"/>
                <w:szCs w:val="20"/>
                <w:color w:val="auto"/>
              </w:rPr>
            </w:pPr>
            <w:r>
              <w:rPr>
                <w:rFonts w:ascii="Arial" w:cs="Arial" w:eastAsia="Arial" w:hAnsi="Arial"/>
                <w:sz w:val="20"/>
                <w:szCs w:val="20"/>
                <w:color w:val="auto"/>
              </w:rPr>
              <w:t>242</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6"/>
              <w:spacing w:after="0"/>
              <w:rPr>
                <w:sz w:val="20"/>
                <w:szCs w:val="20"/>
                <w:color w:val="auto"/>
              </w:rPr>
            </w:pPr>
            <w:r>
              <w:rPr>
                <w:rFonts w:ascii="Arial" w:cs="Arial" w:eastAsia="Arial" w:hAnsi="Arial"/>
                <w:sz w:val="20"/>
                <w:szCs w:val="20"/>
                <w:color w:val="auto"/>
              </w:rPr>
              <w:t>256.97</w:t>
            </w:r>
          </w:p>
        </w:tc>
      </w:tr>
      <w:tr>
        <w:trPr>
          <w:trHeight w:val="41"/>
        </w:trPr>
        <w:tc>
          <w:tcPr>
            <w:tcW w:w="4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0"/>
        </w:trPr>
        <w:tc>
          <w:tcPr>
            <w:tcW w:w="47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Granted</w:t>
            </w:r>
          </w:p>
        </w:tc>
        <w:tc>
          <w:tcPr>
            <w:tcW w:w="3140" w:type="dxa"/>
            <w:vAlign w:val="bottom"/>
            <w:tcBorders>
              <w:bottom w:val="single" w:sz="8" w:color="CFF0FC"/>
            </w:tcBorders>
            <w:shd w:val="clear" w:color="auto" w:fill="CFF0FC"/>
          </w:tcPr>
          <w:p>
            <w:pPr>
              <w:jc w:val="right"/>
              <w:ind w:right="63"/>
              <w:spacing w:after="0"/>
              <w:rPr>
                <w:sz w:val="20"/>
                <w:szCs w:val="20"/>
                <w:color w:val="auto"/>
              </w:rPr>
            </w:pPr>
            <w:r>
              <w:rPr>
                <w:rFonts w:ascii="Arial" w:cs="Arial" w:eastAsia="Arial" w:hAnsi="Arial"/>
                <w:sz w:val="20"/>
                <w:szCs w:val="20"/>
                <w:color w:val="auto"/>
              </w:rPr>
              <w:t>152</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20"/>
                <w:szCs w:val="20"/>
                <w:color w:val="auto"/>
              </w:rPr>
              <w:t>317.79</w:t>
            </w:r>
          </w:p>
        </w:tc>
      </w:tr>
      <w:tr>
        <w:trPr>
          <w:trHeight w:val="259"/>
        </w:trPr>
        <w:tc>
          <w:tcPr>
            <w:tcW w:w="4740" w:type="dxa"/>
            <w:vAlign w:val="bottom"/>
          </w:tcPr>
          <w:p>
            <w:pPr>
              <w:ind w:left="220"/>
              <w:spacing w:after="0"/>
              <w:rPr>
                <w:sz w:val="20"/>
                <w:szCs w:val="20"/>
                <w:color w:val="auto"/>
              </w:rPr>
            </w:pPr>
            <w:r>
              <w:rPr>
                <w:rFonts w:ascii="Arial" w:cs="Arial" w:eastAsia="Arial" w:hAnsi="Arial"/>
                <w:sz w:val="20"/>
                <w:szCs w:val="20"/>
                <w:color w:val="auto"/>
              </w:rPr>
              <w:t>Vested</w:t>
            </w:r>
          </w:p>
        </w:tc>
        <w:tc>
          <w:tcPr>
            <w:tcW w:w="3140" w:type="dxa"/>
            <w:vAlign w:val="bottom"/>
          </w:tcPr>
          <w:p>
            <w:pPr>
              <w:jc w:val="right"/>
              <w:spacing w:after="0"/>
              <w:rPr>
                <w:sz w:val="20"/>
                <w:szCs w:val="20"/>
                <w:color w:val="auto"/>
              </w:rPr>
            </w:pPr>
            <w:r>
              <w:rPr>
                <w:rFonts w:ascii="Arial" w:cs="Arial" w:eastAsia="Arial" w:hAnsi="Arial"/>
                <w:sz w:val="20"/>
                <w:szCs w:val="20"/>
                <w:color w:val="auto"/>
              </w:rPr>
              <w:t>(114)</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6"/>
              <w:spacing w:after="0"/>
              <w:rPr>
                <w:sz w:val="20"/>
                <w:szCs w:val="20"/>
                <w:color w:val="auto"/>
              </w:rPr>
            </w:pPr>
            <w:r>
              <w:rPr>
                <w:rFonts w:ascii="Arial" w:cs="Arial" w:eastAsia="Arial" w:hAnsi="Arial"/>
                <w:sz w:val="20"/>
                <w:szCs w:val="20"/>
                <w:color w:val="auto"/>
              </w:rPr>
              <w:t>260.83</w:t>
            </w:r>
          </w:p>
        </w:tc>
      </w:tr>
      <w:tr>
        <w:trPr>
          <w:trHeight w:val="41"/>
        </w:trPr>
        <w:tc>
          <w:tcPr>
            <w:tcW w:w="4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90"/>
        </w:trPr>
        <w:tc>
          <w:tcPr>
            <w:tcW w:w="47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Forfeited</w:t>
            </w:r>
          </w:p>
        </w:tc>
        <w:tc>
          <w:tcPr>
            <w:tcW w:w="3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20"/>
                <w:szCs w:val="20"/>
                <w:color w:val="auto"/>
              </w:rPr>
              <w:t>252.60</w:t>
            </w:r>
          </w:p>
        </w:tc>
      </w:tr>
      <w:tr>
        <w:trPr>
          <w:trHeight w:val="304"/>
        </w:trPr>
        <w:tc>
          <w:tcPr>
            <w:tcW w:w="4740" w:type="dxa"/>
            <w:vAlign w:val="bottom"/>
          </w:tcPr>
          <w:p>
            <w:pPr>
              <w:ind w:left="120"/>
              <w:spacing w:after="0"/>
              <w:rPr>
                <w:sz w:val="20"/>
                <w:szCs w:val="20"/>
                <w:color w:val="auto"/>
              </w:rPr>
            </w:pPr>
            <w:r>
              <w:rPr>
                <w:rFonts w:ascii="Arial" w:cs="Arial" w:eastAsia="Arial" w:hAnsi="Arial"/>
                <w:sz w:val="20"/>
                <w:szCs w:val="20"/>
                <w:color w:val="auto"/>
              </w:rPr>
              <w:t>Balance as of December 31, 2025</w:t>
            </w:r>
          </w:p>
        </w:tc>
        <w:tc>
          <w:tcPr>
            <w:tcW w:w="3140" w:type="dxa"/>
            <w:vAlign w:val="bottom"/>
          </w:tcPr>
          <w:p>
            <w:pPr>
              <w:jc w:val="right"/>
              <w:ind w:right="63"/>
              <w:spacing w:after="0"/>
              <w:rPr>
                <w:sz w:val="20"/>
                <w:szCs w:val="20"/>
                <w:color w:val="auto"/>
              </w:rPr>
            </w:pPr>
            <w:r>
              <w:rPr>
                <w:rFonts w:ascii="Arial" w:cs="Arial" w:eastAsia="Arial" w:hAnsi="Arial"/>
                <w:sz w:val="20"/>
                <w:szCs w:val="20"/>
                <w:color w:val="auto"/>
              </w:rPr>
              <w:t>258</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6"/>
              <w:spacing w:after="0"/>
              <w:rPr>
                <w:sz w:val="20"/>
                <w:szCs w:val="20"/>
                <w:color w:val="auto"/>
              </w:rPr>
            </w:pPr>
            <w:r>
              <w:rPr>
                <w:rFonts w:ascii="Arial" w:cs="Arial" w:eastAsia="Arial" w:hAnsi="Arial"/>
                <w:sz w:val="20"/>
                <w:szCs w:val="20"/>
                <w:color w:val="auto"/>
              </w:rPr>
              <w:t>291.62</w:t>
            </w:r>
          </w:p>
        </w:tc>
      </w:tr>
      <w:tr>
        <w:trPr>
          <w:trHeight w:val="41"/>
        </w:trPr>
        <w:tc>
          <w:tcPr>
            <w:tcW w:w="4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0"/>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Performance-based RSUs</w:t>
            </w:r>
          </w:p>
        </w:tc>
        <w:tc>
          <w:tcPr>
            <w:tcW w:w="3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r>
      <w:tr>
        <w:trPr>
          <w:trHeight w:val="259"/>
        </w:trPr>
        <w:tc>
          <w:tcPr>
            <w:tcW w:w="4740" w:type="dxa"/>
            <w:vAlign w:val="bottom"/>
          </w:tcPr>
          <w:p>
            <w:pPr>
              <w:ind w:left="120"/>
              <w:spacing w:after="0"/>
              <w:rPr>
                <w:sz w:val="20"/>
                <w:szCs w:val="20"/>
                <w:color w:val="auto"/>
              </w:rPr>
            </w:pPr>
            <w:r>
              <w:rPr>
                <w:rFonts w:ascii="Arial" w:cs="Arial" w:eastAsia="Arial" w:hAnsi="Arial"/>
                <w:sz w:val="20"/>
                <w:szCs w:val="20"/>
                <w:color w:val="auto"/>
              </w:rPr>
              <w:t>Balance as of December 31, 2024</w:t>
            </w:r>
          </w:p>
        </w:tc>
        <w:tc>
          <w:tcPr>
            <w:tcW w:w="3140" w:type="dxa"/>
            <w:vAlign w:val="bottom"/>
          </w:tcPr>
          <w:p>
            <w:pPr>
              <w:jc w:val="right"/>
              <w:ind w:right="63"/>
              <w:spacing w:after="0"/>
              <w:rPr>
                <w:sz w:val="20"/>
                <w:szCs w:val="20"/>
                <w:color w:val="auto"/>
              </w:rPr>
            </w:pPr>
            <w:r>
              <w:rPr>
                <w:rFonts w:ascii="Arial" w:cs="Arial" w:eastAsia="Arial" w:hAnsi="Arial"/>
                <w:sz w:val="20"/>
                <w:szCs w:val="20"/>
                <w:color w:val="auto"/>
              </w:rPr>
              <w:t>578</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6"/>
              <w:spacing w:after="0"/>
              <w:rPr>
                <w:sz w:val="20"/>
                <w:szCs w:val="20"/>
                <w:color w:val="auto"/>
              </w:rPr>
            </w:pPr>
            <w:r>
              <w:rPr>
                <w:rFonts w:ascii="Arial" w:cs="Arial" w:eastAsia="Arial" w:hAnsi="Arial"/>
                <w:sz w:val="20"/>
                <w:szCs w:val="20"/>
                <w:color w:val="auto"/>
              </w:rPr>
              <w:t>257.22</w:t>
            </w:r>
          </w:p>
        </w:tc>
      </w:tr>
      <w:tr>
        <w:trPr>
          <w:trHeight w:val="41"/>
        </w:trPr>
        <w:tc>
          <w:tcPr>
            <w:tcW w:w="4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80"/>
        </w:trPr>
        <w:tc>
          <w:tcPr>
            <w:tcW w:w="47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Granted</w:t>
            </w:r>
          </w:p>
        </w:tc>
        <w:tc>
          <w:tcPr>
            <w:tcW w:w="3140" w:type="dxa"/>
            <w:vAlign w:val="bottom"/>
            <w:tcBorders>
              <w:bottom w:val="single" w:sz="8" w:color="CFF0FC"/>
            </w:tcBorders>
            <w:shd w:val="clear" w:color="auto" w:fill="CFF0FC"/>
          </w:tcPr>
          <w:p>
            <w:pPr>
              <w:jc w:val="right"/>
              <w:ind w:right="63"/>
              <w:spacing w:after="0"/>
              <w:rPr>
                <w:sz w:val="20"/>
                <w:szCs w:val="20"/>
                <w:color w:val="auto"/>
              </w:rPr>
            </w:pPr>
            <w:r>
              <w:rPr>
                <w:rFonts w:ascii="Arial" w:cs="Arial" w:eastAsia="Arial" w:hAnsi="Arial"/>
                <w:sz w:val="20"/>
                <w:szCs w:val="20"/>
                <w:color w:val="auto"/>
              </w:rPr>
              <w:t>305</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20"/>
                <w:szCs w:val="20"/>
                <w:color w:val="auto"/>
              </w:rPr>
              <w:t>321.97</w:t>
            </w:r>
          </w:p>
        </w:tc>
      </w:tr>
      <w:tr>
        <w:trPr>
          <w:trHeight w:val="259"/>
        </w:trPr>
        <w:tc>
          <w:tcPr>
            <w:tcW w:w="4740" w:type="dxa"/>
            <w:vAlign w:val="bottom"/>
          </w:tcPr>
          <w:p>
            <w:pPr>
              <w:ind w:left="220"/>
              <w:spacing w:after="0"/>
              <w:rPr>
                <w:sz w:val="20"/>
                <w:szCs w:val="20"/>
                <w:color w:val="auto"/>
              </w:rPr>
            </w:pPr>
            <w:r>
              <w:rPr>
                <w:rFonts w:ascii="Arial" w:cs="Arial" w:eastAsia="Arial" w:hAnsi="Arial"/>
                <w:sz w:val="20"/>
                <w:szCs w:val="20"/>
                <w:color w:val="auto"/>
              </w:rPr>
              <w:t>Vested</w:t>
            </w:r>
          </w:p>
        </w:tc>
        <w:tc>
          <w:tcPr>
            <w:tcW w:w="3140" w:type="dxa"/>
            <w:vAlign w:val="bottom"/>
          </w:tcPr>
          <w:p>
            <w:pPr>
              <w:jc w:val="right"/>
              <w:spacing w:after="0"/>
              <w:rPr>
                <w:sz w:val="20"/>
                <w:szCs w:val="20"/>
                <w:color w:val="auto"/>
              </w:rPr>
            </w:pPr>
            <w:r>
              <w:rPr>
                <w:rFonts w:ascii="Arial" w:cs="Arial" w:eastAsia="Arial" w:hAnsi="Arial"/>
                <w:sz w:val="20"/>
                <w:szCs w:val="20"/>
                <w:color w:val="auto"/>
              </w:rPr>
              <w:t>(256)</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6"/>
              <w:spacing w:after="0"/>
              <w:rPr>
                <w:sz w:val="20"/>
                <w:szCs w:val="20"/>
                <w:color w:val="auto"/>
              </w:rPr>
            </w:pPr>
            <w:r>
              <w:rPr>
                <w:rFonts w:ascii="Arial" w:cs="Arial" w:eastAsia="Arial" w:hAnsi="Arial"/>
                <w:sz w:val="20"/>
                <w:szCs w:val="20"/>
                <w:color w:val="auto"/>
              </w:rPr>
              <w:t>236.49</w:t>
            </w:r>
          </w:p>
        </w:tc>
      </w:tr>
      <w:tr>
        <w:trPr>
          <w:trHeight w:val="41"/>
        </w:trPr>
        <w:tc>
          <w:tcPr>
            <w:tcW w:w="47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90"/>
        </w:trPr>
        <w:tc>
          <w:tcPr>
            <w:tcW w:w="47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Forfeited</w:t>
            </w:r>
          </w:p>
        </w:tc>
        <w:tc>
          <w:tcPr>
            <w:tcW w:w="3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(32)</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20"/>
                <w:szCs w:val="20"/>
                <w:color w:val="auto"/>
              </w:rPr>
              <w:t>282.22</w:t>
            </w:r>
          </w:p>
        </w:tc>
      </w:tr>
      <w:tr>
        <w:trPr>
          <w:trHeight w:val="304"/>
        </w:trPr>
        <w:tc>
          <w:tcPr>
            <w:tcW w:w="4740" w:type="dxa"/>
            <w:vAlign w:val="bottom"/>
          </w:tcPr>
          <w:p>
            <w:pPr>
              <w:ind w:left="120"/>
              <w:spacing w:after="0"/>
              <w:rPr>
                <w:sz w:val="20"/>
                <w:szCs w:val="20"/>
                <w:color w:val="auto"/>
              </w:rPr>
            </w:pPr>
            <w:r>
              <w:rPr>
                <w:rFonts w:ascii="Arial" w:cs="Arial" w:eastAsia="Arial" w:hAnsi="Arial"/>
                <w:sz w:val="20"/>
                <w:szCs w:val="20"/>
                <w:color w:val="auto"/>
              </w:rPr>
              <w:t>Balance as of December 31, 2025</w:t>
            </w:r>
          </w:p>
        </w:tc>
        <w:tc>
          <w:tcPr>
            <w:tcW w:w="3140" w:type="dxa"/>
            <w:vAlign w:val="bottom"/>
          </w:tcPr>
          <w:p>
            <w:pPr>
              <w:jc w:val="right"/>
              <w:ind w:right="63"/>
              <w:spacing w:after="0"/>
              <w:rPr>
                <w:sz w:val="20"/>
                <w:szCs w:val="20"/>
                <w:color w:val="auto"/>
              </w:rPr>
            </w:pPr>
            <w:r>
              <w:rPr>
                <w:rFonts w:ascii="Arial" w:cs="Arial" w:eastAsia="Arial" w:hAnsi="Arial"/>
                <w:sz w:val="20"/>
                <w:szCs w:val="20"/>
                <w:color w:val="auto"/>
              </w:rPr>
              <w:t>595</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6"/>
              <w:spacing w:after="0"/>
              <w:rPr>
                <w:sz w:val="20"/>
                <w:szCs w:val="20"/>
                <w:color w:val="auto"/>
              </w:rPr>
            </w:pPr>
            <w:r>
              <w:rPr>
                <w:rFonts w:ascii="Arial" w:cs="Arial" w:eastAsia="Arial" w:hAnsi="Arial"/>
                <w:sz w:val="20"/>
                <w:szCs w:val="20"/>
                <w:color w:val="auto"/>
              </w:rPr>
              <w:t>297.98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4077970</wp:posOffset>
            </wp:positionH>
            <wp:positionV relativeFrom="paragraph">
              <wp:posOffset>-2335530</wp:posOffset>
            </wp:positionV>
            <wp:extent cx="1885950" cy="63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7">
                      <a:extLst>
                        <a:ext uri="{28A0092B-C50C-407E-A947-70E740481C1C}"/>
                      </a:extLst>
                    </a:blip>
                    <a:srcRect/>
                    <a:stretch>
                      <a:fillRect/>
                    </a:stretch>
                  </pic:blipFill>
                  <pic:spPr bwMode="auto">
                    <a:xfrm>
                      <a:off x="0" y="0"/>
                      <a:ext cx="1885950" cy="635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-1376680</wp:posOffset>
            </wp:positionV>
            <wp:extent cx="986155" cy="63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18">
                      <a:extLst>
                        <a:ext uri="{28A0092B-C50C-407E-A947-70E740481C1C}"/>
                      </a:extLst>
                    </a:blip>
                    <a:srcRect/>
                    <a:stretch>
                      <a:fillRect/>
                    </a:stretch>
                  </pic:blipFill>
                  <pic:spPr bwMode="auto">
                    <a:xfrm>
                      <a:off x="0" y="0"/>
                      <a:ext cx="986155" cy="635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-1179830</wp:posOffset>
            </wp:positionV>
            <wp:extent cx="887095" cy="285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19">
                      <a:extLst>
                        <a:ext uri="{28A0092B-C50C-407E-A947-70E740481C1C}"/>
                      </a:extLst>
                    </a:blip>
                    <a:srcRect/>
                    <a:stretch>
                      <a:fillRect/>
                    </a:stretch>
                  </pic:blipFill>
                  <pic:spPr bwMode="auto">
                    <a:xfrm>
                      <a:off x="0" y="0"/>
                      <a:ext cx="887095" cy="28575"/>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-198755</wp:posOffset>
            </wp:positionV>
            <wp:extent cx="986155" cy="63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0">
                      <a:extLst>
                        <a:ext uri="{28A0092B-C50C-407E-A947-70E740481C1C}"/>
                      </a:extLst>
                    </a:blip>
                    <a:srcRect/>
                    <a:stretch>
                      <a:fillRect/>
                    </a:stretch>
                  </pic:blipFill>
                  <pic:spPr bwMode="auto">
                    <a:xfrm>
                      <a:off x="0" y="0"/>
                      <a:ext cx="986155" cy="6350"/>
                    </a:xfrm>
                    <a:prstGeom prst="rect">
                      <a:avLst/>
                    </a:prstGeom>
                    <a:noFill/>
                  </pic:spPr>
                </pic:pic>
              </a:graphicData>
            </a:graphic>
          </wp:anchor>
        </w:drawing>
        <w:drawing>
          <wp:anchor simplePos="0" relativeHeight="251657728" behindDoc="1" locked="0" layoutInCell="0" allowOverlap="1">
            <wp:simplePos x="0" y="0"/>
            <wp:positionH relativeFrom="column">
              <wp:posOffset>4077970</wp:posOffset>
            </wp:positionH>
            <wp:positionV relativeFrom="paragraph">
              <wp:posOffset>-1905</wp:posOffset>
            </wp:positionV>
            <wp:extent cx="887095" cy="2857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1">
                      <a:extLst>
                        <a:ext uri="{28A0092B-C50C-407E-A947-70E740481C1C}"/>
                      </a:extLst>
                    </a:blip>
                    <a:srcRect/>
                    <a:stretch>
                      <a:fillRect/>
                    </a:stretch>
                  </pic:blipFill>
                  <pic:spPr bwMode="auto">
                    <a:xfrm>
                      <a:off x="0" y="0"/>
                      <a:ext cx="887095" cy="2857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Time-based RSUs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The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grant date fair values of time-based RSUs granted during the years ended December 31, 2025,</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2024 and 2023 were $317.79, $272.19 and $231.33, respectively.</w:t>
      </w:r>
    </w:p>
    <w:p>
      <w:pPr>
        <w:spacing w:after="0" w:line="380" w:lineRule="exact"/>
        <w:rPr>
          <w:sz w:val="20"/>
          <w:szCs w:val="20"/>
          <w:color w:val="auto"/>
        </w:rPr>
      </w:pPr>
    </w:p>
    <w:p>
      <w:pPr>
        <w:ind w:right="140"/>
        <w:spacing w:after="0" w:line="307" w:lineRule="auto"/>
        <w:rPr>
          <w:sz w:val="20"/>
          <w:szCs w:val="20"/>
          <w:color w:val="auto"/>
        </w:rPr>
      </w:pPr>
      <w:r>
        <w:rPr>
          <w:rFonts w:ascii="Arial" w:cs="Arial" w:eastAsia="Arial" w:hAnsi="Arial"/>
          <w:sz w:val="20"/>
          <w:szCs w:val="20"/>
          <w:color w:val="auto"/>
        </w:rPr>
        <w:t>Time-based RSUs approximating 114,000, 328,000 and 122,000 vested during the years ended December 31, 2025, 2024 and 2023, respectively, with average share prices at the time of vesting of $333.33, $289.52 and $221.26, respectively.</w:t>
      </w:r>
    </w:p>
    <w:p>
      <w:pPr>
        <w:spacing w:after="0" w:line="317" w:lineRule="exact"/>
        <w:rPr>
          <w:sz w:val="20"/>
          <w:szCs w:val="20"/>
          <w:color w:val="auto"/>
        </w:rPr>
      </w:pPr>
    </w:p>
    <w:p>
      <w:pPr>
        <w:ind w:right="60"/>
        <w:spacing w:after="0" w:line="347" w:lineRule="auto"/>
        <w:rPr>
          <w:sz w:val="20"/>
          <w:szCs w:val="20"/>
          <w:color w:val="auto"/>
        </w:rPr>
      </w:pPr>
      <w:r>
        <w:rPr>
          <w:rFonts w:ascii="Arial" w:cs="Arial" w:eastAsia="Arial" w:hAnsi="Arial"/>
          <w:sz w:val="18"/>
          <w:szCs w:val="18"/>
          <w:color w:val="auto"/>
        </w:rPr>
        <w:t>Time-based RSUs generally vest over three years but may be subject to other vesting schedules. The total fair values of time-based RSUs issued during the years ended December 31, 2025, 2024 and 2023 were $35 million,</w:t>
      </w:r>
    </w:p>
    <w:p>
      <w:pPr>
        <w:spacing w:after="0" w:line="1" w:lineRule="exact"/>
        <w:rPr>
          <w:sz w:val="20"/>
          <w:szCs w:val="20"/>
          <w:color w:val="auto"/>
        </w:rPr>
      </w:pPr>
    </w:p>
    <w:p>
      <w:pPr>
        <w:jc w:val="both"/>
        <w:ind w:right="580"/>
        <w:spacing w:after="0" w:line="307" w:lineRule="auto"/>
        <w:rPr>
          <w:sz w:val="20"/>
          <w:szCs w:val="20"/>
          <w:color w:val="auto"/>
        </w:rPr>
      </w:pPr>
      <w:r>
        <w:rPr>
          <w:rFonts w:ascii="Arial" w:cs="Arial" w:eastAsia="Arial" w:hAnsi="Arial"/>
          <w:sz w:val="20"/>
          <w:szCs w:val="20"/>
          <w:color w:val="auto"/>
        </w:rPr>
        <w:t>$92 million and $21 million, respectively. At December 31, 2025, there was $44 million of total unrecognized compensation cost related to the time-based RSU plan; that cost is expected to be recognized over a weighted-average period of 1.9 years.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Performance-based RSUs</w:t>
      </w:r>
    </w:p>
    <w:p>
      <w:pPr>
        <w:spacing w:after="0" w:line="260" w:lineRule="exact"/>
        <w:rPr>
          <w:sz w:val="20"/>
          <w:szCs w:val="20"/>
          <w:color w:val="auto"/>
        </w:rPr>
      </w:pPr>
    </w:p>
    <w:p>
      <w:pPr>
        <w:ind w:right="180"/>
        <w:spacing w:after="0" w:line="302" w:lineRule="auto"/>
        <w:rPr>
          <w:sz w:val="20"/>
          <w:szCs w:val="20"/>
          <w:color w:val="auto"/>
        </w:rPr>
      </w:pPr>
      <w:r>
        <w:rPr>
          <w:rFonts w:ascii="Arial" w:cs="Arial" w:eastAsia="Arial" w:hAnsi="Arial"/>
          <w:sz w:val="20"/>
          <w:szCs w:val="20"/>
          <w:color w:val="auto"/>
        </w:rPr>
        <w:t>The weighted-average grant date fair values of performance-based RSUs granted during the years ended December 31, 2025, 2024 and 2023 were $321.97, $292.13 and $232.98, respectively.</w:t>
      </w:r>
    </w:p>
    <w:p>
      <w:pPr>
        <w:spacing w:after="0" w:line="201" w:lineRule="exact"/>
        <w:rPr>
          <w:sz w:val="20"/>
          <w:szCs w:val="20"/>
          <w:color w:val="auto"/>
        </w:rPr>
      </w:pPr>
    </w:p>
    <w:p>
      <w:pPr>
        <w:ind w:right="4340"/>
        <w:spacing w:after="0" w:line="329" w:lineRule="auto"/>
        <w:rPr>
          <w:sz w:val="20"/>
          <w:szCs w:val="20"/>
          <w:color w:val="auto"/>
        </w:rPr>
      </w:pPr>
      <w:r>
        <w:rPr>
          <w:rFonts w:ascii="Arial" w:cs="Arial" w:eastAsia="Arial" w:hAnsi="Arial"/>
          <w:sz w:val="19"/>
          <w:szCs w:val="19"/>
          <w:color w:val="auto"/>
        </w:rPr>
        <w:t>Performance-based RSUs approximating 256,000, 165,000 and 273,000 vested during the years ended December 31,</w:t>
      </w:r>
    </w:p>
    <w:p>
      <w:pPr>
        <w:spacing w:after="0" w:line="1" w:lineRule="exact"/>
        <w:rPr>
          <w:sz w:val="20"/>
          <w:szCs w:val="20"/>
          <w:color w:val="auto"/>
        </w:rPr>
      </w:pPr>
    </w:p>
    <w:p>
      <w:pPr>
        <w:ind w:right="320"/>
        <w:spacing w:after="0" w:line="302" w:lineRule="auto"/>
        <w:rPr>
          <w:sz w:val="20"/>
          <w:szCs w:val="20"/>
          <w:color w:val="auto"/>
        </w:rPr>
      </w:pPr>
      <w:r>
        <w:rPr>
          <w:rFonts w:ascii="Arial" w:cs="Arial" w:eastAsia="Arial" w:hAnsi="Arial"/>
          <w:sz w:val="20"/>
          <w:szCs w:val="20"/>
          <w:color w:val="auto"/>
        </w:rPr>
        <w:t>2025, 2024 and 2023, respectively, with average share prices at time of vesting of $335.93, $264.27 and $234.44, respectively.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 / 24</w:t>
      </w:r>
    </w:p>
    <w:p>
      <w:pPr>
        <w:sectPr>
          <w:pgSz w:w="11900" w:h="16838" w:orient="portrait"/>
          <w:cols w:equalWidth="0" w:num="1">
            <w:col w:w="9400"/>
          </w:cols>
          <w:pgMar w:left="1260" w:top="1440" w:right="1246" w:bottom="0" w:gutter="0" w:footer="0" w:header="0"/>
          <w:type w:val="continuous"/>
        </w:sectPr>
      </w:pPr>
    </w:p>
    <w:bookmarkStart w:id="257" w:name="page258"/>
    <w:bookmarkEnd w:id="257"/>
    <w:p>
      <w:pPr>
        <w:ind w:right="200"/>
        <w:spacing w:after="0" w:line="378" w:lineRule="auto"/>
        <w:rPr>
          <w:sz w:val="20"/>
          <w:szCs w:val="20"/>
          <w:color w:val="auto"/>
        </w:rPr>
      </w:pPr>
      <w:r>
        <w:rPr>
          <w:rFonts w:ascii="Arial" w:cs="Arial" w:eastAsia="Arial" w:hAnsi="Arial"/>
          <w:sz w:val="17"/>
          <w:szCs w:val="17"/>
          <w:color w:val="auto"/>
        </w:rPr>
        <w:t>Performance-based RSUs generally vest over three years. The total fair values of performance-based RSUs issued during the years ended December 31, 2025, 2024 and 2023 were $83 million, $51 million and $47 million, respectively. At December 31, 2025, there was $88 million of total unrecognized compensation cost related to the performance-based RSU plan; that cost is expected to be recognized over a weighted-average period of 1.8 years.</w:t>
      </w:r>
    </w:p>
    <w:p>
      <w:pPr>
        <w:spacing w:after="0" w:line="149" w:lineRule="exact"/>
        <w:rPr>
          <w:sz w:val="20"/>
          <w:szCs w:val="20"/>
          <w:color w:val="auto"/>
        </w:rPr>
      </w:pPr>
    </w:p>
    <w:p>
      <w:pPr>
        <w:spacing w:after="0" w:line="302" w:lineRule="auto"/>
        <w:rPr>
          <w:sz w:val="20"/>
          <w:szCs w:val="20"/>
          <w:color w:val="auto"/>
        </w:rPr>
      </w:pPr>
      <w:r>
        <w:rPr>
          <w:rFonts w:ascii="Arial" w:cs="Arial" w:eastAsia="Arial" w:hAnsi="Arial"/>
          <w:sz w:val="20"/>
          <w:szCs w:val="20"/>
          <w:color w:val="auto"/>
        </w:rPr>
        <w:t>The actual tax benefits recognized for the tax deductions from RSUs that vested totaled $17 million, $24 million and $9 million for the years ended December 31, 2025, 2024 and 2023, respectively.</w:t>
      </w:r>
    </w:p>
    <w:p>
      <w:pPr>
        <w:spacing w:after="0" w:line="201" w:lineRule="exact"/>
        <w:rPr>
          <w:sz w:val="20"/>
          <w:szCs w:val="20"/>
          <w:color w:val="auto"/>
        </w:rPr>
      </w:pPr>
    </w:p>
    <w:p>
      <w:pPr>
        <w:ind w:right="60"/>
        <w:spacing w:after="0" w:line="302" w:lineRule="auto"/>
        <w:rPr>
          <w:sz w:val="20"/>
          <w:szCs w:val="20"/>
          <w:color w:val="auto"/>
        </w:rPr>
      </w:pPr>
      <w:r>
        <w:rPr>
          <w:rFonts w:ascii="Arial" w:cs="Arial" w:eastAsia="Arial" w:hAnsi="Arial"/>
          <w:sz w:val="20"/>
          <w:szCs w:val="20"/>
          <w:color w:val="auto"/>
        </w:rPr>
        <w:t>The amounts reflected above include awards which will be cash-settled due to local requirements. These awards are classified as liabilities in our consolidated balance sheets and are not material.</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Share Purchase Plan</w:t>
      </w:r>
    </w:p>
    <w:p>
      <w:pPr>
        <w:spacing w:after="0" w:line="260" w:lineRule="exact"/>
        <w:rPr>
          <w:sz w:val="20"/>
          <w:szCs w:val="20"/>
          <w:color w:val="auto"/>
        </w:rPr>
      </w:pPr>
    </w:p>
    <w:p>
      <w:pPr>
        <w:ind w:right="60"/>
        <w:spacing w:after="0" w:line="330" w:lineRule="auto"/>
        <w:rPr>
          <w:sz w:val="20"/>
          <w:szCs w:val="20"/>
          <w:color w:val="auto"/>
        </w:rPr>
      </w:pPr>
      <w:r>
        <w:rPr>
          <w:rFonts w:ascii="Arial" w:cs="Arial" w:eastAsia="Arial" w:hAnsi="Arial"/>
          <w:sz w:val="19"/>
          <w:szCs w:val="19"/>
          <w:color w:val="auto"/>
        </w:rPr>
        <w:t>The ESPP operates under the WTW Amended and Restated 2010 Employee Share Purchase Plan, as amended and restated on February 28, 2024. During the years ended December 31, 2025 and December 31, 2024, employee contributions to the ESPP totaled $40 million and $16 million, respectively. The total fair value of shares purchased during the years ended December 31, 2025 and December 31, 2024 was $45 million and $16 million, respectively. The ESPP initially had 1,377,500 shares available for purchase,</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7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22 / 24</w:t>
      </w:r>
    </w:p>
    <w:p>
      <w:pPr>
        <w:sectPr>
          <w:pgSz w:w="11900" w:h="16838" w:orient="portrait"/>
          <w:cols w:equalWidth="0" w:num="1">
            <w:col w:w="9320"/>
          </w:cols>
          <w:pgMar w:left="1260" w:top="1173" w:right="1326" w:bottom="0" w:gutter="0" w:footer="0" w:header="0"/>
          <w:type w:val="continuous"/>
        </w:sectPr>
      </w:pPr>
    </w:p>
    <w:bookmarkStart w:id="258" w:name="page259"/>
    <w:bookmarkEnd w:id="2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80"/>
        <w:spacing w:after="0" w:line="331" w:lineRule="auto"/>
        <w:rPr>
          <w:sz w:val="20"/>
          <w:szCs w:val="20"/>
          <w:color w:val="auto"/>
        </w:rPr>
      </w:pPr>
      <w:r>
        <w:rPr>
          <w:rFonts w:ascii="Arial" w:cs="Arial" w:eastAsia="Arial" w:hAnsi="Arial"/>
          <w:sz w:val="19"/>
          <w:szCs w:val="19"/>
          <w:color w:val="auto"/>
        </w:rPr>
        <w:t>and at December 31, 2025, 868,264 shares remain available. For more information on this plan, refer to Note 2 — Basis of Presentation, Significant Accounting Policies and Recent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20 — Earnings Per Share</w:t>
      </w:r>
    </w:p>
    <w:p>
      <w:pPr>
        <w:spacing w:after="0" w:line="260" w:lineRule="exact"/>
        <w:rPr>
          <w:sz w:val="20"/>
          <w:szCs w:val="20"/>
          <w:color w:val="auto"/>
        </w:rPr>
      </w:pPr>
    </w:p>
    <w:p>
      <w:pPr>
        <w:ind w:right="200"/>
        <w:spacing w:after="0" w:line="310" w:lineRule="auto"/>
        <w:rPr>
          <w:sz w:val="20"/>
          <w:szCs w:val="20"/>
          <w:color w:val="auto"/>
        </w:rPr>
      </w:pPr>
      <w:r>
        <w:rPr>
          <w:rFonts w:ascii="Arial" w:cs="Arial" w:eastAsia="Arial" w:hAnsi="Arial"/>
          <w:sz w:val="20"/>
          <w:szCs w:val="20"/>
          <w:color w:val="auto"/>
        </w:rPr>
        <w:t>Basic and diluted earnings/(loss) per share are calculated by dividing net income/(loss) attributable to WTW by the average number of ordinary shares outstanding during each period. The computation of diluted earnings/(loss) per share reflects the potential dilution that could occur if dilutive securities and other contracts to issue shares were exercised or converted into shares or resulted in the issuance of shares that then shared in the net income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Basic and diluted earnings/(loss) per share are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Years ended December 31,</w:t>
            </w:r>
          </w:p>
        </w:tc>
        <w:tc>
          <w:tcPr>
            <w:tcW w:w="980" w:type="dxa"/>
            <w:vAlign w:val="bottom"/>
          </w:tcPr>
          <w:p>
            <w:pPr>
              <w:spacing w:after="0"/>
              <w:rPr>
                <w:sz w:val="16"/>
                <w:szCs w:val="16"/>
                <w:color w:val="auto"/>
              </w:rPr>
            </w:pPr>
          </w:p>
        </w:tc>
      </w:tr>
      <w:tr>
        <w:trPr>
          <w:trHeight w:val="264"/>
        </w:trPr>
        <w:tc>
          <w:tcPr>
            <w:tcW w:w="4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jc w:val="right"/>
              <w:ind w:right="464"/>
              <w:spacing w:after="0"/>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22"/>
                <w:szCs w:val="22"/>
                <w:color w:val="auto"/>
              </w:rPr>
            </w:pPr>
          </w:p>
        </w:tc>
        <w:tc>
          <w:tcPr>
            <w:tcW w:w="1040" w:type="dxa"/>
            <w:vAlign w:val="bottom"/>
          </w:tcPr>
          <w:p>
            <w:pPr>
              <w:jc w:val="right"/>
              <w:ind w:right="463"/>
              <w:spacing w:after="0"/>
              <w:rPr>
                <w:sz w:val="20"/>
                <w:szCs w:val="20"/>
                <w:color w:val="auto"/>
              </w:rPr>
            </w:pPr>
            <w:r>
              <w:rPr>
                <w:rFonts w:ascii="Arial" w:cs="Arial" w:eastAsia="Arial" w:hAnsi="Arial"/>
                <w:sz w:val="16"/>
                <w:szCs w:val="16"/>
                <w:b w:val="1"/>
                <w:bCs w:val="1"/>
                <w:color w:val="auto"/>
              </w:rPr>
              <w:t>2024</w:t>
            </w:r>
          </w:p>
        </w:tc>
        <w:tc>
          <w:tcPr>
            <w:tcW w:w="320" w:type="dxa"/>
            <w:vAlign w:val="bottom"/>
          </w:tcPr>
          <w:p>
            <w:pPr>
              <w:spacing w:after="0"/>
              <w:rPr>
                <w:sz w:val="22"/>
                <w:szCs w:val="22"/>
                <w:color w:val="auto"/>
              </w:rPr>
            </w:pPr>
          </w:p>
        </w:tc>
        <w:tc>
          <w:tcPr>
            <w:tcW w:w="980" w:type="dxa"/>
            <w:vAlign w:val="bottom"/>
          </w:tcPr>
          <w:p>
            <w:pPr>
              <w:jc w:val="right"/>
              <w:ind w:right="423"/>
              <w:spacing w:after="0"/>
              <w:rPr>
                <w:sz w:val="20"/>
                <w:szCs w:val="20"/>
                <w:color w:val="auto"/>
              </w:rPr>
            </w:pPr>
            <w:r>
              <w:rPr>
                <w:rFonts w:ascii="Arial" w:cs="Arial" w:eastAsia="Arial" w:hAnsi="Arial"/>
                <w:sz w:val="16"/>
                <w:szCs w:val="16"/>
                <w:b w:val="1"/>
                <w:bCs w:val="1"/>
                <w:color w:val="auto"/>
              </w:rPr>
              <w:t>2023</w:t>
            </w:r>
          </w:p>
        </w:tc>
      </w:tr>
      <w:tr>
        <w:trPr>
          <w:trHeight w:val="42"/>
        </w:trPr>
        <w:tc>
          <w:tcPr>
            <w:tcW w:w="49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74"/>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rPr>
              <w:t>Net income/(loss) attributable to WTW</w:t>
            </w:r>
          </w:p>
        </w:tc>
        <w:tc>
          <w:tcPr>
            <w:tcW w:w="74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20"/>
                <w:szCs w:val="20"/>
                <w:color w:val="auto"/>
              </w:rPr>
              <w:t>1,605</w:t>
            </w:r>
          </w:p>
        </w:tc>
        <w:tc>
          <w:tcPr>
            <w:tcW w:w="32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3"/>
              <w:spacing w:after="0"/>
              <w:rPr>
                <w:sz w:val="20"/>
                <w:szCs w:val="20"/>
                <w:color w:val="auto"/>
              </w:rPr>
            </w:pPr>
            <w:r>
              <w:rPr>
                <w:rFonts w:ascii="Arial" w:cs="Arial" w:eastAsia="Arial" w:hAnsi="Arial"/>
                <w:sz w:val="20"/>
                <w:szCs w:val="20"/>
                <w:color w:val="auto"/>
              </w:rPr>
              <w:t>(98)</w:t>
            </w:r>
          </w:p>
        </w:tc>
        <w:tc>
          <w:tcPr>
            <w:tcW w:w="32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ind w:right="23"/>
              <w:spacing w:after="0"/>
              <w:rPr>
                <w:sz w:val="20"/>
                <w:szCs w:val="20"/>
                <w:color w:val="auto"/>
              </w:rPr>
            </w:pPr>
            <w:r>
              <w:rPr>
                <w:rFonts w:ascii="Arial" w:cs="Arial" w:eastAsia="Arial" w:hAnsi="Arial"/>
                <w:sz w:val="20"/>
                <w:szCs w:val="20"/>
                <w:color w:val="auto"/>
              </w:rPr>
              <w:t>1,055</w:t>
            </w:r>
          </w:p>
        </w:tc>
      </w:tr>
      <w:tr>
        <w:trPr>
          <w:trHeight w:val="86"/>
        </w:trPr>
        <w:tc>
          <w:tcPr>
            <w:tcW w:w="498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r>
      <w:tr>
        <w:trPr>
          <w:trHeight w:val="314"/>
        </w:trPr>
        <w:tc>
          <w:tcPr>
            <w:tcW w:w="4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4"/>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Basic weighted-average number of shares outstanding</w:t>
            </w:r>
          </w:p>
        </w:tc>
        <w:tc>
          <w:tcPr>
            <w:tcW w:w="7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64"/>
              <w:spacing w:after="0"/>
              <w:rPr>
                <w:sz w:val="20"/>
                <w:szCs w:val="20"/>
                <w:color w:val="auto"/>
              </w:rPr>
            </w:pPr>
            <w:r>
              <w:rPr>
                <w:rFonts w:ascii="Arial" w:cs="Arial" w:eastAsia="Arial" w:hAnsi="Arial"/>
                <w:sz w:val="20"/>
                <w:szCs w:val="20"/>
                <w:color w:val="auto"/>
              </w:rPr>
              <w:t>98</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83"/>
              <w:spacing w:after="0"/>
              <w:rPr>
                <w:sz w:val="20"/>
                <w:szCs w:val="20"/>
                <w:color w:val="auto"/>
              </w:rPr>
            </w:pPr>
            <w:r>
              <w:rPr>
                <w:rFonts w:ascii="Arial" w:cs="Arial" w:eastAsia="Arial" w:hAnsi="Arial"/>
                <w:sz w:val="20"/>
                <w:szCs w:val="20"/>
                <w:color w:val="auto"/>
              </w:rPr>
              <w:t>102</w:t>
            </w:r>
          </w:p>
        </w:tc>
        <w:tc>
          <w:tcPr>
            <w:tcW w:w="32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105</w:t>
            </w:r>
          </w:p>
        </w:tc>
      </w:tr>
      <w:tr>
        <w:trPr>
          <w:trHeight w:val="274"/>
        </w:trPr>
        <w:tc>
          <w:tcPr>
            <w:tcW w:w="4980" w:type="dxa"/>
            <w:vAlign w:val="bottom"/>
          </w:tcPr>
          <w:p>
            <w:pPr>
              <w:spacing w:after="0"/>
              <w:rPr>
                <w:sz w:val="20"/>
                <w:szCs w:val="20"/>
                <w:color w:val="auto"/>
              </w:rPr>
            </w:pPr>
            <w:r>
              <w:rPr>
                <w:rFonts w:ascii="Arial" w:cs="Arial" w:eastAsia="Arial" w:hAnsi="Arial"/>
                <w:sz w:val="20"/>
                <w:szCs w:val="20"/>
                <w:color w:val="auto"/>
              </w:rPr>
              <w:t>Dilutive effect of potentially issuable shares</w:t>
            </w:r>
          </w:p>
        </w:tc>
        <w:tc>
          <w:tcPr>
            <w:tcW w:w="740" w:type="dxa"/>
            <w:vAlign w:val="bottom"/>
          </w:tcPr>
          <w:p>
            <w:pPr>
              <w:spacing w:after="0"/>
              <w:rPr>
                <w:sz w:val="23"/>
                <w:szCs w:val="23"/>
                <w:color w:val="auto"/>
              </w:rPr>
            </w:pPr>
          </w:p>
        </w:tc>
        <w:tc>
          <w:tcPr>
            <w:tcW w:w="1020" w:type="dxa"/>
            <w:vAlign w:val="bottom"/>
          </w:tcPr>
          <w:p>
            <w:pPr>
              <w:jc w:val="right"/>
              <w:ind w:right="64"/>
              <w:spacing w:after="0"/>
              <w:rPr>
                <w:sz w:val="20"/>
                <w:szCs w:val="20"/>
                <w:color w:val="auto"/>
              </w:rPr>
            </w:pPr>
            <w:r>
              <w:rPr>
                <w:rFonts w:ascii="Arial" w:cs="Arial" w:eastAsia="Arial" w:hAnsi="Arial"/>
                <w:sz w:val="20"/>
                <w:szCs w:val="20"/>
                <w:color w:val="auto"/>
              </w:rPr>
              <w:t>1</w:t>
            </w:r>
          </w:p>
        </w:tc>
        <w:tc>
          <w:tcPr>
            <w:tcW w:w="32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3"/>
                <w:szCs w:val="23"/>
                <w:color w:val="auto"/>
              </w:rPr>
            </w:pPr>
          </w:p>
        </w:tc>
        <w:tc>
          <w:tcPr>
            <w:tcW w:w="980" w:type="dxa"/>
            <w:vAlign w:val="bottom"/>
          </w:tcPr>
          <w:p>
            <w:pPr>
              <w:jc w:val="right"/>
              <w:ind w:right="23"/>
              <w:spacing w:after="0"/>
              <w:rPr>
                <w:sz w:val="20"/>
                <w:szCs w:val="20"/>
                <w:color w:val="auto"/>
              </w:rPr>
            </w:pPr>
            <w:r>
              <w:rPr>
                <w:rFonts w:ascii="Arial" w:cs="Arial" w:eastAsia="Arial" w:hAnsi="Arial"/>
                <w:sz w:val="20"/>
                <w:szCs w:val="20"/>
                <w:color w:val="auto"/>
              </w:rPr>
              <w:t>1</w:t>
            </w:r>
          </w:p>
        </w:tc>
      </w:tr>
      <w:tr>
        <w:trPr>
          <w:trHeight w:val="51"/>
        </w:trPr>
        <w:tc>
          <w:tcPr>
            <w:tcW w:w="4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4"/>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w w:val="99"/>
              </w:rPr>
              <w:t>Diluted weighted-average number of shares outstanding</w:t>
            </w:r>
          </w:p>
        </w:tc>
        <w:tc>
          <w:tcPr>
            <w:tcW w:w="740" w:type="dxa"/>
            <w:vAlign w:val="bottom"/>
            <w:shd w:val="clear" w:color="auto" w:fill="CFF0FC"/>
          </w:tcPr>
          <w:p>
            <w:pPr>
              <w:spacing w:after="0"/>
              <w:rPr>
                <w:sz w:val="23"/>
                <w:szCs w:val="23"/>
                <w:color w:val="auto"/>
              </w:rPr>
            </w:pP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20"/>
                <w:szCs w:val="20"/>
                <w:color w:val="auto"/>
              </w:rPr>
              <w:t>99</w:t>
            </w:r>
          </w:p>
        </w:tc>
        <w:tc>
          <w:tcPr>
            <w:tcW w:w="320" w:type="dxa"/>
            <w:vAlign w:val="bottom"/>
            <w:shd w:val="clear" w:color="auto" w:fill="CFF0FC"/>
          </w:tcPr>
          <w:p>
            <w:pPr>
              <w:spacing w:after="0"/>
              <w:rPr>
                <w:sz w:val="23"/>
                <w:szCs w:val="23"/>
                <w:color w:val="auto"/>
              </w:rPr>
            </w:pPr>
          </w:p>
        </w:tc>
        <w:tc>
          <w:tcPr>
            <w:tcW w:w="1040" w:type="dxa"/>
            <w:vAlign w:val="bottom"/>
            <w:shd w:val="clear" w:color="auto" w:fill="CFF0FC"/>
          </w:tcPr>
          <w:p>
            <w:pPr>
              <w:jc w:val="right"/>
              <w:ind w:right="83"/>
              <w:spacing w:after="0"/>
              <w:rPr>
                <w:sz w:val="20"/>
                <w:szCs w:val="20"/>
                <w:color w:val="auto"/>
              </w:rPr>
            </w:pPr>
            <w:r>
              <w:rPr>
                <w:rFonts w:ascii="Arial" w:cs="Arial" w:eastAsia="Arial" w:hAnsi="Arial"/>
                <w:sz w:val="20"/>
                <w:szCs w:val="20"/>
                <w:color w:val="auto"/>
              </w:rPr>
              <w:t>102</w:t>
            </w:r>
          </w:p>
        </w:tc>
        <w:tc>
          <w:tcPr>
            <w:tcW w:w="320" w:type="dxa"/>
            <w:vAlign w:val="bottom"/>
            <w:shd w:val="clear" w:color="auto" w:fill="CFF0FC"/>
          </w:tcPr>
          <w:p>
            <w:pPr>
              <w:spacing w:after="0"/>
              <w:rPr>
                <w:sz w:val="23"/>
                <w:szCs w:val="23"/>
                <w:color w:val="auto"/>
              </w:rPr>
            </w:pPr>
          </w:p>
        </w:tc>
        <w:tc>
          <w:tcPr>
            <w:tcW w:w="980" w:type="dxa"/>
            <w:vAlign w:val="bottom"/>
            <w:shd w:val="clear" w:color="auto" w:fill="CFF0FC"/>
          </w:tcPr>
          <w:p>
            <w:pPr>
              <w:jc w:val="right"/>
              <w:ind w:right="23"/>
              <w:spacing w:after="0"/>
              <w:rPr>
                <w:sz w:val="20"/>
                <w:szCs w:val="20"/>
                <w:color w:val="auto"/>
              </w:rPr>
            </w:pPr>
            <w:r>
              <w:rPr>
                <w:rFonts w:ascii="Arial" w:cs="Arial" w:eastAsia="Arial" w:hAnsi="Arial"/>
                <w:sz w:val="20"/>
                <w:szCs w:val="20"/>
                <w:color w:val="auto"/>
              </w:rPr>
              <w:t>106</w:t>
            </w:r>
          </w:p>
        </w:tc>
      </w:tr>
      <w:tr>
        <w:trPr>
          <w:trHeight w:val="86"/>
        </w:trPr>
        <w:tc>
          <w:tcPr>
            <w:tcW w:w="498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r>
      <w:tr>
        <w:trPr>
          <w:trHeight w:val="314"/>
        </w:trPr>
        <w:tc>
          <w:tcPr>
            <w:tcW w:w="4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4"/>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Basic earnings/(loss) per share</w:t>
            </w:r>
          </w:p>
        </w:tc>
        <w:tc>
          <w:tcPr>
            <w:tcW w:w="7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64"/>
              <w:spacing w:after="0"/>
              <w:rPr>
                <w:sz w:val="20"/>
                <w:szCs w:val="20"/>
                <w:color w:val="auto"/>
              </w:rPr>
            </w:pPr>
            <w:r>
              <w:rPr>
                <w:rFonts w:ascii="Arial" w:cs="Arial" w:eastAsia="Arial" w:hAnsi="Arial"/>
                <w:sz w:val="20"/>
                <w:szCs w:val="20"/>
                <w:color w:val="auto"/>
              </w:rPr>
              <w:t>16.34</w:t>
            </w:r>
          </w:p>
        </w:tc>
        <w:tc>
          <w:tcPr>
            <w:tcW w:w="3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20"/>
                <w:szCs w:val="20"/>
                <w:color w:val="auto"/>
              </w:rPr>
              <w:t>(0.96)</w:t>
            </w:r>
          </w:p>
        </w:tc>
        <w:tc>
          <w:tcPr>
            <w:tcW w:w="3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10.01</w:t>
            </w:r>
          </w:p>
        </w:tc>
      </w:tr>
      <w:tr>
        <w:trPr>
          <w:trHeight w:val="274"/>
        </w:trPr>
        <w:tc>
          <w:tcPr>
            <w:tcW w:w="4980" w:type="dxa"/>
            <w:vAlign w:val="bottom"/>
          </w:tcPr>
          <w:p>
            <w:pPr>
              <w:spacing w:after="0"/>
              <w:rPr>
                <w:sz w:val="20"/>
                <w:szCs w:val="20"/>
                <w:color w:val="auto"/>
              </w:rPr>
            </w:pPr>
            <w:r>
              <w:rPr>
                <w:rFonts w:ascii="Arial" w:cs="Arial" w:eastAsia="Arial" w:hAnsi="Arial"/>
                <w:sz w:val="20"/>
                <w:szCs w:val="20"/>
                <w:color w:val="auto"/>
              </w:rPr>
              <w:t>Dilutive effect of potentially issuable shares</w:t>
            </w:r>
          </w:p>
        </w:tc>
        <w:tc>
          <w:tcPr>
            <w:tcW w:w="7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(0.08)</w:t>
            </w:r>
          </w:p>
        </w:tc>
        <w:tc>
          <w:tcPr>
            <w:tcW w:w="320" w:type="dxa"/>
            <w:vAlign w:val="bottom"/>
          </w:tcPr>
          <w:p>
            <w:pPr>
              <w:spacing w:after="0"/>
              <w:rPr>
                <w:sz w:val="23"/>
                <w:szCs w:val="23"/>
                <w:color w:val="auto"/>
              </w:rPr>
            </w:pPr>
          </w:p>
        </w:tc>
        <w:tc>
          <w:tcPr>
            <w:tcW w:w="1040" w:type="dxa"/>
            <w:vAlign w:val="bottom"/>
          </w:tcPr>
          <w:p>
            <w:pPr>
              <w:jc w:val="right"/>
              <w:ind w:right="83"/>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(0.06)</w:t>
            </w:r>
          </w:p>
        </w:tc>
      </w:tr>
      <w:tr>
        <w:trPr>
          <w:trHeight w:val="51"/>
        </w:trPr>
        <w:tc>
          <w:tcPr>
            <w:tcW w:w="4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4"/>
        </w:trPr>
        <w:tc>
          <w:tcPr>
            <w:tcW w:w="4980" w:type="dxa"/>
            <w:vAlign w:val="bottom"/>
            <w:shd w:val="clear" w:color="auto" w:fill="CFF0FC"/>
          </w:tcPr>
          <w:p>
            <w:pPr>
              <w:spacing w:after="0"/>
              <w:rPr>
                <w:sz w:val="20"/>
                <w:szCs w:val="20"/>
                <w:color w:val="auto"/>
              </w:rPr>
            </w:pPr>
            <w:r>
              <w:rPr>
                <w:rFonts w:ascii="Arial" w:cs="Arial" w:eastAsia="Arial" w:hAnsi="Arial"/>
                <w:sz w:val="20"/>
                <w:szCs w:val="20"/>
                <w:color w:val="auto"/>
              </w:rPr>
              <w:t>Diluted earnings/(loss) per share</w:t>
            </w:r>
          </w:p>
        </w:tc>
        <w:tc>
          <w:tcPr>
            <w:tcW w:w="74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20"/>
                <w:szCs w:val="20"/>
                <w:color w:val="auto"/>
              </w:rPr>
              <w:t>16.26</w:t>
            </w:r>
          </w:p>
        </w:tc>
        <w:tc>
          <w:tcPr>
            <w:tcW w:w="32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3"/>
              <w:spacing w:after="0"/>
              <w:rPr>
                <w:sz w:val="20"/>
                <w:szCs w:val="20"/>
                <w:color w:val="auto"/>
              </w:rPr>
            </w:pPr>
            <w:r>
              <w:rPr>
                <w:rFonts w:ascii="Arial" w:cs="Arial" w:eastAsia="Arial" w:hAnsi="Arial"/>
                <w:sz w:val="20"/>
                <w:szCs w:val="20"/>
                <w:color w:val="auto"/>
              </w:rPr>
              <w:t>(0.96)</w:t>
            </w:r>
          </w:p>
        </w:tc>
        <w:tc>
          <w:tcPr>
            <w:tcW w:w="32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980" w:type="dxa"/>
            <w:vAlign w:val="bottom"/>
            <w:shd w:val="clear" w:color="auto" w:fill="CFF0FC"/>
          </w:tcPr>
          <w:p>
            <w:pPr>
              <w:jc w:val="right"/>
              <w:ind w:right="23"/>
              <w:spacing w:after="0"/>
              <w:rPr>
                <w:sz w:val="20"/>
                <w:szCs w:val="20"/>
                <w:color w:val="auto"/>
              </w:rPr>
            </w:pPr>
            <w:r>
              <w:rPr>
                <w:rFonts w:ascii="Arial" w:cs="Arial" w:eastAsia="Arial" w:hAnsi="Arial"/>
                <w:sz w:val="20"/>
                <w:szCs w:val="20"/>
                <w:color w:val="auto"/>
              </w:rPr>
              <w:t>9.95</w:t>
            </w:r>
          </w:p>
        </w:tc>
      </w:tr>
      <w:tr>
        <w:trPr>
          <w:trHeight w:val="86"/>
        </w:trPr>
        <w:tc>
          <w:tcPr>
            <w:tcW w:w="4980" w:type="dxa"/>
            <w:vAlign w:val="bottom"/>
            <w:shd w:val="clear" w:color="auto" w:fill="CFF0FC"/>
          </w:tcPr>
          <w:p>
            <w:pPr>
              <w:spacing w:after="0"/>
              <w:rPr>
                <w:sz w:val="7"/>
                <w:szCs w:val="7"/>
                <w:color w:val="auto"/>
              </w:rPr>
            </w:pPr>
          </w:p>
        </w:tc>
        <w:tc>
          <w:tcPr>
            <w:tcW w:w="74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-2068830</wp:posOffset>
            </wp:positionV>
            <wp:extent cx="2492375" cy="63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3">
                      <a:extLst>
                        <a:ext uri="{28A0092B-C50C-407E-A947-70E740481C1C}"/>
                      </a:extLst>
                    </a:blip>
                    <a:srcRect/>
                    <a:stretch>
                      <a:fillRect/>
                    </a:stretch>
                  </pic:blipFill>
                  <pic:spPr bwMode="auto">
                    <a:xfrm>
                      <a:off x="0" y="0"/>
                      <a:ext cx="2492375" cy="6350"/>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-1901190</wp:posOffset>
            </wp:positionV>
            <wp:extent cx="2492375" cy="63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4">
                      <a:extLst>
                        <a:ext uri="{28A0092B-C50C-407E-A947-70E740481C1C}"/>
                      </a:extLst>
                    </a:blip>
                    <a:srcRect/>
                    <a:stretch>
                      <a:fillRect/>
                    </a:stretch>
                  </pic:blipFill>
                  <pic:spPr bwMode="auto">
                    <a:xfrm>
                      <a:off x="0" y="0"/>
                      <a:ext cx="2492375" cy="6350"/>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-1694815</wp:posOffset>
            </wp:positionV>
            <wp:extent cx="2492375" cy="2857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5">
                      <a:extLst>
                        <a:ext uri="{28A0092B-C50C-407E-A947-70E740481C1C}"/>
                      </a:extLst>
                    </a:blip>
                    <a:srcRect/>
                    <a:stretch>
                      <a:fillRect/>
                    </a:stretch>
                  </pic:blipFill>
                  <pic:spPr bwMode="auto">
                    <a:xfrm>
                      <a:off x="0" y="0"/>
                      <a:ext cx="2492375" cy="28575"/>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-1067435</wp:posOffset>
            </wp:positionV>
            <wp:extent cx="2492375" cy="63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6">
                      <a:extLst>
                        <a:ext uri="{28A0092B-C50C-407E-A947-70E740481C1C}"/>
                      </a:extLst>
                    </a:blip>
                    <a:srcRect/>
                    <a:stretch>
                      <a:fillRect/>
                    </a:stretch>
                  </pic:blipFill>
                  <pic:spPr bwMode="auto">
                    <a:xfrm>
                      <a:off x="0" y="0"/>
                      <a:ext cx="2492375" cy="6350"/>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-861695</wp:posOffset>
            </wp:positionV>
            <wp:extent cx="2492375" cy="2857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7">
                      <a:extLst>
                        <a:ext uri="{28A0092B-C50C-407E-A947-70E740481C1C}"/>
                      </a:extLst>
                    </a:blip>
                    <a:srcRect/>
                    <a:stretch>
                      <a:fillRect/>
                    </a:stretch>
                  </pic:blipFill>
                  <pic:spPr bwMode="auto">
                    <a:xfrm>
                      <a:off x="0" y="0"/>
                      <a:ext cx="2492375" cy="28575"/>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-233680</wp:posOffset>
            </wp:positionV>
            <wp:extent cx="2492375" cy="63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28">
                      <a:extLst>
                        <a:ext uri="{28A0092B-C50C-407E-A947-70E740481C1C}"/>
                      </a:extLst>
                    </a:blip>
                    <a:srcRect/>
                    <a:stretch>
                      <a:fillRect/>
                    </a:stretch>
                  </pic:blipFill>
                  <pic:spPr bwMode="auto">
                    <a:xfrm>
                      <a:off x="0" y="0"/>
                      <a:ext cx="2492375" cy="6350"/>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-27940</wp:posOffset>
            </wp:positionV>
            <wp:extent cx="2492375" cy="2857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29">
                      <a:extLst>
                        <a:ext uri="{28A0092B-C50C-407E-A947-70E740481C1C}"/>
                      </a:extLst>
                    </a:blip>
                    <a:srcRect/>
                    <a:stretch>
                      <a:fillRect/>
                    </a:stretch>
                  </pic:blipFill>
                  <pic:spPr bwMode="auto">
                    <a:xfrm>
                      <a:off x="0" y="0"/>
                      <a:ext cx="2492375" cy="28575"/>
                    </a:xfrm>
                    <a:prstGeom prst="rect">
                      <a:avLst/>
                    </a:prstGeom>
                    <a:noFill/>
                  </pic:spPr>
                </pic:pic>
              </a:graphicData>
            </a:graphic>
          </wp:anchor>
        </w:drawing>
      </w:r>
    </w:p>
    <w:p>
      <w:pPr>
        <w:spacing w:after="0" w:line="199" w:lineRule="exact"/>
        <w:rPr>
          <w:sz w:val="20"/>
          <w:szCs w:val="20"/>
          <w:color w:val="auto"/>
        </w:rPr>
      </w:pPr>
    </w:p>
    <w:p>
      <w:pPr>
        <w:ind w:right="80"/>
        <w:spacing w:after="0" w:line="310" w:lineRule="auto"/>
        <w:rPr>
          <w:sz w:val="20"/>
          <w:szCs w:val="20"/>
          <w:color w:val="auto"/>
        </w:rPr>
      </w:pPr>
      <w:r>
        <w:rPr>
          <w:rFonts w:ascii="Arial" w:cs="Arial" w:eastAsia="Arial" w:hAnsi="Arial"/>
          <w:sz w:val="20"/>
          <w:szCs w:val="20"/>
          <w:color w:val="auto"/>
        </w:rPr>
        <w:t>For the year ended December 31, 2025, 0.1 million RSUs were not included in the computation of the dilutive effect of potentially issuable shares because their effect was anti-dilutive; for the year ended December 31, 2023, anti-dilutive RSUs were not material. The dilutive effect of potentially issuable shares was not computed for the year ended December 31, 2024 as the Company reported a net loss within its consolidated statement of comprehensive income.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21 — Supplemental Disclosures of Cash Flow Information</w:t>
      </w:r>
    </w:p>
    <w:p>
      <w:pPr>
        <w:spacing w:after="0" w:line="260" w:lineRule="exact"/>
        <w:rPr>
          <w:sz w:val="20"/>
          <w:szCs w:val="20"/>
          <w:color w:val="auto"/>
        </w:rPr>
      </w:pPr>
    </w:p>
    <w:p>
      <w:pPr>
        <w:ind w:right="420"/>
        <w:spacing w:after="0" w:line="302" w:lineRule="auto"/>
        <w:rPr>
          <w:sz w:val="20"/>
          <w:szCs w:val="20"/>
          <w:color w:val="auto"/>
        </w:rPr>
      </w:pPr>
      <w:r>
        <w:rPr>
          <w:rFonts w:ascii="Arial" w:cs="Arial" w:eastAsia="Arial" w:hAnsi="Arial"/>
          <w:sz w:val="20"/>
          <w:szCs w:val="20"/>
          <w:color w:val="auto"/>
        </w:rPr>
        <w:t>Supplemental disclosures regarding cash flow information and non-cash investing and financing activities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340" w:type="dxa"/>
            <w:vAlign w:val="bottom"/>
            <w:gridSpan w:val="5"/>
          </w:tcPr>
          <w:p>
            <w:pPr>
              <w:jc w:val="right"/>
              <w:ind w:right="223"/>
              <w:spacing w:after="0"/>
              <w:rPr>
                <w:sz w:val="20"/>
                <w:szCs w:val="20"/>
                <w:color w:val="auto"/>
              </w:rPr>
            </w:pPr>
            <w:r>
              <w:rPr>
                <w:rFonts w:ascii="Arial" w:cs="Arial" w:eastAsia="Arial" w:hAnsi="Arial"/>
                <w:sz w:val="16"/>
                <w:szCs w:val="16"/>
                <w:b w:val="1"/>
                <w:bCs w:val="1"/>
                <w:color w:val="auto"/>
                <w:w w:val="89"/>
              </w:rPr>
              <w:t>As of and for the years ended December 31,</w:t>
            </w:r>
          </w:p>
        </w:tc>
      </w:tr>
      <w:tr>
        <w:trPr>
          <w:trHeight w:val="264"/>
        </w:trPr>
        <w:tc>
          <w:tcPr>
            <w:tcW w:w="5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jc w:val="right"/>
              <w:ind w:right="345"/>
              <w:spacing w:after="0"/>
              <w:rPr>
                <w:sz w:val="20"/>
                <w:szCs w:val="20"/>
                <w:color w:val="auto"/>
              </w:rPr>
            </w:pPr>
            <w:r>
              <w:rPr>
                <w:rFonts w:ascii="Arial" w:cs="Arial" w:eastAsia="Arial" w:hAnsi="Arial"/>
                <w:sz w:val="16"/>
                <w:szCs w:val="16"/>
                <w:b w:val="1"/>
                <w:bCs w:val="1"/>
                <w:color w:val="auto"/>
              </w:rPr>
              <w:t>2025</w:t>
            </w:r>
          </w:p>
        </w:tc>
        <w:tc>
          <w:tcPr>
            <w:tcW w:w="340" w:type="dxa"/>
            <w:vAlign w:val="bottom"/>
          </w:tcPr>
          <w:p>
            <w:pPr>
              <w:spacing w:after="0"/>
              <w:rPr>
                <w:sz w:val="22"/>
                <w:szCs w:val="22"/>
                <w:color w:val="auto"/>
              </w:rPr>
            </w:pPr>
          </w:p>
        </w:tc>
        <w:tc>
          <w:tcPr>
            <w:tcW w:w="860" w:type="dxa"/>
            <w:vAlign w:val="bottom"/>
          </w:tcPr>
          <w:p>
            <w:pPr>
              <w:jc w:val="right"/>
              <w:ind w:right="343"/>
              <w:spacing w:after="0"/>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22"/>
                <w:szCs w:val="22"/>
                <w:color w:val="auto"/>
              </w:rPr>
            </w:pPr>
          </w:p>
        </w:tc>
        <w:tc>
          <w:tcPr>
            <w:tcW w:w="860" w:type="dxa"/>
            <w:vAlign w:val="bottom"/>
          </w:tcPr>
          <w:p>
            <w:pPr>
              <w:jc w:val="right"/>
              <w:ind w:right="343"/>
              <w:spacing w:after="0"/>
              <w:rPr>
                <w:sz w:val="20"/>
                <w:szCs w:val="20"/>
                <w:color w:val="auto"/>
              </w:rPr>
            </w:pPr>
            <w:r>
              <w:rPr>
                <w:rFonts w:ascii="Arial" w:cs="Arial" w:eastAsia="Arial" w:hAnsi="Arial"/>
                <w:sz w:val="16"/>
                <w:szCs w:val="16"/>
                <w:b w:val="1"/>
                <w:bCs w:val="1"/>
                <w:color w:val="auto"/>
              </w:rPr>
              <w:t>2023</w:t>
            </w:r>
          </w:p>
        </w:tc>
      </w:tr>
      <w:tr>
        <w:trPr>
          <w:trHeight w:val="42"/>
        </w:trPr>
        <w:tc>
          <w:tcPr>
            <w:tcW w:w="5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94"/>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Supplemental disclosures of cash flow information:</w:t>
            </w:r>
          </w:p>
        </w:tc>
        <w:tc>
          <w:tcPr>
            <w:tcW w:w="7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r>
      <w:tr>
        <w:trPr>
          <w:trHeight w:val="274"/>
        </w:trPr>
        <w:tc>
          <w:tcPr>
            <w:tcW w:w="5360" w:type="dxa"/>
            <w:vAlign w:val="bottom"/>
          </w:tcPr>
          <w:p>
            <w:pPr>
              <w:ind w:left="100"/>
              <w:spacing w:after="0"/>
              <w:rPr>
                <w:sz w:val="20"/>
                <w:szCs w:val="20"/>
                <w:color w:val="auto"/>
              </w:rPr>
            </w:pPr>
            <w:r>
              <w:rPr>
                <w:rFonts w:ascii="Arial" w:cs="Arial" w:eastAsia="Arial" w:hAnsi="Arial"/>
                <w:sz w:val="20"/>
                <w:szCs w:val="20"/>
                <w:color w:val="auto"/>
              </w:rPr>
              <w:t>Cash and cash equivalents</w:t>
            </w: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5"/>
              <w:spacing w:after="0"/>
              <w:rPr>
                <w:sz w:val="20"/>
                <w:szCs w:val="20"/>
                <w:color w:val="auto"/>
              </w:rPr>
            </w:pPr>
            <w:r>
              <w:rPr>
                <w:rFonts w:ascii="Arial" w:cs="Arial" w:eastAsia="Arial" w:hAnsi="Arial"/>
                <w:sz w:val="20"/>
                <w:szCs w:val="20"/>
                <w:color w:val="auto"/>
              </w:rPr>
              <w:t>3,132</w:t>
            </w:r>
          </w:p>
        </w:tc>
        <w:tc>
          <w:tcPr>
            <w:tcW w:w="3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3"/>
              <w:spacing w:after="0"/>
              <w:rPr>
                <w:sz w:val="20"/>
                <w:szCs w:val="20"/>
                <w:color w:val="auto"/>
              </w:rPr>
            </w:pPr>
            <w:r>
              <w:rPr>
                <w:rFonts w:ascii="Arial" w:cs="Arial" w:eastAsia="Arial" w:hAnsi="Arial"/>
                <w:sz w:val="20"/>
                <w:szCs w:val="20"/>
                <w:color w:val="auto"/>
              </w:rPr>
              <w:t>1,890</w:t>
            </w:r>
          </w:p>
        </w:tc>
        <w:tc>
          <w:tcPr>
            <w:tcW w:w="3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3"/>
              <w:spacing w:after="0"/>
              <w:rPr>
                <w:sz w:val="20"/>
                <w:szCs w:val="20"/>
                <w:color w:val="auto"/>
              </w:rPr>
            </w:pPr>
            <w:r>
              <w:rPr>
                <w:rFonts w:ascii="Arial" w:cs="Arial" w:eastAsia="Arial" w:hAnsi="Arial"/>
                <w:sz w:val="20"/>
                <w:szCs w:val="20"/>
                <w:color w:val="auto"/>
              </w:rPr>
              <w:t>1,424</w:t>
            </w:r>
          </w:p>
        </w:tc>
      </w:tr>
      <w:tr>
        <w:trPr>
          <w:trHeight w:val="41"/>
        </w:trPr>
        <w:tc>
          <w:tcPr>
            <w:tcW w:w="5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304"/>
        </w:trPr>
        <w:tc>
          <w:tcPr>
            <w:tcW w:w="53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Fiduciary funds (included in fiduciary assets)</w:t>
            </w:r>
          </w:p>
        </w:tc>
        <w:tc>
          <w:tcPr>
            <w:tcW w:w="7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20"/>
                <w:szCs w:val="20"/>
                <w:color w:val="auto"/>
              </w:rPr>
              <w:t>3,355</w:t>
            </w:r>
          </w:p>
        </w:tc>
        <w:tc>
          <w:tcPr>
            <w:tcW w:w="3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3,108</w:t>
            </w:r>
          </w:p>
        </w:tc>
        <w:tc>
          <w:tcPr>
            <w:tcW w:w="3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2,368</w:t>
            </w:r>
          </w:p>
        </w:tc>
      </w:tr>
      <w:tr>
        <w:trPr>
          <w:trHeight w:val="274"/>
        </w:trPr>
        <w:tc>
          <w:tcPr>
            <w:tcW w:w="5360" w:type="dxa"/>
            <w:vAlign w:val="bottom"/>
          </w:tcPr>
          <w:p>
            <w:pPr>
              <w:ind w:left="100"/>
              <w:spacing w:after="0"/>
              <w:rPr>
                <w:sz w:val="20"/>
                <w:szCs w:val="20"/>
                <w:color w:val="auto"/>
              </w:rPr>
            </w:pPr>
            <w:r>
              <w:rPr>
                <w:rFonts w:ascii="Arial" w:cs="Arial" w:eastAsia="Arial" w:hAnsi="Arial"/>
                <w:sz w:val="20"/>
                <w:szCs w:val="20"/>
                <w:color w:val="auto"/>
              </w:rPr>
              <w:t>Total cash, cash equivalents and restricted cash</w:t>
            </w: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5"/>
              <w:spacing w:after="0"/>
              <w:rPr>
                <w:sz w:val="20"/>
                <w:szCs w:val="20"/>
                <w:color w:val="auto"/>
              </w:rPr>
            </w:pPr>
            <w:r>
              <w:rPr>
                <w:rFonts w:ascii="Arial" w:cs="Arial" w:eastAsia="Arial" w:hAnsi="Arial"/>
                <w:sz w:val="20"/>
                <w:szCs w:val="20"/>
                <w:color w:val="auto"/>
              </w:rPr>
              <w:t>6,487</w:t>
            </w:r>
          </w:p>
        </w:tc>
        <w:tc>
          <w:tcPr>
            <w:tcW w:w="3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3"/>
              <w:spacing w:after="0"/>
              <w:rPr>
                <w:sz w:val="20"/>
                <w:szCs w:val="20"/>
                <w:color w:val="auto"/>
              </w:rPr>
            </w:pPr>
            <w:r>
              <w:rPr>
                <w:rFonts w:ascii="Arial" w:cs="Arial" w:eastAsia="Arial" w:hAnsi="Arial"/>
                <w:sz w:val="20"/>
                <w:szCs w:val="20"/>
                <w:color w:val="auto"/>
              </w:rPr>
              <w:t>4,998</w:t>
            </w:r>
          </w:p>
        </w:tc>
        <w:tc>
          <w:tcPr>
            <w:tcW w:w="3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3"/>
              <w:spacing w:after="0"/>
              <w:rPr>
                <w:sz w:val="20"/>
                <w:szCs w:val="20"/>
                <w:color w:val="auto"/>
              </w:rPr>
            </w:pPr>
            <w:r>
              <w:rPr>
                <w:rFonts w:ascii="Arial" w:cs="Arial" w:eastAsia="Arial" w:hAnsi="Arial"/>
                <w:sz w:val="20"/>
                <w:szCs w:val="20"/>
                <w:color w:val="auto"/>
              </w:rPr>
              <w:t>3,792</w:t>
            </w:r>
          </w:p>
        </w:tc>
      </w:tr>
      <w:tr>
        <w:trPr>
          <w:trHeight w:val="86"/>
        </w:trPr>
        <w:tc>
          <w:tcPr>
            <w:tcW w:w="5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314"/>
        </w:trPr>
        <w:tc>
          <w:tcPr>
            <w:tcW w:w="536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r>
      <w:tr>
        <w:trPr>
          <w:trHeight w:val="274"/>
        </w:trPr>
        <w:tc>
          <w:tcPr>
            <w:tcW w:w="5360" w:type="dxa"/>
            <w:vAlign w:val="bottom"/>
          </w:tcPr>
          <w:p>
            <w:pPr>
              <w:ind w:left="100"/>
              <w:spacing w:after="0"/>
              <w:rPr>
                <w:sz w:val="20"/>
                <w:szCs w:val="20"/>
                <w:color w:val="auto"/>
              </w:rPr>
            </w:pPr>
            <w:r>
              <w:rPr>
                <w:rFonts w:ascii="Arial" w:cs="Arial" w:eastAsia="Arial" w:hAnsi="Arial"/>
                <w:sz w:val="20"/>
                <w:szCs w:val="20"/>
                <w:color w:val="auto"/>
                <w:w w:val="98"/>
              </w:rPr>
              <w:t>Increase in cash, cash equivalents and other restricted cash</w:t>
            </w: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5"/>
              <w:spacing w:after="0"/>
              <w:rPr>
                <w:sz w:val="20"/>
                <w:szCs w:val="20"/>
                <w:color w:val="auto"/>
              </w:rPr>
            </w:pPr>
            <w:r>
              <w:rPr>
                <w:rFonts w:ascii="Arial" w:cs="Arial" w:eastAsia="Arial" w:hAnsi="Arial"/>
                <w:sz w:val="20"/>
                <w:szCs w:val="20"/>
                <w:color w:val="auto"/>
              </w:rPr>
              <w:t>1,168</w:t>
            </w:r>
          </w:p>
        </w:tc>
        <w:tc>
          <w:tcPr>
            <w:tcW w:w="3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3"/>
              <w:spacing w:after="0"/>
              <w:rPr>
                <w:sz w:val="20"/>
                <w:szCs w:val="20"/>
                <w:color w:val="auto"/>
              </w:rPr>
            </w:pPr>
            <w:r>
              <w:rPr>
                <w:rFonts w:ascii="Arial" w:cs="Arial" w:eastAsia="Arial" w:hAnsi="Arial"/>
                <w:sz w:val="20"/>
                <w:szCs w:val="20"/>
                <w:color w:val="auto"/>
              </w:rPr>
              <w:t>510</w:t>
            </w:r>
          </w:p>
        </w:tc>
        <w:tc>
          <w:tcPr>
            <w:tcW w:w="3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3"/>
              <w:spacing w:after="0"/>
              <w:rPr>
                <w:sz w:val="20"/>
                <w:szCs w:val="20"/>
                <w:color w:val="auto"/>
              </w:rPr>
            </w:pPr>
            <w:r>
              <w:rPr>
                <w:rFonts w:ascii="Arial" w:cs="Arial" w:eastAsia="Arial" w:hAnsi="Arial"/>
                <w:sz w:val="20"/>
                <w:szCs w:val="20"/>
                <w:color w:val="auto"/>
              </w:rPr>
              <w:t>163</w:t>
            </w:r>
          </w:p>
        </w:tc>
      </w:tr>
      <w:tr>
        <w:trPr>
          <w:trHeight w:val="41"/>
        </w:trPr>
        <w:tc>
          <w:tcPr>
            <w:tcW w:w="5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304"/>
        </w:trPr>
        <w:tc>
          <w:tcPr>
            <w:tcW w:w="53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Increase/(decrease) in fiduciary funds</w:t>
            </w:r>
          </w:p>
        </w:tc>
        <w:tc>
          <w:tcPr>
            <w:tcW w:w="7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5"/>
              <w:spacing w:after="0"/>
              <w:rPr>
                <w:sz w:val="20"/>
                <w:szCs w:val="20"/>
                <w:color w:val="auto"/>
              </w:rPr>
            </w:pPr>
            <w:r>
              <w:rPr>
                <w:rFonts w:ascii="Arial" w:cs="Arial" w:eastAsia="Arial" w:hAnsi="Arial"/>
                <w:sz w:val="20"/>
                <w:szCs w:val="20"/>
                <w:color w:val="auto"/>
              </w:rPr>
              <w:t>118</w:t>
            </w:r>
          </w:p>
        </w:tc>
        <w:tc>
          <w:tcPr>
            <w:tcW w:w="3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23"/>
              <w:spacing w:after="0"/>
              <w:rPr>
                <w:sz w:val="20"/>
                <w:szCs w:val="20"/>
                <w:color w:val="auto"/>
              </w:rPr>
            </w:pPr>
            <w:r>
              <w:rPr>
                <w:rFonts w:ascii="Arial" w:cs="Arial" w:eastAsia="Arial" w:hAnsi="Arial"/>
                <w:sz w:val="20"/>
                <w:szCs w:val="20"/>
                <w:color w:val="auto"/>
              </w:rPr>
              <w:t>793</w:t>
            </w:r>
          </w:p>
        </w:tc>
        <w:tc>
          <w:tcPr>
            <w:tcW w:w="3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(1,103)</w:t>
            </w:r>
          </w:p>
        </w:tc>
      </w:tr>
      <w:tr>
        <w:trPr>
          <w:trHeight w:val="274"/>
        </w:trPr>
        <w:tc>
          <w:tcPr>
            <w:tcW w:w="5360" w:type="dxa"/>
            <w:vAlign w:val="bottom"/>
          </w:tcPr>
          <w:p>
            <w:pPr>
              <w:ind w:left="100"/>
              <w:spacing w:after="0"/>
              <w:rPr>
                <w:sz w:val="20"/>
                <w:szCs w:val="20"/>
                <w:color w:val="auto"/>
              </w:rPr>
            </w:pPr>
            <w:r>
              <w:rPr>
                <w:rFonts w:ascii="Arial" w:cs="Arial" w:eastAsia="Arial" w:hAnsi="Arial"/>
                <w:sz w:val="20"/>
                <w:szCs w:val="20"/>
                <w:color w:val="auto"/>
              </w:rPr>
              <w:t>Total</w:t>
            </w: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25"/>
              <w:spacing w:after="0"/>
              <w:rPr>
                <w:sz w:val="20"/>
                <w:szCs w:val="20"/>
                <w:color w:val="auto"/>
              </w:rPr>
            </w:pPr>
            <w:r>
              <w:rPr>
                <w:rFonts w:ascii="Arial" w:cs="Arial" w:eastAsia="Arial" w:hAnsi="Arial"/>
                <w:sz w:val="20"/>
                <w:szCs w:val="20"/>
                <w:color w:val="auto"/>
              </w:rPr>
              <w:t>1,286</w:t>
            </w:r>
          </w:p>
        </w:tc>
        <w:tc>
          <w:tcPr>
            <w:tcW w:w="3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23"/>
              <w:spacing w:after="0"/>
              <w:rPr>
                <w:sz w:val="20"/>
                <w:szCs w:val="20"/>
                <w:color w:val="auto"/>
              </w:rPr>
            </w:pPr>
            <w:r>
              <w:rPr>
                <w:rFonts w:ascii="Arial" w:cs="Arial" w:eastAsia="Arial" w:hAnsi="Arial"/>
                <w:sz w:val="20"/>
                <w:szCs w:val="20"/>
                <w:color w:val="auto"/>
              </w:rPr>
              <w:t>1,303</w:t>
            </w:r>
          </w:p>
        </w:tc>
        <w:tc>
          <w:tcPr>
            <w:tcW w:w="3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(940)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-1786255</wp:posOffset>
            </wp:positionV>
            <wp:extent cx="2205990" cy="63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0">
                      <a:extLst>
                        <a:ext uri="{28A0092B-C50C-407E-A947-70E740481C1C}"/>
                      </a:extLst>
                    </a:blip>
                    <a:srcRect/>
                    <a:stretch>
                      <a:fillRect/>
                    </a:stretch>
                  </pic:blipFill>
                  <pic:spPr bwMode="auto">
                    <a:xfrm>
                      <a:off x="0" y="0"/>
                      <a:ext cx="2205990" cy="6350"/>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-1618615</wp:posOffset>
            </wp:positionV>
            <wp:extent cx="2205990" cy="63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1">
                      <a:extLst>
                        <a:ext uri="{28A0092B-C50C-407E-A947-70E740481C1C}"/>
                      </a:extLst>
                    </a:blip>
                    <a:srcRect/>
                    <a:stretch>
                      <a:fillRect/>
                    </a:stretch>
                  </pic:blipFill>
                  <pic:spPr bwMode="auto">
                    <a:xfrm>
                      <a:off x="0" y="0"/>
                      <a:ext cx="2205990" cy="6350"/>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-1012825</wp:posOffset>
            </wp:positionV>
            <wp:extent cx="2205990" cy="63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2">
                      <a:extLst>
                        <a:ext uri="{28A0092B-C50C-407E-A947-70E740481C1C}"/>
                      </a:extLst>
                    </a:blip>
                    <a:srcRect/>
                    <a:stretch>
                      <a:fillRect/>
                    </a:stretch>
                  </pic:blipFill>
                  <pic:spPr bwMode="auto">
                    <a:xfrm>
                      <a:off x="0" y="0"/>
                      <a:ext cx="2205990" cy="6350"/>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-807085</wp:posOffset>
            </wp:positionV>
            <wp:extent cx="2205990" cy="2857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3">
                      <a:extLst>
                        <a:ext uri="{28A0092B-C50C-407E-A947-70E740481C1C}"/>
                      </a:extLst>
                    </a:blip>
                    <a:srcRect/>
                    <a:stretch>
                      <a:fillRect/>
                    </a:stretch>
                  </pic:blipFill>
                  <pic:spPr bwMode="auto">
                    <a:xfrm>
                      <a:off x="0" y="0"/>
                      <a:ext cx="2205990" cy="28575"/>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-179705</wp:posOffset>
            </wp:positionV>
            <wp:extent cx="2205990" cy="63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4">
                      <a:extLst>
                        <a:ext uri="{28A0092B-C50C-407E-A947-70E740481C1C}"/>
                      </a:extLst>
                    </a:blip>
                    <a:srcRect/>
                    <a:stretch>
                      <a:fillRect/>
                    </a:stretch>
                  </pic:blipFill>
                  <pic:spPr bwMode="auto">
                    <a:xfrm>
                      <a:off x="0" y="0"/>
                      <a:ext cx="2205990" cy="6350"/>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26035</wp:posOffset>
            </wp:positionV>
            <wp:extent cx="2205990" cy="2857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5">
                      <a:extLst>
                        <a:ext uri="{28A0092B-C50C-407E-A947-70E740481C1C}"/>
                      </a:extLst>
                    </a:blip>
                    <a:srcRect/>
                    <a:stretch>
                      <a:fillRect/>
                    </a:stretch>
                  </pic:blipFill>
                  <pic:spPr bwMode="auto">
                    <a:xfrm>
                      <a:off x="0" y="0"/>
                      <a:ext cx="2205990"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24</w:t>
      </w:r>
    </w:p>
    <w:p>
      <w:pPr>
        <w:sectPr>
          <w:pgSz w:w="11900" w:h="16838" w:orient="portrait"/>
          <w:cols w:equalWidth="0" w:num="1">
            <w:col w:w="9400"/>
          </w:cols>
          <w:pgMar w:left="1260" w:top="1440" w:right="1246" w:bottom="0" w:gutter="0" w:footer="0" w:header="0"/>
          <w:type w:val="continuous"/>
        </w:sectPr>
      </w:pPr>
    </w:p>
    <w:bookmarkStart w:id="259" w:name="page260"/>
    <w:bookmarkEnd w:id="2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4378960" cy="1993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6">
                      <a:extLst>
                        <a:ext uri="{28A0092B-C50C-407E-A947-70E740481C1C}"/>
                      </a:extLst>
                    </a:blip>
                    <a:srcRect/>
                    <a:stretch>
                      <a:fillRect/>
                    </a:stretch>
                  </pic:blipFill>
                  <pic:spPr bwMode="auto">
                    <a:xfrm>
                      <a:off x="0" y="0"/>
                      <a:ext cx="4378960" cy="19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24 / 24</w:t>
      </w:r>
    </w:p>
    <w:p>
      <w:pPr>
        <w:sectPr>
          <w:pgSz w:w="11900" w:h="16838" w:orient="portrait"/>
          <w:cols w:equalWidth="0" w:num="1">
            <w:col w:w="9026"/>
          </w:cols>
          <w:pgMar w:left="1440" w:top="1440" w:right="1440" w:bottom="0" w:gutter="0" w:footer="0" w:header="0"/>
        </w:sectPr>
      </w:pPr>
    </w:p>
    <w:bookmarkStart w:id="260" w:name="page261"/>
    <w:bookmarkEnd w:id="2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Cash payments for interest</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223</w:t>
      </w:r>
    </w:p>
    <w:p>
      <w:pPr>
        <w:spacing w:after="0" w:line="37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Cash acquired</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disclosures of non-cash investing and financing activities: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60</w:t>
      </w:r>
    </w:p>
    <w:p>
      <w:pPr>
        <w:sectPr>
          <w:pgSz w:w="11900" w:h="16838" w:orient="portrait"/>
          <w:cols w:equalWidth="0" w:num="1">
            <w:col w:w="9400"/>
          </w:cols>
          <w:pgMar w:left="1260" w:top="1440" w:right="1246" w:bottom="0" w:gutter="0" w:footer="0" w:header="0"/>
          <w:type w:val="continuous"/>
        </w:sectPr>
      </w:pPr>
    </w:p>
    <w:bookmarkStart w:id="261" w:name="page262"/>
    <w:bookmarkEnd w:id="261"/>
    <w:p>
      <w:pPr>
        <w:ind w:left="160"/>
        <w:spacing w:after="0"/>
        <w:rPr>
          <w:sz w:val="20"/>
          <w:szCs w:val="20"/>
          <w:color w:val="auto"/>
        </w:rPr>
      </w:pPr>
      <w:r>
        <w:rPr>
          <w:rFonts w:ascii="Arial" w:cs="Arial" w:eastAsia="Arial" w:hAnsi="Arial"/>
          <w:sz w:val="20"/>
          <w:szCs w:val="20"/>
          <w:color w:val="auto"/>
        </w:rPr>
        <w:t>Fair value of deferred and contingent consideration related to acquisitions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22 — Subsequent Events</w:t>
      </w:r>
    </w:p>
    <w:p>
      <w:pPr>
        <w:spacing w:after="0" w:line="380" w:lineRule="exact"/>
        <w:rPr>
          <w:sz w:val="20"/>
          <w:szCs w:val="20"/>
          <w:color w:val="auto"/>
        </w:rPr>
      </w:pPr>
    </w:p>
    <w:p>
      <w:pPr>
        <w:ind w:right="140"/>
        <w:spacing w:after="0" w:line="347" w:lineRule="auto"/>
        <w:rPr>
          <w:sz w:val="20"/>
          <w:szCs w:val="20"/>
          <w:color w:val="auto"/>
        </w:rPr>
      </w:pPr>
      <w:r>
        <w:rPr>
          <w:rFonts w:ascii="Arial" w:cs="Arial" w:eastAsia="Arial" w:hAnsi="Arial"/>
          <w:sz w:val="18"/>
          <w:szCs w:val="18"/>
          <w:i w:val="1"/>
          <w:iCs w:val="1"/>
          <w:color w:val="auto"/>
        </w:rPr>
        <w:t xml:space="preserve">Delayed Draw Term Loan </w:t>
      </w:r>
      <w:r>
        <w:rPr>
          <w:rFonts w:ascii="Arial" w:cs="Arial" w:eastAsia="Arial" w:hAnsi="Arial"/>
          <w:sz w:val="18"/>
          <w:szCs w:val="18"/>
          <w:color w:val="auto"/>
        </w:rPr>
        <w:t>— On January 7, 2026, the Company, together with Trinity Acquisition plc and Willis</w:t>
      </w:r>
      <w:r>
        <w:rPr>
          <w:rFonts w:ascii="Arial" w:cs="Arial" w:eastAsia="Arial" w:hAnsi="Arial"/>
          <w:sz w:val="18"/>
          <w:szCs w:val="18"/>
          <w:i w:val="1"/>
          <w:iCs w:val="1"/>
          <w:color w:val="auto"/>
        </w:rPr>
        <w:t xml:space="preserve"> </w:t>
      </w:r>
      <w:r>
        <w:rPr>
          <w:rFonts w:ascii="Arial" w:cs="Arial" w:eastAsia="Arial" w:hAnsi="Arial"/>
          <w:sz w:val="18"/>
          <w:szCs w:val="18"/>
          <w:color w:val="auto"/>
        </w:rPr>
        <w:t>North America Inc. as borrowers (the ‘Borrowers’), entered into a $775 million delayed draw term loan facility (the ‘DDTL’). Drawings against the DDTL may be used (i) to finance a portion of the Newfront acquisition (see Note 3</w:t>
      </w:r>
    </w:p>
    <w:p>
      <w:pPr>
        <w:spacing w:after="0" w:line="2" w:lineRule="exact"/>
        <w:rPr>
          <w:sz w:val="20"/>
          <w:szCs w:val="20"/>
          <w:color w:val="auto"/>
        </w:rPr>
      </w:pPr>
    </w:p>
    <w:p>
      <w:pPr>
        <w:jc w:val="both"/>
        <w:ind w:right="780"/>
        <w:spacing w:after="0" w:line="307" w:lineRule="auto"/>
        <w:rPr>
          <w:sz w:val="20"/>
          <w:szCs w:val="20"/>
          <w:color w:val="auto"/>
        </w:rPr>
      </w:pPr>
      <w:r>
        <w:rPr>
          <w:rFonts w:ascii="Arial" w:cs="Arial" w:eastAsia="Arial" w:hAnsi="Arial"/>
          <w:sz w:val="20"/>
          <w:szCs w:val="20"/>
          <w:color w:val="auto"/>
        </w:rPr>
        <w:t>— Acquisitions and Divestitures); (ii) to refinance certain outstanding indebtedness of the Company and its subsidiaries, and (iii) for working capital, capital expenditures, permitted acquisitions and general corporate purposes.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60</w:t>
      </w:r>
    </w:p>
    <w:p>
      <w:pPr>
        <w:sectPr>
          <w:pgSz w:w="11900" w:h="16838" w:orient="portrait"/>
          <w:cols w:equalWidth="0" w:num="1">
            <w:col w:w="9400"/>
          </w:cols>
          <w:pgMar w:left="1260" w:top="1163" w:right="1246" w:bottom="0" w:gutter="0" w:footer="0" w:header="0"/>
          <w:type w:val="continuous"/>
        </w:sectPr>
      </w:pPr>
    </w:p>
    <w:bookmarkStart w:id="262" w:name="page263"/>
    <w:bookmarkEnd w:id="2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Amounts outstanding under the DDTL shall bear interest, at the Borrowers’ option, at a rate equal to (i) the Term SOFR rate plus an applicable margin of 0.625% to 1.250% (based upon the Company’s guaranteed senior-unsecured long-term debt rating) or (ii) the base rate plus an applicable margin of 0.00% to</w:t>
      </w:r>
    </w:p>
    <w:p>
      <w:pPr>
        <w:spacing w:after="0" w:line="1" w:lineRule="exact"/>
        <w:rPr>
          <w:sz w:val="20"/>
          <w:szCs w:val="20"/>
          <w:color w:val="auto"/>
        </w:rPr>
      </w:pPr>
    </w:p>
    <w:p>
      <w:pPr>
        <w:jc w:val="both"/>
        <w:ind w:right="60"/>
        <w:spacing w:after="0" w:line="330" w:lineRule="auto"/>
        <w:rPr>
          <w:sz w:val="20"/>
          <w:szCs w:val="20"/>
          <w:color w:val="auto"/>
        </w:rPr>
      </w:pPr>
      <w:r>
        <w:rPr>
          <w:rFonts w:ascii="Arial" w:cs="Arial" w:eastAsia="Arial" w:hAnsi="Arial"/>
          <w:sz w:val="19"/>
          <w:szCs w:val="19"/>
          <w:color w:val="auto"/>
        </w:rPr>
        <w:t>0.250% (based upon the Company’s guaranteed senior-unsecured long-term debt rating). In addition, the Borrowers will pay a commitment fee in an amount equal to 0.055% to 0.140% (based upon the Company’s guaranteed senior-unsecured long-term debt rating) on the unused amount of commitments under the DDTL.</w:t>
      </w:r>
    </w:p>
    <w:p>
      <w:pPr>
        <w:spacing w:after="0" w:line="179" w:lineRule="exact"/>
        <w:rPr>
          <w:sz w:val="20"/>
          <w:szCs w:val="20"/>
          <w:color w:val="auto"/>
        </w:rPr>
      </w:pPr>
    </w:p>
    <w:p>
      <w:pPr>
        <w:ind w:right="180"/>
        <w:spacing w:after="0" w:line="352" w:lineRule="auto"/>
        <w:rPr>
          <w:sz w:val="20"/>
          <w:szCs w:val="20"/>
          <w:color w:val="auto"/>
        </w:rPr>
      </w:pPr>
      <w:r>
        <w:rPr>
          <w:rFonts w:ascii="Arial" w:cs="Arial" w:eastAsia="Arial" w:hAnsi="Arial"/>
          <w:sz w:val="18"/>
          <w:szCs w:val="18"/>
          <w:color w:val="auto"/>
        </w:rPr>
        <w:t>The DDTL may be drawn on up to four borrowings, each of which is subject to customary conditions, including, solely in the case of drawings that are not used to fund the Newfront acquisition, the accuracy and completeness in all material respects of all representations and warranties in the loan documentation and that no default under the DDTL shall exist, or would result from such borrowing or the application of the drawings thereof.</w:t>
      </w:r>
    </w:p>
    <w:p>
      <w:pPr>
        <w:spacing w:after="0" w:line="166" w:lineRule="exact"/>
        <w:rPr>
          <w:sz w:val="20"/>
          <w:szCs w:val="20"/>
          <w:color w:val="auto"/>
        </w:rPr>
      </w:pPr>
    </w:p>
    <w:p>
      <w:pPr>
        <w:ind w:right="160"/>
        <w:spacing w:after="0" w:line="302" w:lineRule="auto"/>
        <w:rPr>
          <w:sz w:val="20"/>
          <w:szCs w:val="20"/>
          <w:color w:val="auto"/>
        </w:rPr>
      </w:pPr>
      <w:r>
        <w:rPr>
          <w:rFonts w:ascii="Arial" w:cs="Arial" w:eastAsia="Arial" w:hAnsi="Arial"/>
          <w:sz w:val="20"/>
          <w:szCs w:val="20"/>
          <w:i w:val="1"/>
          <w:iCs w:val="1"/>
          <w:color w:val="auto"/>
        </w:rPr>
        <w:t xml:space="preserve">Acquisition of Newfront </w:t>
      </w:r>
      <w:r>
        <w:rPr>
          <w:rFonts w:ascii="Arial" w:cs="Arial" w:eastAsia="Arial" w:hAnsi="Arial"/>
          <w:sz w:val="20"/>
          <w:szCs w:val="20"/>
          <w:color w:val="auto"/>
        </w:rPr>
        <w:t>— On January 27, 2026, the Company completed the acquisition of Newfront. There were</w:t>
      </w:r>
      <w:r>
        <w:rPr>
          <w:rFonts w:ascii="Arial" w:cs="Arial" w:eastAsia="Arial" w:hAnsi="Arial"/>
          <w:sz w:val="20"/>
          <w:szCs w:val="20"/>
          <w:i w:val="1"/>
          <w:iCs w:val="1"/>
          <w:color w:val="auto"/>
        </w:rPr>
        <w:t xml:space="preserve"> </w:t>
      </w:r>
      <w:r>
        <w:rPr>
          <w:rFonts w:ascii="Arial" w:cs="Arial" w:eastAsia="Arial" w:hAnsi="Arial"/>
          <w:sz w:val="20"/>
          <w:szCs w:val="20"/>
          <w:color w:val="auto"/>
        </w:rPr>
        <w:t>no drawings made under the DDTL as part of the funding of the purchase price.</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3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 / 60</w:t>
      </w:r>
    </w:p>
    <w:p>
      <w:pPr>
        <w:sectPr>
          <w:pgSz w:w="11900" w:h="16838" w:orient="portrait"/>
          <w:cols w:equalWidth="0" w:num="1">
            <w:col w:w="9340"/>
          </w:cols>
          <w:pgMar w:left="1260" w:top="1440" w:right="1306" w:bottom="0" w:gutter="0" w:footer="0" w:header="0"/>
          <w:type w:val="continuous"/>
        </w:sectPr>
      </w:pPr>
    </w:p>
    <w:bookmarkStart w:id="263" w:name="page264"/>
    <w:bookmarkEnd w:id="263"/>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560"/>
        <w:spacing w:after="0" w:line="302" w:lineRule="auto"/>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60"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An evaluation was performed under the supervision and with the participation of our chief executive officer (‘CEO’) and chief financial officer (‘CFO’), of the effectiveness of the design and operation of our disclosure controls and procedures, as defined in Rules 13a-15(e) and 15d-15(e) under the Securities Exchange Act of 1934, as amended (the ‘Exchange Act’), as of the end of the period covered by this Annual Report on Form 10-K. Based upon that evaluation, our management, including the CEO and CFO, concluded that our disclosure controls and procedures were effective as of December 31, 2025 in providing reasonable assurance that the information required to be disclosed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60" w:lineRule="exact"/>
        <w:rPr>
          <w:sz w:val="20"/>
          <w:szCs w:val="20"/>
          <w:color w:val="auto"/>
        </w:rPr>
      </w:pPr>
    </w:p>
    <w:p>
      <w:pPr>
        <w:spacing w:after="0" w:line="309" w:lineRule="auto"/>
        <w:rPr>
          <w:sz w:val="20"/>
          <w:szCs w:val="20"/>
          <w:color w:val="auto"/>
        </w:rPr>
      </w:pPr>
      <w:r>
        <w:rPr>
          <w:rFonts w:ascii="Arial" w:cs="Arial" w:eastAsia="Arial" w:hAnsi="Arial"/>
          <w:sz w:val="20"/>
          <w:szCs w:val="20"/>
          <w:color w:val="auto"/>
        </w:rPr>
        <w:t>There were no changes in our internal control over financial reporting, as defined in Rules 13a-15(f) and 15d-15(f) under the Exchange Act, identified in connection with the evaluation required by Rules 13a-15(d) or 15d-15(d) under the Exchange Act in the quarter and year ended December 31, 2025 that materially affected, or are reasonably likely to materially affect, our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60" w:lineRule="exact"/>
        <w:rPr>
          <w:sz w:val="20"/>
          <w:szCs w:val="20"/>
          <w:color w:val="auto"/>
        </w:rPr>
      </w:pPr>
    </w:p>
    <w:p>
      <w:pPr>
        <w:ind w:right="140"/>
        <w:spacing w:after="0" w:line="310" w:lineRule="auto"/>
        <w:rPr>
          <w:sz w:val="20"/>
          <w:szCs w:val="20"/>
          <w:color w:val="auto"/>
        </w:rPr>
      </w:pPr>
      <w:r>
        <w:rPr>
          <w:rFonts w:ascii="Arial" w:cs="Arial" w:eastAsia="Arial" w:hAnsi="Arial"/>
          <w:sz w:val="20"/>
          <w:szCs w:val="20"/>
          <w:color w:val="auto"/>
        </w:rPr>
        <w:t>Internal control over financial reporting refers to the process designed by, or under the supervision of, our CEO and CFO, and overseen by our board of directors, management and other personnel, to provide reasonable assurance regarding the reliability of financial reporting and the preparation of financial statements for external purposes in accordance with U.S. generally accepted accounting principles (‘U.S. GAAP’), and includes those policies and procedures that:</w:t>
      </w:r>
    </w:p>
    <w:p>
      <w:pPr>
        <w:spacing w:after="0" w:line="200" w:lineRule="exact"/>
        <w:rPr>
          <w:sz w:val="20"/>
          <w:szCs w:val="20"/>
          <w:color w:val="auto"/>
        </w:rPr>
      </w:pPr>
    </w:p>
    <w:p>
      <w:pPr>
        <w:spacing w:after="0" w:line="340" w:lineRule="exact"/>
        <w:rPr>
          <w:sz w:val="20"/>
          <w:szCs w:val="20"/>
          <w:color w:val="auto"/>
        </w:rPr>
      </w:pPr>
    </w:p>
    <w:p>
      <w:pPr>
        <w:ind w:left="620" w:right="260" w:hanging="313"/>
        <w:spacing w:after="0" w:line="365" w:lineRule="auto"/>
        <w:tabs>
          <w:tab w:leader="none" w:pos="6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Pertain to the maintenance of records that in reasonable detail accurately and fairly reflect the transactions and dispositions of our assets;</w:t>
      </w:r>
    </w:p>
    <w:p>
      <w:pPr>
        <w:spacing w:after="0" w:line="200" w:lineRule="exact"/>
        <w:rPr>
          <w:rFonts w:ascii="Arial" w:cs="Arial" w:eastAsia="Arial" w:hAnsi="Arial"/>
          <w:sz w:val="20"/>
          <w:szCs w:val="20"/>
          <w:color w:val="auto"/>
        </w:rPr>
      </w:pPr>
    </w:p>
    <w:p>
      <w:pPr>
        <w:ind w:left="620" w:right="260" w:hanging="313"/>
        <w:spacing w:after="0" w:line="396" w:lineRule="auto"/>
        <w:tabs>
          <w:tab w:leader="none" w:pos="6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178" w:lineRule="exact"/>
        <w:rPr>
          <w:rFonts w:ascii="Arial" w:cs="Arial" w:eastAsia="Arial" w:hAnsi="Arial"/>
          <w:sz w:val="19"/>
          <w:szCs w:val="19"/>
          <w:color w:val="auto"/>
        </w:rPr>
      </w:pPr>
    </w:p>
    <w:p>
      <w:pPr>
        <w:ind w:left="620" w:right="300" w:hanging="313"/>
        <w:spacing w:after="0" w:line="397" w:lineRule="auto"/>
        <w:tabs>
          <w:tab w:leader="none" w:pos="6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Provide reasonable assurance regarding prevention or timely detection of unauthorized acquisition, use or disposition of our assets that could have a material effect on the financial statements.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 / 60</w:t>
      </w:r>
    </w:p>
    <w:p>
      <w:pPr>
        <w:sectPr>
          <w:pgSz w:w="11900" w:h="16838" w:orient="portrait"/>
          <w:cols w:equalWidth="0" w:num="1">
            <w:col w:w="9380"/>
          </w:cols>
          <w:pgMar w:left="1260" w:top="1440" w:right="1266" w:bottom="0" w:gutter="0" w:footer="0" w:header="0"/>
          <w:type w:val="continuous"/>
        </w:sectPr>
      </w:pPr>
    </w:p>
    <w:bookmarkStart w:id="264" w:name="page265"/>
    <w:bookmarkEnd w:id="264"/>
    <w:p>
      <w:pPr>
        <w:spacing w:after="0" w:line="329" w:lineRule="auto"/>
        <w:rPr>
          <w:sz w:val="20"/>
          <w:szCs w:val="20"/>
          <w:color w:val="auto"/>
        </w:rPr>
      </w:pPr>
      <w:r>
        <w:rPr>
          <w:rFonts w:ascii="Arial" w:cs="Arial" w:eastAsia="Arial" w:hAnsi="Arial"/>
          <w:sz w:val="19"/>
          <w:szCs w:val="19"/>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management override. Also, projections of any evaluation of effectiveness to future periods are subject to the risk that controls may become inadequate because of changes in conditions, or that the degree of compliance with the policies or procedures may deteriorate.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85" w:lineRule="exact"/>
        <w:rPr>
          <w:sz w:val="20"/>
          <w:szCs w:val="20"/>
          <w:color w:val="auto"/>
        </w:rPr>
      </w:pPr>
    </w:p>
    <w:p>
      <w:pPr>
        <w:ind w:right="20"/>
        <w:spacing w:after="0" w:line="311" w:lineRule="auto"/>
        <w:rPr>
          <w:sz w:val="20"/>
          <w:szCs w:val="20"/>
          <w:color w:val="auto"/>
        </w:rPr>
      </w:pPr>
      <w:r>
        <w:rPr>
          <w:rFonts w:ascii="Arial" w:cs="Arial" w:eastAsia="Arial" w:hAnsi="Arial"/>
          <w:sz w:val="20"/>
          <w:szCs w:val="20"/>
          <w:color w:val="auto"/>
        </w:rPr>
        <w:t xml:space="preserve">Management is responsible for establishing and maintaining the adequacy and effectiveness of our internal control over financial reporting. Under the supervision and with the participation of our management, including our CEO and CFO, we evaluated the effectiveness of our internal control over financial reporting as of December 31, 2025. In making this evaluation, management used the criteria set forth by the Committee of Sponsoring Organizations of the Treadway Commission in the report entitled </w:t>
      </w:r>
      <w:r>
        <w:rPr>
          <w:rFonts w:ascii="Arial" w:cs="Arial" w:eastAsia="Arial" w:hAnsi="Arial"/>
          <w:sz w:val="20"/>
          <w:szCs w:val="20"/>
          <w:i w:val="1"/>
          <w:iCs w:val="1"/>
          <w:color w:val="auto"/>
        </w:rPr>
        <w:t>Internal Control — Integrated Framework (2013)</w:t>
      </w:r>
      <w:r>
        <w:rPr>
          <w:rFonts w:ascii="Arial" w:cs="Arial" w:eastAsia="Arial" w:hAnsi="Arial"/>
          <w:sz w:val="20"/>
          <w:szCs w:val="20"/>
          <w:color w:val="auto"/>
        </w:rPr>
        <w:t>. Based on this evaluation, management has concluded that we maintained effective internal control over financial reporting as of December 31, 2025.</w:t>
      </w:r>
    </w:p>
    <w:p>
      <w:pPr>
        <w:spacing w:after="0" w:line="194" w:lineRule="exact"/>
        <w:rPr>
          <w:sz w:val="20"/>
          <w:szCs w:val="20"/>
          <w:color w:val="auto"/>
        </w:rPr>
      </w:pPr>
    </w:p>
    <w:p>
      <w:pPr>
        <w:ind w:right="340"/>
        <w:spacing w:after="0" w:line="355" w:lineRule="auto"/>
        <w:rPr>
          <w:sz w:val="20"/>
          <w:szCs w:val="20"/>
          <w:color w:val="auto"/>
        </w:rPr>
      </w:pPr>
      <w:r>
        <w:rPr>
          <w:rFonts w:ascii="Arial" w:cs="Arial" w:eastAsia="Arial" w:hAnsi="Arial"/>
          <w:sz w:val="18"/>
          <w:szCs w:val="18"/>
          <w:color w:val="auto"/>
        </w:rPr>
        <w:t>The effectiveness of our internal control over financial reporting has been audited by Deloitte &amp; Touche LLP, an independent registered public accounting firm, as stated in their report titled ‘Report of Independent Registered Public Accounting Firm on Internal Control over Financial Reporting,’ which is included herein.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3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 / 60</w:t>
      </w:r>
    </w:p>
    <w:p>
      <w:pPr>
        <w:sectPr>
          <w:pgSz w:w="11900" w:h="16838" w:orient="portrait"/>
          <w:cols w:equalWidth="0" w:num="1">
            <w:col w:w="9360"/>
          </w:cols>
          <w:pgMar w:left="1260" w:top="1173" w:right="1286" w:bottom="0" w:gutter="0" w:footer="0" w:header="0"/>
          <w:type w:val="continuous"/>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60" w:lineRule="exact"/>
        <w:rPr>
          <w:sz w:val="20"/>
          <w:szCs w:val="20"/>
          <w:color w:val="auto"/>
        </w:rPr>
      </w:pPr>
    </w:p>
    <w:p>
      <w:pPr>
        <w:ind w:right="960"/>
        <w:spacing w:after="0" w:line="490" w:lineRule="auto"/>
        <w:rPr>
          <w:sz w:val="20"/>
          <w:szCs w:val="20"/>
          <w:color w:val="auto"/>
        </w:rPr>
      </w:pPr>
      <w:r>
        <w:rPr>
          <w:rFonts w:ascii="Arial" w:cs="Arial" w:eastAsia="Arial" w:hAnsi="Arial"/>
          <w:sz w:val="20"/>
          <w:szCs w:val="20"/>
          <w:b w:val="1"/>
          <w:bCs w:val="1"/>
          <w:color w:val="auto"/>
        </w:rPr>
        <w:t>To the Shareholders and the Board of Directors of Willis Towers Watson Public Limited Company Opinion on Internal Control over Financial Reporting</w:t>
      </w:r>
    </w:p>
    <w:p>
      <w:pPr>
        <w:spacing w:after="0" w:line="21" w:lineRule="exact"/>
        <w:rPr>
          <w:sz w:val="20"/>
          <w:szCs w:val="20"/>
          <w:color w:val="auto"/>
        </w:rPr>
      </w:pPr>
    </w:p>
    <w:p>
      <w:pPr>
        <w:ind w:right="60"/>
        <w:spacing w:after="0" w:line="311" w:lineRule="auto"/>
        <w:rPr>
          <w:sz w:val="20"/>
          <w:szCs w:val="20"/>
          <w:color w:val="auto"/>
        </w:rPr>
      </w:pPr>
      <w:r>
        <w:rPr>
          <w:rFonts w:ascii="Arial" w:cs="Arial" w:eastAsia="Arial" w:hAnsi="Arial"/>
          <w:sz w:val="20"/>
          <w:szCs w:val="20"/>
          <w:color w:val="auto"/>
        </w:rPr>
        <w:t xml:space="preserve">We have audited the internal control over financial reporting of Willis Towers Watson Public Limited Company and subsidiaries (the ‘Company’) as of December 31, 2025, based on criteria established in </w:t>
      </w:r>
      <w:r>
        <w:rPr>
          <w:rFonts w:ascii="Arial" w:cs="Arial" w:eastAsia="Arial" w:hAnsi="Arial"/>
          <w:sz w:val="20"/>
          <w:szCs w:val="20"/>
          <w:i w:val="1"/>
          <w:iCs w:val="1"/>
          <w:color w:val="auto"/>
        </w:rPr>
        <w:t>Internal Control —</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Integrated Framework (2013) </w:t>
      </w:r>
      <w:r>
        <w:rPr>
          <w:rFonts w:ascii="Arial" w:cs="Arial" w:eastAsia="Arial" w:hAnsi="Arial"/>
          <w:sz w:val="20"/>
          <w:szCs w:val="20"/>
          <w:color w:val="auto"/>
        </w:rPr>
        <w:t>issued by the Committee of Sponsoring Organizations of the Treadway Commission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(‘COSO’). In our opinion, the Company maintained, in all material respects, effective internal control over financial reporting as of December 31, 2025, based on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(2013) </w:t>
      </w:r>
      <w:r>
        <w:rPr>
          <w:rFonts w:ascii="Arial" w:cs="Arial" w:eastAsia="Arial" w:hAnsi="Arial"/>
          <w:sz w:val="20"/>
          <w:szCs w:val="20"/>
          <w:color w:val="auto"/>
        </w:rPr>
        <w:t>issued by COSO.</w:t>
      </w:r>
    </w:p>
    <w:p>
      <w:pPr>
        <w:spacing w:after="0" w:line="192" w:lineRule="exact"/>
        <w:rPr>
          <w:sz w:val="20"/>
          <w:szCs w:val="20"/>
          <w:color w:val="auto"/>
        </w:rPr>
      </w:pPr>
    </w:p>
    <w:p>
      <w:pPr>
        <w:ind w:right="40"/>
        <w:spacing w:after="0" w:line="35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25, 2026, expressed an unqualified opinion on those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60" w:lineRule="exact"/>
        <w:rPr>
          <w:sz w:val="20"/>
          <w:szCs w:val="20"/>
          <w:color w:val="auto"/>
        </w:rPr>
      </w:pPr>
    </w:p>
    <w:p>
      <w:pPr>
        <w:ind w:right="20"/>
        <w:spacing w:after="0" w:line="311" w:lineRule="auto"/>
        <w:rPr>
          <w:sz w:val="20"/>
          <w:szCs w:val="20"/>
          <w:color w:val="auto"/>
        </w:rPr>
      </w:pPr>
      <w:r>
        <w:rPr>
          <w:rFonts w:ascii="Arial" w:cs="Arial" w:eastAsia="Arial" w:hAnsi="Arial"/>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spacing w:after="0" w:line="35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60" w:lineRule="exact"/>
        <w:rPr>
          <w:sz w:val="20"/>
          <w:szCs w:val="20"/>
          <w:color w:val="auto"/>
        </w:rPr>
      </w:pPr>
    </w:p>
    <w:p>
      <w:pPr>
        <w:spacing w:after="0" w:line="329"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60</w:t>
      </w:r>
    </w:p>
    <w:p>
      <w:pPr>
        <w:sectPr>
          <w:pgSz w:w="11900" w:h="16838" w:orient="portrait"/>
          <w:cols w:equalWidth="0" w:num="1">
            <w:col w:w="9380"/>
          </w:cols>
          <w:pgMar w:left="1260" w:top="1440" w:right="1266" w:bottom="0" w:gutter="0" w:footer="0" w:header="0"/>
          <w:type w:val="continuous"/>
        </w:sectPr>
      </w:pPr>
    </w:p>
    <w:bookmarkStart w:id="266" w:name="page267"/>
    <w:bookmarkEnd w:id="266"/>
    <w:p>
      <w:pPr>
        <w:spacing w:after="0" w:line="309"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Deloitte &amp; Touche LLP</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Philadelphia, PA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2026</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7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 / 60</w:t>
      </w:r>
    </w:p>
    <w:p>
      <w:pPr>
        <w:sectPr>
          <w:pgSz w:w="11900" w:h="16838" w:orient="portrait"/>
          <w:cols w:equalWidth="0" w:num="1">
            <w:col w:w="9360"/>
          </w:cols>
          <w:pgMar w:left="1260" w:top="1173" w:right="1286" w:bottom="0" w:gutter="0" w:footer="0" w:header="0"/>
          <w:type w:val="continuous"/>
        </w:sectPr>
      </w:pPr>
    </w:p>
    <w:bookmarkStart w:id="267" w:name="page268"/>
    <w:bookmarkEnd w:id="267"/>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Rule 10b5-1 Trading Arrangements</w:t>
      </w:r>
    </w:p>
    <w:p>
      <w:pPr>
        <w:spacing w:after="0" w:line="380" w:lineRule="exact"/>
        <w:rPr>
          <w:sz w:val="20"/>
          <w:szCs w:val="20"/>
          <w:color w:val="auto"/>
        </w:rPr>
      </w:pPr>
    </w:p>
    <w:p>
      <w:pPr>
        <w:spacing w:after="0" w:line="309" w:lineRule="auto"/>
        <w:rPr>
          <w:sz w:val="20"/>
          <w:szCs w:val="20"/>
          <w:color w:val="auto"/>
        </w:rPr>
      </w:pPr>
      <w:r>
        <w:rPr>
          <w:rFonts w:ascii="Arial" w:cs="Arial" w:eastAsia="Arial" w:hAnsi="Arial"/>
          <w:sz w:val="20"/>
          <w:szCs w:val="20"/>
          <w:color w:val="auto"/>
        </w:rPr>
        <w:t>For the quarter ended December 31, 2025, none of the Company’s directors and officers adopted, modified, or terminated any contract, instruction or written plan for the purchase or sale of Company securities intended to satisfy the affirmative defense conditions of Rule 10b5-1(c) or any ‘non-Rule 10b5-1 trading arrangement’ as defined under Item 408(c) of Regulation S-K.</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 / 60</w:t>
      </w:r>
    </w:p>
    <w:p>
      <w:pPr>
        <w:sectPr>
          <w:pgSz w:w="11900" w:h="16838" w:orient="portrait"/>
          <w:cols w:equalWidth="0" w:num="1">
            <w:col w:w="9340"/>
          </w:cols>
          <w:pgMar w:left="1260" w:top="1440" w:right="1306" w:bottom="0" w:gutter="0" w:footer="0" w:header="0"/>
          <w:type w:val="continuous"/>
        </w:sectPr>
      </w:pPr>
    </w:p>
    <w:bookmarkStart w:id="268" w:name="page269"/>
    <w:bookmarkEnd w:id="268"/>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310"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559435</wp:posOffset>
            </wp:positionV>
            <wp:extent cx="5967730" cy="190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9 / 60</w:t>
      </w:r>
    </w:p>
    <w:p>
      <w:pPr>
        <w:sectPr>
          <w:pgSz w:w="11900" w:h="16838" w:orient="portrait"/>
          <w:cols w:equalWidth="0" w:num="1">
            <w:col w:w="9206"/>
          </w:cols>
          <w:pgMar w:left="1260" w:top="1440" w:right="1440" w:bottom="0" w:gutter="0" w:footer="0" w:header="0"/>
          <w:type w:val="continuous"/>
        </w:sectPr>
      </w:pPr>
    </w:p>
    <w:bookmarkStart w:id="269" w:name="page270"/>
    <w:bookmarkEnd w:id="269"/>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III.</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60" w:lineRule="exact"/>
        <w:rPr>
          <w:sz w:val="20"/>
          <w:szCs w:val="20"/>
          <w:color w:val="auto"/>
        </w:rPr>
      </w:pPr>
    </w:p>
    <w:p>
      <w:pPr>
        <w:ind w:right="40"/>
        <w:spacing w:after="0" w:line="352" w:lineRule="auto"/>
        <w:rPr>
          <w:sz w:val="20"/>
          <w:szCs w:val="20"/>
          <w:color w:val="auto"/>
        </w:rPr>
      </w:pPr>
      <w:r>
        <w:rPr>
          <w:rFonts w:ascii="Arial" w:cs="Arial" w:eastAsia="Arial" w:hAnsi="Arial"/>
          <w:sz w:val="18"/>
          <w:szCs w:val="18"/>
          <w:color w:val="auto"/>
        </w:rPr>
        <w:t>Information with respect to the executive officers of the Company is provided in Part I, Item 1 Business above under the heading ‘Information about Executive Officers of the Registrant’ and information required by Item 406 and Item 408(b) of Regulation S-K is below. All other information required by this Item will be provided in accordance with Instruction G(3) to Form 10-K no later than 120 days after the end of the Company’s fiscal year.</w:t>
      </w:r>
    </w:p>
    <w:p>
      <w:pPr>
        <w:spacing w:after="0" w:line="166" w:lineRule="exact"/>
        <w:rPr>
          <w:sz w:val="20"/>
          <w:szCs w:val="20"/>
          <w:color w:val="auto"/>
        </w:rPr>
      </w:pPr>
    </w:p>
    <w:p>
      <w:pPr>
        <w:ind w:right="60"/>
        <w:spacing w:after="0" w:line="329" w:lineRule="auto"/>
        <w:rPr>
          <w:sz w:val="20"/>
          <w:szCs w:val="20"/>
          <w:color w:val="auto"/>
        </w:rPr>
      </w:pPr>
      <w:r>
        <w:rPr>
          <w:rFonts w:ascii="Arial" w:cs="Arial" w:eastAsia="Arial" w:hAnsi="Arial"/>
          <w:sz w:val="19"/>
          <w:szCs w:val="19"/>
          <w:color w:val="auto"/>
        </w:rPr>
        <w:t xml:space="preserve">The Company has adopted a Code of Conduct applicable to all our directors, officers and employees, including our CEO, the CFO, the Principal Accounting Officer and all those involved in the Company’s accounting functions. The Code of Conduct can be found in the ‘Investor Relations — Corporate Governance’ section of the Company’s website at www.wtwco.com. It is also available free of charge on request from the Company Secretary at </w:t>
      </w:r>
      <w:r>
        <w:rPr>
          <w:rFonts w:ascii="Arial" w:cs="Arial" w:eastAsia="Arial" w:hAnsi="Arial"/>
          <w:sz w:val="19"/>
          <w:szCs w:val="19"/>
          <w:u w:val="single" w:color="auto"/>
          <w:color w:val="auto"/>
        </w:rPr>
        <w:t>corporatesecretary@wtwco.com</w:t>
      </w:r>
      <w:r>
        <w:rPr>
          <w:rFonts w:ascii="Arial" w:cs="Arial" w:eastAsia="Arial" w:hAnsi="Arial"/>
          <w:sz w:val="19"/>
          <w:szCs w:val="19"/>
          <w:color w:val="auto"/>
        </w:rPr>
        <w:t>. The Company intends to post on its website any amendments to, or waivers of, a provision of the Code of Conduct in accordance with Item 406 of Regulation S-K.</w:t>
      </w:r>
    </w:p>
    <w:p>
      <w:pPr>
        <w:spacing w:after="0" w:line="183" w:lineRule="exact"/>
        <w:rPr>
          <w:sz w:val="20"/>
          <w:szCs w:val="20"/>
          <w:color w:val="auto"/>
        </w:rPr>
      </w:pPr>
    </w:p>
    <w:p>
      <w:pPr>
        <w:ind w:right="200"/>
        <w:spacing w:after="0" w:line="329" w:lineRule="auto"/>
        <w:rPr>
          <w:sz w:val="20"/>
          <w:szCs w:val="20"/>
          <w:color w:val="auto"/>
        </w:rPr>
      </w:pPr>
      <w:r>
        <w:rPr>
          <w:rFonts w:ascii="Arial" w:cs="Arial" w:eastAsia="Arial" w:hAnsi="Arial"/>
          <w:sz w:val="19"/>
          <w:szCs w:val="19"/>
          <w:color w:val="auto"/>
        </w:rPr>
        <w:t>The Company has adopted insider trading policies and procedures that govern the purchase, sale, and/or other dispositions of our securities (and related derivative securities) by directors, officers and employees and other covered persons and to the Company itself, which we believe are reasonably designed to promote compliance with insider trading laws, rules and regulations and listing standards applicable to the Company.</w:t>
      </w:r>
    </w:p>
    <w:p>
      <w:pPr>
        <w:spacing w:after="0" w:line="2" w:lineRule="exact"/>
        <w:rPr>
          <w:sz w:val="20"/>
          <w:szCs w:val="20"/>
          <w:color w:val="auto"/>
        </w:rPr>
      </w:pPr>
    </w:p>
    <w:p>
      <w:pPr>
        <w:ind w:right="160"/>
        <w:spacing w:after="0" w:line="302" w:lineRule="auto"/>
        <w:rPr>
          <w:sz w:val="20"/>
          <w:szCs w:val="20"/>
          <w:color w:val="auto"/>
        </w:rPr>
      </w:pPr>
      <w:r>
        <w:rPr>
          <w:rFonts w:ascii="Arial" w:cs="Arial" w:eastAsia="Arial" w:hAnsi="Arial"/>
          <w:sz w:val="20"/>
          <w:szCs w:val="20"/>
          <w:color w:val="auto"/>
        </w:rPr>
        <w:t>Copies of the Company’s policies and guidelines are filed as Exhibits 19.1, 19.2, and 19.3 to this Annual Report on Form 10-K.</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60" w:lineRule="exact"/>
        <w:rPr>
          <w:sz w:val="20"/>
          <w:szCs w:val="20"/>
          <w:color w:val="auto"/>
        </w:rPr>
      </w:pPr>
    </w:p>
    <w:p>
      <w:pPr>
        <w:ind w:right="280"/>
        <w:spacing w:after="0" w:line="302" w:lineRule="auto"/>
        <w:rPr>
          <w:sz w:val="20"/>
          <w:szCs w:val="20"/>
          <w:color w:val="auto"/>
        </w:rPr>
      </w:pPr>
      <w:r>
        <w:rPr>
          <w:rFonts w:ascii="Arial" w:cs="Arial" w:eastAsia="Arial" w:hAnsi="Arial"/>
          <w:sz w:val="20"/>
          <w:szCs w:val="20"/>
          <w:color w:val="auto"/>
        </w:rPr>
        <w:t>The information required by this Item will be provided in accordance with Instruction G(3) to Form 10-K no later than 120 days after the end of the Company’s fiscal year.</w:t>
      </w:r>
    </w:p>
    <w:p>
      <w:pPr>
        <w:spacing w:after="0" w:line="201" w:lineRule="exact"/>
        <w:rPr>
          <w:sz w:val="20"/>
          <w:szCs w:val="20"/>
          <w:color w:val="auto"/>
        </w:rPr>
      </w:pPr>
    </w:p>
    <w:p>
      <w:pPr>
        <w:ind w:right="120"/>
        <w:spacing w:after="0" w:line="302"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01" w:lineRule="exact"/>
        <w:rPr>
          <w:sz w:val="20"/>
          <w:szCs w:val="20"/>
          <w:color w:val="auto"/>
        </w:rPr>
      </w:pPr>
    </w:p>
    <w:p>
      <w:pPr>
        <w:spacing w:after="0" w:line="330" w:lineRule="auto"/>
        <w:rPr>
          <w:sz w:val="20"/>
          <w:szCs w:val="20"/>
          <w:color w:val="auto"/>
        </w:rPr>
      </w:pPr>
      <w:r>
        <w:rPr>
          <w:rFonts w:ascii="Arial" w:cs="Arial" w:eastAsia="Arial" w:hAnsi="Arial"/>
          <w:sz w:val="19"/>
          <w:szCs w:val="19"/>
          <w:color w:val="auto"/>
        </w:rPr>
        <w:t>Information with respect to the Company’s Securities Authorized for Issuance Under Equity Compensation Plans as required by Item 201(d) of Regulation S-K is incorporated herein by reference to Item 5 of this Annual Report on Form 10-K. All other information required by this Item will be provided in accordance with Instruction G(3) to Form 10-K no later than 120 days after the end of the Company’s fiscal year.</w:t>
      </w:r>
    </w:p>
    <w:p>
      <w:pPr>
        <w:spacing w:after="0" w:line="178" w:lineRule="exact"/>
        <w:rPr>
          <w:sz w:val="20"/>
          <w:szCs w:val="20"/>
          <w:color w:val="auto"/>
        </w:rPr>
      </w:pPr>
    </w:p>
    <w:p>
      <w:pPr>
        <w:ind w:right="1080"/>
        <w:spacing w:after="0" w:line="302" w:lineRule="auto"/>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01" w:lineRule="exact"/>
        <w:rPr>
          <w:sz w:val="20"/>
          <w:szCs w:val="20"/>
          <w:color w:val="auto"/>
        </w:rPr>
      </w:pPr>
    </w:p>
    <w:p>
      <w:pPr>
        <w:ind w:right="280"/>
        <w:spacing w:after="0" w:line="302" w:lineRule="auto"/>
        <w:rPr>
          <w:sz w:val="20"/>
          <w:szCs w:val="20"/>
          <w:color w:val="auto"/>
        </w:rPr>
      </w:pPr>
      <w:r>
        <w:rPr>
          <w:rFonts w:ascii="Arial" w:cs="Arial" w:eastAsia="Arial" w:hAnsi="Arial"/>
          <w:sz w:val="20"/>
          <w:szCs w:val="20"/>
          <w:color w:val="auto"/>
        </w:rPr>
        <w:t>The information required by this Item will be provided in accordance with Instruction G(3) to Form 10-K no later than 120 days after the end of the Company’s fiscal year.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60" w:lineRule="exact"/>
        <w:rPr>
          <w:sz w:val="20"/>
          <w:szCs w:val="20"/>
          <w:color w:val="auto"/>
        </w:rPr>
      </w:pPr>
    </w:p>
    <w:p>
      <w:pPr>
        <w:ind w:right="280"/>
        <w:spacing w:after="0" w:line="302" w:lineRule="auto"/>
        <w:rPr>
          <w:sz w:val="20"/>
          <w:szCs w:val="20"/>
          <w:color w:val="auto"/>
        </w:rPr>
      </w:pPr>
      <w:r>
        <w:rPr>
          <w:rFonts w:ascii="Arial" w:cs="Arial" w:eastAsia="Arial" w:hAnsi="Arial"/>
          <w:sz w:val="20"/>
          <w:szCs w:val="20"/>
          <w:color w:val="auto"/>
        </w:rPr>
        <w:t>The information required by this Item will be provided in accordance with Instruction G(3) to Form 10-K no later than 120 days after the end of the Company’s fiscal year.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967730" cy="190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 / 60</w:t>
      </w:r>
    </w:p>
    <w:p>
      <w:pPr>
        <w:sectPr>
          <w:pgSz w:w="11900" w:h="16838" w:orient="portrait"/>
          <w:cols w:equalWidth="0" w:num="1">
            <w:col w:w="9380"/>
          </w:cols>
          <w:pgMar w:left="1260" w:top="1440" w:right="1266" w:bottom="0" w:gutter="0" w:footer="0" w:header="0"/>
          <w:type w:val="continuous"/>
        </w:sectPr>
      </w:pPr>
    </w:p>
    <w:bookmarkStart w:id="270" w:name="page271"/>
    <w:bookmarkEnd w:id="270"/>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IV.</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36" w:lineRule="exact"/>
        <w:rPr>
          <w:sz w:val="20"/>
          <w:szCs w:val="20"/>
          <w:color w:val="auto"/>
        </w:rPr>
      </w:pPr>
    </w:p>
    <w:p>
      <w:pPr>
        <w:ind w:left="300"/>
        <w:spacing w:after="0"/>
        <w:tabs>
          <w:tab w:leader="none" w:pos="60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The following documents have been included in Part II, Item 8:</w:t>
      </w:r>
    </w:p>
    <w:p>
      <w:pPr>
        <w:spacing w:after="0" w:line="264" w:lineRule="exact"/>
        <w:rPr>
          <w:sz w:val="20"/>
          <w:szCs w:val="20"/>
          <w:color w:val="auto"/>
        </w:rPr>
      </w:pPr>
    </w:p>
    <w:p>
      <w:pPr>
        <w:ind w:left="620"/>
        <w:spacing w:after="0"/>
        <w:rPr>
          <w:sz w:val="20"/>
          <w:szCs w:val="20"/>
          <w:color w:val="auto"/>
        </w:rPr>
      </w:pPr>
      <w:r>
        <w:rPr>
          <w:rFonts w:ascii="Arial" w:cs="Arial" w:eastAsia="Arial" w:hAnsi="Arial"/>
          <w:sz w:val="20"/>
          <w:szCs w:val="20"/>
          <w:color w:val="auto"/>
        </w:rPr>
        <w:t>Report of Independent Registered Public Accounting Firm</w:t>
      </w:r>
    </w:p>
    <w:p>
      <w:pPr>
        <w:spacing w:after="0" w:line="25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Consolidated Financial Statements of Willis Towers Watson Public Limited Company</w:t>
      </w:r>
    </w:p>
    <w:p>
      <w:pPr>
        <w:spacing w:after="0" w:line="25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Financial Statements:</w:t>
      </w:r>
    </w:p>
    <w:p>
      <w:pPr>
        <w:spacing w:after="0" w:line="260" w:lineRule="exact"/>
        <w:rPr>
          <w:sz w:val="20"/>
          <w:szCs w:val="20"/>
          <w:color w:val="auto"/>
        </w:rPr>
      </w:pPr>
    </w:p>
    <w:p>
      <w:pPr>
        <w:ind w:left="1240" w:right="240"/>
        <w:spacing w:after="0" w:line="302" w:lineRule="auto"/>
        <w:rPr>
          <w:sz w:val="20"/>
          <w:szCs w:val="20"/>
          <w:color w:val="auto"/>
        </w:rPr>
      </w:pPr>
      <w:r>
        <w:rPr>
          <w:rFonts w:ascii="Arial" w:cs="Arial" w:eastAsia="Arial" w:hAnsi="Arial"/>
          <w:sz w:val="20"/>
          <w:szCs w:val="20"/>
          <w:color w:val="auto"/>
        </w:rPr>
        <w:t>Consolidated Statements of Comprehensive Income for each of the three years in the period ended December 31, 2025</w:t>
      </w:r>
    </w:p>
    <w:p>
      <w:pPr>
        <w:spacing w:after="0" w:line="19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Consolidated Balance Sheets at December 31, 2025 and 2024</w:t>
      </w:r>
    </w:p>
    <w:p>
      <w:pPr>
        <w:spacing w:after="0" w:line="260" w:lineRule="exact"/>
        <w:rPr>
          <w:sz w:val="20"/>
          <w:szCs w:val="20"/>
          <w:color w:val="auto"/>
        </w:rPr>
      </w:pPr>
    </w:p>
    <w:p>
      <w:pPr>
        <w:ind w:left="1240" w:right="40"/>
        <w:spacing w:after="0" w:line="302" w:lineRule="auto"/>
        <w:rPr>
          <w:sz w:val="20"/>
          <w:szCs w:val="20"/>
          <w:color w:val="auto"/>
        </w:rPr>
      </w:pPr>
      <w:r>
        <w:rPr>
          <w:rFonts w:ascii="Arial" w:cs="Arial" w:eastAsia="Arial" w:hAnsi="Arial"/>
          <w:sz w:val="20"/>
          <w:szCs w:val="20"/>
          <w:color w:val="auto"/>
        </w:rPr>
        <w:t>Consolidated Statements of Cash Flows for each of the three years in the period ended December 31, 2025</w:t>
      </w:r>
    </w:p>
    <w:p>
      <w:pPr>
        <w:spacing w:after="0" w:line="201" w:lineRule="exact"/>
        <w:rPr>
          <w:sz w:val="20"/>
          <w:szCs w:val="20"/>
          <w:color w:val="auto"/>
        </w:rPr>
      </w:pPr>
    </w:p>
    <w:p>
      <w:pPr>
        <w:ind w:left="1240" w:right="660"/>
        <w:spacing w:after="0" w:line="302" w:lineRule="auto"/>
        <w:rPr>
          <w:sz w:val="20"/>
          <w:szCs w:val="20"/>
          <w:color w:val="auto"/>
        </w:rPr>
      </w:pPr>
      <w:r>
        <w:rPr>
          <w:rFonts w:ascii="Arial" w:cs="Arial" w:eastAsia="Arial" w:hAnsi="Arial"/>
          <w:sz w:val="20"/>
          <w:szCs w:val="20"/>
          <w:color w:val="auto"/>
        </w:rPr>
        <w:t>Consolidated Statements of Changes in Equity for each of the three years in the period ended December 31, 2025</w:t>
      </w:r>
    </w:p>
    <w:p>
      <w:pPr>
        <w:spacing w:after="0" w:line="191" w:lineRule="exact"/>
        <w:rPr>
          <w:sz w:val="20"/>
          <w:szCs w:val="20"/>
          <w:color w:val="auto"/>
        </w:rPr>
      </w:pPr>
    </w:p>
    <w:p>
      <w:pPr>
        <w:ind w:left="1240"/>
        <w:spacing w:after="0"/>
        <w:rPr>
          <w:sz w:val="20"/>
          <w:szCs w:val="20"/>
          <w:color w:val="auto"/>
        </w:rPr>
      </w:pPr>
      <w:r>
        <w:rPr>
          <w:rFonts w:ascii="Arial" w:cs="Arial" w:eastAsia="Arial" w:hAnsi="Arial"/>
          <w:sz w:val="20"/>
          <w:szCs w:val="20"/>
          <w:color w:val="auto"/>
        </w:rPr>
        <w:t>Notes to the Consolidated Financial Statements</w:t>
      </w:r>
    </w:p>
    <w:p>
      <w:pPr>
        <w:spacing w:after="0" w:line="236" w:lineRule="exact"/>
        <w:rPr>
          <w:sz w:val="20"/>
          <w:szCs w:val="20"/>
          <w:color w:val="auto"/>
        </w:rPr>
      </w:pPr>
    </w:p>
    <w:p>
      <w:pPr>
        <w:ind w:left="620" w:hanging="313"/>
        <w:spacing w:after="0"/>
        <w:tabs>
          <w:tab w:leader="none" w:pos="6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Exhibits:</w:t>
      </w:r>
    </w:p>
    <w:p>
      <w:pPr>
        <w:spacing w:after="0" w:line="274" w:lineRule="exact"/>
        <w:rPr>
          <w:rFonts w:ascii="Arial" w:cs="Arial" w:eastAsia="Arial" w:hAnsi="Arial"/>
          <w:sz w:val="20"/>
          <w:szCs w:val="20"/>
          <w:color w:val="auto"/>
        </w:rPr>
      </w:pPr>
    </w:p>
    <w:p>
      <w:pPr>
        <w:ind w:left="620"/>
        <w:spacing w:after="0" w:line="329" w:lineRule="auto"/>
        <w:rPr>
          <w:rFonts w:ascii="Arial" w:cs="Arial" w:eastAsia="Arial" w:hAnsi="Arial"/>
          <w:sz w:val="20"/>
          <w:szCs w:val="20"/>
          <w:color w:val="auto"/>
        </w:rPr>
      </w:pPr>
      <w:r>
        <w:rPr>
          <w:rFonts w:ascii="Arial" w:cs="Arial" w:eastAsia="Arial" w:hAnsi="Arial"/>
          <w:sz w:val="19"/>
          <w:szCs w:val="19"/>
          <w:color w:val="auto"/>
        </w:rPr>
        <w:t>In reviewing the agreements included or incorporated by reference as exhibits to this Annual Report on Form 10-K, it is important to note that they are included to provide investors with information regarding their terms, and are not intended to provide any other factual or disclosure information about WTW or the other parties to the agreements. The agreements contain representations and warranties made by each of the parties to the applicable agreement. These representations and warranties have been made solely for the benefit of the other parties to the applicable agreement, and: should not be treated as categorical statements of fact, but rather as a way of allocating risk between the parties; have in some cases been qualified by disclosures that were made to the other party in connection with the negotiation of the applicable agreement, which disclosures are not necessarily reflected in the agreement; may apply standards of materiality in a way that is different from what may be material to investors; and were made only as of the date of the applicable agreement or such other date or dates as may be specified in the agreement and are subject to more recent developments.</w:t>
      </w:r>
    </w:p>
    <w:p>
      <w:pPr>
        <w:spacing w:after="0" w:line="185" w:lineRule="exact"/>
        <w:rPr>
          <w:rFonts w:ascii="Arial" w:cs="Arial" w:eastAsia="Arial" w:hAnsi="Arial"/>
          <w:sz w:val="20"/>
          <w:szCs w:val="20"/>
          <w:color w:val="auto"/>
        </w:rPr>
      </w:pPr>
    </w:p>
    <w:p>
      <w:pPr>
        <w:ind w:left="620" w:right="200"/>
        <w:spacing w:after="0" w:line="309" w:lineRule="auto"/>
        <w:rPr>
          <w:rFonts w:ascii="Arial" w:cs="Arial" w:eastAsia="Arial" w:hAnsi="Arial"/>
          <w:sz w:val="20"/>
          <w:szCs w:val="20"/>
          <w:color w:val="auto"/>
        </w:rPr>
      </w:pPr>
      <w:r>
        <w:rPr>
          <w:rFonts w:ascii="Arial" w:cs="Arial" w:eastAsia="Arial" w:hAnsi="Arial"/>
          <w:sz w:val="20"/>
          <w:szCs w:val="20"/>
          <w:color w:val="auto"/>
        </w:rPr>
        <w:t>Accordingly, these representations and warranties may not describe the actual state of affairs as of the date they were made or at any other time. Additional information about WTW may be found elsewhere in this Annual Report on Form 10-K and our other public filings, which are available without charge through the SEC’s website at http://www.sec.gov.</w:t>
      </w:r>
    </w:p>
    <w:p>
      <w:pPr>
        <w:spacing w:after="0" w:line="330" w:lineRule="exact"/>
        <w:rPr>
          <w:sz w:val="20"/>
          <w:szCs w:val="20"/>
          <w:color w:val="auto"/>
        </w:rPr>
      </w:pPr>
    </w:p>
    <w:p>
      <w:pPr>
        <w:ind w:left="642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58420</wp:posOffset>
            </wp:positionV>
            <wp:extent cx="1442085" cy="63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4">
                      <a:extLst>
                        <a:ext uri="{28A0092B-C50C-407E-A947-70E740481C1C}"/>
                      </a:extLst>
                    </a:blip>
                    <a:srcRect/>
                    <a:stretch>
                      <a:fillRect/>
                    </a:stretch>
                  </pic:blipFill>
                  <pic:spPr bwMode="auto">
                    <a:xfrm>
                      <a:off x="0" y="0"/>
                      <a:ext cx="1442085" cy="6350"/>
                    </a:xfrm>
                    <a:prstGeom prst="rect">
                      <a:avLst/>
                    </a:prstGeom>
                    <a:noFill/>
                  </pic:spPr>
                </pic:pic>
              </a:graphicData>
            </a:graphic>
          </wp:anchor>
        </w:drawing>
      </w:r>
    </w:p>
    <w:p>
      <w:pPr>
        <w:spacing w:after="0" w:line="106" w:lineRule="exact"/>
        <w:rPr>
          <w:sz w:val="20"/>
          <w:szCs w:val="20"/>
          <w:color w:val="auto"/>
        </w:rPr>
      </w:pPr>
    </w:p>
    <w:p>
      <w:pPr>
        <w:ind w:left="220"/>
        <w:spacing w:after="0"/>
        <w:tabs>
          <w:tab w:leader="none" w:pos="6180" w:val="left"/>
          <w:tab w:leader="none" w:pos="8700" w:val="left"/>
        </w:tabs>
        <w:rPr>
          <w:sz w:val="20"/>
          <w:szCs w:val="20"/>
          <w:color w:val="auto"/>
        </w:rPr>
      </w:pP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Schedule/</w:t>
      </w:r>
      <w:r>
        <w:rPr>
          <w:sz w:val="20"/>
          <w:szCs w:val="20"/>
          <w:color w:val="auto"/>
        </w:rPr>
        <w:tab/>
      </w:r>
      <w:r>
        <w:rPr>
          <w:rFonts w:ascii="Arial" w:cs="Arial" w:eastAsia="Arial" w:hAnsi="Arial"/>
          <w:sz w:val="14"/>
          <w:szCs w:val="14"/>
          <w:b w:val="1"/>
          <w:bCs w:val="1"/>
          <w:color w:val="auto"/>
        </w:rPr>
        <w:t>Filed</w:t>
      </w:r>
    </w:p>
    <w:p>
      <w:pPr>
        <w:spacing w:after="0" w:line="56" w:lineRule="exact"/>
        <w:rPr>
          <w:sz w:val="20"/>
          <w:szCs w:val="20"/>
          <w:color w:val="auto"/>
        </w:rPr>
      </w:pPr>
    </w:p>
    <w:p>
      <w:pPr>
        <w:ind w:left="180"/>
        <w:spacing w:after="0"/>
        <w:tabs>
          <w:tab w:leader="none" w:pos="2700" w:val="left"/>
          <w:tab w:leader="none" w:pos="6320" w:val="left"/>
          <w:tab w:leader="none" w:pos="6940" w:val="left"/>
          <w:tab w:leader="none" w:pos="7620" w:val="left"/>
          <w:tab w:leader="none" w:pos="854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 of Exhibit</w:t>
      </w:r>
      <w:r>
        <w:rPr>
          <w:sz w:val="20"/>
          <w:szCs w:val="20"/>
          <w:color w:val="auto"/>
        </w:rPr>
        <w:tab/>
      </w:r>
      <w:r>
        <w:rPr>
          <w:rFonts w:ascii="Arial" w:cs="Arial" w:eastAsia="Arial" w:hAnsi="Arial"/>
          <w:sz w:val="16"/>
          <w:szCs w:val="16"/>
          <w:b w:val="1"/>
          <w:bCs w:val="1"/>
          <w:color w:val="auto"/>
        </w:rPr>
        <w:t>Form</w:t>
        <w:tab/>
        <w:t>Exhibit</w:t>
        <w:tab/>
        <w:t>Filing Date</w:t>
      </w:r>
      <w:r>
        <w:rPr>
          <w:sz w:val="20"/>
          <w:szCs w:val="20"/>
          <w:color w:val="auto"/>
        </w:rPr>
        <w:tab/>
      </w:r>
      <w:r>
        <w:rPr>
          <w:rFonts w:ascii="Arial" w:cs="Arial" w:eastAsia="Arial" w:hAnsi="Arial"/>
          <w:sz w:val="15"/>
          <w:szCs w:val="15"/>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20320</wp:posOffset>
            </wp:positionV>
            <wp:extent cx="5728970" cy="127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5">
                      <a:extLst>
                        <a:ext uri="{28A0092B-C50C-407E-A947-70E740481C1C}"/>
                      </a:extLst>
                    </a:blip>
                    <a:srcRect/>
                    <a:stretch>
                      <a:fillRect/>
                    </a:stretch>
                  </pic:blipFill>
                  <pic:spPr bwMode="auto">
                    <a:xfrm>
                      <a:off x="0" y="0"/>
                      <a:ext cx="5728970" cy="12700"/>
                    </a:xfrm>
                    <a:prstGeom prst="rect">
                      <a:avLst/>
                    </a:prstGeom>
                    <a:noFill/>
                  </pic:spPr>
                </pic:pic>
              </a:graphicData>
            </a:graphic>
          </wp:anchor>
        </w:drawing>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 / 60</w:t>
      </w:r>
    </w:p>
    <w:p>
      <w:pPr>
        <w:sectPr>
          <w:pgSz w:w="11900" w:h="16838" w:orient="portrait"/>
          <w:cols w:equalWidth="0" w:num="1">
            <w:col w:w="9360"/>
          </w:cols>
          <w:pgMar w:left="1260" w:top="1440" w:right="1286" w:bottom="0" w:gutter="0" w:footer="0" w:header="0"/>
          <w:type w:val="continuous"/>
        </w:sectPr>
      </w:pPr>
    </w:p>
    <w:bookmarkStart w:id="271" w:name="page272"/>
    <w:bookmarkEnd w:id="271"/>
    <w:tbl>
      <w:tblPr>
        <w:tblLayout w:type="fixed"/>
        <w:tblInd w:w="0" w:type="dxa"/>
        <w:tblCellMar>
          <w:top w:w="0" w:type="dxa"/>
          <w:left w:w="0" w:type="dxa"/>
          <w:bottom w:w="0" w:type="dxa"/>
          <w:right w:w="0" w:type="dxa"/>
        </w:tblCellMar>
      </w:tblPr>
      <w:tr>
        <w:trPr>
          <w:trHeight w:val="239"/>
        </w:trPr>
        <w:tc>
          <w:tcPr>
            <w:tcW w:w="180" w:type="dxa"/>
            <w:vAlign w:val="bottom"/>
          </w:tcPr>
          <w:p>
            <w:pPr>
              <w:spacing w:after="0"/>
              <w:rPr>
                <w:sz w:val="20"/>
                <w:szCs w:val="20"/>
                <w:color w:val="auto"/>
              </w:rPr>
            </w:pPr>
          </w:p>
        </w:tc>
        <w:tc>
          <w:tcPr>
            <w:tcW w:w="66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2.1</w:t>
            </w:r>
          </w:p>
        </w:tc>
        <w:tc>
          <w:tcPr>
            <w:tcW w:w="5300" w:type="dxa"/>
            <w:vAlign w:val="bottom"/>
            <w:tcBorders>
              <w:bottom w:val="single" w:sz="8" w:color="0000FF"/>
            </w:tcBorders>
            <w:gridSpan w:val="9"/>
            <w:shd w:val="clear" w:color="auto" w:fill="CFF0FC"/>
          </w:tcPr>
          <w:p>
            <w:pPr>
              <w:spacing w:after="0"/>
              <w:rPr>
                <w:rFonts w:ascii="Arial" w:cs="Arial" w:eastAsia="Arial" w:hAnsi="Arial"/>
                <w:sz w:val="20"/>
                <w:szCs w:val="20"/>
                <w:color w:val="0000FF"/>
                <w:w w:val="89"/>
              </w:rPr>
            </w:pPr>
            <w:hyperlink r:id="rId646">
              <w:r>
                <w:rPr>
                  <w:rFonts w:ascii="Arial" w:cs="Arial" w:eastAsia="Arial" w:hAnsi="Arial"/>
                  <w:sz w:val="20"/>
                  <w:szCs w:val="20"/>
                  <w:color w:val="0000FF"/>
                  <w:w w:val="89"/>
                </w:rPr>
                <w:t>Agreement and Plan of Merger, dated as of June 29, 2015, by and</w:t>
              </w:r>
            </w:hyperlink>
          </w:p>
        </w:tc>
        <w:tc>
          <w:tcPr>
            <w:tcW w:w="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8-K</w:t>
            </w:r>
          </w:p>
        </w:tc>
        <w:tc>
          <w:tcPr>
            <w:tcW w:w="5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2.1</w:t>
            </w:r>
          </w:p>
        </w:tc>
        <w:tc>
          <w:tcPr>
            <w:tcW w:w="17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June 30,</w:t>
            </w:r>
          </w:p>
        </w:tc>
        <w:tc>
          <w:tcPr>
            <w:tcW w:w="200" w:type="dxa"/>
            <w:vAlign w:val="bottom"/>
          </w:tcPr>
          <w:p>
            <w:pPr>
              <w:spacing w:after="0"/>
              <w:rPr>
                <w:sz w:val="20"/>
                <w:szCs w:val="20"/>
                <w:color w:val="auto"/>
              </w:rPr>
            </w:pPr>
          </w:p>
        </w:tc>
      </w:tr>
      <w:tr>
        <w:trPr>
          <w:trHeight w:val="280"/>
        </w:trPr>
        <w:tc>
          <w:tcPr>
            <w:tcW w:w="180" w:type="dxa"/>
            <w:vAlign w:val="bottom"/>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5200" w:type="dxa"/>
            <w:vAlign w:val="bottom"/>
            <w:tcBorders>
              <w:bottom w:val="single" w:sz="8" w:color="0000FF"/>
            </w:tcBorders>
            <w:gridSpan w:val="8"/>
            <w:shd w:val="clear" w:color="auto" w:fill="CFF0FC"/>
          </w:tcPr>
          <w:p>
            <w:pPr>
              <w:spacing w:after="0"/>
              <w:rPr>
                <w:rFonts w:ascii="Arial" w:cs="Arial" w:eastAsia="Arial" w:hAnsi="Arial"/>
                <w:sz w:val="20"/>
                <w:szCs w:val="20"/>
                <w:color w:val="0000FF"/>
                <w:w w:val="93"/>
              </w:rPr>
            </w:pPr>
            <w:hyperlink r:id="rId646">
              <w:r>
                <w:rPr>
                  <w:rFonts w:ascii="Arial" w:cs="Arial" w:eastAsia="Arial" w:hAnsi="Arial"/>
                  <w:sz w:val="20"/>
                  <w:szCs w:val="20"/>
                  <w:color w:val="0000FF"/>
                  <w:w w:val="93"/>
                </w:rPr>
                <w:t>among Willis Group Holdings plc, Citadel Merger Sub, Inc. and</w:t>
              </w:r>
            </w:hyperlink>
          </w:p>
        </w:tc>
        <w:tc>
          <w:tcPr>
            <w:tcW w:w="1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2015</w:t>
            </w:r>
          </w:p>
        </w:tc>
        <w:tc>
          <w:tcPr>
            <w:tcW w:w="200" w:type="dxa"/>
            <w:vAlign w:val="bottom"/>
          </w:tcPr>
          <w:p>
            <w:pPr>
              <w:spacing w:after="0"/>
              <w:rPr>
                <w:sz w:val="24"/>
                <w:szCs w:val="24"/>
                <w:color w:val="auto"/>
              </w:rPr>
            </w:pPr>
          </w:p>
        </w:tc>
      </w:tr>
      <w:tr>
        <w:trPr>
          <w:trHeight w:val="321"/>
        </w:trPr>
        <w:tc>
          <w:tcPr>
            <w:tcW w:w="180" w:type="dxa"/>
            <w:vAlign w:val="bottom"/>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0000FF"/>
            </w:tcBorders>
            <w:gridSpan w:val="3"/>
            <w:shd w:val="clear" w:color="auto" w:fill="CFF0FC"/>
          </w:tcPr>
          <w:p>
            <w:pPr>
              <w:spacing w:after="0"/>
              <w:rPr>
                <w:rFonts w:ascii="Arial" w:cs="Arial" w:eastAsia="Arial" w:hAnsi="Arial"/>
                <w:sz w:val="20"/>
                <w:szCs w:val="20"/>
                <w:color w:val="0000FF"/>
                <w:w w:val="92"/>
              </w:rPr>
            </w:pPr>
            <w:hyperlink r:id="rId646">
              <w:r>
                <w:rPr>
                  <w:rFonts w:ascii="Arial" w:cs="Arial" w:eastAsia="Arial" w:hAnsi="Arial"/>
                  <w:sz w:val="20"/>
                  <w:szCs w:val="20"/>
                  <w:color w:val="0000FF"/>
                  <w:w w:val="92"/>
                </w:rPr>
                <w:t>Towers Watson &amp; Co</w:t>
              </w:r>
            </w:hyperlink>
          </w:p>
        </w:tc>
        <w:tc>
          <w:tcPr>
            <w:tcW w:w="3540" w:type="dxa"/>
            <w:vAlign w:val="bottom"/>
            <w:tcBorders>
              <w:bottom w:val="single" w:sz="8" w:color="CFF0FC"/>
            </w:tcBorders>
            <w:gridSpan w:val="6"/>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CFF0FC"/>
            </w:tcBorders>
            <w:shd w:val="clear" w:color="auto" w:fill="CFF0FC"/>
          </w:tcPr>
          <w:p>
            <w:pPr>
              <w:spacing w:after="0"/>
              <w:rPr>
                <w:sz w:val="24"/>
                <w:szCs w:val="24"/>
                <w:color w:val="auto"/>
              </w:rPr>
            </w:pPr>
          </w:p>
        </w:tc>
        <w:tc>
          <w:tcPr>
            <w:tcW w:w="200" w:type="dxa"/>
            <w:vAlign w:val="bottom"/>
          </w:tcPr>
          <w:p>
            <w:pPr>
              <w:spacing w:after="0"/>
              <w:rPr>
                <w:sz w:val="24"/>
                <w:szCs w:val="24"/>
                <w:color w:val="auto"/>
              </w:rPr>
            </w:pPr>
          </w:p>
        </w:tc>
      </w:tr>
      <w:tr>
        <w:trPr>
          <w:trHeight w:val="239"/>
        </w:trPr>
        <w:tc>
          <w:tcPr>
            <w:tcW w:w="840" w:type="dxa"/>
            <w:vAlign w:val="bottom"/>
            <w:gridSpan w:val="2"/>
          </w:tcPr>
          <w:p>
            <w:pPr>
              <w:jc w:val="right"/>
              <w:ind w:right="140"/>
              <w:spacing w:after="0"/>
              <w:rPr>
                <w:sz w:val="20"/>
                <w:szCs w:val="20"/>
                <w:color w:val="auto"/>
              </w:rPr>
            </w:pPr>
            <w:r>
              <w:rPr>
                <w:rFonts w:ascii="Arial" w:cs="Arial" w:eastAsia="Arial" w:hAnsi="Arial"/>
                <w:sz w:val="20"/>
                <w:szCs w:val="20"/>
                <w:color w:val="auto"/>
              </w:rPr>
              <w:t>2.2</w:t>
            </w:r>
          </w:p>
        </w:tc>
        <w:tc>
          <w:tcPr>
            <w:tcW w:w="4820" w:type="dxa"/>
            <w:vAlign w:val="bottom"/>
            <w:tcBorders>
              <w:bottom w:val="single" w:sz="8" w:color="0000FF"/>
            </w:tcBorders>
            <w:gridSpan w:val="6"/>
          </w:tcPr>
          <w:p>
            <w:pPr>
              <w:spacing w:after="0"/>
              <w:rPr>
                <w:rFonts w:ascii="Arial" w:cs="Arial" w:eastAsia="Arial" w:hAnsi="Arial"/>
                <w:sz w:val="20"/>
                <w:szCs w:val="20"/>
                <w:color w:val="0000FF"/>
                <w:w w:val="91"/>
              </w:rPr>
            </w:pPr>
            <w:hyperlink r:id="rId647">
              <w:r>
                <w:rPr>
                  <w:rFonts w:ascii="Arial" w:cs="Arial" w:eastAsia="Arial" w:hAnsi="Arial"/>
                  <w:sz w:val="20"/>
                  <w:szCs w:val="20"/>
                  <w:color w:val="0000FF"/>
                  <w:w w:val="91"/>
                </w:rPr>
                <w:t>Amendment No. 1 to Agreement and Plan of Merger, dated</w:t>
              </w:r>
            </w:hyperlink>
          </w:p>
        </w:tc>
        <w:tc>
          <w:tcPr>
            <w:tcW w:w="48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8-K</w:t>
            </w:r>
          </w:p>
        </w:tc>
        <w:tc>
          <w:tcPr>
            <w:tcW w:w="560" w:type="dxa"/>
            <w:vAlign w:val="bottom"/>
          </w:tcPr>
          <w:p>
            <w:pPr>
              <w:jc w:val="right"/>
              <w:ind w:right="20"/>
              <w:spacing w:after="0"/>
              <w:rPr>
                <w:sz w:val="20"/>
                <w:szCs w:val="20"/>
                <w:color w:val="auto"/>
              </w:rPr>
            </w:pPr>
            <w:r>
              <w:rPr>
                <w:rFonts w:ascii="Arial" w:cs="Arial" w:eastAsia="Arial" w:hAnsi="Arial"/>
                <w:sz w:val="20"/>
                <w:szCs w:val="20"/>
                <w:color w:val="auto"/>
              </w:rPr>
              <w:t>2.1</w:t>
            </w:r>
          </w:p>
        </w:tc>
        <w:tc>
          <w:tcPr>
            <w:tcW w:w="1960" w:type="dxa"/>
            <w:vAlign w:val="bottom"/>
            <w:gridSpan w:val="2"/>
          </w:tcPr>
          <w:p>
            <w:pPr>
              <w:ind w:left="100"/>
              <w:spacing w:after="0"/>
              <w:rPr>
                <w:sz w:val="20"/>
                <w:szCs w:val="20"/>
                <w:color w:val="auto"/>
              </w:rPr>
            </w:pPr>
            <w:r>
              <w:rPr>
                <w:rFonts w:ascii="Arial" w:cs="Arial" w:eastAsia="Arial" w:hAnsi="Arial"/>
                <w:sz w:val="20"/>
                <w:szCs w:val="20"/>
                <w:color w:val="auto"/>
              </w:rPr>
              <w:t>November</w:t>
            </w: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tcBorders>
              <w:bottom w:val="single" w:sz="8" w:color="0000FF"/>
            </w:tcBorders>
            <w:gridSpan w:val="5"/>
          </w:tcPr>
          <w:p>
            <w:pPr>
              <w:spacing w:after="0"/>
              <w:rPr>
                <w:rFonts w:ascii="Arial" w:cs="Arial" w:eastAsia="Arial" w:hAnsi="Arial"/>
                <w:sz w:val="20"/>
                <w:szCs w:val="20"/>
                <w:color w:val="0000FF"/>
                <w:w w:val="91"/>
              </w:rPr>
            </w:pPr>
            <w:hyperlink r:id="rId647">
              <w:r>
                <w:rPr>
                  <w:rFonts w:ascii="Arial" w:cs="Arial" w:eastAsia="Arial" w:hAnsi="Arial"/>
                  <w:sz w:val="20"/>
                  <w:szCs w:val="20"/>
                  <w:color w:val="0000FF"/>
                  <w:w w:val="91"/>
                </w:rPr>
                <w:t>November 19, 2015, by and among Willis, Merger Sub and</w:t>
              </w:r>
            </w:hyperlink>
          </w:p>
        </w:tc>
        <w:tc>
          <w:tcPr>
            <w:tcW w:w="5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20"/>
                <w:szCs w:val="20"/>
                <w:color w:val="auto"/>
              </w:rPr>
              <w:t>20, 2015</w:t>
            </w:r>
          </w:p>
        </w:tc>
        <w:tc>
          <w:tcPr>
            <w:tcW w:w="200" w:type="dxa"/>
            <w:vAlign w:val="bottom"/>
          </w:tcPr>
          <w:p>
            <w:pPr>
              <w:spacing w:after="0"/>
              <w:rPr>
                <w:sz w:val="24"/>
                <w:szCs w:val="24"/>
                <w:color w:val="auto"/>
              </w:rPr>
            </w:pP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00" w:type="dxa"/>
            <w:vAlign w:val="bottom"/>
            <w:gridSpan w:val="9"/>
          </w:tcPr>
          <w:p>
            <w:pPr>
              <w:spacing w:after="0"/>
              <w:rPr>
                <w:rFonts w:ascii="Arial" w:cs="Arial" w:eastAsia="Arial" w:hAnsi="Arial"/>
                <w:sz w:val="20"/>
                <w:szCs w:val="20"/>
                <w:color w:val="0000FF"/>
              </w:rPr>
            </w:pPr>
            <w:hyperlink r:id="rId647">
              <w:r>
                <w:rPr>
                  <w:rFonts w:ascii="Arial" w:cs="Arial" w:eastAsia="Arial" w:hAnsi="Arial"/>
                  <w:sz w:val="20"/>
                  <w:szCs w:val="20"/>
                  <w:color w:val="0000FF"/>
                </w:rPr>
                <w:t>Towers Watson</w:t>
              </w:r>
            </w:hyperlink>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6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66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3.1</w:t>
            </w:r>
          </w:p>
        </w:tc>
        <w:tc>
          <w:tcPr>
            <w:tcW w:w="5300" w:type="dxa"/>
            <w:vAlign w:val="bottom"/>
            <w:tcBorders>
              <w:bottom w:val="single" w:sz="8" w:color="0000FF"/>
            </w:tcBorders>
            <w:gridSpan w:val="9"/>
            <w:shd w:val="clear" w:color="auto" w:fill="CFF0FC"/>
          </w:tcPr>
          <w:p>
            <w:pPr>
              <w:spacing w:after="0"/>
              <w:rPr>
                <w:rFonts w:ascii="Arial" w:cs="Arial" w:eastAsia="Arial" w:hAnsi="Arial"/>
                <w:sz w:val="20"/>
                <w:szCs w:val="20"/>
                <w:color w:val="0000FF"/>
                <w:w w:val="91"/>
              </w:rPr>
            </w:pPr>
            <w:hyperlink r:id="rId648">
              <w:r>
                <w:rPr>
                  <w:rFonts w:ascii="Arial" w:cs="Arial" w:eastAsia="Arial" w:hAnsi="Arial"/>
                  <w:sz w:val="20"/>
                  <w:szCs w:val="20"/>
                  <w:color w:val="0000FF"/>
                  <w:w w:val="91"/>
                </w:rPr>
                <w:t>Amended and Restated Memorandum and Articles of Association</w:t>
              </w:r>
            </w:hyperlink>
          </w:p>
        </w:tc>
        <w:tc>
          <w:tcPr>
            <w:tcW w:w="20" w:type="dxa"/>
            <w:vAlign w:val="bottom"/>
            <w:tcBorders>
              <w:bottom w:val="single" w:sz="8" w:color="0000FF"/>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20"/>
                <w:szCs w:val="20"/>
                <w:color w:val="auto"/>
              </w:rPr>
              <w:t>8-K</w:t>
            </w:r>
          </w:p>
        </w:tc>
        <w:tc>
          <w:tcPr>
            <w:tcW w:w="5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3.1</w:t>
            </w:r>
          </w:p>
        </w:tc>
        <w:tc>
          <w:tcPr>
            <w:tcW w:w="17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June 15,</w:t>
            </w:r>
          </w:p>
        </w:tc>
        <w:tc>
          <w:tcPr>
            <w:tcW w:w="200" w:type="dxa"/>
            <w:vAlign w:val="bottom"/>
          </w:tcPr>
          <w:p>
            <w:pPr>
              <w:spacing w:after="0"/>
              <w:rPr>
                <w:sz w:val="20"/>
                <w:szCs w:val="20"/>
                <w:color w:val="auto"/>
              </w:rPr>
            </w:pPr>
          </w:p>
        </w:tc>
      </w:tr>
      <w:tr>
        <w:trPr>
          <w:trHeight w:val="280"/>
        </w:trPr>
        <w:tc>
          <w:tcPr>
            <w:tcW w:w="180" w:type="dxa"/>
            <w:vAlign w:val="bottom"/>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5300" w:type="dxa"/>
            <w:vAlign w:val="bottom"/>
            <w:gridSpan w:val="9"/>
            <w:shd w:val="clear" w:color="auto" w:fill="CFF0FC"/>
          </w:tcPr>
          <w:p>
            <w:pPr>
              <w:spacing w:after="0"/>
              <w:rPr>
                <w:rFonts w:ascii="Arial" w:cs="Arial" w:eastAsia="Arial" w:hAnsi="Arial"/>
                <w:sz w:val="20"/>
                <w:szCs w:val="20"/>
                <w:color w:val="0000FF"/>
              </w:rPr>
            </w:pPr>
            <w:hyperlink r:id="rId648">
              <w:r>
                <w:rPr>
                  <w:rFonts w:ascii="Arial" w:cs="Arial" w:eastAsia="Arial" w:hAnsi="Arial"/>
                  <w:sz w:val="20"/>
                  <w:szCs w:val="20"/>
                  <w:color w:val="0000FF"/>
                </w:rPr>
                <w:t>of Willis Towers Watson Public Limited Company</w:t>
              </w:r>
            </w:hyperlink>
          </w:p>
        </w:tc>
        <w:tc>
          <w:tcPr>
            <w:tcW w:w="2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1760" w:type="dxa"/>
            <w:vAlign w:val="bottom"/>
            <w:shd w:val="clear" w:color="auto" w:fill="CFF0FC"/>
          </w:tcPr>
          <w:p>
            <w:pPr>
              <w:ind w:left="100"/>
              <w:spacing w:after="0"/>
              <w:rPr>
                <w:sz w:val="20"/>
                <w:szCs w:val="20"/>
                <w:color w:val="auto"/>
              </w:rPr>
            </w:pPr>
            <w:r>
              <w:rPr>
                <w:rFonts w:ascii="Arial" w:cs="Arial" w:eastAsia="Arial" w:hAnsi="Arial"/>
                <w:sz w:val="20"/>
                <w:szCs w:val="20"/>
                <w:color w:val="auto"/>
              </w:rPr>
              <w:t>2017</w:t>
            </w: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Borders>
              <w:top w:val="single" w:sz="8" w:color="CFF0FC"/>
            </w:tcBorders>
            <w:shd w:val="clear" w:color="auto" w:fill="CFF0FC"/>
          </w:tcPr>
          <w:p>
            <w:pPr>
              <w:spacing w:after="0"/>
              <w:rPr>
                <w:sz w:val="3"/>
                <w:szCs w:val="3"/>
                <w:color w:val="auto"/>
              </w:rPr>
            </w:pPr>
          </w:p>
        </w:tc>
        <w:tc>
          <w:tcPr>
            <w:tcW w:w="1260" w:type="dxa"/>
            <w:vAlign w:val="bottom"/>
            <w:tcBorders>
              <w:top w:val="single" w:sz="8" w:color="0000FF"/>
            </w:tcBorders>
            <w:shd w:val="clear" w:color="auto" w:fill="CFF0FC"/>
          </w:tcPr>
          <w:p>
            <w:pPr>
              <w:spacing w:after="0"/>
              <w:rPr>
                <w:sz w:val="3"/>
                <w:szCs w:val="3"/>
                <w:color w:val="auto"/>
              </w:rPr>
            </w:pPr>
          </w:p>
        </w:tc>
        <w:tc>
          <w:tcPr>
            <w:tcW w:w="200" w:type="dxa"/>
            <w:vAlign w:val="bottom"/>
            <w:tcBorders>
              <w:top w:val="single" w:sz="8" w:color="0000FF"/>
            </w:tcBorders>
            <w:shd w:val="clear" w:color="auto" w:fill="CFF0FC"/>
          </w:tcPr>
          <w:p>
            <w:pPr>
              <w:spacing w:after="0"/>
              <w:rPr>
                <w:sz w:val="3"/>
                <w:szCs w:val="3"/>
                <w:color w:val="auto"/>
              </w:rPr>
            </w:pPr>
          </w:p>
        </w:tc>
        <w:tc>
          <w:tcPr>
            <w:tcW w:w="300" w:type="dxa"/>
            <w:vAlign w:val="bottom"/>
            <w:tcBorders>
              <w:top w:val="single" w:sz="8" w:color="0000FF"/>
            </w:tcBorders>
            <w:shd w:val="clear" w:color="auto" w:fill="CFF0FC"/>
          </w:tcPr>
          <w:p>
            <w:pPr>
              <w:spacing w:after="0"/>
              <w:rPr>
                <w:sz w:val="3"/>
                <w:szCs w:val="3"/>
                <w:color w:val="auto"/>
              </w:rPr>
            </w:pPr>
          </w:p>
        </w:tc>
        <w:tc>
          <w:tcPr>
            <w:tcW w:w="2320" w:type="dxa"/>
            <w:vAlign w:val="bottom"/>
            <w:tcBorders>
              <w:top w:val="single" w:sz="8" w:color="0000FF"/>
            </w:tcBorders>
            <w:shd w:val="clear" w:color="auto" w:fill="CFF0FC"/>
          </w:tcPr>
          <w:p>
            <w:pPr>
              <w:spacing w:after="0"/>
              <w:rPr>
                <w:sz w:val="3"/>
                <w:szCs w:val="3"/>
                <w:color w:val="auto"/>
              </w:rPr>
            </w:pPr>
          </w:p>
        </w:tc>
        <w:tc>
          <w:tcPr>
            <w:tcW w:w="7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00" w:type="dxa"/>
            <w:vAlign w:val="bottom"/>
            <w:tcBorders>
              <w:top w:val="single" w:sz="8" w:color="CFF0FC"/>
            </w:tcBorders>
            <w:shd w:val="clear" w:color="auto" w:fill="CFF0FC"/>
          </w:tcPr>
          <w:p>
            <w:pPr>
              <w:spacing w:after="0"/>
              <w:rPr>
                <w:sz w:val="3"/>
                <w:szCs w:val="3"/>
                <w:color w:val="auto"/>
              </w:rPr>
            </w:pPr>
          </w:p>
        </w:tc>
        <w:tc>
          <w:tcPr>
            <w:tcW w:w="280" w:type="dxa"/>
            <w:vAlign w:val="bottom"/>
            <w:tcBorders>
              <w:top w:val="single" w:sz="8" w:color="CFF0FC"/>
            </w:tcBorders>
            <w:shd w:val="clear" w:color="auto" w:fill="CFF0FC"/>
          </w:tcPr>
          <w:p>
            <w:pPr>
              <w:spacing w:after="0"/>
              <w:rPr>
                <w:sz w:val="3"/>
                <w:szCs w:val="3"/>
                <w:color w:val="auto"/>
              </w:rPr>
            </w:pPr>
          </w:p>
        </w:tc>
        <w:tc>
          <w:tcPr>
            <w:tcW w:w="10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720" w:type="dxa"/>
            <w:vAlign w:val="bottom"/>
            <w:tcBorders>
              <w:top w:val="single" w:sz="8" w:color="CFF0FC"/>
            </w:tcBorders>
            <w:shd w:val="clear" w:color="auto" w:fill="CFF0FC"/>
          </w:tcPr>
          <w:p>
            <w:pPr>
              <w:spacing w:after="0"/>
              <w:rPr>
                <w:sz w:val="3"/>
                <w:szCs w:val="3"/>
                <w:color w:val="auto"/>
              </w:rPr>
            </w:pPr>
          </w:p>
        </w:tc>
        <w:tc>
          <w:tcPr>
            <w:tcW w:w="560" w:type="dxa"/>
            <w:vAlign w:val="bottom"/>
            <w:tcBorders>
              <w:top w:val="single" w:sz="8" w:color="CFF0FC"/>
            </w:tcBorders>
            <w:shd w:val="clear" w:color="auto" w:fill="CFF0FC"/>
          </w:tcPr>
          <w:p>
            <w:pPr>
              <w:spacing w:after="0"/>
              <w:rPr>
                <w:sz w:val="3"/>
                <w:szCs w:val="3"/>
                <w:color w:val="auto"/>
              </w:rPr>
            </w:pPr>
          </w:p>
        </w:tc>
        <w:tc>
          <w:tcPr>
            <w:tcW w:w="1760" w:type="dxa"/>
            <w:vAlign w:val="bottom"/>
            <w:tcBorders>
              <w:top w:val="single" w:sz="8" w:color="CFF0FC"/>
            </w:tcBorders>
            <w:shd w:val="clear" w:color="auto" w:fill="CFF0FC"/>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660" w:type="dxa"/>
            <w:vAlign w:val="bottom"/>
          </w:tcPr>
          <w:p>
            <w:pPr>
              <w:jc w:val="right"/>
              <w:ind w:right="140"/>
              <w:spacing w:after="0"/>
              <w:rPr>
                <w:sz w:val="20"/>
                <w:szCs w:val="20"/>
                <w:color w:val="auto"/>
              </w:rPr>
            </w:pPr>
            <w:r>
              <w:rPr>
                <w:rFonts w:ascii="Arial" w:cs="Arial" w:eastAsia="Arial" w:hAnsi="Arial"/>
                <w:sz w:val="20"/>
                <w:szCs w:val="20"/>
                <w:color w:val="auto"/>
              </w:rPr>
              <w:t>3.2</w:t>
            </w:r>
          </w:p>
        </w:tc>
        <w:tc>
          <w:tcPr>
            <w:tcW w:w="4920" w:type="dxa"/>
            <w:vAlign w:val="bottom"/>
            <w:tcBorders>
              <w:bottom w:val="single" w:sz="8" w:color="0000FF"/>
            </w:tcBorders>
            <w:gridSpan w:val="7"/>
          </w:tcPr>
          <w:p>
            <w:pPr>
              <w:spacing w:after="0"/>
              <w:rPr>
                <w:rFonts w:ascii="Arial" w:cs="Arial" w:eastAsia="Arial" w:hAnsi="Arial"/>
                <w:sz w:val="20"/>
                <w:szCs w:val="20"/>
                <w:color w:val="0000FF"/>
                <w:w w:val="95"/>
              </w:rPr>
            </w:pPr>
            <w:hyperlink r:id="rId649">
              <w:r>
                <w:rPr>
                  <w:rFonts w:ascii="Arial" w:cs="Arial" w:eastAsia="Arial" w:hAnsi="Arial"/>
                  <w:sz w:val="20"/>
                  <w:szCs w:val="20"/>
                  <w:color w:val="0000FF"/>
                  <w:w w:val="95"/>
                </w:rPr>
                <w:t>Certificate of Incorporation of Willis Group Holdings Public</w:t>
              </w:r>
            </w:hyperlink>
          </w:p>
        </w:tc>
        <w:tc>
          <w:tcPr>
            <w:tcW w:w="3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ind w:left="220"/>
              <w:spacing w:after="0"/>
              <w:rPr>
                <w:sz w:val="20"/>
                <w:szCs w:val="20"/>
                <w:color w:val="auto"/>
              </w:rPr>
            </w:pPr>
            <w:r>
              <w:rPr>
                <w:rFonts w:ascii="Arial" w:cs="Arial" w:eastAsia="Arial" w:hAnsi="Arial"/>
                <w:sz w:val="20"/>
                <w:szCs w:val="20"/>
                <w:color w:val="auto"/>
              </w:rPr>
              <w:t>8-K</w:t>
            </w:r>
          </w:p>
        </w:tc>
        <w:tc>
          <w:tcPr>
            <w:tcW w:w="560" w:type="dxa"/>
            <w:vAlign w:val="bottom"/>
          </w:tcPr>
          <w:p>
            <w:pPr>
              <w:jc w:val="right"/>
              <w:ind w:right="20"/>
              <w:spacing w:after="0"/>
              <w:rPr>
                <w:sz w:val="20"/>
                <w:szCs w:val="20"/>
                <w:color w:val="auto"/>
              </w:rPr>
            </w:pPr>
            <w:r>
              <w:rPr>
                <w:rFonts w:ascii="Arial" w:cs="Arial" w:eastAsia="Arial" w:hAnsi="Arial"/>
                <w:sz w:val="20"/>
                <w:szCs w:val="20"/>
                <w:color w:val="auto"/>
              </w:rPr>
              <w:t>3.2</w:t>
            </w:r>
          </w:p>
        </w:tc>
        <w:tc>
          <w:tcPr>
            <w:tcW w:w="1960" w:type="dxa"/>
            <w:vAlign w:val="bottom"/>
            <w:gridSpan w:val="2"/>
          </w:tcPr>
          <w:p>
            <w:pPr>
              <w:ind w:left="100"/>
              <w:spacing w:after="0"/>
              <w:rPr>
                <w:sz w:val="20"/>
                <w:szCs w:val="20"/>
                <w:color w:val="auto"/>
              </w:rPr>
            </w:pPr>
            <w:r>
              <w:rPr>
                <w:rFonts w:ascii="Arial" w:cs="Arial" w:eastAsia="Arial" w:hAnsi="Arial"/>
                <w:sz w:val="20"/>
                <w:szCs w:val="20"/>
                <w:color w:val="auto"/>
              </w:rPr>
              <w:t>January 4,</w:t>
            </w: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00" w:type="dxa"/>
            <w:vAlign w:val="bottom"/>
            <w:gridSpan w:val="9"/>
          </w:tcPr>
          <w:p>
            <w:pPr>
              <w:spacing w:after="0"/>
              <w:rPr>
                <w:rFonts w:ascii="Arial" w:cs="Arial" w:eastAsia="Arial" w:hAnsi="Arial"/>
                <w:sz w:val="20"/>
                <w:szCs w:val="20"/>
                <w:color w:val="0000FF"/>
              </w:rPr>
            </w:pPr>
            <w:hyperlink r:id="rId649">
              <w:r>
                <w:rPr>
                  <w:rFonts w:ascii="Arial" w:cs="Arial" w:eastAsia="Arial" w:hAnsi="Arial"/>
                  <w:sz w:val="20"/>
                  <w:szCs w:val="20"/>
                  <w:color w:val="0000FF"/>
                </w:rPr>
                <w:t>Limited Company</w:t>
              </w:r>
            </w:hyperlink>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20"/>
                <w:szCs w:val="20"/>
                <w:color w:val="auto"/>
              </w:rPr>
              <w:t>2010</w:t>
            </w:r>
          </w:p>
        </w:tc>
        <w:tc>
          <w:tcPr>
            <w:tcW w:w="200" w:type="dxa"/>
            <w:vAlign w:val="bottom"/>
          </w:tcPr>
          <w:p>
            <w:pPr>
              <w:spacing w:after="0"/>
              <w:rPr>
                <w:sz w:val="24"/>
                <w:szCs w:val="24"/>
                <w:color w:val="auto"/>
              </w:rPr>
            </w:pPr>
          </w:p>
        </w:tc>
      </w:tr>
      <w:tr>
        <w:trPr>
          <w:trHeight w:val="54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Borders>
              <w:top w:val="single" w:sz="8" w:color="0000FF"/>
            </w:tcBorders>
            <w:gridSpan w:val="2"/>
          </w:tcPr>
          <w:p>
            <w:pPr>
              <w:spacing w:after="0"/>
              <w:rPr>
                <w:sz w:val="24"/>
                <w:szCs w:val="24"/>
                <w:color w:val="auto"/>
              </w:rPr>
            </w:pPr>
          </w:p>
        </w:tc>
        <w:tc>
          <w:tcPr>
            <w:tcW w:w="2620" w:type="dxa"/>
            <w:vAlign w:val="bottom"/>
            <w:gridSpan w:val="2"/>
          </w:tcPr>
          <w:p>
            <w:pPr>
              <w:jc w:val="right"/>
              <w:ind w:right="80"/>
              <w:spacing w:after="0"/>
              <w:rPr>
                <w:sz w:val="20"/>
                <w:szCs w:val="20"/>
                <w:color w:val="auto"/>
              </w:rPr>
            </w:pPr>
            <w:r>
              <w:rPr>
                <w:rFonts w:ascii="Arial" w:cs="Arial" w:eastAsia="Arial" w:hAnsi="Arial"/>
                <w:sz w:val="20"/>
                <w:szCs w:val="20"/>
                <w:color w:val="auto"/>
              </w:rPr>
              <w:t>134</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891"/>
        </w:trPr>
        <w:tc>
          <w:tcPr>
            <w:tcW w:w="18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32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17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1">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60</w:t>
      </w:r>
    </w:p>
    <w:p>
      <w:pPr>
        <w:sectPr>
          <w:pgSz w:w="11900" w:h="16838" w:orient="portrait"/>
          <w:cols w:equalWidth="0" w:num="1">
            <w:col w:w="9400"/>
          </w:cols>
          <w:pgMar w:left="1260" w:top="1133" w:right="1246" w:bottom="0" w:gutter="0" w:footer="0" w:header="0"/>
          <w:type w:val="continuous"/>
        </w:sectPr>
      </w:pPr>
    </w:p>
    <w:bookmarkStart w:id="272" w:name="page273"/>
    <w:bookmarkEnd w:id="272"/>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40" w:type="dxa"/>
            <w:vAlign w:val="bottom"/>
            <w:gridSpan w:val="3"/>
          </w:tcPr>
          <w:p>
            <w:pPr>
              <w:ind w:left="260"/>
              <w:spacing w:after="0"/>
              <w:rPr>
                <w:sz w:val="20"/>
                <w:szCs w:val="20"/>
                <w:color w:val="auto"/>
              </w:rPr>
            </w:pPr>
            <w:r>
              <w:rPr>
                <w:rFonts w:ascii="Arial" w:cs="Arial" w:eastAsia="Arial" w:hAnsi="Arial"/>
                <w:sz w:val="16"/>
                <w:szCs w:val="16"/>
                <w:b w:val="1"/>
                <w:bCs w:val="1"/>
                <w:color w:val="auto"/>
              </w:rPr>
              <w:t>Incorporated by Reference</w:t>
            </w:r>
          </w:p>
        </w:tc>
      </w:tr>
      <w:tr>
        <w:trPr>
          <w:trHeight w:val="310"/>
        </w:trPr>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7"/>
              </w:rPr>
              <w:t>Schedule/</w:t>
            </w:r>
          </w:p>
        </w:tc>
        <w:tc>
          <w:tcPr>
            <w:tcW w:w="600" w:type="dxa"/>
            <w:vAlign w:val="bottom"/>
          </w:tcPr>
          <w:p>
            <w:pPr>
              <w:spacing w:after="0"/>
              <w:rPr>
                <w:sz w:val="24"/>
                <w:szCs w:val="24"/>
                <w:color w:val="auto"/>
              </w:rPr>
            </w:pPr>
          </w:p>
        </w:tc>
        <w:tc>
          <w:tcPr>
            <w:tcW w:w="1700" w:type="dxa"/>
            <w:vAlign w:val="bottom"/>
          </w:tcPr>
          <w:p>
            <w:pPr>
              <w:ind w:left="1220"/>
              <w:spacing w:after="0"/>
              <w:rPr>
                <w:sz w:val="20"/>
                <w:szCs w:val="20"/>
                <w:color w:val="auto"/>
              </w:rPr>
            </w:pPr>
            <w:r>
              <w:rPr>
                <w:rFonts w:ascii="Arial" w:cs="Arial" w:eastAsia="Arial" w:hAnsi="Arial"/>
                <w:sz w:val="16"/>
                <w:szCs w:val="16"/>
                <w:b w:val="1"/>
                <w:bCs w:val="1"/>
                <w:color w:val="auto"/>
              </w:rPr>
              <w:t>Filed</w:t>
            </w:r>
          </w:p>
        </w:tc>
      </w:tr>
      <w:tr>
        <w:trPr>
          <w:trHeight w:val="240"/>
        </w:trPr>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1220" w:type="dxa"/>
            <w:vAlign w:val="bottom"/>
          </w:tcPr>
          <w:p>
            <w:pPr>
              <w:spacing w:after="0"/>
              <w:rPr>
                <w:sz w:val="20"/>
                <w:szCs w:val="20"/>
                <w:color w:val="auto"/>
              </w:rPr>
            </w:pPr>
          </w:p>
        </w:tc>
        <w:tc>
          <w:tcPr>
            <w:tcW w:w="4040" w:type="dxa"/>
            <w:vAlign w:val="bottom"/>
            <w:gridSpan w:val="25"/>
          </w:tcPr>
          <w:p>
            <w:pPr>
              <w:ind w:left="660"/>
              <w:spacing w:after="0"/>
              <w:rPr>
                <w:sz w:val="20"/>
                <w:szCs w:val="20"/>
                <w:color w:val="auto"/>
              </w:rPr>
            </w:pPr>
            <w:r>
              <w:rPr>
                <w:rFonts w:ascii="Arial" w:cs="Arial" w:eastAsia="Arial" w:hAnsi="Arial"/>
                <w:sz w:val="16"/>
                <w:szCs w:val="16"/>
                <w:b w:val="1"/>
                <w:bCs w:val="1"/>
                <w:color w:val="auto"/>
              </w:rPr>
              <w:t>Description of Exhibit</w:t>
            </w:r>
          </w:p>
        </w:tc>
        <w:tc>
          <w:tcPr>
            <w:tcW w:w="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4"/>
              </w:rPr>
              <w:t>Form</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1700" w:type="dxa"/>
            <w:vAlign w:val="bottom"/>
          </w:tcPr>
          <w:p>
            <w:pPr>
              <w:ind w:left="140"/>
              <w:spacing w:after="0"/>
              <w:rPr>
                <w:sz w:val="20"/>
                <w:szCs w:val="20"/>
                <w:color w:val="auto"/>
              </w:rPr>
            </w:pPr>
            <w:r>
              <w:rPr>
                <w:rFonts w:ascii="Arial" w:cs="Arial" w:eastAsia="Arial" w:hAnsi="Arial"/>
                <w:sz w:val="16"/>
                <w:szCs w:val="16"/>
                <w:b w:val="1"/>
                <w:bCs w:val="1"/>
                <w:color w:val="auto"/>
                <w:w w:val="97"/>
              </w:rPr>
              <w:t>Filing Date  Herewith</w:t>
            </w:r>
          </w:p>
        </w:tc>
      </w:tr>
      <w:tr>
        <w:trPr>
          <w:trHeight w:val="52"/>
        </w:trPr>
        <w:tc>
          <w:tcPr>
            <w:tcW w:w="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39"/>
        </w:trPr>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3"/>
              </w:rPr>
              <w:t>4.1</w:t>
            </w:r>
          </w:p>
        </w:tc>
        <w:tc>
          <w:tcPr>
            <w:tcW w:w="5260" w:type="dxa"/>
            <w:vAlign w:val="bottom"/>
            <w:tcBorders>
              <w:bottom w:val="single" w:sz="8" w:color="0000FF"/>
            </w:tcBorders>
            <w:gridSpan w:val="26"/>
            <w:shd w:val="clear" w:color="auto" w:fill="CFF0FC"/>
          </w:tcPr>
          <w:p>
            <w:pPr>
              <w:spacing w:after="0"/>
              <w:rPr>
                <w:rFonts w:ascii="Arial" w:cs="Arial" w:eastAsia="Arial" w:hAnsi="Arial"/>
                <w:sz w:val="20"/>
                <w:szCs w:val="20"/>
                <w:color w:val="0000FF"/>
                <w:w w:val="94"/>
              </w:rPr>
            </w:pPr>
            <w:hyperlink r:id="rId652">
              <w:r>
                <w:rPr>
                  <w:rFonts w:ascii="Arial" w:cs="Arial" w:eastAsia="Arial" w:hAnsi="Arial"/>
                  <w:sz w:val="20"/>
                  <w:szCs w:val="20"/>
                  <w:color w:val="0000FF"/>
                  <w:w w:val="94"/>
                </w:rPr>
                <w:t>Description of Willis Towers Watson Public Limited Company’s</w:t>
              </w:r>
            </w:hyperlink>
          </w:p>
        </w:tc>
        <w:tc>
          <w:tcPr>
            <w:tcW w:w="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9"/>
              </w:rPr>
              <w:t>10-K</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6"/>
              </w:rPr>
              <w:t>4.1</w:t>
            </w: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February</w:t>
            </w:r>
          </w:p>
        </w:tc>
      </w:tr>
      <w:tr>
        <w:trPr>
          <w:trHeight w:val="280"/>
        </w:trPr>
        <w:tc>
          <w:tcPr>
            <w:tcW w:w="660" w:type="dxa"/>
            <w:vAlign w:val="bottom"/>
            <w:shd w:val="clear" w:color="auto" w:fill="CFF0FC"/>
          </w:tcPr>
          <w:p>
            <w:pPr>
              <w:spacing w:after="0"/>
              <w:rPr>
                <w:sz w:val="24"/>
                <w:szCs w:val="24"/>
                <w:color w:val="auto"/>
              </w:rPr>
            </w:pPr>
          </w:p>
        </w:tc>
        <w:tc>
          <w:tcPr>
            <w:tcW w:w="5260" w:type="dxa"/>
            <w:vAlign w:val="bottom"/>
            <w:gridSpan w:val="26"/>
            <w:shd w:val="clear" w:color="auto" w:fill="CFF0FC"/>
          </w:tcPr>
          <w:p>
            <w:pPr>
              <w:spacing w:after="0"/>
              <w:rPr>
                <w:rFonts w:ascii="Arial" w:cs="Arial" w:eastAsia="Arial" w:hAnsi="Arial"/>
                <w:sz w:val="20"/>
                <w:szCs w:val="20"/>
                <w:color w:val="0000FF"/>
              </w:rPr>
            </w:pPr>
            <w:hyperlink r:id="rId652">
              <w:r>
                <w:rPr>
                  <w:rFonts w:ascii="Arial" w:cs="Arial" w:eastAsia="Arial" w:hAnsi="Arial"/>
                  <w:sz w:val="20"/>
                  <w:szCs w:val="20"/>
                  <w:color w:val="0000FF"/>
                </w:rPr>
                <w:t>ordinary shares</w:t>
              </w:r>
            </w:hyperlink>
          </w:p>
        </w:tc>
        <w:tc>
          <w:tcPr>
            <w:tcW w:w="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700" w:type="dxa"/>
            <w:vAlign w:val="bottom"/>
            <w:shd w:val="clear" w:color="auto" w:fill="CFF0FC"/>
          </w:tcPr>
          <w:p>
            <w:pPr>
              <w:ind w:left="40"/>
              <w:spacing w:after="0"/>
              <w:rPr>
                <w:sz w:val="20"/>
                <w:szCs w:val="20"/>
                <w:color w:val="auto"/>
              </w:rPr>
            </w:pPr>
            <w:r>
              <w:rPr>
                <w:rFonts w:ascii="Arial" w:cs="Arial" w:eastAsia="Arial" w:hAnsi="Arial"/>
                <w:sz w:val="20"/>
                <w:szCs w:val="20"/>
                <w:color w:val="auto"/>
              </w:rPr>
              <w:t>26, 2020</w:t>
            </w:r>
          </w:p>
        </w:tc>
      </w:tr>
      <w:tr>
        <w:trPr>
          <w:trHeight w:val="41"/>
        </w:trPr>
        <w:tc>
          <w:tcPr>
            <w:tcW w:w="660" w:type="dxa"/>
            <w:vAlign w:val="bottom"/>
            <w:tcBorders>
              <w:top w:val="single" w:sz="8" w:color="CFF0FC"/>
            </w:tcBorders>
            <w:shd w:val="clear" w:color="auto" w:fill="CFF0FC"/>
          </w:tcPr>
          <w:p>
            <w:pPr>
              <w:spacing w:after="0"/>
              <w:rPr>
                <w:sz w:val="3"/>
                <w:szCs w:val="3"/>
                <w:color w:val="auto"/>
              </w:rPr>
            </w:pPr>
          </w:p>
        </w:tc>
        <w:tc>
          <w:tcPr>
            <w:tcW w:w="1220" w:type="dxa"/>
            <w:vAlign w:val="bottom"/>
            <w:tcBorders>
              <w:top w:val="single" w:sz="8" w:color="0000FF"/>
            </w:tcBorders>
            <w:shd w:val="clear" w:color="auto" w:fill="CFF0FC"/>
          </w:tcPr>
          <w:p>
            <w:pPr>
              <w:spacing w:after="0"/>
              <w:rPr>
                <w:sz w:val="3"/>
                <w:szCs w:val="3"/>
                <w:color w:val="auto"/>
              </w:rPr>
            </w:pPr>
          </w:p>
        </w:tc>
        <w:tc>
          <w:tcPr>
            <w:tcW w:w="2360" w:type="dxa"/>
            <w:vAlign w:val="bottom"/>
            <w:tcBorders>
              <w:top w:val="single" w:sz="8" w:color="CFF0FC"/>
            </w:tcBorders>
            <w:shd w:val="clear" w:color="auto" w:fill="CFF0FC"/>
          </w:tcPr>
          <w:p>
            <w:pPr>
              <w:spacing w:after="0"/>
              <w:rPr>
                <w:sz w:val="3"/>
                <w:szCs w:val="3"/>
                <w:color w:val="auto"/>
              </w:rPr>
            </w:pPr>
          </w:p>
        </w:tc>
        <w:tc>
          <w:tcPr>
            <w:tcW w:w="8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740" w:type="dxa"/>
            <w:vAlign w:val="bottom"/>
            <w:tcBorders>
              <w:top w:val="single" w:sz="8" w:color="CFF0FC"/>
            </w:tcBorders>
            <w:shd w:val="clear" w:color="auto" w:fill="CFF0FC"/>
          </w:tcPr>
          <w:p>
            <w:pPr>
              <w:spacing w:after="0"/>
              <w:rPr>
                <w:sz w:val="3"/>
                <w:szCs w:val="3"/>
                <w:color w:val="auto"/>
              </w:rPr>
            </w:pPr>
          </w:p>
        </w:tc>
        <w:tc>
          <w:tcPr>
            <w:tcW w:w="600" w:type="dxa"/>
            <w:vAlign w:val="bottom"/>
            <w:tcBorders>
              <w:top w:val="single" w:sz="8" w:color="CFF0FC"/>
            </w:tcBorders>
            <w:shd w:val="clear" w:color="auto" w:fill="CFF0FC"/>
          </w:tcPr>
          <w:p>
            <w:pPr>
              <w:spacing w:after="0"/>
              <w:rPr>
                <w:sz w:val="3"/>
                <w:szCs w:val="3"/>
                <w:color w:val="auto"/>
              </w:rPr>
            </w:pPr>
          </w:p>
        </w:tc>
        <w:tc>
          <w:tcPr>
            <w:tcW w:w="1700" w:type="dxa"/>
            <w:vAlign w:val="bottom"/>
            <w:tcBorders>
              <w:top w:val="single" w:sz="8" w:color="CFF0FC"/>
            </w:tcBorders>
            <w:shd w:val="clear" w:color="auto" w:fill="CFF0FC"/>
          </w:tcPr>
          <w:p>
            <w:pPr>
              <w:spacing w:after="0"/>
              <w:rPr>
                <w:sz w:val="3"/>
                <w:szCs w:val="3"/>
                <w:color w:val="auto"/>
              </w:rPr>
            </w:pPr>
          </w:p>
        </w:tc>
      </w:tr>
      <w:tr>
        <w:trPr>
          <w:trHeight w:val="239"/>
        </w:trPr>
        <w:tc>
          <w:tcPr>
            <w:tcW w:w="660" w:type="dxa"/>
            <w:vAlign w:val="bottom"/>
          </w:tcPr>
          <w:p>
            <w:pPr>
              <w:jc w:val="center"/>
              <w:spacing w:after="0"/>
              <w:rPr>
                <w:sz w:val="20"/>
                <w:szCs w:val="20"/>
                <w:color w:val="auto"/>
              </w:rPr>
            </w:pPr>
            <w:r>
              <w:rPr>
                <w:rFonts w:ascii="Arial" w:cs="Arial" w:eastAsia="Arial" w:hAnsi="Arial"/>
                <w:sz w:val="20"/>
                <w:szCs w:val="20"/>
                <w:color w:val="auto"/>
                <w:w w:val="93"/>
              </w:rPr>
              <w:t>4.2</w:t>
            </w:r>
          </w:p>
        </w:tc>
        <w:tc>
          <w:tcPr>
            <w:tcW w:w="5000" w:type="dxa"/>
            <w:vAlign w:val="bottom"/>
            <w:tcBorders>
              <w:bottom w:val="single" w:sz="8" w:color="0000FF"/>
            </w:tcBorders>
            <w:gridSpan w:val="19"/>
          </w:tcPr>
          <w:p>
            <w:pPr>
              <w:spacing w:after="0"/>
              <w:rPr>
                <w:rFonts w:ascii="Arial" w:cs="Arial" w:eastAsia="Arial" w:hAnsi="Arial"/>
                <w:sz w:val="20"/>
                <w:szCs w:val="20"/>
                <w:color w:val="0000FF"/>
                <w:w w:val="91"/>
              </w:rPr>
            </w:pPr>
            <w:hyperlink r:id="rId653">
              <w:r>
                <w:rPr>
                  <w:rFonts w:ascii="Arial" w:cs="Arial" w:eastAsia="Arial" w:hAnsi="Arial"/>
                  <w:sz w:val="20"/>
                  <w:szCs w:val="20"/>
                  <w:color w:val="0000FF"/>
                  <w:w w:val="91"/>
                </w:rPr>
                <w:t>Indenture, dated as of August 15, 2013, by and among Trinity</w:t>
              </w:r>
            </w:hyperlink>
          </w:p>
        </w:tc>
        <w:tc>
          <w:tcPr>
            <w:tcW w:w="260" w:type="dxa"/>
            <w:vAlign w:val="bottom"/>
            <w:gridSpan w:val="7"/>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Pr>
          <w:p>
            <w:pPr>
              <w:jc w:val="center"/>
              <w:spacing w:after="0"/>
              <w:rPr>
                <w:sz w:val="20"/>
                <w:szCs w:val="20"/>
                <w:color w:val="auto"/>
              </w:rPr>
            </w:pPr>
            <w:r>
              <w:rPr>
                <w:rFonts w:ascii="Arial" w:cs="Arial" w:eastAsia="Arial" w:hAnsi="Arial"/>
                <w:sz w:val="20"/>
                <w:szCs w:val="20"/>
                <w:color w:val="auto"/>
                <w:w w:val="86"/>
              </w:rPr>
              <w:t>4.1</w:t>
            </w:r>
          </w:p>
        </w:tc>
        <w:tc>
          <w:tcPr>
            <w:tcW w:w="1700" w:type="dxa"/>
            <w:vAlign w:val="bottom"/>
          </w:tcPr>
          <w:p>
            <w:pPr>
              <w:ind w:left="40"/>
              <w:spacing w:after="0"/>
              <w:rPr>
                <w:sz w:val="20"/>
                <w:szCs w:val="20"/>
                <w:color w:val="auto"/>
              </w:rPr>
            </w:pPr>
            <w:r>
              <w:rPr>
                <w:rFonts w:ascii="Arial" w:cs="Arial" w:eastAsia="Arial" w:hAnsi="Arial"/>
                <w:sz w:val="20"/>
                <w:szCs w:val="20"/>
                <w:color w:val="auto"/>
              </w:rPr>
              <w:t>August 15,</w:t>
            </w:r>
          </w:p>
        </w:tc>
      </w:tr>
      <w:tr>
        <w:trPr>
          <w:trHeight w:val="280"/>
        </w:trPr>
        <w:tc>
          <w:tcPr>
            <w:tcW w:w="660" w:type="dxa"/>
            <w:vAlign w:val="bottom"/>
          </w:tcPr>
          <w:p>
            <w:pPr>
              <w:spacing w:after="0"/>
              <w:rPr>
                <w:sz w:val="24"/>
                <w:szCs w:val="24"/>
                <w:color w:val="auto"/>
              </w:rPr>
            </w:pPr>
          </w:p>
        </w:tc>
        <w:tc>
          <w:tcPr>
            <w:tcW w:w="4940" w:type="dxa"/>
            <w:vAlign w:val="bottom"/>
            <w:tcBorders>
              <w:bottom w:val="single" w:sz="8" w:color="0000FF"/>
            </w:tcBorders>
            <w:gridSpan w:val="18"/>
          </w:tcPr>
          <w:p>
            <w:pPr>
              <w:spacing w:after="0"/>
              <w:rPr>
                <w:rFonts w:ascii="Arial" w:cs="Arial" w:eastAsia="Arial" w:hAnsi="Arial"/>
                <w:sz w:val="20"/>
                <w:szCs w:val="20"/>
                <w:color w:val="0000FF"/>
                <w:w w:val="94"/>
              </w:rPr>
            </w:pPr>
            <w:hyperlink r:id="rId653">
              <w:r>
                <w:rPr>
                  <w:rFonts w:ascii="Arial" w:cs="Arial" w:eastAsia="Arial" w:hAnsi="Arial"/>
                  <w:sz w:val="20"/>
                  <w:szCs w:val="20"/>
                  <w:color w:val="0000FF"/>
                  <w:w w:val="94"/>
                </w:rPr>
                <w:t>Acquisition Limited, as issuer, Willis Group Holdings Public</w:t>
              </w:r>
            </w:hyperlink>
          </w:p>
        </w:tc>
        <w:tc>
          <w:tcPr>
            <w:tcW w:w="320" w:type="dxa"/>
            <w:vAlign w:val="bottom"/>
            <w:gridSpan w:val="8"/>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20"/>
                <w:szCs w:val="20"/>
                <w:color w:val="auto"/>
              </w:rPr>
              <w:t>2013</w:t>
            </w:r>
          </w:p>
        </w:tc>
      </w:tr>
      <w:tr>
        <w:trPr>
          <w:trHeight w:val="280"/>
        </w:trPr>
        <w:tc>
          <w:tcPr>
            <w:tcW w:w="660" w:type="dxa"/>
            <w:vAlign w:val="bottom"/>
          </w:tcPr>
          <w:p>
            <w:pPr>
              <w:spacing w:after="0"/>
              <w:rPr>
                <w:sz w:val="24"/>
                <w:szCs w:val="24"/>
                <w:color w:val="auto"/>
              </w:rPr>
            </w:pPr>
          </w:p>
        </w:tc>
        <w:tc>
          <w:tcPr>
            <w:tcW w:w="4920" w:type="dxa"/>
            <w:vAlign w:val="bottom"/>
            <w:tcBorders>
              <w:bottom w:val="single" w:sz="8" w:color="0000FF"/>
            </w:tcBorders>
            <w:gridSpan w:val="17"/>
          </w:tcPr>
          <w:p>
            <w:pPr>
              <w:spacing w:after="0"/>
              <w:rPr>
                <w:rFonts w:ascii="Arial" w:cs="Arial" w:eastAsia="Arial" w:hAnsi="Arial"/>
                <w:sz w:val="20"/>
                <w:szCs w:val="20"/>
                <w:color w:val="0000FF"/>
                <w:w w:val="95"/>
              </w:rPr>
            </w:pPr>
            <w:hyperlink r:id="rId653">
              <w:r>
                <w:rPr>
                  <w:rFonts w:ascii="Arial" w:cs="Arial" w:eastAsia="Arial" w:hAnsi="Arial"/>
                  <w:sz w:val="20"/>
                  <w:szCs w:val="20"/>
                  <w:color w:val="0000FF"/>
                  <w:w w:val="95"/>
                </w:rPr>
                <w:t>Limited Company, Willis Netherlands Holdings B.V., Willis</w:t>
              </w:r>
            </w:hyperlink>
          </w:p>
        </w:tc>
        <w:tc>
          <w:tcPr>
            <w:tcW w:w="34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0"/>
        </w:trPr>
        <w:tc>
          <w:tcPr>
            <w:tcW w:w="660" w:type="dxa"/>
            <w:vAlign w:val="bottom"/>
          </w:tcPr>
          <w:p>
            <w:pPr>
              <w:spacing w:after="0"/>
              <w:rPr>
                <w:sz w:val="24"/>
                <w:szCs w:val="24"/>
                <w:color w:val="auto"/>
              </w:rPr>
            </w:pPr>
          </w:p>
        </w:tc>
        <w:tc>
          <w:tcPr>
            <w:tcW w:w="5260" w:type="dxa"/>
            <w:vAlign w:val="bottom"/>
            <w:tcBorders>
              <w:bottom w:val="single" w:sz="8" w:color="0000FF"/>
            </w:tcBorders>
            <w:gridSpan w:val="26"/>
          </w:tcPr>
          <w:p>
            <w:pPr>
              <w:spacing w:after="0"/>
              <w:rPr>
                <w:rFonts w:ascii="Arial" w:cs="Arial" w:eastAsia="Arial" w:hAnsi="Arial"/>
                <w:sz w:val="20"/>
                <w:szCs w:val="20"/>
                <w:color w:val="0000FF"/>
                <w:w w:val="95"/>
              </w:rPr>
            </w:pPr>
            <w:hyperlink r:id="rId653">
              <w:r>
                <w:rPr>
                  <w:rFonts w:ascii="Arial" w:cs="Arial" w:eastAsia="Arial" w:hAnsi="Arial"/>
                  <w:sz w:val="20"/>
                  <w:szCs w:val="20"/>
                  <w:color w:val="0000FF"/>
                  <w:w w:val="95"/>
                </w:rPr>
                <w:t>North America Inc., Willis Investment UK Holdings Limited, TA</w:t>
              </w:r>
            </w:hyperlink>
          </w:p>
        </w:tc>
        <w:tc>
          <w:tcPr>
            <w:tcW w:w="60" w:type="dxa"/>
            <w:vAlign w:val="bottom"/>
            <w:tcBorders>
              <w:bottom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0"/>
        </w:trPr>
        <w:tc>
          <w:tcPr>
            <w:tcW w:w="660" w:type="dxa"/>
            <w:vAlign w:val="bottom"/>
          </w:tcPr>
          <w:p>
            <w:pPr>
              <w:spacing w:after="0"/>
              <w:rPr>
                <w:sz w:val="24"/>
                <w:szCs w:val="24"/>
                <w:color w:val="auto"/>
              </w:rPr>
            </w:pPr>
          </w:p>
        </w:tc>
        <w:tc>
          <w:tcPr>
            <w:tcW w:w="4480" w:type="dxa"/>
            <w:vAlign w:val="bottom"/>
            <w:tcBorders>
              <w:bottom w:val="single" w:sz="8" w:color="0000FF"/>
            </w:tcBorders>
            <w:gridSpan w:val="4"/>
          </w:tcPr>
          <w:p>
            <w:pPr>
              <w:spacing w:after="0"/>
              <w:rPr>
                <w:rFonts w:ascii="Arial" w:cs="Arial" w:eastAsia="Arial" w:hAnsi="Arial"/>
                <w:sz w:val="20"/>
                <w:szCs w:val="20"/>
                <w:color w:val="0000FF"/>
                <w:w w:val="93"/>
              </w:rPr>
            </w:pPr>
            <w:hyperlink r:id="rId653">
              <w:r>
                <w:rPr>
                  <w:rFonts w:ascii="Arial" w:cs="Arial" w:eastAsia="Arial" w:hAnsi="Arial"/>
                  <w:sz w:val="20"/>
                  <w:szCs w:val="20"/>
                  <w:color w:val="0000FF"/>
                  <w:w w:val="93"/>
                </w:rPr>
                <w:t>I Limited and Willis Group Limited, as guarantors, and</w:t>
              </w:r>
            </w:hyperlink>
          </w:p>
        </w:tc>
        <w:tc>
          <w:tcPr>
            <w:tcW w:w="780" w:type="dxa"/>
            <w:vAlign w:val="bottom"/>
            <w:gridSpan w:val="22"/>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0"/>
        </w:trPr>
        <w:tc>
          <w:tcPr>
            <w:tcW w:w="660" w:type="dxa"/>
            <w:vAlign w:val="bottom"/>
          </w:tcPr>
          <w:p>
            <w:pPr>
              <w:spacing w:after="0"/>
              <w:rPr>
                <w:sz w:val="24"/>
                <w:szCs w:val="24"/>
                <w:color w:val="auto"/>
              </w:rPr>
            </w:pPr>
          </w:p>
        </w:tc>
        <w:tc>
          <w:tcPr>
            <w:tcW w:w="4860" w:type="dxa"/>
            <w:vAlign w:val="bottom"/>
            <w:tcBorders>
              <w:bottom w:val="single" w:sz="8" w:color="0000FF"/>
            </w:tcBorders>
            <w:gridSpan w:val="16"/>
          </w:tcPr>
          <w:p>
            <w:pPr>
              <w:spacing w:after="0"/>
              <w:rPr>
                <w:rFonts w:ascii="Arial" w:cs="Arial" w:eastAsia="Arial" w:hAnsi="Arial"/>
                <w:sz w:val="20"/>
                <w:szCs w:val="20"/>
                <w:color w:val="0000FF"/>
                <w:w w:val="90"/>
              </w:rPr>
            </w:pPr>
            <w:hyperlink r:id="rId653">
              <w:r>
                <w:rPr>
                  <w:rFonts w:ascii="Arial" w:cs="Arial" w:eastAsia="Arial" w:hAnsi="Arial"/>
                  <w:sz w:val="20"/>
                  <w:szCs w:val="20"/>
                  <w:color w:val="0000FF"/>
                  <w:w w:val="90"/>
                </w:rPr>
                <w:t>Computershare Trust Company, N.A., as successor to Wells</w:t>
              </w:r>
            </w:hyperlink>
          </w:p>
        </w:tc>
        <w:tc>
          <w:tcPr>
            <w:tcW w:w="400" w:type="dxa"/>
            <w:vAlign w:val="bottom"/>
            <w:gridSpan w:val="10"/>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0"/>
        </w:trPr>
        <w:tc>
          <w:tcPr>
            <w:tcW w:w="660" w:type="dxa"/>
            <w:vAlign w:val="bottom"/>
          </w:tcPr>
          <w:p>
            <w:pPr>
              <w:spacing w:after="0"/>
              <w:rPr>
                <w:sz w:val="24"/>
                <w:szCs w:val="24"/>
                <w:color w:val="auto"/>
              </w:rPr>
            </w:pPr>
          </w:p>
        </w:tc>
        <w:tc>
          <w:tcPr>
            <w:tcW w:w="5260" w:type="dxa"/>
            <w:vAlign w:val="bottom"/>
            <w:gridSpan w:val="26"/>
          </w:tcPr>
          <w:p>
            <w:pPr>
              <w:spacing w:after="0"/>
              <w:rPr>
                <w:rFonts w:ascii="Arial" w:cs="Arial" w:eastAsia="Arial" w:hAnsi="Arial"/>
                <w:sz w:val="20"/>
                <w:szCs w:val="20"/>
                <w:color w:val="0000FF"/>
              </w:rPr>
            </w:pPr>
            <w:hyperlink r:id="rId653">
              <w:r>
                <w:rPr>
                  <w:rFonts w:ascii="Arial" w:cs="Arial" w:eastAsia="Arial" w:hAnsi="Arial"/>
                  <w:sz w:val="20"/>
                  <w:szCs w:val="20"/>
                  <w:color w:val="0000FF"/>
                </w:rPr>
                <w:t>Fargo Bank, National Association, as trustee</w:t>
              </w:r>
            </w:hyperlink>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
        </w:trPr>
        <w:tc>
          <w:tcPr>
            <w:tcW w:w="660" w:type="dxa"/>
            <w:vAlign w:val="bottom"/>
          </w:tcPr>
          <w:p>
            <w:pPr>
              <w:spacing w:after="0"/>
              <w:rPr>
                <w:sz w:val="3"/>
                <w:szCs w:val="3"/>
                <w:color w:val="auto"/>
              </w:rPr>
            </w:pPr>
          </w:p>
        </w:tc>
        <w:tc>
          <w:tcPr>
            <w:tcW w:w="1220" w:type="dxa"/>
            <w:vAlign w:val="bottom"/>
            <w:tcBorders>
              <w:top w:val="single" w:sz="8" w:color="0000FF"/>
            </w:tcBorders>
          </w:tcPr>
          <w:p>
            <w:pPr>
              <w:spacing w:after="0"/>
              <w:rPr>
                <w:sz w:val="3"/>
                <w:szCs w:val="3"/>
                <w:color w:val="auto"/>
              </w:rPr>
            </w:pPr>
          </w:p>
        </w:tc>
        <w:tc>
          <w:tcPr>
            <w:tcW w:w="2360" w:type="dxa"/>
            <w:vAlign w:val="bottom"/>
            <w:tcBorders>
              <w:top w:val="single" w:sz="8" w:color="0000FF"/>
            </w:tcBorders>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9"/>
        </w:trPr>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3"/>
              </w:rPr>
              <w:t>4.3</w:t>
            </w:r>
          </w:p>
        </w:tc>
        <w:tc>
          <w:tcPr>
            <w:tcW w:w="4780" w:type="dxa"/>
            <w:vAlign w:val="bottom"/>
            <w:tcBorders>
              <w:bottom w:val="single" w:sz="8" w:color="0000FF"/>
            </w:tcBorders>
            <w:gridSpan w:val="13"/>
            <w:shd w:val="clear" w:color="auto" w:fill="CFF0FC"/>
          </w:tcPr>
          <w:p>
            <w:pPr>
              <w:spacing w:after="0"/>
              <w:rPr>
                <w:rFonts w:ascii="Arial" w:cs="Arial" w:eastAsia="Arial" w:hAnsi="Arial"/>
                <w:sz w:val="20"/>
                <w:szCs w:val="20"/>
                <w:color w:val="0000FF"/>
                <w:w w:val="90"/>
              </w:rPr>
            </w:pPr>
            <w:hyperlink r:id="rId654">
              <w:r>
                <w:rPr>
                  <w:rFonts w:ascii="Arial" w:cs="Arial" w:eastAsia="Arial" w:hAnsi="Arial"/>
                  <w:sz w:val="20"/>
                  <w:szCs w:val="20"/>
                  <w:color w:val="0000FF"/>
                  <w:w w:val="90"/>
                </w:rPr>
                <w:t>First Supplemental Indenture, dated as of August 15, 2013,</w:t>
              </w:r>
            </w:hyperlink>
          </w:p>
        </w:tc>
        <w:tc>
          <w:tcPr>
            <w:tcW w:w="480" w:type="dxa"/>
            <w:vAlign w:val="bottom"/>
            <w:tcBorders>
              <w:bottom w:val="single" w:sz="8" w:color="CFF0FC"/>
            </w:tcBorders>
            <w:gridSpan w:val="13"/>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6"/>
              </w:rPr>
              <w:t>4.2</w:t>
            </w: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August 15,</w:t>
            </w:r>
          </w:p>
        </w:tc>
      </w:tr>
      <w:tr>
        <w:trPr>
          <w:trHeight w:val="321"/>
        </w:trPr>
        <w:tc>
          <w:tcPr>
            <w:tcW w:w="660" w:type="dxa"/>
            <w:vAlign w:val="bottom"/>
            <w:tcBorders>
              <w:bottom w:val="single" w:sz="8" w:color="CFF0FC"/>
            </w:tcBorders>
            <w:shd w:val="clear" w:color="auto" w:fill="CFF0FC"/>
          </w:tcPr>
          <w:p>
            <w:pPr>
              <w:spacing w:after="0"/>
              <w:rPr>
                <w:sz w:val="24"/>
                <w:szCs w:val="24"/>
                <w:color w:val="auto"/>
              </w:rPr>
            </w:pPr>
          </w:p>
        </w:tc>
        <w:tc>
          <w:tcPr>
            <w:tcW w:w="4680" w:type="dxa"/>
            <w:vAlign w:val="bottom"/>
            <w:tcBorders>
              <w:bottom w:val="single" w:sz="8" w:color="0000FF"/>
            </w:tcBorders>
            <w:gridSpan w:val="9"/>
            <w:shd w:val="clear" w:color="auto" w:fill="CFF0FC"/>
          </w:tcPr>
          <w:p>
            <w:pPr>
              <w:spacing w:after="0"/>
              <w:rPr>
                <w:rFonts w:ascii="Arial" w:cs="Arial" w:eastAsia="Arial" w:hAnsi="Arial"/>
                <w:sz w:val="20"/>
                <w:szCs w:val="20"/>
                <w:color w:val="0000FF"/>
                <w:w w:val="89"/>
              </w:rPr>
            </w:pPr>
            <w:hyperlink r:id="rId654">
              <w:r>
                <w:rPr>
                  <w:rFonts w:ascii="Arial" w:cs="Arial" w:eastAsia="Arial" w:hAnsi="Arial"/>
                  <w:sz w:val="20"/>
                  <w:szCs w:val="20"/>
                  <w:color w:val="0000FF"/>
                  <w:w w:val="89"/>
                </w:rPr>
                <w:t>supplemental to the Indenture dated as of August 15, 2013</w:t>
              </w:r>
            </w:hyperlink>
          </w:p>
        </w:tc>
        <w:tc>
          <w:tcPr>
            <w:tcW w:w="580" w:type="dxa"/>
            <w:vAlign w:val="bottom"/>
            <w:tcBorders>
              <w:bottom w:val="single" w:sz="8" w:color="CFF0FC"/>
            </w:tcBorders>
            <w:gridSpan w:val="17"/>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2013</w:t>
            </w:r>
          </w:p>
        </w:tc>
      </w:tr>
      <w:tr>
        <w:trPr>
          <w:trHeight w:val="239"/>
        </w:trPr>
        <w:tc>
          <w:tcPr>
            <w:tcW w:w="660" w:type="dxa"/>
            <w:vAlign w:val="bottom"/>
          </w:tcPr>
          <w:p>
            <w:pPr>
              <w:jc w:val="center"/>
              <w:spacing w:after="0"/>
              <w:rPr>
                <w:sz w:val="20"/>
                <w:szCs w:val="20"/>
                <w:color w:val="auto"/>
              </w:rPr>
            </w:pPr>
            <w:r>
              <w:rPr>
                <w:rFonts w:ascii="Arial" w:cs="Arial" w:eastAsia="Arial" w:hAnsi="Arial"/>
                <w:sz w:val="20"/>
                <w:szCs w:val="20"/>
                <w:color w:val="auto"/>
                <w:w w:val="93"/>
              </w:rPr>
              <w:t>4.4</w:t>
            </w:r>
          </w:p>
        </w:tc>
        <w:tc>
          <w:tcPr>
            <w:tcW w:w="4840" w:type="dxa"/>
            <w:vAlign w:val="bottom"/>
            <w:tcBorders>
              <w:bottom w:val="single" w:sz="8" w:color="0000FF"/>
            </w:tcBorders>
            <w:gridSpan w:val="15"/>
          </w:tcPr>
          <w:p>
            <w:pPr>
              <w:spacing w:after="0"/>
              <w:rPr>
                <w:rFonts w:ascii="Arial" w:cs="Arial" w:eastAsia="Arial" w:hAnsi="Arial"/>
                <w:sz w:val="20"/>
                <w:szCs w:val="20"/>
                <w:color w:val="0000FF"/>
                <w:w w:val="90"/>
              </w:rPr>
            </w:pPr>
            <w:hyperlink r:id="rId655">
              <w:r>
                <w:rPr>
                  <w:rFonts w:ascii="Arial" w:cs="Arial" w:eastAsia="Arial" w:hAnsi="Arial"/>
                  <w:sz w:val="20"/>
                  <w:szCs w:val="20"/>
                  <w:color w:val="0000FF"/>
                  <w:w w:val="90"/>
                </w:rPr>
                <w:t>Second Supplemental Indenture, dated as of March 9, 2016,</w:t>
              </w:r>
            </w:hyperlink>
          </w:p>
        </w:tc>
        <w:tc>
          <w:tcPr>
            <w:tcW w:w="420" w:type="dxa"/>
            <w:vAlign w:val="bottom"/>
            <w:gridSpan w:val="11"/>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Pr>
          <w:p>
            <w:pPr>
              <w:jc w:val="center"/>
              <w:spacing w:after="0"/>
              <w:rPr>
                <w:sz w:val="20"/>
                <w:szCs w:val="20"/>
                <w:color w:val="auto"/>
              </w:rPr>
            </w:pPr>
            <w:r>
              <w:rPr>
                <w:rFonts w:ascii="Arial" w:cs="Arial" w:eastAsia="Arial" w:hAnsi="Arial"/>
                <w:sz w:val="20"/>
                <w:szCs w:val="20"/>
                <w:color w:val="auto"/>
                <w:w w:val="86"/>
              </w:rPr>
              <w:t>4.3</w:t>
            </w:r>
          </w:p>
        </w:tc>
        <w:tc>
          <w:tcPr>
            <w:tcW w:w="1700" w:type="dxa"/>
            <w:vAlign w:val="bottom"/>
          </w:tcPr>
          <w:p>
            <w:pPr>
              <w:ind w:left="40"/>
              <w:spacing w:after="0"/>
              <w:rPr>
                <w:sz w:val="20"/>
                <w:szCs w:val="20"/>
                <w:color w:val="auto"/>
              </w:rPr>
            </w:pPr>
            <w:r>
              <w:rPr>
                <w:rFonts w:ascii="Arial" w:cs="Arial" w:eastAsia="Arial" w:hAnsi="Arial"/>
                <w:sz w:val="20"/>
                <w:szCs w:val="20"/>
                <w:color w:val="auto"/>
              </w:rPr>
              <w:t>March 10,</w:t>
            </w:r>
          </w:p>
        </w:tc>
      </w:tr>
      <w:tr>
        <w:trPr>
          <w:trHeight w:val="280"/>
        </w:trPr>
        <w:tc>
          <w:tcPr>
            <w:tcW w:w="660" w:type="dxa"/>
            <w:vAlign w:val="bottom"/>
          </w:tcPr>
          <w:p>
            <w:pPr>
              <w:spacing w:after="0"/>
              <w:rPr>
                <w:sz w:val="24"/>
                <w:szCs w:val="24"/>
                <w:color w:val="auto"/>
              </w:rPr>
            </w:pPr>
          </w:p>
        </w:tc>
        <w:tc>
          <w:tcPr>
            <w:tcW w:w="5260" w:type="dxa"/>
            <w:vAlign w:val="bottom"/>
            <w:gridSpan w:val="26"/>
          </w:tcPr>
          <w:p>
            <w:pPr>
              <w:spacing w:after="0"/>
              <w:rPr>
                <w:rFonts w:ascii="Arial" w:cs="Arial" w:eastAsia="Arial" w:hAnsi="Arial"/>
                <w:sz w:val="20"/>
                <w:szCs w:val="20"/>
                <w:color w:val="0000FF"/>
                <w:w w:val="99"/>
              </w:rPr>
            </w:pPr>
            <w:hyperlink r:id="rId655">
              <w:r>
                <w:rPr>
                  <w:rFonts w:ascii="Arial" w:cs="Arial" w:eastAsia="Arial" w:hAnsi="Arial"/>
                  <w:sz w:val="20"/>
                  <w:szCs w:val="20"/>
                  <w:color w:val="0000FF"/>
                  <w:w w:val="99"/>
                </w:rPr>
                <w:t>supplemental to the Indenture, dated as of August 15, 2013</w:t>
              </w:r>
            </w:hyperlink>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20"/>
                <w:szCs w:val="20"/>
                <w:color w:val="auto"/>
              </w:rPr>
              <w:t>2016</w:t>
            </w:r>
          </w:p>
        </w:tc>
      </w:tr>
      <w:tr>
        <w:trPr>
          <w:trHeight w:val="41"/>
        </w:trPr>
        <w:tc>
          <w:tcPr>
            <w:tcW w:w="660" w:type="dxa"/>
            <w:vAlign w:val="bottom"/>
          </w:tcPr>
          <w:p>
            <w:pPr>
              <w:spacing w:after="0"/>
              <w:rPr>
                <w:sz w:val="3"/>
                <w:szCs w:val="3"/>
                <w:color w:val="auto"/>
              </w:rPr>
            </w:pPr>
          </w:p>
        </w:tc>
        <w:tc>
          <w:tcPr>
            <w:tcW w:w="1220" w:type="dxa"/>
            <w:vAlign w:val="bottom"/>
            <w:tcBorders>
              <w:top w:val="single" w:sz="8" w:color="0000FF"/>
            </w:tcBorders>
          </w:tcPr>
          <w:p>
            <w:pPr>
              <w:spacing w:after="0"/>
              <w:rPr>
                <w:sz w:val="3"/>
                <w:szCs w:val="3"/>
                <w:color w:val="auto"/>
              </w:rPr>
            </w:pPr>
          </w:p>
        </w:tc>
        <w:tc>
          <w:tcPr>
            <w:tcW w:w="2360" w:type="dxa"/>
            <w:vAlign w:val="bottom"/>
            <w:tcBorders>
              <w:top w:val="single" w:sz="8" w:color="0000FF"/>
            </w:tcBorders>
          </w:tcPr>
          <w:p>
            <w:pPr>
              <w:spacing w:after="0"/>
              <w:rPr>
                <w:sz w:val="3"/>
                <w:szCs w:val="3"/>
                <w:color w:val="auto"/>
              </w:rPr>
            </w:pPr>
          </w:p>
        </w:tc>
        <w:tc>
          <w:tcPr>
            <w:tcW w:w="8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9"/>
        </w:trPr>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3"/>
              </w:rPr>
              <w:t>4.5</w:t>
            </w:r>
          </w:p>
        </w:tc>
        <w:tc>
          <w:tcPr>
            <w:tcW w:w="4800" w:type="dxa"/>
            <w:vAlign w:val="bottom"/>
            <w:tcBorders>
              <w:bottom w:val="single" w:sz="8" w:color="0000FF"/>
            </w:tcBorders>
            <w:gridSpan w:val="14"/>
            <w:shd w:val="clear" w:color="auto" w:fill="CFF0FC"/>
          </w:tcPr>
          <w:p>
            <w:pPr>
              <w:spacing w:after="0"/>
              <w:rPr>
                <w:rFonts w:ascii="Arial" w:cs="Arial" w:eastAsia="Arial" w:hAnsi="Arial"/>
                <w:sz w:val="20"/>
                <w:szCs w:val="20"/>
                <w:color w:val="0000FF"/>
                <w:w w:val="91"/>
              </w:rPr>
            </w:pPr>
            <w:hyperlink r:id="rId656">
              <w:r>
                <w:rPr>
                  <w:rFonts w:ascii="Arial" w:cs="Arial" w:eastAsia="Arial" w:hAnsi="Arial"/>
                  <w:sz w:val="20"/>
                  <w:szCs w:val="20"/>
                  <w:color w:val="0000FF"/>
                  <w:w w:val="91"/>
                </w:rPr>
                <w:t>Third Supplemental Indenture, dated as of March 22, 2016,</w:t>
              </w:r>
            </w:hyperlink>
          </w:p>
        </w:tc>
        <w:tc>
          <w:tcPr>
            <w:tcW w:w="460" w:type="dxa"/>
            <w:vAlign w:val="bottom"/>
            <w:tcBorders>
              <w:bottom w:val="single" w:sz="8" w:color="CFF0FC"/>
            </w:tcBorders>
            <w:gridSpan w:val="12"/>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6"/>
              </w:rPr>
              <w:t>4.1</w:t>
            </w: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March 22,</w:t>
            </w:r>
          </w:p>
        </w:tc>
      </w:tr>
      <w:tr>
        <w:trPr>
          <w:trHeight w:val="321"/>
        </w:trPr>
        <w:tc>
          <w:tcPr>
            <w:tcW w:w="660" w:type="dxa"/>
            <w:vAlign w:val="bottom"/>
            <w:shd w:val="clear" w:color="auto" w:fill="CFF0FC"/>
          </w:tcPr>
          <w:p>
            <w:pPr>
              <w:spacing w:after="0"/>
              <w:rPr>
                <w:sz w:val="24"/>
                <w:szCs w:val="24"/>
                <w:color w:val="auto"/>
              </w:rPr>
            </w:pPr>
          </w:p>
        </w:tc>
        <w:tc>
          <w:tcPr>
            <w:tcW w:w="5260" w:type="dxa"/>
            <w:vAlign w:val="bottom"/>
            <w:gridSpan w:val="26"/>
            <w:shd w:val="clear" w:color="auto" w:fill="CFF0FC"/>
          </w:tcPr>
          <w:p>
            <w:pPr>
              <w:spacing w:after="0"/>
              <w:rPr>
                <w:rFonts w:ascii="Arial" w:cs="Arial" w:eastAsia="Arial" w:hAnsi="Arial"/>
                <w:sz w:val="20"/>
                <w:szCs w:val="20"/>
                <w:color w:val="0000FF"/>
                <w:w w:val="99"/>
              </w:rPr>
            </w:pPr>
            <w:hyperlink r:id="rId656">
              <w:r>
                <w:rPr>
                  <w:rFonts w:ascii="Arial" w:cs="Arial" w:eastAsia="Arial" w:hAnsi="Arial"/>
                  <w:sz w:val="20"/>
                  <w:szCs w:val="20"/>
                  <w:color w:val="0000FF"/>
                  <w:w w:val="99"/>
                </w:rPr>
                <w:t>supplemental to the Indenture, dated as of August 15, 2013</w:t>
              </w:r>
            </w:hyperlink>
          </w:p>
        </w:tc>
        <w:tc>
          <w:tcPr>
            <w:tcW w:w="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700" w:type="dxa"/>
            <w:vAlign w:val="bottom"/>
            <w:shd w:val="clear" w:color="auto" w:fill="CFF0FC"/>
          </w:tcPr>
          <w:p>
            <w:pPr>
              <w:ind w:left="40"/>
              <w:spacing w:after="0"/>
              <w:rPr>
                <w:sz w:val="20"/>
                <w:szCs w:val="20"/>
                <w:color w:val="auto"/>
              </w:rPr>
            </w:pPr>
            <w:r>
              <w:rPr>
                <w:rFonts w:ascii="Arial" w:cs="Arial" w:eastAsia="Arial" w:hAnsi="Arial"/>
                <w:sz w:val="20"/>
                <w:szCs w:val="20"/>
                <w:color w:val="auto"/>
              </w:rPr>
              <w:t>2016</w:t>
            </w:r>
          </w:p>
        </w:tc>
      </w:tr>
      <w:tr>
        <w:trPr>
          <w:trHeight w:val="239"/>
        </w:trPr>
        <w:tc>
          <w:tcPr>
            <w:tcW w:w="660" w:type="dxa"/>
            <w:vAlign w:val="bottom"/>
            <w:tcBorders>
              <w:top w:val="single" w:sz="8" w:color="CFF0FC"/>
            </w:tcBorders>
          </w:tcPr>
          <w:p>
            <w:pPr>
              <w:jc w:val="center"/>
              <w:spacing w:after="0"/>
              <w:rPr>
                <w:sz w:val="20"/>
                <w:szCs w:val="20"/>
                <w:color w:val="auto"/>
              </w:rPr>
            </w:pPr>
            <w:r>
              <w:rPr>
                <w:rFonts w:ascii="Arial" w:cs="Arial" w:eastAsia="Arial" w:hAnsi="Arial"/>
                <w:sz w:val="20"/>
                <w:szCs w:val="20"/>
                <w:color w:val="auto"/>
                <w:w w:val="93"/>
              </w:rPr>
              <w:t>4.6</w:t>
            </w:r>
          </w:p>
        </w:tc>
        <w:tc>
          <w:tcPr>
            <w:tcW w:w="4720" w:type="dxa"/>
            <w:vAlign w:val="bottom"/>
            <w:tcBorders>
              <w:top w:val="single" w:sz="8" w:color="0000FF"/>
              <w:bottom w:val="single" w:sz="8" w:color="0000FF"/>
            </w:tcBorders>
            <w:gridSpan w:val="11"/>
          </w:tcPr>
          <w:p>
            <w:pPr>
              <w:spacing w:after="0"/>
              <w:rPr>
                <w:rFonts w:ascii="Arial" w:cs="Arial" w:eastAsia="Arial" w:hAnsi="Arial"/>
                <w:sz w:val="20"/>
                <w:szCs w:val="20"/>
                <w:color w:val="0000FF"/>
                <w:w w:val="90"/>
              </w:rPr>
            </w:pPr>
            <w:hyperlink r:id="rId657">
              <w:r>
                <w:rPr>
                  <w:rFonts w:ascii="Arial" w:cs="Arial" w:eastAsia="Arial" w:hAnsi="Arial"/>
                  <w:sz w:val="20"/>
                  <w:szCs w:val="20"/>
                  <w:color w:val="0000FF"/>
                  <w:w w:val="90"/>
                </w:rPr>
                <w:t>Fourth Supplemental Indenture, dated as of May 16, 2016,</w:t>
              </w:r>
            </w:hyperlink>
          </w:p>
        </w:tc>
        <w:tc>
          <w:tcPr>
            <w:tcW w:w="20" w:type="dxa"/>
            <w:vAlign w:val="bottom"/>
            <w:tcBorders>
              <w:top w:val="single" w:sz="8" w:color="CFF0FC"/>
              <w:bottom w:val="single" w:sz="8" w:color="0000FF"/>
            </w:tcBorders>
          </w:tcPr>
          <w:p>
            <w:pPr>
              <w:spacing w:after="0"/>
              <w:rPr>
                <w:sz w:val="20"/>
                <w:szCs w:val="20"/>
                <w:color w:val="auto"/>
              </w:rPr>
            </w:pPr>
          </w:p>
        </w:tc>
        <w:tc>
          <w:tcPr>
            <w:tcW w:w="520" w:type="dxa"/>
            <w:vAlign w:val="bottom"/>
            <w:tcBorders>
              <w:top w:val="single" w:sz="8" w:color="CFF0FC"/>
            </w:tcBorders>
            <w:gridSpan w:val="14"/>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740" w:type="dxa"/>
            <w:vAlign w:val="bottom"/>
            <w:tcBorders>
              <w:top w:val="single" w:sz="8" w:color="CFF0FC"/>
            </w:tcBorders>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Borders>
              <w:top w:val="single" w:sz="8" w:color="CFF0FC"/>
            </w:tcBorders>
          </w:tcPr>
          <w:p>
            <w:pPr>
              <w:jc w:val="center"/>
              <w:spacing w:after="0"/>
              <w:rPr>
                <w:sz w:val="20"/>
                <w:szCs w:val="20"/>
                <w:color w:val="auto"/>
              </w:rPr>
            </w:pPr>
            <w:r>
              <w:rPr>
                <w:rFonts w:ascii="Arial" w:cs="Arial" w:eastAsia="Arial" w:hAnsi="Arial"/>
                <w:sz w:val="20"/>
                <w:szCs w:val="20"/>
                <w:color w:val="auto"/>
                <w:w w:val="86"/>
              </w:rPr>
              <w:t>4.1</w:t>
            </w:r>
          </w:p>
        </w:tc>
        <w:tc>
          <w:tcPr>
            <w:tcW w:w="1700" w:type="dxa"/>
            <w:vAlign w:val="bottom"/>
            <w:tcBorders>
              <w:top w:val="single" w:sz="8" w:color="CFF0FC"/>
            </w:tcBorders>
          </w:tcPr>
          <w:p>
            <w:pPr>
              <w:ind w:left="40"/>
              <w:spacing w:after="0"/>
              <w:rPr>
                <w:sz w:val="20"/>
                <w:szCs w:val="20"/>
                <w:color w:val="auto"/>
              </w:rPr>
            </w:pPr>
            <w:r>
              <w:rPr>
                <w:rFonts w:ascii="Arial" w:cs="Arial" w:eastAsia="Arial" w:hAnsi="Arial"/>
                <w:sz w:val="20"/>
                <w:szCs w:val="20"/>
                <w:color w:val="auto"/>
              </w:rPr>
              <w:t>May 26,</w:t>
            </w:r>
          </w:p>
        </w:tc>
      </w:tr>
      <w:tr>
        <w:trPr>
          <w:trHeight w:val="280"/>
        </w:trPr>
        <w:tc>
          <w:tcPr>
            <w:tcW w:w="660" w:type="dxa"/>
            <w:vAlign w:val="bottom"/>
          </w:tcPr>
          <w:p>
            <w:pPr>
              <w:spacing w:after="0"/>
              <w:rPr>
                <w:sz w:val="24"/>
                <w:szCs w:val="24"/>
                <w:color w:val="auto"/>
              </w:rPr>
            </w:pPr>
          </w:p>
        </w:tc>
        <w:tc>
          <w:tcPr>
            <w:tcW w:w="5260" w:type="dxa"/>
            <w:vAlign w:val="bottom"/>
            <w:gridSpan w:val="26"/>
          </w:tcPr>
          <w:p>
            <w:pPr>
              <w:spacing w:after="0"/>
              <w:rPr>
                <w:rFonts w:ascii="Arial" w:cs="Arial" w:eastAsia="Arial" w:hAnsi="Arial"/>
                <w:sz w:val="20"/>
                <w:szCs w:val="20"/>
                <w:color w:val="0000FF"/>
              </w:rPr>
            </w:pPr>
            <w:hyperlink r:id="rId657">
              <w:r>
                <w:rPr>
                  <w:rFonts w:ascii="Arial" w:cs="Arial" w:eastAsia="Arial" w:hAnsi="Arial"/>
                  <w:sz w:val="20"/>
                  <w:szCs w:val="20"/>
                  <w:color w:val="0000FF"/>
                </w:rPr>
                <w:t>supplemental to the Indenture dated as of August 15, 2013</w:t>
              </w:r>
            </w:hyperlink>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20"/>
                <w:szCs w:val="20"/>
                <w:color w:val="auto"/>
              </w:rPr>
              <w:t>2016</w:t>
            </w:r>
          </w:p>
        </w:tc>
      </w:tr>
      <w:tr>
        <w:trPr>
          <w:trHeight w:val="41"/>
        </w:trPr>
        <w:tc>
          <w:tcPr>
            <w:tcW w:w="660" w:type="dxa"/>
            <w:vAlign w:val="bottom"/>
          </w:tcPr>
          <w:p>
            <w:pPr>
              <w:spacing w:after="0"/>
              <w:rPr>
                <w:sz w:val="3"/>
                <w:szCs w:val="3"/>
                <w:color w:val="auto"/>
              </w:rPr>
            </w:pPr>
          </w:p>
        </w:tc>
        <w:tc>
          <w:tcPr>
            <w:tcW w:w="1220" w:type="dxa"/>
            <w:vAlign w:val="bottom"/>
            <w:tcBorders>
              <w:top w:val="single" w:sz="8" w:color="0000FF"/>
            </w:tcBorders>
          </w:tcPr>
          <w:p>
            <w:pPr>
              <w:spacing w:after="0"/>
              <w:rPr>
                <w:sz w:val="3"/>
                <w:szCs w:val="3"/>
                <w:color w:val="auto"/>
              </w:rPr>
            </w:pPr>
          </w:p>
        </w:tc>
        <w:tc>
          <w:tcPr>
            <w:tcW w:w="2360" w:type="dxa"/>
            <w:vAlign w:val="bottom"/>
            <w:tcBorders>
              <w:top w:val="single" w:sz="8" w:color="0000FF"/>
            </w:tcBorders>
          </w:tcPr>
          <w:p>
            <w:pPr>
              <w:spacing w:after="0"/>
              <w:rPr>
                <w:sz w:val="3"/>
                <w:szCs w:val="3"/>
                <w:color w:val="auto"/>
              </w:rPr>
            </w:pPr>
          </w:p>
        </w:tc>
        <w:tc>
          <w:tcPr>
            <w:tcW w:w="8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9"/>
        </w:trPr>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3"/>
              </w:rPr>
              <w:t>4.7</w:t>
            </w:r>
          </w:p>
        </w:tc>
        <w:tc>
          <w:tcPr>
            <w:tcW w:w="4800" w:type="dxa"/>
            <w:vAlign w:val="bottom"/>
            <w:tcBorders>
              <w:bottom w:val="single" w:sz="8" w:color="0000FF"/>
            </w:tcBorders>
            <w:gridSpan w:val="14"/>
            <w:shd w:val="clear" w:color="auto" w:fill="CFF0FC"/>
          </w:tcPr>
          <w:p>
            <w:pPr>
              <w:spacing w:after="0"/>
              <w:rPr>
                <w:rFonts w:ascii="Arial" w:cs="Arial" w:eastAsia="Arial" w:hAnsi="Arial"/>
                <w:sz w:val="20"/>
                <w:szCs w:val="20"/>
                <w:color w:val="0000FF"/>
                <w:w w:val="91"/>
              </w:rPr>
            </w:pPr>
            <w:hyperlink r:id="rId658">
              <w:r>
                <w:rPr>
                  <w:rFonts w:ascii="Arial" w:cs="Arial" w:eastAsia="Arial" w:hAnsi="Arial"/>
                  <w:sz w:val="20"/>
                  <w:szCs w:val="20"/>
                  <w:color w:val="0000FF"/>
                  <w:w w:val="91"/>
                </w:rPr>
                <w:t>Fifth Supplemental Indenture, dated as of August 11, 2017,</w:t>
              </w:r>
            </w:hyperlink>
          </w:p>
        </w:tc>
        <w:tc>
          <w:tcPr>
            <w:tcW w:w="460" w:type="dxa"/>
            <w:vAlign w:val="bottom"/>
            <w:tcBorders>
              <w:bottom w:val="single" w:sz="8" w:color="CFF0FC"/>
            </w:tcBorders>
            <w:gridSpan w:val="12"/>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6"/>
              </w:rPr>
              <w:t>4.3</w:t>
            </w: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August 16,</w:t>
            </w:r>
          </w:p>
        </w:tc>
      </w:tr>
      <w:tr>
        <w:trPr>
          <w:trHeight w:val="321"/>
        </w:trPr>
        <w:tc>
          <w:tcPr>
            <w:tcW w:w="660" w:type="dxa"/>
            <w:vAlign w:val="bottom"/>
            <w:tcBorders>
              <w:bottom w:val="single" w:sz="8" w:color="CFF0FC"/>
            </w:tcBorders>
            <w:shd w:val="clear" w:color="auto" w:fill="CFF0FC"/>
          </w:tcPr>
          <w:p>
            <w:pPr>
              <w:spacing w:after="0"/>
              <w:rPr>
                <w:sz w:val="24"/>
                <w:szCs w:val="24"/>
                <w:color w:val="auto"/>
              </w:rPr>
            </w:pPr>
          </w:p>
        </w:tc>
        <w:tc>
          <w:tcPr>
            <w:tcW w:w="4680" w:type="dxa"/>
            <w:vAlign w:val="bottom"/>
            <w:tcBorders>
              <w:bottom w:val="single" w:sz="8" w:color="0000FF"/>
            </w:tcBorders>
            <w:gridSpan w:val="9"/>
            <w:shd w:val="clear" w:color="auto" w:fill="CFF0FC"/>
          </w:tcPr>
          <w:p>
            <w:pPr>
              <w:spacing w:after="0"/>
              <w:rPr>
                <w:rFonts w:ascii="Arial" w:cs="Arial" w:eastAsia="Arial" w:hAnsi="Arial"/>
                <w:sz w:val="20"/>
                <w:szCs w:val="20"/>
                <w:color w:val="0000FF"/>
                <w:w w:val="89"/>
              </w:rPr>
            </w:pPr>
            <w:hyperlink r:id="rId658">
              <w:r>
                <w:rPr>
                  <w:rFonts w:ascii="Arial" w:cs="Arial" w:eastAsia="Arial" w:hAnsi="Arial"/>
                  <w:sz w:val="20"/>
                  <w:szCs w:val="20"/>
                  <w:color w:val="0000FF"/>
                  <w:w w:val="89"/>
                </w:rPr>
                <w:t>supplemental to the Indenture dated as of August 15, 2013</w:t>
              </w:r>
            </w:hyperlink>
          </w:p>
        </w:tc>
        <w:tc>
          <w:tcPr>
            <w:tcW w:w="580" w:type="dxa"/>
            <w:vAlign w:val="bottom"/>
            <w:tcBorders>
              <w:bottom w:val="single" w:sz="8" w:color="CFF0FC"/>
            </w:tcBorders>
            <w:gridSpan w:val="17"/>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2017</w:t>
            </w:r>
          </w:p>
        </w:tc>
      </w:tr>
      <w:tr>
        <w:trPr>
          <w:trHeight w:val="239"/>
        </w:trPr>
        <w:tc>
          <w:tcPr>
            <w:tcW w:w="660" w:type="dxa"/>
            <w:vAlign w:val="bottom"/>
          </w:tcPr>
          <w:p>
            <w:pPr>
              <w:jc w:val="center"/>
              <w:spacing w:after="0"/>
              <w:rPr>
                <w:sz w:val="20"/>
                <w:szCs w:val="20"/>
                <w:color w:val="auto"/>
              </w:rPr>
            </w:pPr>
            <w:r>
              <w:rPr>
                <w:rFonts w:ascii="Arial" w:cs="Arial" w:eastAsia="Arial" w:hAnsi="Arial"/>
                <w:sz w:val="20"/>
                <w:szCs w:val="20"/>
                <w:color w:val="auto"/>
                <w:w w:val="93"/>
              </w:rPr>
              <w:t>4.8</w:t>
            </w:r>
          </w:p>
        </w:tc>
        <w:tc>
          <w:tcPr>
            <w:tcW w:w="5080" w:type="dxa"/>
            <w:vAlign w:val="bottom"/>
            <w:tcBorders>
              <w:bottom w:val="single" w:sz="8" w:color="0000FF"/>
            </w:tcBorders>
            <w:gridSpan w:val="21"/>
          </w:tcPr>
          <w:p>
            <w:pPr>
              <w:spacing w:after="0"/>
              <w:rPr>
                <w:rFonts w:ascii="Arial" w:cs="Arial" w:eastAsia="Arial" w:hAnsi="Arial"/>
                <w:sz w:val="20"/>
                <w:szCs w:val="20"/>
                <w:color w:val="0000FF"/>
                <w:w w:val="90"/>
              </w:rPr>
            </w:pPr>
            <w:hyperlink r:id="rId659">
              <w:r>
                <w:rPr>
                  <w:rFonts w:ascii="Arial" w:cs="Arial" w:eastAsia="Arial" w:hAnsi="Arial"/>
                  <w:sz w:val="20"/>
                  <w:szCs w:val="20"/>
                  <w:color w:val="0000FF"/>
                  <w:w w:val="90"/>
                </w:rPr>
                <w:t>Sixth Supplemental Indenture, dated as of December 16, 2024,</w:t>
              </w:r>
            </w:hyperlink>
          </w:p>
        </w:tc>
        <w:tc>
          <w:tcPr>
            <w:tcW w:w="180" w:type="dxa"/>
            <w:vAlign w:val="bottom"/>
            <w:gridSpan w:val="5"/>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20"/>
                <w:szCs w:val="20"/>
                <w:color w:val="auto"/>
                <w:w w:val="99"/>
              </w:rPr>
              <w:t>10-K</w:t>
            </w:r>
          </w:p>
        </w:tc>
        <w:tc>
          <w:tcPr>
            <w:tcW w:w="600" w:type="dxa"/>
            <w:vAlign w:val="bottom"/>
          </w:tcPr>
          <w:p>
            <w:pPr>
              <w:jc w:val="center"/>
              <w:spacing w:after="0"/>
              <w:rPr>
                <w:sz w:val="20"/>
                <w:szCs w:val="20"/>
                <w:color w:val="auto"/>
              </w:rPr>
            </w:pPr>
            <w:r>
              <w:rPr>
                <w:rFonts w:ascii="Arial" w:cs="Arial" w:eastAsia="Arial" w:hAnsi="Arial"/>
                <w:sz w:val="20"/>
                <w:szCs w:val="20"/>
                <w:color w:val="auto"/>
                <w:w w:val="86"/>
              </w:rPr>
              <w:t>4.8</w:t>
            </w:r>
          </w:p>
        </w:tc>
        <w:tc>
          <w:tcPr>
            <w:tcW w:w="1700" w:type="dxa"/>
            <w:vAlign w:val="bottom"/>
          </w:tcPr>
          <w:p>
            <w:pPr>
              <w:ind w:left="40"/>
              <w:spacing w:after="0"/>
              <w:rPr>
                <w:sz w:val="20"/>
                <w:szCs w:val="20"/>
                <w:color w:val="auto"/>
              </w:rPr>
            </w:pPr>
            <w:r>
              <w:rPr>
                <w:rFonts w:ascii="Arial" w:cs="Arial" w:eastAsia="Arial" w:hAnsi="Arial"/>
                <w:sz w:val="20"/>
                <w:szCs w:val="20"/>
                <w:color w:val="auto"/>
              </w:rPr>
              <w:t>February</w:t>
            </w:r>
          </w:p>
        </w:tc>
      </w:tr>
      <w:tr>
        <w:trPr>
          <w:trHeight w:val="280"/>
        </w:trPr>
        <w:tc>
          <w:tcPr>
            <w:tcW w:w="660" w:type="dxa"/>
            <w:vAlign w:val="bottom"/>
          </w:tcPr>
          <w:p>
            <w:pPr>
              <w:spacing w:after="0"/>
              <w:rPr>
                <w:sz w:val="24"/>
                <w:szCs w:val="24"/>
                <w:color w:val="auto"/>
              </w:rPr>
            </w:pPr>
          </w:p>
        </w:tc>
        <w:tc>
          <w:tcPr>
            <w:tcW w:w="5260" w:type="dxa"/>
            <w:vAlign w:val="bottom"/>
            <w:gridSpan w:val="26"/>
          </w:tcPr>
          <w:p>
            <w:pPr>
              <w:spacing w:after="0"/>
              <w:rPr>
                <w:rFonts w:ascii="Arial" w:cs="Arial" w:eastAsia="Arial" w:hAnsi="Arial"/>
                <w:sz w:val="20"/>
                <w:szCs w:val="20"/>
                <w:color w:val="0000FF"/>
              </w:rPr>
            </w:pPr>
            <w:hyperlink r:id="rId659">
              <w:r>
                <w:rPr>
                  <w:rFonts w:ascii="Arial" w:cs="Arial" w:eastAsia="Arial" w:hAnsi="Arial"/>
                  <w:sz w:val="20"/>
                  <w:szCs w:val="20"/>
                  <w:color w:val="0000FF"/>
                </w:rPr>
                <w:t>supplemental to the Indenture dated as of August 15, 2013</w:t>
              </w:r>
            </w:hyperlink>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20"/>
                <w:szCs w:val="20"/>
                <w:color w:val="auto"/>
              </w:rPr>
              <w:t>25, 2025</w:t>
            </w:r>
          </w:p>
        </w:tc>
      </w:tr>
      <w:tr>
        <w:trPr>
          <w:trHeight w:val="41"/>
        </w:trPr>
        <w:tc>
          <w:tcPr>
            <w:tcW w:w="660" w:type="dxa"/>
            <w:vAlign w:val="bottom"/>
          </w:tcPr>
          <w:p>
            <w:pPr>
              <w:spacing w:after="0"/>
              <w:rPr>
                <w:sz w:val="3"/>
                <w:szCs w:val="3"/>
                <w:color w:val="auto"/>
              </w:rPr>
            </w:pPr>
          </w:p>
        </w:tc>
        <w:tc>
          <w:tcPr>
            <w:tcW w:w="1220" w:type="dxa"/>
            <w:vAlign w:val="bottom"/>
            <w:tcBorders>
              <w:top w:val="single" w:sz="8" w:color="0000FF"/>
            </w:tcBorders>
          </w:tcPr>
          <w:p>
            <w:pPr>
              <w:spacing w:after="0"/>
              <w:rPr>
                <w:sz w:val="3"/>
                <w:szCs w:val="3"/>
                <w:color w:val="auto"/>
              </w:rPr>
            </w:pPr>
          </w:p>
        </w:tc>
        <w:tc>
          <w:tcPr>
            <w:tcW w:w="2360" w:type="dxa"/>
            <w:vAlign w:val="bottom"/>
            <w:tcBorders>
              <w:top w:val="single" w:sz="8" w:color="0000FF"/>
            </w:tcBorders>
          </w:tcPr>
          <w:p>
            <w:pPr>
              <w:spacing w:after="0"/>
              <w:rPr>
                <w:sz w:val="3"/>
                <w:szCs w:val="3"/>
                <w:color w:val="auto"/>
              </w:rPr>
            </w:pPr>
          </w:p>
        </w:tc>
        <w:tc>
          <w:tcPr>
            <w:tcW w:w="8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9"/>
        </w:trPr>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3"/>
              </w:rPr>
              <w:t>4.9</w:t>
            </w:r>
          </w:p>
        </w:tc>
        <w:tc>
          <w:tcPr>
            <w:tcW w:w="4640" w:type="dxa"/>
            <w:vAlign w:val="bottom"/>
            <w:tcBorders>
              <w:bottom w:val="single" w:sz="8" w:color="0000FF"/>
            </w:tcBorders>
            <w:gridSpan w:val="8"/>
            <w:shd w:val="clear" w:color="auto" w:fill="CFF0FC"/>
          </w:tcPr>
          <w:p>
            <w:pPr>
              <w:spacing w:after="0"/>
              <w:rPr>
                <w:rFonts w:ascii="Arial" w:cs="Arial" w:eastAsia="Arial" w:hAnsi="Arial"/>
                <w:sz w:val="20"/>
                <w:szCs w:val="20"/>
                <w:color w:val="0000FF"/>
                <w:w w:val="92"/>
              </w:rPr>
            </w:pPr>
            <w:hyperlink r:id="rId660">
              <w:r>
                <w:rPr>
                  <w:rFonts w:ascii="Arial" w:cs="Arial" w:eastAsia="Arial" w:hAnsi="Arial"/>
                  <w:sz w:val="20"/>
                  <w:szCs w:val="20"/>
                  <w:color w:val="0000FF"/>
                  <w:w w:val="92"/>
                </w:rPr>
                <w:t>Indenture, dated as of May 16, 2017, among Willis North</w:t>
              </w:r>
            </w:hyperlink>
          </w:p>
        </w:tc>
        <w:tc>
          <w:tcPr>
            <w:tcW w:w="620" w:type="dxa"/>
            <w:vAlign w:val="bottom"/>
            <w:tcBorders>
              <w:bottom w:val="single" w:sz="8" w:color="CFF0FC"/>
            </w:tcBorders>
            <w:gridSpan w:val="18"/>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6"/>
              </w:rPr>
              <w:t>4.1</w:t>
            </w: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May 16,</w:t>
            </w: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020" w:type="dxa"/>
            <w:vAlign w:val="bottom"/>
            <w:tcBorders>
              <w:bottom w:val="single" w:sz="8" w:color="0000FF"/>
            </w:tcBorders>
            <w:gridSpan w:val="20"/>
            <w:shd w:val="clear" w:color="auto" w:fill="CFF0FC"/>
          </w:tcPr>
          <w:p>
            <w:pPr>
              <w:spacing w:after="0"/>
              <w:rPr>
                <w:rFonts w:ascii="Arial" w:cs="Arial" w:eastAsia="Arial" w:hAnsi="Arial"/>
                <w:sz w:val="20"/>
                <w:szCs w:val="20"/>
                <w:color w:val="0000FF"/>
                <w:w w:val="93"/>
              </w:rPr>
            </w:pPr>
            <w:hyperlink r:id="rId660">
              <w:r>
                <w:rPr>
                  <w:rFonts w:ascii="Arial" w:cs="Arial" w:eastAsia="Arial" w:hAnsi="Arial"/>
                  <w:sz w:val="20"/>
                  <w:szCs w:val="20"/>
                  <w:color w:val="0000FF"/>
                  <w:w w:val="93"/>
                </w:rPr>
                <w:t>America Inc., as issuer, Willis Towers Watson Public Limited</w:t>
              </w:r>
            </w:hyperlink>
          </w:p>
        </w:tc>
        <w:tc>
          <w:tcPr>
            <w:tcW w:w="240" w:type="dxa"/>
            <w:vAlign w:val="bottom"/>
            <w:tcBorders>
              <w:bottom w:val="single" w:sz="8" w:color="CFF0FC"/>
            </w:tcBorders>
            <w:gridSpan w:val="6"/>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2017</w:t>
            </w: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4740" w:type="dxa"/>
            <w:vAlign w:val="bottom"/>
            <w:tcBorders>
              <w:bottom w:val="single" w:sz="8" w:color="0000FF"/>
            </w:tcBorders>
            <w:gridSpan w:val="12"/>
            <w:shd w:val="clear" w:color="auto" w:fill="CFF0FC"/>
          </w:tcPr>
          <w:p>
            <w:pPr>
              <w:spacing w:after="0"/>
              <w:rPr>
                <w:rFonts w:ascii="Arial" w:cs="Arial" w:eastAsia="Arial" w:hAnsi="Arial"/>
                <w:sz w:val="20"/>
                <w:szCs w:val="20"/>
                <w:color w:val="0000FF"/>
                <w:w w:val="94"/>
              </w:rPr>
            </w:pPr>
            <w:hyperlink r:id="rId660">
              <w:r>
                <w:rPr>
                  <w:rFonts w:ascii="Arial" w:cs="Arial" w:eastAsia="Arial" w:hAnsi="Arial"/>
                  <w:sz w:val="20"/>
                  <w:szCs w:val="20"/>
                  <w:color w:val="0000FF"/>
                  <w:w w:val="94"/>
                </w:rPr>
                <w:t>Company, Willis Towers Watson Sub Holdings Unlimited</w:t>
              </w:r>
            </w:hyperlink>
          </w:p>
        </w:tc>
        <w:tc>
          <w:tcPr>
            <w:tcW w:w="520" w:type="dxa"/>
            <w:vAlign w:val="bottom"/>
            <w:tcBorders>
              <w:bottom w:val="single" w:sz="8" w:color="CFF0FC"/>
            </w:tcBorders>
            <w:gridSpan w:val="14"/>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180" w:type="dxa"/>
            <w:vAlign w:val="bottom"/>
            <w:tcBorders>
              <w:bottom w:val="single" w:sz="8" w:color="0000FF"/>
            </w:tcBorders>
            <w:gridSpan w:val="24"/>
            <w:shd w:val="clear" w:color="auto" w:fill="CFF0FC"/>
          </w:tcPr>
          <w:p>
            <w:pPr>
              <w:spacing w:after="0"/>
              <w:rPr>
                <w:rFonts w:ascii="Arial" w:cs="Arial" w:eastAsia="Arial" w:hAnsi="Arial"/>
                <w:sz w:val="20"/>
                <w:szCs w:val="20"/>
                <w:color w:val="0000FF"/>
                <w:w w:val="94"/>
              </w:rPr>
            </w:pPr>
            <w:hyperlink r:id="rId660">
              <w:r>
                <w:rPr>
                  <w:rFonts w:ascii="Arial" w:cs="Arial" w:eastAsia="Arial" w:hAnsi="Arial"/>
                  <w:sz w:val="20"/>
                  <w:szCs w:val="20"/>
                  <w:color w:val="0000FF"/>
                  <w:w w:val="94"/>
                </w:rPr>
                <w:t>Company, Willis Netherlands Holdings B.V., Willis Investment</w:t>
              </w:r>
            </w:hyperlink>
          </w:p>
        </w:tc>
        <w:tc>
          <w:tcPr>
            <w:tcW w:w="80" w:type="dxa"/>
            <w:vAlign w:val="bottom"/>
            <w:tcBorders>
              <w:bottom w:val="single" w:sz="8" w:color="CFF0FC"/>
            </w:tcBorders>
            <w:gridSpan w:val="2"/>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160" w:type="dxa"/>
            <w:vAlign w:val="bottom"/>
            <w:tcBorders>
              <w:bottom w:val="single" w:sz="8" w:color="0000FF"/>
            </w:tcBorders>
            <w:gridSpan w:val="23"/>
            <w:shd w:val="clear" w:color="auto" w:fill="CFF0FC"/>
          </w:tcPr>
          <w:p>
            <w:pPr>
              <w:spacing w:after="0"/>
              <w:rPr>
                <w:rFonts w:ascii="Arial" w:cs="Arial" w:eastAsia="Arial" w:hAnsi="Arial"/>
                <w:sz w:val="20"/>
                <w:szCs w:val="20"/>
                <w:color w:val="0000FF"/>
                <w:w w:val="96"/>
              </w:rPr>
            </w:pPr>
            <w:hyperlink r:id="rId660">
              <w:r>
                <w:rPr>
                  <w:rFonts w:ascii="Arial" w:cs="Arial" w:eastAsia="Arial" w:hAnsi="Arial"/>
                  <w:sz w:val="20"/>
                  <w:szCs w:val="20"/>
                  <w:color w:val="0000FF"/>
                  <w:w w:val="96"/>
                </w:rPr>
                <w:t>UK Holdings Limited, TA I Limited, WTW Bermuda Holdings</w:t>
              </w:r>
            </w:hyperlink>
          </w:p>
        </w:tc>
        <w:tc>
          <w:tcPr>
            <w:tcW w:w="100" w:type="dxa"/>
            <w:vAlign w:val="bottom"/>
            <w:tcBorders>
              <w:bottom w:val="single" w:sz="8" w:color="CFF0FC"/>
            </w:tcBorders>
            <w:gridSpan w:val="3"/>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4700" w:type="dxa"/>
            <w:vAlign w:val="bottom"/>
            <w:tcBorders>
              <w:bottom w:val="single" w:sz="8" w:color="0000FF"/>
            </w:tcBorders>
            <w:gridSpan w:val="10"/>
            <w:shd w:val="clear" w:color="auto" w:fill="CFF0FC"/>
          </w:tcPr>
          <w:p>
            <w:pPr>
              <w:spacing w:after="0"/>
              <w:rPr>
                <w:rFonts w:ascii="Arial" w:cs="Arial" w:eastAsia="Arial" w:hAnsi="Arial"/>
                <w:sz w:val="20"/>
                <w:szCs w:val="20"/>
                <w:color w:val="0000FF"/>
                <w:w w:val="96"/>
              </w:rPr>
            </w:pPr>
            <w:hyperlink r:id="rId660">
              <w:r>
                <w:rPr>
                  <w:rFonts w:ascii="Arial" w:cs="Arial" w:eastAsia="Arial" w:hAnsi="Arial"/>
                  <w:sz w:val="20"/>
                  <w:szCs w:val="20"/>
                  <w:color w:val="0000FF"/>
                  <w:w w:val="96"/>
                </w:rPr>
                <w:t>Ltd., Trinity Acquisition plc and Willis Group Limited, as</w:t>
              </w:r>
            </w:hyperlink>
          </w:p>
        </w:tc>
        <w:tc>
          <w:tcPr>
            <w:tcW w:w="560" w:type="dxa"/>
            <w:vAlign w:val="bottom"/>
            <w:tcBorders>
              <w:bottom w:val="single" w:sz="8" w:color="CFF0FC"/>
            </w:tcBorders>
            <w:gridSpan w:val="16"/>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4620" w:type="dxa"/>
            <w:vAlign w:val="bottom"/>
            <w:tcBorders>
              <w:bottom w:val="single" w:sz="8" w:color="0000FF"/>
            </w:tcBorders>
            <w:gridSpan w:val="7"/>
            <w:shd w:val="clear" w:color="auto" w:fill="CFF0FC"/>
          </w:tcPr>
          <w:p>
            <w:pPr>
              <w:spacing w:after="0"/>
              <w:rPr>
                <w:rFonts w:ascii="Arial" w:cs="Arial" w:eastAsia="Arial" w:hAnsi="Arial"/>
                <w:sz w:val="20"/>
                <w:szCs w:val="20"/>
                <w:color w:val="0000FF"/>
                <w:w w:val="90"/>
              </w:rPr>
            </w:pPr>
            <w:hyperlink r:id="rId660">
              <w:r>
                <w:rPr>
                  <w:rFonts w:ascii="Arial" w:cs="Arial" w:eastAsia="Arial" w:hAnsi="Arial"/>
                  <w:sz w:val="20"/>
                  <w:szCs w:val="20"/>
                  <w:color w:val="0000FF"/>
                  <w:w w:val="90"/>
                </w:rPr>
                <w:t>guarantors, and Computershare Trust Company, N.A., as</w:t>
              </w:r>
            </w:hyperlink>
          </w:p>
        </w:tc>
        <w:tc>
          <w:tcPr>
            <w:tcW w:w="640" w:type="dxa"/>
            <w:vAlign w:val="bottom"/>
            <w:tcBorders>
              <w:bottom w:val="single" w:sz="8" w:color="CFF0FC"/>
            </w:tcBorders>
            <w:gridSpan w:val="19"/>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321"/>
        </w:trPr>
        <w:tc>
          <w:tcPr>
            <w:tcW w:w="660" w:type="dxa"/>
            <w:vAlign w:val="bottom"/>
            <w:tcBorders>
              <w:bottom w:val="single" w:sz="8" w:color="CFF0FC"/>
            </w:tcBorders>
            <w:shd w:val="clear" w:color="auto" w:fill="CFF0FC"/>
          </w:tcPr>
          <w:p>
            <w:pPr>
              <w:spacing w:after="0"/>
              <w:rPr>
                <w:sz w:val="24"/>
                <w:szCs w:val="24"/>
                <w:color w:val="auto"/>
              </w:rPr>
            </w:pPr>
          </w:p>
        </w:tc>
        <w:tc>
          <w:tcPr>
            <w:tcW w:w="5180" w:type="dxa"/>
            <w:vAlign w:val="bottom"/>
            <w:tcBorders>
              <w:bottom w:val="single" w:sz="8" w:color="0000FF"/>
            </w:tcBorders>
            <w:gridSpan w:val="24"/>
            <w:shd w:val="clear" w:color="auto" w:fill="CFF0FC"/>
          </w:tcPr>
          <w:p>
            <w:pPr>
              <w:spacing w:after="0"/>
              <w:rPr>
                <w:rFonts w:ascii="Arial" w:cs="Arial" w:eastAsia="Arial" w:hAnsi="Arial"/>
                <w:sz w:val="20"/>
                <w:szCs w:val="20"/>
                <w:color w:val="0000FF"/>
                <w:w w:val="89"/>
              </w:rPr>
            </w:pPr>
            <w:hyperlink r:id="rId660">
              <w:r>
                <w:rPr>
                  <w:rFonts w:ascii="Arial" w:cs="Arial" w:eastAsia="Arial" w:hAnsi="Arial"/>
                  <w:sz w:val="20"/>
                  <w:szCs w:val="20"/>
                  <w:color w:val="0000FF"/>
                  <w:w w:val="89"/>
                </w:rPr>
                <w:t>successor to Wells Fargo Bank, National Association, as Trustee</w:t>
              </w:r>
            </w:hyperlink>
          </w:p>
        </w:tc>
        <w:tc>
          <w:tcPr>
            <w:tcW w:w="80" w:type="dxa"/>
            <w:vAlign w:val="bottom"/>
            <w:tcBorders>
              <w:bottom w:val="single" w:sz="8" w:color="CFF0FC"/>
            </w:tcBorders>
            <w:gridSpan w:val="2"/>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239"/>
        </w:trPr>
        <w:tc>
          <w:tcPr>
            <w:tcW w:w="660" w:type="dxa"/>
            <w:vAlign w:val="bottom"/>
          </w:tcPr>
          <w:p>
            <w:pPr>
              <w:jc w:val="center"/>
              <w:spacing w:after="0"/>
              <w:rPr>
                <w:sz w:val="20"/>
                <w:szCs w:val="20"/>
                <w:color w:val="auto"/>
              </w:rPr>
            </w:pPr>
            <w:r>
              <w:rPr>
                <w:rFonts w:ascii="Arial" w:cs="Arial" w:eastAsia="Arial" w:hAnsi="Arial"/>
                <w:sz w:val="20"/>
                <w:szCs w:val="20"/>
                <w:color w:val="auto"/>
                <w:w w:val="87"/>
              </w:rPr>
              <w:t>4.10</w:t>
            </w:r>
          </w:p>
        </w:tc>
        <w:tc>
          <w:tcPr>
            <w:tcW w:w="4560" w:type="dxa"/>
            <w:vAlign w:val="bottom"/>
            <w:tcBorders>
              <w:bottom w:val="single" w:sz="8" w:color="0000FF"/>
            </w:tcBorders>
            <w:gridSpan w:val="5"/>
          </w:tcPr>
          <w:p>
            <w:pPr>
              <w:spacing w:after="0"/>
              <w:rPr>
                <w:rFonts w:ascii="Arial" w:cs="Arial" w:eastAsia="Arial" w:hAnsi="Arial"/>
                <w:sz w:val="20"/>
                <w:szCs w:val="20"/>
                <w:color w:val="0000FF"/>
                <w:w w:val="90"/>
              </w:rPr>
            </w:pPr>
            <w:hyperlink r:id="rId661">
              <w:r>
                <w:rPr>
                  <w:rFonts w:ascii="Arial" w:cs="Arial" w:eastAsia="Arial" w:hAnsi="Arial"/>
                  <w:sz w:val="20"/>
                  <w:szCs w:val="20"/>
                  <w:color w:val="0000FF"/>
                  <w:w w:val="90"/>
                </w:rPr>
                <w:t>First Supplemental Indenture, dated as of May 16, 2017,</w:t>
              </w:r>
            </w:hyperlink>
          </w:p>
        </w:tc>
        <w:tc>
          <w:tcPr>
            <w:tcW w:w="700" w:type="dxa"/>
            <w:vAlign w:val="bottom"/>
            <w:gridSpan w:val="21"/>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Pr>
          <w:p>
            <w:pPr>
              <w:jc w:val="center"/>
              <w:spacing w:after="0"/>
              <w:rPr>
                <w:sz w:val="20"/>
                <w:szCs w:val="20"/>
                <w:color w:val="auto"/>
              </w:rPr>
            </w:pPr>
            <w:r>
              <w:rPr>
                <w:rFonts w:ascii="Arial" w:cs="Arial" w:eastAsia="Arial" w:hAnsi="Arial"/>
                <w:sz w:val="20"/>
                <w:szCs w:val="20"/>
                <w:color w:val="auto"/>
                <w:w w:val="86"/>
              </w:rPr>
              <w:t>4.2</w:t>
            </w:r>
          </w:p>
        </w:tc>
        <w:tc>
          <w:tcPr>
            <w:tcW w:w="1700" w:type="dxa"/>
            <w:vAlign w:val="bottom"/>
          </w:tcPr>
          <w:p>
            <w:pPr>
              <w:ind w:left="40"/>
              <w:spacing w:after="0"/>
              <w:rPr>
                <w:sz w:val="20"/>
                <w:szCs w:val="20"/>
                <w:color w:val="auto"/>
              </w:rPr>
            </w:pPr>
            <w:r>
              <w:rPr>
                <w:rFonts w:ascii="Arial" w:cs="Arial" w:eastAsia="Arial" w:hAnsi="Arial"/>
                <w:sz w:val="20"/>
                <w:szCs w:val="20"/>
                <w:color w:val="auto"/>
              </w:rPr>
              <w:t>May 16,</w:t>
            </w:r>
          </w:p>
        </w:tc>
      </w:tr>
      <w:tr>
        <w:trPr>
          <w:trHeight w:val="280"/>
        </w:trPr>
        <w:tc>
          <w:tcPr>
            <w:tcW w:w="660" w:type="dxa"/>
            <w:vAlign w:val="bottom"/>
          </w:tcPr>
          <w:p>
            <w:pPr>
              <w:spacing w:after="0"/>
              <w:rPr>
                <w:sz w:val="24"/>
                <w:szCs w:val="24"/>
                <w:color w:val="auto"/>
              </w:rPr>
            </w:pPr>
          </w:p>
        </w:tc>
        <w:tc>
          <w:tcPr>
            <w:tcW w:w="5260" w:type="dxa"/>
            <w:vAlign w:val="bottom"/>
            <w:gridSpan w:val="26"/>
          </w:tcPr>
          <w:p>
            <w:pPr>
              <w:spacing w:after="0"/>
              <w:rPr>
                <w:rFonts w:ascii="Arial" w:cs="Arial" w:eastAsia="Arial" w:hAnsi="Arial"/>
                <w:sz w:val="20"/>
                <w:szCs w:val="20"/>
                <w:color w:val="0000FF"/>
              </w:rPr>
            </w:pPr>
            <w:hyperlink r:id="rId661">
              <w:r>
                <w:rPr>
                  <w:rFonts w:ascii="Arial" w:cs="Arial" w:eastAsia="Arial" w:hAnsi="Arial"/>
                  <w:sz w:val="20"/>
                  <w:szCs w:val="20"/>
                  <w:color w:val="0000FF"/>
                </w:rPr>
                <w:t>supplemental to the Indenture dated as of May 16, 2017</w:t>
              </w:r>
            </w:hyperlink>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20"/>
                <w:szCs w:val="20"/>
                <w:color w:val="auto"/>
              </w:rPr>
              <w:t>2017</w:t>
            </w:r>
          </w:p>
        </w:tc>
      </w:tr>
      <w:tr>
        <w:trPr>
          <w:trHeight w:val="41"/>
        </w:trPr>
        <w:tc>
          <w:tcPr>
            <w:tcW w:w="660" w:type="dxa"/>
            <w:vAlign w:val="bottom"/>
          </w:tcPr>
          <w:p>
            <w:pPr>
              <w:spacing w:after="0"/>
              <w:rPr>
                <w:sz w:val="3"/>
                <w:szCs w:val="3"/>
                <w:color w:val="auto"/>
              </w:rPr>
            </w:pPr>
          </w:p>
        </w:tc>
        <w:tc>
          <w:tcPr>
            <w:tcW w:w="1220" w:type="dxa"/>
            <w:vAlign w:val="bottom"/>
            <w:tcBorders>
              <w:top w:val="single" w:sz="8" w:color="0000FF"/>
            </w:tcBorders>
          </w:tcPr>
          <w:p>
            <w:pPr>
              <w:spacing w:after="0"/>
              <w:rPr>
                <w:sz w:val="3"/>
                <w:szCs w:val="3"/>
                <w:color w:val="auto"/>
              </w:rPr>
            </w:pPr>
          </w:p>
        </w:tc>
        <w:tc>
          <w:tcPr>
            <w:tcW w:w="2360" w:type="dxa"/>
            <w:vAlign w:val="bottom"/>
            <w:tcBorders>
              <w:top w:val="single" w:sz="8" w:color="0000FF"/>
            </w:tcBorders>
          </w:tcPr>
          <w:p>
            <w:pPr>
              <w:spacing w:after="0"/>
              <w:rPr>
                <w:sz w:val="3"/>
                <w:szCs w:val="3"/>
                <w:color w:val="auto"/>
              </w:rPr>
            </w:pPr>
          </w:p>
        </w:tc>
        <w:tc>
          <w:tcPr>
            <w:tcW w:w="8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9"/>
        </w:trPr>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7"/>
              </w:rPr>
              <w:t>4.11</w:t>
            </w:r>
          </w:p>
        </w:tc>
        <w:tc>
          <w:tcPr>
            <w:tcW w:w="5000" w:type="dxa"/>
            <w:vAlign w:val="bottom"/>
            <w:tcBorders>
              <w:bottom w:val="single" w:sz="8" w:color="0000FF"/>
            </w:tcBorders>
            <w:gridSpan w:val="19"/>
            <w:shd w:val="clear" w:color="auto" w:fill="CFF0FC"/>
          </w:tcPr>
          <w:p>
            <w:pPr>
              <w:spacing w:after="0"/>
              <w:rPr>
                <w:rFonts w:ascii="Arial" w:cs="Arial" w:eastAsia="Arial" w:hAnsi="Arial"/>
                <w:sz w:val="20"/>
                <w:szCs w:val="20"/>
                <w:color w:val="0000FF"/>
                <w:w w:val="90"/>
              </w:rPr>
            </w:pPr>
            <w:hyperlink r:id="rId662">
              <w:r>
                <w:rPr>
                  <w:rFonts w:ascii="Arial" w:cs="Arial" w:eastAsia="Arial" w:hAnsi="Arial"/>
                  <w:sz w:val="20"/>
                  <w:szCs w:val="20"/>
                  <w:color w:val="0000FF"/>
                  <w:w w:val="90"/>
                </w:rPr>
                <w:t>Second Supplemental Indenture, dated as of August 11, 2017,</w:t>
              </w:r>
            </w:hyperlink>
          </w:p>
        </w:tc>
        <w:tc>
          <w:tcPr>
            <w:tcW w:w="260" w:type="dxa"/>
            <w:vAlign w:val="bottom"/>
            <w:tcBorders>
              <w:bottom w:val="single" w:sz="8" w:color="CFF0FC"/>
            </w:tcBorders>
            <w:gridSpan w:val="7"/>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6"/>
              </w:rPr>
              <w:t>4.4</w:t>
            </w: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August 16,</w:t>
            </w:r>
          </w:p>
        </w:tc>
      </w:tr>
      <w:tr>
        <w:trPr>
          <w:trHeight w:val="280"/>
        </w:trPr>
        <w:tc>
          <w:tcPr>
            <w:tcW w:w="660" w:type="dxa"/>
            <w:vAlign w:val="bottom"/>
            <w:shd w:val="clear" w:color="auto" w:fill="CFF0FC"/>
          </w:tcPr>
          <w:p>
            <w:pPr>
              <w:spacing w:after="0"/>
              <w:rPr>
                <w:sz w:val="24"/>
                <w:szCs w:val="24"/>
                <w:color w:val="auto"/>
              </w:rPr>
            </w:pPr>
          </w:p>
        </w:tc>
        <w:tc>
          <w:tcPr>
            <w:tcW w:w="5260" w:type="dxa"/>
            <w:vAlign w:val="bottom"/>
            <w:gridSpan w:val="26"/>
            <w:shd w:val="clear" w:color="auto" w:fill="CFF0FC"/>
          </w:tcPr>
          <w:p>
            <w:pPr>
              <w:spacing w:after="0"/>
              <w:rPr>
                <w:rFonts w:ascii="Arial" w:cs="Arial" w:eastAsia="Arial" w:hAnsi="Arial"/>
                <w:sz w:val="20"/>
                <w:szCs w:val="20"/>
                <w:color w:val="0000FF"/>
              </w:rPr>
            </w:pPr>
            <w:hyperlink r:id="rId662">
              <w:r>
                <w:rPr>
                  <w:rFonts w:ascii="Arial" w:cs="Arial" w:eastAsia="Arial" w:hAnsi="Arial"/>
                  <w:sz w:val="20"/>
                  <w:szCs w:val="20"/>
                  <w:color w:val="0000FF"/>
                </w:rPr>
                <w:t>supplemental to the Indenture dated as of May 16, 2017</w:t>
              </w:r>
            </w:hyperlink>
          </w:p>
        </w:tc>
        <w:tc>
          <w:tcPr>
            <w:tcW w:w="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700" w:type="dxa"/>
            <w:vAlign w:val="bottom"/>
            <w:shd w:val="clear" w:color="auto" w:fill="CFF0FC"/>
          </w:tcPr>
          <w:p>
            <w:pPr>
              <w:ind w:left="40"/>
              <w:spacing w:after="0"/>
              <w:rPr>
                <w:sz w:val="20"/>
                <w:szCs w:val="20"/>
                <w:color w:val="auto"/>
              </w:rPr>
            </w:pPr>
            <w:r>
              <w:rPr>
                <w:rFonts w:ascii="Arial" w:cs="Arial" w:eastAsia="Arial" w:hAnsi="Arial"/>
                <w:sz w:val="20"/>
                <w:szCs w:val="20"/>
                <w:color w:val="auto"/>
              </w:rPr>
              <w:t>2017</w:t>
            </w:r>
          </w:p>
        </w:tc>
      </w:tr>
      <w:tr>
        <w:trPr>
          <w:trHeight w:val="41"/>
        </w:trPr>
        <w:tc>
          <w:tcPr>
            <w:tcW w:w="660" w:type="dxa"/>
            <w:vAlign w:val="bottom"/>
            <w:tcBorders>
              <w:top w:val="single" w:sz="8" w:color="CFF0FC"/>
            </w:tcBorders>
            <w:shd w:val="clear" w:color="auto" w:fill="CFF0FC"/>
          </w:tcPr>
          <w:p>
            <w:pPr>
              <w:spacing w:after="0"/>
              <w:rPr>
                <w:sz w:val="3"/>
                <w:szCs w:val="3"/>
                <w:color w:val="auto"/>
              </w:rPr>
            </w:pPr>
          </w:p>
        </w:tc>
        <w:tc>
          <w:tcPr>
            <w:tcW w:w="1220" w:type="dxa"/>
            <w:vAlign w:val="bottom"/>
            <w:tcBorders>
              <w:top w:val="single" w:sz="8" w:color="0000FF"/>
            </w:tcBorders>
            <w:shd w:val="clear" w:color="auto" w:fill="CFF0FC"/>
          </w:tcPr>
          <w:p>
            <w:pPr>
              <w:spacing w:after="0"/>
              <w:rPr>
                <w:sz w:val="3"/>
                <w:szCs w:val="3"/>
                <w:color w:val="auto"/>
              </w:rPr>
            </w:pPr>
          </w:p>
        </w:tc>
        <w:tc>
          <w:tcPr>
            <w:tcW w:w="2360" w:type="dxa"/>
            <w:vAlign w:val="bottom"/>
            <w:tcBorders>
              <w:top w:val="single" w:sz="8" w:color="0000FF"/>
            </w:tcBorders>
            <w:shd w:val="clear" w:color="auto" w:fill="CFF0FC"/>
          </w:tcPr>
          <w:p>
            <w:pPr>
              <w:spacing w:after="0"/>
              <w:rPr>
                <w:sz w:val="3"/>
                <w:szCs w:val="3"/>
                <w:color w:val="auto"/>
              </w:rPr>
            </w:pPr>
          </w:p>
        </w:tc>
        <w:tc>
          <w:tcPr>
            <w:tcW w:w="880" w:type="dxa"/>
            <w:vAlign w:val="bottom"/>
            <w:tcBorders>
              <w:top w:val="single" w:sz="8" w:color="0000FF"/>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740" w:type="dxa"/>
            <w:vAlign w:val="bottom"/>
            <w:tcBorders>
              <w:top w:val="single" w:sz="8" w:color="CFF0FC"/>
            </w:tcBorders>
            <w:shd w:val="clear" w:color="auto" w:fill="CFF0FC"/>
          </w:tcPr>
          <w:p>
            <w:pPr>
              <w:spacing w:after="0"/>
              <w:rPr>
                <w:sz w:val="3"/>
                <w:szCs w:val="3"/>
                <w:color w:val="auto"/>
              </w:rPr>
            </w:pPr>
          </w:p>
        </w:tc>
        <w:tc>
          <w:tcPr>
            <w:tcW w:w="600" w:type="dxa"/>
            <w:vAlign w:val="bottom"/>
            <w:tcBorders>
              <w:top w:val="single" w:sz="8" w:color="CFF0FC"/>
            </w:tcBorders>
            <w:shd w:val="clear" w:color="auto" w:fill="CFF0FC"/>
          </w:tcPr>
          <w:p>
            <w:pPr>
              <w:spacing w:after="0"/>
              <w:rPr>
                <w:sz w:val="3"/>
                <w:szCs w:val="3"/>
                <w:color w:val="auto"/>
              </w:rPr>
            </w:pPr>
          </w:p>
        </w:tc>
        <w:tc>
          <w:tcPr>
            <w:tcW w:w="1700" w:type="dxa"/>
            <w:vAlign w:val="bottom"/>
            <w:tcBorders>
              <w:top w:val="single" w:sz="8" w:color="CFF0FC"/>
            </w:tcBorders>
            <w:shd w:val="clear" w:color="auto" w:fill="CFF0FC"/>
          </w:tcPr>
          <w:p>
            <w:pPr>
              <w:spacing w:after="0"/>
              <w:rPr>
                <w:sz w:val="3"/>
                <w:szCs w:val="3"/>
                <w:color w:val="auto"/>
              </w:rPr>
            </w:pPr>
          </w:p>
        </w:tc>
      </w:tr>
      <w:tr>
        <w:trPr>
          <w:trHeight w:val="239"/>
        </w:trPr>
        <w:tc>
          <w:tcPr>
            <w:tcW w:w="660" w:type="dxa"/>
            <w:vAlign w:val="bottom"/>
          </w:tcPr>
          <w:p>
            <w:pPr>
              <w:jc w:val="center"/>
              <w:spacing w:after="0"/>
              <w:rPr>
                <w:sz w:val="20"/>
                <w:szCs w:val="20"/>
                <w:color w:val="auto"/>
              </w:rPr>
            </w:pPr>
            <w:r>
              <w:rPr>
                <w:rFonts w:ascii="Arial" w:cs="Arial" w:eastAsia="Arial" w:hAnsi="Arial"/>
                <w:sz w:val="20"/>
                <w:szCs w:val="20"/>
                <w:color w:val="auto"/>
                <w:w w:val="87"/>
              </w:rPr>
              <w:t>4.12</w:t>
            </w:r>
          </w:p>
        </w:tc>
        <w:tc>
          <w:tcPr>
            <w:tcW w:w="5140" w:type="dxa"/>
            <w:vAlign w:val="bottom"/>
            <w:tcBorders>
              <w:bottom w:val="single" w:sz="8" w:color="0000FF"/>
            </w:tcBorders>
            <w:gridSpan w:val="22"/>
          </w:tcPr>
          <w:p>
            <w:pPr>
              <w:spacing w:after="0"/>
              <w:rPr>
                <w:rFonts w:ascii="Arial" w:cs="Arial" w:eastAsia="Arial" w:hAnsi="Arial"/>
                <w:sz w:val="20"/>
                <w:szCs w:val="20"/>
                <w:color w:val="0000FF"/>
                <w:w w:val="90"/>
              </w:rPr>
            </w:pPr>
            <w:hyperlink r:id="rId663">
              <w:r>
                <w:rPr>
                  <w:rFonts w:ascii="Arial" w:cs="Arial" w:eastAsia="Arial" w:hAnsi="Arial"/>
                  <w:sz w:val="20"/>
                  <w:szCs w:val="20"/>
                  <w:color w:val="0000FF"/>
                  <w:w w:val="90"/>
                </w:rPr>
                <w:t>Third Supplemental Indenture, dated as of September 10, 2018,</w:t>
              </w:r>
            </w:hyperlink>
          </w:p>
        </w:tc>
        <w:tc>
          <w:tcPr>
            <w:tcW w:w="120" w:type="dxa"/>
            <w:vAlign w:val="bottom"/>
            <w:gridSpan w:val="4"/>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Pr>
          <w:p>
            <w:pPr>
              <w:jc w:val="center"/>
              <w:spacing w:after="0"/>
              <w:rPr>
                <w:sz w:val="20"/>
                <w:szCs w:val="20"/>
                <w:color w:val="auto"/>
              </w:rPr>
            </w:pPr>
            <w:r>
              <w:rPr>
                <w:rFonts w:ascii="Arial" w:cs="Arial" w:eastAsia="Arial" w:hAnsi="Arial"/>
                <w:sz w:val="20"/>
                <w:szCs w:val="20"/>
                <w:color w:val="auto"/>
                <w:w w:val="86"/>
              </w:rPr>
              <w:t>4.1</w:t>
            </w:r>
          </w:p>
        </w:tc>
        <w:tc>
          <w:tcPr>
            <w:tcW w:w="1700" w:type="dxa"/>
            <w:vAlign w:val="bottom"/>
          </w:tcPr>
          <w:p>
            <w:pPr>
              <w:ind w:left="40"/>
              <w:spacing w:after="0"/>
              <w:rPr>
                <w:sz w:val="20"/>
                <w:szCs w:val="20"/>
                <w:color w:val="auto"/>
              </w:rPr>
            </w:pPr>
            <w:r>
              <w:rPr>
                <w:rFonts w:ascii="Arial" w:cs="Arial" w:eastAsia="Arial" w:hAnsi="Arial"/>
                <w:sz w:val="20"/>
                <w:szCs w:val="20"/>
                <w:color w:val="auto"/>
              </w:rPr>
              <w:t>September</w:t>
            </w:r>
          </w:p>
        </w:tc>
      </w:tr>
      <w:tr>
        <w:trPr>
          <w:trHeight w:val="280"/>
        </w:trPr>
        <w:tc>
          <w:tcPr>
            <w:tcW w:w="660" w:type="dxa"/>
            <w:vAlign w:val="bottom"/>
          </w:tcPr>
          <w:p>
            <w:pPr>
              <w:spacing w:after="0"/>
              <w:rPr>
                <w:sz w:val="24"/>
                <w:szCs w:val="24"/>
                <w:color w:val="auto"/>
              </w:rPr>
            </w:pPr>
          </w:p>
        </w:tc>
        <w:tc>
          <w:tcPr>
            <w:tcW w:w="5260" w:type="dxa"/>
            <w:vAlign w:val="bottom"/>
            <w:gridSpan w:val="26"/>
          </w:tcPr>
          <w:p>
            <w:pPr>
              <w:spacing w:after="0"/>
              <w:rPr>
                <w:rFonts w:ascii="Arial" w:cs="Arial" w:eastAsia="Arial" w:hAnsi="Arial"/>
                <w:sz w:val="20"/>
                <w:szCs w:val="20"/>
                <w:color w:val="0000FF"/>
              </w:rPr>
            </w:pPr>
            <w:hyperlink r:id="rId663">
              <w:r>
                <w:rPr>
                  <w:rFonts w:ascii="Arial" w:cs="Arial" w:eastAsia="Arial" w:hAnsi="Arial"/>
                  <w:sz w:val="20"/>
                  <w:szCs w:val="20"/>
                  <w:color w:val="0000FF"/>
                </w:rPr>
                <w:t>supplemental to the Indenture dated as of May 16, 2017</w:t>
              </w:r>
            </w:hyperlink>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20"/>
                <w:szCs w:val="20"/>
                <w:color w:val="auto"/>
              </w:rPr>
              <w:t>10, 2018</w:t>
            </w:r>
          </w:p>
        </w:tc>
      </w:tr>
      <w:tr>
        <w:trPr>
          <w:trHeight w:val="41"/>
        </w:trPr>
        <w:tc>
          <w:tcPr>
            <w:tcW w:w="660" w:type="dxa"/>
            <w:vAlign w:val="bottom"/>
          </w:tcPr>
          <w:p>
            <w:pPr>
              <w:spacing w:after="0"/>
              <w:rPr>
                <w:sz w:val="3"/>
                <w:szCs w:val="3"/>
                <w:color w:val="auto"/>
              </w:rPr>
            </w:pPr>
          </w:p>
        </w:tc>
        <w:tc>
          <w:tcPr>
            <w:tcW w:w="1220" w:type="dxa"/>
            <w:vAlign w:val="bottom"/>
            <w:tcBorders>
              <w:top w:val="single" w:sz="8" w:color="0000FF"/>
            </w:tcBorders>
          </w:tcPr>
          <w:p>
            <w:pPr>
              <w:spacing w:after="0"/>
              <w:rPr>
                <w:sz w:val="3"/>
                <w:szCs w:val="3"/>
                <w:color w:val="auto"/>
              </w:rPr>
            </w:pPr>
          </w:p>
        </w:tc>
        <w:tc>
          <w:tcPr>
            <w:tcW w:w="2360" w:type="dxa"/>
            <w:vAlign w:val="bottom"/>
            <w:tcBorders>
              <w:top w:val="single" w:sz="8" w:color="0000FF"/>
            </w:tcBorders>
          </w:tcPr>
          <w:p>
            <w:pPr>
              <w:spacing w:after="0"/>
              <w:rPr>
                <w:sz w:val="3"/>
                <w:szCs w:val="3"/>
                <w:color w:val="auto"/>
              </w:rPr>
            </w:pPr>
          </w:p>
        </w:tc>
        <w:tc>
          <w:tcPr>
            <w:tcW w:w="8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9"/>
        </w:trPr>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7"/>
              </w:rPr>
              <w:t>4.13</w:t>
            </w:r>
          </w:p>
        </w:tc>
        <w:tc>
          <w:tcPr>
            <w:tcW w:w="5220" w:type="dxa"/>
            <w:vAlign w:val="bottom"/>
            <w:tcBorders>
              <w:bottom w:val="single" w:sz="8" w:color="0000FF"/>
            </w:tcBorders>
            <w:gridSpan w:val="25"/>
            <w:shd w:val="clear" w:color="auto" w:fill="CFF0FC"/>
          </w:tcPr>
          <w:p>
            <w:pPr>
              <w:spacing w:after="0"/>
              <w:rPr>
                <w:rFonts w:ascii="Arial" w:cs="Arial" w:eastAsia="Arial" w:hAnsi="Arial"/>
                <w:sz w:val="20"/>
                <w:szCs w:val="20"/>
                <w:color w:val="0000FF"/>
                <w:w w:val="89"/>
              </w:rPr>
            </w:pPr>
            <w:hyperlink r:id="rId664">
              <w:r>
                <w:rPr>
                  <w:rFonts w:ascii="Arial" w:cs="Arial" w:eastAsia="Arial" w:hAnsi="Arial"/>
                  <w:sz w:val="20"/>
                  <w:szCs w:val="20"/>
                  <w:color w:val="0000FF"/>
                  <w:w w:val="89"/>
                </w:rPr>
                <w:t>Fourth Supplemental Indenture, dated as of September 10, 2019,</w:t>
              </w:r>
            </w:hyperlink>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6"/>
              </w:rPr>
              <w:t>4.1</w:t>
            </w: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September</w:t>
            </w:r>
          </w:p>
        </w:tc>
      </w:tr>
      <w:tr>
        <w:trPr>
          <w:trHeight w:val="280"/>
        </w:trPr>
        <w:tc>
          <w:tcPr>
            <w:tcW w:w="660" w:type="dxa"/>
            <w:vAlign w:val="bottom"/>
            <w:shd w:val="clear" w:color="auto" w:fill="CFF0FC"/>
          </w:tcPr>
          <w:p>
            <w:pPr>
              <w:spacing w:after="0"/>
              <w:rPr>
                <w:sz w:val="24"/>
                <w:szCs w:val="24"/>
                <w:color w:val="auto"/>
              </w:rPr>
            </w:pPr>
          </w:p>
        </w:tc>
        <w:tc>
          <w:tcPr>
            <w:tcW w:w="5260" w:type="dxa"/>
            <w:vAlign w:val="bottom"/>
            <w:gridSpan w:val="26"/>
            <w:shd w:val="clear" w:color="auto" w:fill="CFF0FC"/>
          </w:tcPr>
          <w:p>
            <w:pPr>
              <w:spacing w:after="0"/>
              <w:rPr>
                <w:rFonts w:ascii="Arial" w:cs="Arial" w:eastAsia="Arial" w:hAnsi="Arial"/>
                <w:sz w:val="20"/>
                <w:szCs w:val="20"/>
                <w:color w:val="0000FF"/>
              </w:rPr>
            </w:pPr>
            <w:hyperlink r:id="rId664">
              <w:r>
                <w:rPr>
                  <w:rFonts w:ascii="Arial" w:cs="Arial" w:eastAsia="Arial" w:hAnsi="Arial"/>
                  <w:sz w:val="20"/>
                  <w:szCs w:val="20"/>
                  <w:color w:val="0000FF"/>
                </w:rPr>
                <w:t>supplemental to the Indenture dated as of May 16, 2017</w:t>
              </w:r>
            </w:hyperlink>
          </w:p>
        </w:tc>
        <w:tc>
          <w:tcPr>
            <w:tcW w:w="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700" w:type="dxa"/>
            <w:vAlign w:val="bottom"/>
            <w:shd w:val="clear" w:color="auto" w:fill="CFF0FC"/>
          </w:tcPr>
          <w:p>
            <w:pPr>
              <w:ind w:left="40"/>
              <w:spacing w:after="0"/>
              <w:rPr>
                <w:sz w:val="20"/>
                <w:szCs w:val="20"/>
                <w:color w:val="auto"/>
              </w:rPr>
            </w:pPr>
            <w:r>
              <w:rPr>
                <w:rFonts w:ascii="Arial" w:cs="Arial" w:eastAsia="Arial" w:hAnsi="Arial"/>
                <w:sz w:val="20"/>
                <w:szCs w:val="20"/>
                <w:color w:val="auto"/>
              </w:rPr>
              <w:t>10, 2019</w:t>
            </w:r>
          </w:p>
        </w:tc>
      </w:tr>
      <w:tr>
        <w:trPr>
          <w:trHeight w:val="41"/>
        </w:trPr>
        <w:tc>
          <w:tcPr>
            <w:tcW w:w="660" w:type="dxa"/>
            <w:vAlign w:val="bottom"/>
            <w:tcBorders>
              <w:top w:val="single" w:sz="8" w:color="CFF0FC"/>
            </w:tcBorders>
            <w:shd w:val="clear" w:color="auto" w:fill="CFF0FC"/>
          </w:tcPr>
          <w:p>
            <w:pPr>
              <w:spacing w:after="0"/>
              <w:rPr>
                <w:sz w:val="3"/>
                <w:szCs w:val="3"/>
                <w:color w:val="auto"/>
              </w:rPr>
            </w:pPr>
          </w:p>
        </w:tc>
        <w:tc>
          <w:tcPr>
            <w:tcW w:w="1220" w:type="dxa"/>
            <w:vAlign w:val="bottom"/>
            <w:tcBorders>
              <w:top w:val="single" w:sz="8" w:color="0000FF"/>
            </w:tcBorders>
            <w:shd w:val="clear" w:color="auto" w:fill="CFF0FC"/>
          </w:tcPr>
          <w:p>
            <w:pPr>
              <w:spacing w:after="0"/>
              <w:rPr>
                <w:sz w:val="3"/>
                <w:szCs w:val="3"/>
                <w:color w:val="auto"/>
              </w:rPr>
            </w:pPr>
          </w:p>
        </w:tc>
        <w:tc>
          <w:tcPr>
            <w:tcW w:w="2360" w:type="dxa"/>
            <w:vAlign w:val="bottom"/>
            <w:tcBorders>
              <w:top w:val="single" w:sz="8" w:color="0000FF"/>
            </w:tcBorders>
            <w:shd w:val="clear" w:color="auto" w:fill="CFF0FC"/>
          </w:tcPr>
          <w:p>
            <w:pPr>
              <w:spacing w:after="0"/>
              <w:rPr>
                <w:sz w:val="3"/>
                <w:szCs w:val="3"/>
                <w:color w:val="auto"/>
              </w:rPr>
            </w:pPr>
          </w:p>
        </w:tc>
        <w:tc>
          <w:tcPr>
            <w:tcW w:w="880" w:type="dxa"/>
            <w:vAlign w:val="bottom"/>
            <w:tcBorders>
              <w:top w:val="single" w:sz="8" w:color="0000FF"/>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740" w:type="dxa"/>
            <w:vAlign w:val="bottom"/>
            <w:tcBorders>
              <w:top w:val="single" w:sz="8" w:color="CFF0FC"/>
            </w:tcBorders>
            <w:shd w:val="clear" w:color="auto" w:fill="CFF0FC"/>
          </w:tcPr>
          <w:p>
            <w:pPr>
              <w:spacing w:after="0"/>
              <w:rPr>
                <w:sz w:val="3"/>
                <w:szCs w:val="3"/>
                <w:color w:val="auto"/>
              </w:rPr>
            </w:pPr>
          </w:p>
        </w:tc>
        <w:tc>
          <w:tcPr>
            <w:tcW w:w="600" w:type="dxa"/>
            <w:vAlign w:val="bottom"/>
            <w:tcBorders>
              <w:top w:val="single" w:sz="8" w:color="CFF0FC"/>
            </w:tcBorders>
            <w:shd w:val="clear" w:color="auto" w:fill="CFF0FC"/>
          </w:tcPr>
          <w:p>
            <w:pPr>
              <w:spacing w:after="0"/>
              <w:rPr>
                <w:sz w:val="3"/>
                <w:szCs w:val="3"/>
                <w:color w:val="auto"/>
              </w:rPr>
            </w:pPr>
          </w:p>
        </w:tc>
        <w:tc>
          <w:tcPr>
            <w:tcW w:w="1700" w:type="dxa"/>
            <w:vAlign w:val="bottom"/>
            <w:tcBorders>
              <w:top w:val="single" w:sz="8" w:color="CFF0FC"/>
            </w:tcBorders>
            <w:shd w:val="clear" w:color="auto" w:fill="CFF0FC"/>
          </w:tcPr>
          <w:p>
            <w:pPr>
              <w:spacing w:after="0"/>
              <w:rPr>
                <w:sz w:val="3"/>
                <w:szCs w:val="3"/>
                <w:color w:val="auto"/>
              </w:rPr>
            </w:pPr>
          </w:p>
        </w:tc>
      </w:tr>
      <w:tr>
        <w:trPr>
          <w:trHeight w:val="239"/>
        </w:trPr>
        <w:tc>
          <w:tcPr>
            <w:tcW w:w="660" w:type="dxa"/>
            <w:vAlign w:val="bottom"/>
          </w:tcPr>
          <w:p>
            <w:pPr>
              <w:jc w:val="center"/>
              <w:spacing w:after="0"/>
              <w:rPr>
                <w:sz w:val="20"/>
                <w:szCs w:val="20"/>
                <w:color w:val="auto"/>
              </w:rPr>
            </w:pPr>
            <w:r>
              <w:rPr>
                <w:rFonts w:ascii="Arial" w:cs="Arial" w:eastAsia="Arial" w:hAnsi="Arial"/>
                <w:sz w:val="20"/>
                <w:szCs w:val="20"/>
                <w:color w:val="auto"/>
                <w:w w:val="87"/>
              </w:rPr>
              <w:t>4.14</w:t>
            </w:r>
          </w:p>
        </w:tc>
        <w:tc>
          <w:tcPr>
            <w:tcW w:w="4580" w:type="dxa"/>
            <w:vAlign w:val="bottom"/>
            <w:tcBorders>
              <w:bottom w:val="single" w:sz="8" w:color="0000FF"/>
            </w:tcBorders>
            <w:gridSpan w:val="6"/>
          </w:tcPr>
          <w:p>
            <w:pPr>
              <w:spacing w:after="0"/>
              <w:rPr>
                <w:rFonts w:ascii="Arial" w:cs="Arial" w:eastAsia="Arial" w:hAnsi="Arial"/>
                <w:sz w:val="20"/>
                <w:szCs w:val="20"/>
                <w:color w:val="0000FF"/>
                <w:w w:val="91"/>
              </w:rPr>
            </w:pPr>
            <w:hyperlink r:id="rId665">
              <w:r>
                <w:rPr>
                  <w:rFonts w:ascii="Arial" w:cs="Arial" w:eastAsia="Arial" w:hAnsi="Arial"/>
                  <w:sz w:val="20"/>
                  <w:szCs w:val="20"/>
                  <w:color w:val="0000FF"/>
                  <w:w w:val="91"/>
                </w:rPr>
                <w:t>Fifth Supplemental Indenture, dated as of May 19, 2022,</w:t>
              </w:r>
            </w:hyperlink>
          </w:p>
        </w:tc>
        <w:tc>
          <w:tcPr>
            <w:tcW w:w="680" w:type="dxa"/>
            <w:vAlign w:val="bottom"/>
            <w:gridSpan w:val="20"/>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Pr>
          <w:p>
            <w:pPr>
              <w:jc w:val="center"/>
              <w:spacing w:after="0"/>
              <w:rPr>
                <w:sz w:val="20"/>
                <w:szCs w:val="20"/>
                <w:color w:val="auto"/>
              </w:rPr>
            </w:pPr>
            <w:r>
              <w:rPr>
                <w:rFonts w:ascii="Arial" w:cs="Arial" w:eastAsia="Arial" w:hAnsi="Arial"/>
                <w:sz w:val="20"/>
                <w:szCs w:val="20"/>
                <w:color w:val="auto"/>
                <w:w w:val="86"/>
              </w:rPr>
              <w:t>4.1</w:t>
            </w:r>
          </w:p>
        </w:tc>
        <w:tc>
          <w:tcPr>
            <w:tcW w:w="1700" w:type="dxa"/>
            <w:vAlign w:val="bottom"/>
          </w:tcPr>
          <w:p>
            <w:pPr>
              <w:ind w:left="40"/>
              <w:spacing w:after="0"/>
              <w:rPr>
                <w:sz w:val="20"/>
                <w:szCs w:val="20"/>
                <w:color w:val="auto"/>
              </w:rPr>
            </w:pPr>
            <w:r>
              <w:rPr>
                <w:rFonts w:ascii="Arial" w:cs="Arial" w:eastAsia="Arial" w:hAnsi="Arial"/>
                <w:sz w:val="20"/>
                <w:szCs w:val="20"/>
                <w:color w:val="auto"/>
              </w:rPr>
              <w:t>May 19,</w:t>
            </w:r>
          </w:p>
        </w:tc>
      </w:tr>
      <w:tr>
        <w:trPr>
          <w:trHeight w:val="280"/>
        </w:trPr>
        <w:tc>
          <w:tcPr>
            <w:tcW w:w="660" w:type="dxa"/>
            <w:vAlign w:val="bottom"/>
          </w:tcPr>
          <w:p>
            <w:pPr>
              <w:spacing w:after="0"/>
              <w:rPr>
                <w:sz w:val="24"/>
                <w:szCs w:val="24"/>
                <w:color w:val="auto"/>
              </w:rPr>
            </w:pPr>
          </w:p>
        </w:tc>
        <w:tc>
          <w:tcPr>
            <w:tcW w:w="5260" w:type="dxa"/>
            <w:vAlign w:val="bottom"/>
            <w:gridSpan w:val="26"/>
          </w:tcPr>
          <w:p>
            <w:pPr>
              <w:spacing w:after="0"/>
              <w:rPr>
                <w:rFonts w:ascii="Arial" w:cs="Arial" w:eastAsia="Arial" w:hAnsi="Arial"/>
                <w:sz w:val="20"/>
                <w:szCs w:val="20"/>
                <w:color w:val="0000FF"/>
              </w:rPr>
            </w:pPr>
            <w:hyperlink r:id="rId665">
              <w:r>
                <w:rPr>
                  <w:rFonts w:ascii="Arial" w:cs="Arial" w:eastAsia="Arial" w:hAnsi="Arial"/>
                  <w:sz w:val="20"/>
                  <w:szCs w:val="20"/>
                  <w:color w:val="0000FF"/>
                </w:rPr>
                <w:t>supplemental to the Indenture dated as of May 16, 2017</w:t>
              </w:r>
            </w:hyperlink>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20"/>
                <w:szCs w:val="20"/>
                <w:color w:val="auto"/>
              </w:rPr>
              <w:t>2022</w:t>
            </w:r>
          </w:p>
        </w:tc>
      </w:tr>
      <w:tr>
        <w:trPr>
          <w:trHeight w:val="41"/>
        </w:trPr>
        <w:tc>
          <w:tcPr>
            <w:tcW w:w="660" w:type="dxa"/>
            <w:vAlign w:val="bottom"/>
          </w:tcPr>
          <w:p>
            <w:pPr>
              <w:spacing w:after="0"/>
              <w:rPr>
                <w:sz w:val="3"/>
                <w:szCs w:val="3"/>
                <w:color w:val="auto"/>
              </w:rPr>
            </w:pPr>
          </w:p>
        </w:tc>
        <w:tc>
          <w:tcPr>
            <w:tcW w:w="1220" w:type="dxa"/>
            <w:vAlign w:val="bottom"/>
            <w:tcBorders>
              <w:top w:val="single" w:sz="8" w:color="0000FF"/>
            </w:tcBorders>
          </w:tcPr>
          <w:p>
            <w:pPr>
              <w:spacing w:after="0"/>
              <w:rPr>
                <w:sz w:val="3"/>
                <w:szCs w:val="3"/>
                <w:color w:val="auto"/>
              </w:rPr>
            </w:pPr>
          </w:p>
        </w:tc>
        <w:tc>
          <w:tcPr>
            <w:tcW w:w="2360" w:type="dxa"/>
            <w:vAlign w:val="bottom"/>
            <w:tcBorders>
              <w:top w:val="single" w:sz="8" w:color="0000FF"/>
            </w:tcBorders>
          </w:tcPr>
          <w:p>
            <w:pPr>
              <w:spacing w:after="0"/>
              <w:rPr>
                <w:sz w:val="3"/>
                <w:szCs w:val="3"/>
                <w:color w:val="auto"/>
              </w:rPr>
            </w:pPr>
          </w:p>
        </w:tc>
        <w:tc>
          <w:tcPr>
            <w:tcW w:w="8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9"/>
        </w:trPr>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7"/>
              </w:rPr>
              <w:t>4.15</w:t>
            </w:r>
          </w:p>
        </w:tc>
        <w:tc>
          <w:tcPr>
            <w:tcW w:w="4620" w:type="dxa"/>
            <w:vAlign w:val="bottom"/>
            <w:tcBorders>
              <w:bottom w:val="single" w:sz="8" w:color="0000FF"/>
            </w:tcBorders>
            <w:gridSpan w:val="7"/>
            <w:shd w:val="clear" w:color="auto" w:fill="CFF0FC"/>
          </w:tcPr>
          <w:p>
            <w:pPr>
              <w:spacing w:after="0"/>
              <w:rPr>
                <w:rFonts w:ascii="Arial" w:cs="Arial" w:eastAsia="Arial" w:hAnsi="Arial"/>
                <w:sz w:val="20"/>
                <w:szCs w:val="20"/>
                <w:color w:val="0000FF"/>
                <w:w w:val="91"/>
              </w:rPr>
            </w:pPr>
            <w:hyperlink r:id="rId666">
              <w:r>
                <w:rPr>
                  <w:rFonts w:ascii="Arial" w:cs="Arial" w:eastAsia="Arial" w:hAnsi="Arial"/>
                  <w:sz w:val="20"/>
                  <w:szCs w:val="20"/>
                  <w:color w:val="0000FF"/>
                  <w:w w:val="91"/>
                </w:rPr>
                <w:t>Sixth Supplemental Indenture, dated as of May 17, 2023,</w:t>
              </w:r>
            </w:hyperlink>
          </w:p>
        </w:tc>
        <w:tc>
          <w:tcPr>
            <w:tcW w:w="640" w:type="dxa"/>
            <w:vAlign w:val="bottom"/>
            <w:tcBorders>
              <w:bottom w:val="single" w:sz="8" w:color="CFF0FC"/>
            </w:tcBorders>
            <w:gridSpan w:val="19"/>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6"/>
              </w:rPr>
              <w:t>4.1</w:t>
            </w: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May 17,</w:t>
            </w:r>
          </w:p>
        </w:tc>
      </w:tr>
      <w:tr>
        <w:trPr>
          <w:trHeight w:val="280"/>
        </w:trPr>
        <w:tc>
          <w:tcPr>
            <w:tcW w:w="660" w:type="dxa"/>
            <w:vAlign w:val="bottom"/>
            <w:shd w:val="clear" w:color="auto" w:fill="CFF0FC"/>
          </w:tcPr>
          <w:p>
            <w:pPr>
              <w:spacing w:after="0"/>
              <w:rPr>
                <w:sz w:val="24"/>
                <w:szCs w:val="24"/>
                <w:color w:val="auto"/>
              </w:rPr>
            </w:pPr>
          </w:p>
        </w:tc>
        <w:tc>
          <w:tcPr>
            <w:tcW w:w="5260" w:type="dxa"/>
            <w:vAlign w:val="bottom"/>
            <w:gridSpan w:val="26"/>
            <w:shd w:val="clear" w:color="auto" w:fill="CFF0FC"/>
          </w:tcPr>
          <w:p>
            <w:pPr>
              <w:spacing w:after="0"/>
              <w:rPr>
                <w:rFonts w:ascii="Arial" w:cs="Arial" w:eastAsia="Arial" w:hAnsi="Arial"/>
                <w:sz w:val="20"/>
                <w:szCs w:val="20"/>
                <w:color w:val="0000FF"/>
              </w:rPr>
            </w:pPr>
            <w:hyperlink r:id="rId666">
              <w:r>
                <w:rPr>
                  <w:rFonts w:ascii="Arial" w:cs="Arial" w:eastAsia="Arial" w:hAnsi="Arial"/>
                  <w:sz w:val="20"/>
                  <w:szCs w:val="20"/>
                  <w:color w:val="0000FF"/>
                </w:rPr>
                <w:t>supplemental to the Indenture dated as of May 16, 2017</w:t>
              </w:r>
            </w:hyperlink>
          </w:p>
        </w:tc>
        <w:tc>
          <w:tcPr>
            <w:tcW w:w="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700" w:type="dxa"/>
            <w:vAlign w:val="bottom"/>
            <w:shd w:val="clear" w:color="auto" w:fill="CFF0FC"/>
          </w:tcPr>
          <w:p>
            <w:pPr>
              <w:ind w:left="40"/>
              <w:spacing w:after="0"/>
              <w:rPr>
                <w:sz w:val="20"/>
                <w:szCs w:val="20"/>
                <w:color w:val="auto"/>
              </w:rPr>
            </w:pPr>
            <w:r>
              <w:rPr>
                <w:rFonts w:ascii="Arial" w:cs="Arial" w:eastAsia="Arial" w:hAnsi="Arial"/>
                <w:sz w:val="20"/>
                <w:szCs w:val="20"/>
                <w:color w:val="auto"/>
              </w:rPr>
              <w:t>2023</w:t>
            </w:r>
          </w:p>
        </w:tc>
      </w:tr>
      <w:tr>
        <w:trPr>
          <w:trHeight w:val="41"/>
        </w:trPr>
        <w:tc>
          <w:tcPr>
            <w:tcW w:w="660" w:type="dxa"/>
            <w:vAlign w:val="bottom"/>
            <w:tcBorders>
              <w:top w:val="single" w:sz="8" w:color="CFF0FC"/>
            </w:tcBorders>
            <w:shd w:val="clear" w:color="auto" w:fill="CFF0FC"/>
          </w:tcPr>
          <w:p>
            <w:pPr>
              <w:spacing w:after="0"/>
              <w:rPr>
                <w:sz w:val="3"/>
                <w:szCs w:val="3"/>
                <w:color w:val="auto"/>
              </w:rPr>
            </w:pPr>
          </w:p>
        </w:tc>
        <w:tc>
          <w:tcPr>
            <w:tcW w:w="1220" w:type="dxa"/>
            <w:vAlign w:val="bottom"/>
            <w:tcBorders>
              <w:top w:val="single" w:sz="8" w:color="0000FF"/>
            </w:tcBorders>
            <w:shd w:val="clear" w:color="auto" w:fill="CFF0FC"/>
          </w:tcPr>
          <w:p>
            <w:pPr>
              <w:spacing w:after="0"/>
              <w:rPr>
                <w:sz w:val="3"/>
                <w:szCs w:val="3"/>
                <w:color w:val="auto"/>
              </w:rPr>
            </w:pPr>
          </w:p>
        </w:tc>
        <w:tc>
          <w:tcPr>
            <w:tcW w:w="2360" w:type="dxa"/>
            <w:vAlign w:val="bottom"/>
            <w:tcBorders>
              <w:top w:val="single" w:sz="8" w:color="0000FF"/>
            </w:tcBorders>
            <w:shd w:val="clear" w:color="auto" w:fill="CFF0FC"/>
          </w:tcPr>
          <w:p>
            <w:pPr>
              <w:spacing w:after="0"/>
              <w:rPr>
                <w:sz w:val="3"/>
                <w:szCs w:val="3"/>
                <w:color w:val="auto"/>
              </w:rPr>
            </w:pPr>
          </w:p>
        </w:tc>
        <w:tc>
          <w:tcPr>
            <w:tcW w:w="880" w:type="dxa"/>
            <w:vAlign w:val="bottom"/>
            <w:tcBorders>
              <w:top w:val="single" w:sz="8" w:color="0000FF"/>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740" w:type="dxa"/>
            <w:vAlign w:val="bottom"/>
            <w:tcBorders>
              <w:top w:val="single" w:sz="8" w:color="CFF0FC"/>
            </w:tcBorders>
            <w:shd w:val="clear" w:color="auto" w:fill="CFF0FC"/>
          </w:tcPr>
          <w:p>
            <w:pPr>
              <w:spacing w:after="0"/>
              <w:rPr>
                <w:sz w:val="3"/>
                <w:szCs w:val="3"/>
                <w:color w:val="auto"/>
              </w:rPr>
            </w:pPr>
          </w:p>
        </w:tc>
        <w:tc>
          <w:tcPr>
            <w:tcW w:w="600" w:type="dxa"/>
            <w:vAlign w:val="bottom"/>
            <w:tcBorders>
              <w:top w:val="single" w:sz="8" w:color="CFF0FC"/>
            </w:tcBorders>
            <w:shd w:val="clear" w:color="auto" w:fill="CFF0FC"/>
          </w:tcPr>
          <w:p>
            <w:pPr>
              <w:spacing w:after="0"/>
              <w:rPr>
                <w:sz w:val="3"/>
                <w:szCs w:val="3"/>
                <w:color w:val="auto"/>
              </w:rPr>
            </w:pPr>
          </w:p>
        </w:tc>
        <w:tc>
          <w:tcPr>
            <w:tcW w:w="1700" w:type="dxa"/>
            <w:vAlign w:val="bottom"/>
            <w:tcBorders>
              <w:top w:val="single" w:sz="8" w:color="CFF0FC"/>
            </w:tcBorders>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-8133715</wp:posOffset>
            </wp:positionV>
            <wp:extent cx="1442085" cy="635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7">
                      <a:extLst>
                        <a:ext uri="{28A0092B-C50C-407E-A947-70E740481C1C}"/>
                      </a:extLst>
                    </a:blip>
                    <a:srcRect/>
                    <a:stretch>
                      <a:fillRect/>
                    </a:stretch>
                  </pic:blipFill>
                  <pic:spPr bwMode="auto">
                    <a:xfrm>
                      <a:off x="0" y="0"/>
                      <a:ext cx="144208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-7822565</wp:posOffset>
            </wp:positionV>
            <wp:extent cx="5728970" cy="127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8">
                      <a:extLst>
                        <a:ext uri="{28A0092B-C50C-407E-A947-70E740481C1C}"/>
                      </a:extLst>
                    </a:blip>
                    <a:srcRect/>
                    <a:stretch>
                      <a:fillRect/>
                    </a:stretch>
                  </pic:blipFill>
                  <pic:spPr bwMode="auto">
                    <a:xfrm>
                      <a:off x="0" y="0"/>
                      <a:ext cx="5728970" cy="1270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13 / 60</w:t>
      </w:r>
    </w:p>
    <w:p>
      <w:pPr>
        <w:sectPr>
          <w:pgSz w:w="11900" w:h="16838" w:orient="portrait"/>
          <w:cols w:equalWidth="0" w:num="1">
            <w:col w:w="9026"/>
          </w:cols>
          <w:pgMar w:left="1440" w:top="1440" w:right="1440" w:bottom="0" w:gutter="0" w:footer="0" w:header="0"/>
          <w:type w:val="continuous"/>
        </w:sectPr>
      </w:pPr>
    </w:p>
    <w:bookmarkStart w:id="273" w:name="page274"/>
    <w:bookmarkEnd w:id="273"/>
    <w:tbl>
      <w:tblPr>
        <w:tblLayout w:type="fixed"/>
        <w:tblInd w:w="0" w:type="dxa"/>
        <w:tblCellMar>
          <w:top w:w="0" w:type="dxa"/>
          <w:left w:w="0" w:type="dxa"/>
          <w:bottom w:w="0" w:type="dxa"/>
          <w:right w:w="0" w:type="dxa"/>
        </w:tblCellMar>
      </w:tblPr>
      <w:tr>
        <w:trPr>
          <w:trHeight w:val="230"/>
        </w:trPr>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4.16</w:t>
            </w:r>
          </w:p>
        </w:tc>
        <w:tc>
          <w:tcPr>
            <w:tcW w:w="4900" w:type="dxa"/>
            <w:vAlign w:val="bottom"/>
            <w:tcBorders>
              <w:bottom w:val="single" w:sz="8" w:color="0000FF"/>
            </w:tcBorders>
            <w:gridSpan w:val="2"/>
          </w:tcPr>
          <w:p>
            <w:pPr>
              <w:spacing w:after="0"/>
              <w:rPr>
                <w:rFonts w:ascii="Arial" w:cs="Arial" w:eastAsia="Arial" w:hAnsi="Arial"/>
                <w:sz w:val="20"/>
                <w:szCs w:val="20"/>
                <w:color w:val="0000FF"/>
                <w:w w:val="90"/>
              </w:rPr>
            </w:pPr>
            <w:hyperlink r:id="rId669">
              <w:r>
                <w:rPr>
                  <w:rFonts w:ascii="Arial" w:cs="Arial" w:eastAsia="Arial" w:hAnsi="Arial"/>
                  <w:sz w:val="20"/>
                  <w:szCs w:val="20"/>
                  <w:color w:val="0000FF"/>
                  <w:w w:val="90"/>
                </w:rPr>
                <w:t>Seventh Supplemental Indenture, dated as of March 5, 2024,</w:t>
              </w:r>
            </w:hyperlink>
          </w:p>
        </w:tc>
        <w:tc>
          <w:tcPr>
            <w:tcW w:w="280" w:type="dxa"/>
            <w:vAlign w:val="bottom"/>
            <w:gridSpan w:val="2"/>
          </w:tcPr>
          <w:p>
            <w:pPr>
              <w:spacing w:after="0"/>
              <w:rPr>
                <w:sz w:val="19"/>
                <w:szCs w:val="19"/>
                <w:color w:val="auto"/>
              </w:rPr>
            </w:pPr>
          </w:p>
        </w:tc>
        <w:tc>
          <w:tcPr>
            <w:tcW w:w="860" w:type="dxa"/>
            <w:vAlign w:val="bottom"/>
          </w:tcPr>
          <w:p>
            <w:pPr>
              <w:jc w:val="center"/>
              <w:ind w:left="60"/>
              <w:spacing w:after="0"/>
              <w:rPr>
                <w:sz w:val="20"/>
                <w:szCs w:val="20"/>
                <w:color w:val="auto"/>
              </w:rPr>
            </w:pPr>
            <w:r>
              <w:rPr>
                <w:rFonts w:ascii="Arial" w:cs="Arial" w:eastAsia="Arial" w:hAnsi="Arial"/>
                <w:sz w:val="20"/>
                <w:szCs w:val="20"/>
                <w:color w:val="auto"/>
                <w:w w:val="96"/>
              </w:rPr>
              <w:t>8-K</w:t>
            </w:r>
          </w:p>
        </w:tc>
        <w:tc>
          <w:tcPr>
            <w:tcW w:w="580" w:type="dxa"/>
            <w:vAlign w:val="bottom"/>
          </w:tcPr>
          <w:p>
            <w:pPr>
              <w:jc w:val="center"/>
              <w:spacing w:after="0"/>
              <w:rPr>
                <w:sz w:val="20"/>
                <w:szCs w:val="20"/>
                <w:color w:val="auto"/>
              </w:rPr>
            </w:pPr>
            <w:r>
              <w:rPr>
                <w:rFonts w:ascii="Arial" w:cs="Arial" w:eastAsia="Arial" w:hAnsi="Arial"/>
                <w:sz w:val="20"/>
                <w:szCs w:val="20"/>
                <w:color w:val="auto"/>
                <w:w w:val="86"/>
              </w:rPr>
              <w:t>4.1</w:t>
            </w:r>
          </w:p>
        </w:tc>
        <w:tc>
          <w:tcPr>
            <w:tcW w:w="1940" w:type="dxa"/>
            <w:vAlign w:val="bottom"/>
            <w:gridSpan w:val="2"/>
          </w:tcPr>
          <w:p>
            <w:pPr>
              <w:ind w:left="80"/>
              <w:spacing w:after="0"/>
              <w:rPr>
                <w:sz w:val="20"/>
                <w:szCs w:val="20"/>
                <w:color w:val="auto"/>
              </w:rPr>
            </w:pPr>
            <w:r>
              <w:rPr>
                <w:rFonts w:ascii="Arial" w:cs="Arial" w:eastAsia="Arial" w:hAnsi="Arial"/>
                <w:sz w:val="20"/>
                <w:szCs w:val="20"/>
                <w:color w:val="auto"/>
              </w:rPr>
              <w:t>March 5,</w:t>
            </w: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gridSpan w:val="4"/>
          </w:tcPr>
          <w:p>
            <w:pPr>
              <w:spacing w:after="0"/>
              <w:rPr>
                <w:rFonts w:ascii="Arial" w:cs="Arial" w:eastAsia="Arial" w:hAnsi="Arial"/>
                <w:sz w:val="20"/>
                <w:szCs w:val="20"/>
                <w:color w:val="0000FF"/>
              </w:rPr>
            </w:pPr>
            <w:hyperlink r:id="rId669">
              <w:r>
                <w:rPr>
                  <w:rFonts w:ascii="Arial" w:cs="Arial" w:eastAsia="Arial" w:hAnsi="Arial"/>
                  <w:sz w:val="20"/>
                  <w:szCs w:val="20"/>
                  <w:color w:val="0000FF"/>
                </w:rPr>
                <w:t>supplemental to the Indenture dated as of May 16, 2017</w:t>
              </w:r>
            </w:hyperlink>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20"/>
                <w:szCs w:val="20"/>
                <w:color w:val="auto"/>
              </w:rPr>
              <w:t>2024</w:t>
            </w: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460" w:type="dxa"/>
            <w:vAlign w:val="bottom"/>
            <w:tcBorders>
              <w:top w:val="single" w:sz="8" w:color="0000FF"/>
            </w:tcBorders>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6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4.17</w:t>
            </w:r>
          </w:p>
        </w:tc>
        <w:tc>
          <w:tcPr>
            <w:tcW w:w="5180" w:type="dxa"/>
            <w:vAlign w:val="bottom"/>
            <w:tcBorders>
              <w:bottom w:val="single" w:sz="8" w:color="0000FF"/>
            </w:tcBorders>
            <w:gridSpan w:val="4"/>
            <w:shd w:val="clear" w:color="auto" w:fill="CFF0FC"/>
          </w:tcPr>
          <w:p>
            <w:pPr>
              <w:spacing w:after="0"/>
              <w:rPr>
                <w:rFonts w:ascii="Arial" w:cs="Arial" w:eastAsia="Arial" w:hAnsi="Arial"/>
                <w:sz w:val="20"/>
                <w:szCs w:val="20"/>
                <w:color w:val="0000FF"/>
                <w:w w:val="90"/>
              </w:rPr>
            </w:pPr>
            <w:hyperlink r:id="rId670">
              <w:r>
                <w:rPr>
                  <w:rFonts w:ascii="Arial" w:cs="Arial" w:eastAsia="Arial" w:hAnsi="Arial"/>
                  <w:sz w:val="20"/>
                  <w:szCs w:val="20"/>
                  <w:color w:val="0000FF"/>
                  <w:w w:val="90"/>
                </w:rPr>
                <w:t>Eighth Supplemental Indenture, dated as of December 16, 2024,</w:t>
              </w:r>
            </w:hyperlink>
          </w:p>
        </w:tc>
        <w:tc>
          <w:tcPr>
            <w:tcW w:w="860" w:type="dxa"/>
            <w:vAlign w:val="bottom"/>
            <w:tcBorders>
              <w:bottom w:val="single" w:sz="8" w:color="CFF0FC"/>
            </w:tcBorders>
            <w:shd w:val="clear" w:color="auto" w:fill="CFF0FC"/>
          </w:tcPr>
          <w:p>
            <w:pPr>
              <w:jc w:val="center"/>
              <w:ind w:left="60"/>
              <w:spacing w:after="0"/>
              <w:rPr>
                <w:sz w:val="20"/>
                <w:szCs w:val="20"/>
                <w:color w:val="auto"/>
              </w:rPr>
            </w:pPr>
            <w:r>
              <w:rPr>
                <w:rFonts w:ascii="Arial" w:cs="Arial" w:eastAsia="Arial" w:hAnsi="Arial"/>
                <w:sz w:val="20"/>
                <w:szCs w:val="20"/>
                <w:color w:val="auto"/>
                <w:w w:val="99"/>
              </w:rPr>
              <w:t>10-K</w:t>
            </w:r>
          </w:p>
        </w:tc>
        <w:tc>
          <w:tcPr>
            <w:tcW w:w="5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4.17</w:t>
            </w:r>
          </w:p>
        </w:tc>
        <w:tc>
          <w:tcPr>
            <w:tcW w:w="17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February</w:t>
            </w:r>
          </w:p>
        </w:tc>
        <w:tc>
          <w:tcPr>
            <w:tcW w:w="200" w:type="dxa"/>
            <w:vAlign w:val="bottom"/>
          </w:tcPr>
          <w:p>
            <w:pPr>
              <w:spacing w:after="0"/>
              <w:rPr>
                <w:sz w:val="20"/>
                <w:szCs w:val="20"/>
                <w:color w:val="auto"/>
              </w:rPr>
            </w:pPr>
          </w:p>
        </w:tc>
      </w:tr>
      <w:tr>
        <w:trPr>
          <w:trHeight w:val="280"/>
        </w:trPr>
        <w:tc>
          <w:tcPr>
            <w:tcW w:w="180" w:type="dxa"/>
            <w:vAlign w:val="bottom"/>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5180" w:type="dxa"/>
            <w:vAlign w:val="bottom"/>
            <w:gridSpan w:val="4"/>
            <w:shd w:val="clear" w:color="auto" w:fill="CFF0FC"/>
          </w:tcPr>
          <w:p>
            <w:pPr>
              <w:spacing w:after="0"/>
              <w:rPr>
                <w:rFonts w:ascii="Arial" w:cs="Arial" w:eastAsia="Arial" w:hAnsi="Arial"/>
                <w:sz w:val="20"/>
                <w:szCs w:val="20"/>
                <w:color w:val="0000FF"/>
              </w:rPr>
            </w:pPr>
            <w:hyperlink r:id="rId670">
              <w:r>
                <w:rPr>
                  <w:rFonts w:ascii="Arial" w:cs="Arial" w:eastAsia="Arial" w:hAnsi="Arial"/>
                  <w:sz w:val="20"/>
                  <w:szCs w:val="20"/>
                  <w:color w:val="0000FF"/>
                </w:rPr>
                <w:t>supplemental to the Indenture dated as of May 16, 2017</w:t>
              </w:r>
            </w:hyperlink>
          </w:p>
        </w:tc>
        <w:tc>
          <w:tcPr>
            <w:tcW w:w="86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1740" w:type="dxa"/>
            <w:vAlign w:val="bottom"/>
            <w:shd w:val="clear" w:color="auto" w:fill="CFF0FC"/>
          </w:tcPr>
          <w:p>
            <w:pPr>
              <w:ind w:left="80"/>
              <w:spacing w:after="0"/>
              <w:rPr>
                <w:sz w:val="20"/>
                <w:szCs w:val="20"/>
                <w:color w:val="auto"/>
              </w:rPr>
            </w:pPr>
            <w:r>
              <w:rPr>
                <w:rFonts w:ascii="Arial" w:cs="Arial" w:eastAsia="Arial" w:hAnsi="Arial"/>
                <w:sz w:val="20"/>
                <w:szCs w:val="20"/>
                <w:color w:val="auto"/>
              </w:rPr>
              <w:t>25, 2025</w:t>
            </w: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Borders>
              <w:top w:val="single" w:sz="8" w:color="CFF0FC"/>
            </w:tcBorders>
            <w:shd w:val="clear" w:color="auto" w:fill="CFF0FC"/>
          </w:tcPr>
          <w:p>
            <w:pPr>
              <w:spacing w:after="0"/>
              <w:rPr>
                <w:sz w:val="3"/>
                <w:szCs w:val="3"/>
                <w:color w:val="auto"/>
              </w:rPr>
            </w:pPr>
          </w:p>
        </w:tc>
        <w:tc>
          <w:tcPr>
            <w:tcW w:w="4460" w:type="dxa"/>
            <w:vAlign w:val="bottom"/>
            <w:tcBorders>
              <w:top w:val="single" w:sz="8" w:color="0000FF"/>
            </w:tcBorders>
            <w:shd w:val="clear" w:color="auto" w:fill="CFF0FC"/>
          </w:tcPr>
          <w:p>
            <w:pPr>
              <w:spacing w:after="0"/>
              <w:rPr>
                <w:sz w:val="3"/>
                <w:szCs w:val="3"/>
                <w:color w:val="auto"/>
              </w:rPr>
            </w:pPr>
          </w:p>
        </w:tc>
        <w:tc>
          <w:tcPr>
            <w:tcW w:w="440" w:type="dxa"/>
            <w:vAlign w:val="bottom"/>
            <w:tcBorders>
              <w:top w:val="single" w:sz="8" w:color="CFF0FC"/>
            </w:tcBorders>
            <w:shd w:val="clear" w:color="auto" w:fill="CFF0FC"/>
          </w:tcPr>
          <w:p>
            <w:pPr>
              <w:spacing w:after="0"/>
              <w:rPr>
                <w:sz w:val="3"/>
                <w:szCs w:val="3"/>
                <w:color w:val="auto"/>
              </w:rPr>
            </w:pPr>
          </w:p>
        </w:tc>
        <w:tc>
          <w:tcPr>
            <w:tcW w:w="200" w:type="dxa"/>
            <w:vAlign w:val="bottom"/>
            <w:tcBorders>
              <w:top w:val="single" w:sz="8" w:color="CFF0FC"/>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860" w:type="dxa"/>
            <w:vAlign w:val="bottom"/>
            <w:tcBorders>
              <w:top w:val="single" w:sz="8" w:color="CFF0FC"/>
            </w:tcBorders>
            <w:shd w:val="clear" w:color="auto" w:fill="CFF0FC"/>
          </w:tcPr>
          <w:p>
            <w:pPr>
              <w:spacing w:after="0"/>
              <w:rPr>
                <w:sz w:val="3"/>
                <w:szCs w:val="3"/>
                <w:color w:val="auto"/>
              </w:rPr>
            </w:pPr>
          </w:p>
        </w:tc>
        <w:tc>
          <w:tcPr>
            <w:tcW w:w="580" w:type="dxa"/>
            <w:vAlign w:val="bottom"/>
            <w:tcBorders>
              <w:top w:val="single" w:sz="8" w:color="CFF0FC"/>
            </w:tcBorders>
            <w:shd w:val="clear" w:color="auto" w:fill="CFF0FC"/>
          </w:tcPr>
          <w:p>
            <w:pPr>
              <w:spacing w:after="0"/>
              <w:rPr>
                <w:sz w:val="3"/>
                <w:szCs w:val="3"/>
                <w:color w:val="auto"/>
              </w:rPr>
            </w:pPr>
          </w:p>
        </w:tc>
        <w:tc>
          <w:tcPr>
            <w:tcW w:w="1740" w:type="dxa"/>
            <w:vAlign w:val="bottom"/>
            <w:tcBorders>
              <w:top w:val="single" w:sz="8" w:color="CFF0FC"/>
            </w:tcBorders>
            <w:shd w:val="clear" w:color="auto" w:fill="CFF0FC"/>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660" w:type="dxa"/>
            <w:vAlign w:val="bottom"/>
          </w:tcPr>
          <w:p>
            <w:pPr>
              <w:jc w:val="right"/>
              <w:ind w:right="100"/>
              <w:spacing w:after="0"/>
              <w:rPr>
                <w:sz w:val="20"/>
                <w:szCs w:val="20"/>
                <w:color w:val="auto"/>
              </w:rPr>
            </w:pPr>
            <w:r>
              <w:rPr>
                <w:rFonts w:ascii="Arial" w:cs="Arial" w:eastAsia="Arial" w:hAnsi="Arial"/>
                <w:sz w:val="20"/>
                <w:szCs w:val="20"/>
                <w:color w:val="auto"/>
              </w:rPr>
              <w:t>4.18</w:t>
            </w:r>
          </w:p>
        </w:tc>
        <w:tc>
          <w:tcPr>
            <w:tcW w:w="5100" w:type="dxa"/>
            <w:vAlign w:val="bottom"/>
            <w:tcBorders>
              <w:bottom w:val="single" w:sz="8" w:color="0000FF"/>
            </w:tcBorders>
            <w:gridSpan w:val="3"/>
          </w:tcPr>
          <w:p>
            <w:pPr>
              <w:spacing w:after="0"/>
              <w:rPr>
                <w:rFonts w:ascii="Arial" w:cs="Arial" w:eastAsia="Arial" w:hAnsi="Arial"/>
                <w:sz w:val="20"/>
                <w:szCs w:val="20"/>
                <w:color w:val="0000FF"/>
                <w:w w:val="90"/>
              </w:rPr>
            </w:pPr>
            <w:hyperlink r:id="rId671">
              <w:r>
                <w:rPr>
                  <w:rFonts w:ascii="Arial" w:cs="Arial" w:eastAsia="Arial" w:hAnsi="Arial"/>
                  <w:sz w:val="20"/>
                  <w:szCs w:val="20"/>
                  <w:color w:val="0000FF"/>
                  <w:w w:val="90"/>
                </w:rPr>
                <w:t>Ninth Supplemental Indenture, dated as of December 22, 2025,</w:t>
              </w:r>
            </w:hyperlink>
          </w:p>
        </w:tc>
        <w:tc>
          <w:tcPr>
            <w:tcW w:w="80" w:type="dxa"/>
            <w:vAlign w:val="bottom"/>
          </w:tcPr>
          <w:p>
            <w:pPr>
              <w:spacing w:after="0"/>
              <w:rPr>
                <w:sz w:val="20"/>
                <w:szCs w:val="20"/>
                <w:color w:val="auto"/>
              </w:rPr>
            </w:pPr>
          </w:p>
        </w:tc>
        <w:tc>
          <w:tcPr>
            <w:tcW w:w="860" w:type="dxa"/>
            <w:vAlign w:val="bottom"/>
          </w:tcPr>
          <w:p>
            <w:pPr>
              <w:jc w:val="center"/>
              <w:ind w:left="60"/>
              <w:spacing w:after="0"/>
              <w:rPr>
                <w:sz w:val="20"/>
                <w:szCs w:val="20"/>
                <w:color w:val="auto"/>
              </w:rPr>
            </w:pPr>
            <w:r>
              <w:rPr>
                <w:rFonts w:ascii="Arial" w:cs="Arial" w:eastAsia="Arial" w:hAnsi="Arial"/>
                <w:sz w:val="20"/>
                <w:szCs w:val="20"/>
                <w:color w:val="auto"/>
                <w:w w:val="96"/>
              </w:rPr>
              <w:t>8-K</w:t>
            </w:r>
          </w:p>
        </w:tc>
        <w:tc>
          <w:tcPr>
            <w:tcW w:w="580" w:type="dxa"/>
            <w:vAlign w:val="bottom"/>
          </w:tcPr>
          <w:p>
            <w:pPr>
              <w:jc w:val="center"/>
              <w:spacing w:after="0"/>
              <w:rPr>
                <w:sz w:val="20"/>
                <w:szCs w:val="20"/>
                <w:color w:val="auto"/>
              </w:rPr>
            </w:pPr>
            <w:r>
              <w:rPr>
                <w:rFonts w:ascii="Arial" w:cs="Arial" w:eastAsia="Arial" w:hAnsi="Arial"/>
                <w:sz w:val="20"/>
                <w:szCs w:val="20"/>
                <w:color w:val="auto"/>
                <w:w w:val="86"/>
              </w:rPr>
              <w:t>4.1</w:t>
            </w:r>
          </w:p>
        </w:tc>
        <w:tc>
          <w:tcPr>
            <w:tcW w:w="1940" w:type="dxa"/>
            <w:vAlign w:val="bottom"/>
            <w:gridSpan w:val="2"/>
          </w:tcPr>
          <w:p>
            <w:pPr>
              <w:ind w:left="80"/>
              <w:spacing w:after="0"/>
              <w:rPr>
                <w:sz w:val="20"/>
                <w:szCs w:val="20"/>
                <w:color w:val="auto"/>
              </w:rPr>
            </w:pPr>
            <w:r>
              <w:rPr>
                <w:rFonts w:ascii="Arial" w:cs="Arial" w:eastAsia="Arial" w:hAnsi="Arial"/>
                <w:sz w:val="20"/>
                <w:szCs w:val="20"/>
                <w:color w:val="auto"/>
              </w:rPr>
              <w:t>December</w:t>
            </w: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gridSpan w:val="4"/>
          </w:tcPr>
          <w:p>
            <w:pPr>
              <w:spacing w:after="0"/>
              <w:rPr>
                <w:rFonts w:ascii="Arial" w:cs="Arial" w:eastAsia="Arial" w:hAnsi="Arial"/>
                <w:sz w:val="20"/>
                <w:szCs w:val="20"/>
                <w:color w:val="0000FF"/>
              </w:rPr>
            </w:pPr>
            <w:hyperlink r:id="rId671">
              <w:r>
                <w:rPr>
                  <w:rFonts w:ascii="Arial" w:cs="Arial" w:eastAsia="Arial" w:hAnsi="Arial"/>
                  <w:sz w:val="20"/>
                  <w:szCs w:val="20"/>
                  <w:color w:val="0000FF"/>
                </w:rPr>
                <w:t>supplemental to the Indenture dated as of May 16, 2017</w:t>
              </w:r>
            </w:hyperlink>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ind w:left="80"/>
              <w:spacing w:after="0"/>
              <w:rPr>
                <w:sz w:val="20"/>
                <w:szCs w:val="20"/>
                <w:color w:val="auto"/>
              </w:rPr>
            </w:pPr>
            <w:r>
              <w:rPr>
                <w:rFonts w:ascii="Arial" w:cs="Arial" w:eastAsia="Arial" w:hAnsi="Arial"/>
                <w:sz w:val="20"/>
                <w:szCs w:val="20"/>
                <w:color w:val="auto"/>
              </w:rPr>
              <w:t>22, 2025</w:t>
            </w:r>
          </w:p>
        </w:tc>
        <w:tc>
          <w:tcPr>
            <w:tcW w:w="200" w:type="dxa"/>
            <w:vAlign w:val="bottom"/>
          </w:tcPr>
          <w:p>
            <w:pPr>
              <w:spacing w:after="0"/>
              <w:rPr>
                <w:sz w:val="24"/>
                <w:szCs w:val="24"/>
                <w:color w:val="auto"/>
              </w:rPr>
            </w:pPr>
          </w:p>
        </w:tc>
      </w:tr>
      <w:tr>
        <w:trPr>
          <w:trHeight w:val="54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60" w:type="dxa"/>
            <w:vAlign w:val="bottom"/>
            <w:tcBorders>
              <w:top w:val="single" w:sz="8" w:color="0000FF"/>
            </w:tcBorders>
          </w:tcPr>
          <w:p>
            <w:pPr>
              <w:ind w:left="3700"/>
              <w:spacing w:after="0"/>
              <w:rPr>
                <w:sz w:val="20"/>
                <w:szCs w:val="20"/>
                <w:color w:val="auto"/>
              </w:rPr>
            </w:pPr>
            <w:r>
              <w:rPr>
                <w:rFonts w:ascii="Arial" w:cs="Arial" w:eastAsia="Arial" w:hAnsi="Arial"/>
                <w:sz w:val="20"/>
                <w:szCs w:val="20"/>
                <w:color w:val="auto"/>
              </w:rPr>
              <w:t>135</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891"/>
        </w:trPr>
        <w:tc>
          <w:tcPr>
            <w:tcW w:w="18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446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17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2">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3">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4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60</w:t>
      </w:r>
    </w:p>
    <w:p>
      <w:pPr>
        <w:sectPr>
          <w:pgSz w:w="11900" w:h="16838" w:orient="portrait"/>
          <w:cols w:equalWidth="0" w:num="1">
            <w:col w:w="9400"/>
          </w:cols>
          <w:pgMar w:left="1260" w:top="1143" w:right="1246" w:bottom="0" w:gutter="0" w:footer="0" w:header="0"/>
          <w:type w:val="continuous"/>
        </w:sectPr>
      </w:pPr>
    </w:p>
    <w:bookmarkStart w:id="274" w:name="page275"/>
    <w:bookmarkEnd w:id="2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80" w:type="dxa"/>
            <w:vAlign w:val="bottom"/>
            <w:gridSpan w:val="3"/>
          </w:tcPr>
          <w:p>
            <w:pPr>
              <w:ind w:left="300"/>
              <w:spacing w:after="0"/>
              <w:rPr>
                <w:sz w:val="20"/>
                <w:szCs w:val="20"/>
                <w:color w:val="auto"/>
              </w:rPr>
            </w:pPr>
            <w:r>
              <w:rPr>
                <w:rFonts w:ascii="Arial" w:cs="Arial" w:eastAsia="Arial" w:hAnsi="Arial"/>
                <w:sz w:val="16"/>
                <w:szCs w:val="16"/>
                <w:b w:val="1"/>
                <w:bCs w:val="1"/>
                <w:color w:val="auto"/>
              </w:rPr>
              <w:t>Incorporated by Reference</w:t>
            </w:r>
          </w:p>
        </w:tc>
      </w:tr>
      <w:tr>
        <w:trPr>
          <w:trHeight w:val="310"/>
        </w:trPr>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7"/>
              </w:rPr>
              <w:t>Schedule/</w:t>
            </w:r>
          </w:p>
        </w:tc>
        <w:tc>
          <w:tcPr>
            <w:tcW w:w="600" w:type="dxa"/>
            <w:vAlign w:val="bottom"/>
          </w:tcPr>
          <w:p>
            <w:pPr>
              <w:spacing w:after="0"/>
              <w:rPr>
                <w:sz w:val="24"/>
                <w:szCs w:val="24"/>
                <w:color w:val="auto"/>
              </w:rPr>
            </w:pPr>
          </w:p>
        </w:tc>
        <w:tc>
          <w:tcPr>
            <w:tcW w:w="1700" w:type="dxa"/>
            <w:vAlign w:val="bottom"/>
          </w:tcPr>
          <w:p>
            <w:pPr>
              <w:ind w:left="1220"/>
              <w:spacing w:after="0"/>
              <w:rPr>
                <w:sz w:val="20"/>
                <w:szCs w:val="20"/>
                <w:color w:val="auto"/>
              </w:rPr>
            </w:pPr>
            <w:r>
              <w:rPr>
                <w:rFonts w:ascii="Arial" w:cs="Arial" w:eastAsia="Arial" w:hAnsi="Arial"/>
                <w:sz w:val="16"/>
                <w:szCs w:val="16"/>
                <w:b w:val="1"/>
                <w:bCs w:val="1"/>
                <w:color w:val="auto"/>
              </w:rPr>
              <w:t>Filed</w:t>
            </w:r>
          </w:p>
        </w:tc>
      </w:tr>
      <w:tr>
        <w:trPr>
          <w:trHeight w:val="240"/>
        </w:trPr>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540" w:type="dxa"/>
            <w:vAlign w:val="bottom"/>
            <w:gridSpan w:val="24"/>
          </w:tcPr>
          <w:p>
            <w:pPr>
              <w:ind w:left="140"/>
              <w:spacing w:after="0"/>
              <w:rPr>
                <w:sz w:val="20"/>
                <w:szCs w:val="20"/>
                <w:color w:val="auto"/>
              </w:rPr>
            </w:pPr>
            <w:r>
              <w:rPr>
                <w:rFonts w:ascii="Arial" w:cs="Arial" w:eastAsia="Arial" w:hAnsi="Arial"/>
                <w:sz w:val="16"/>
                <w:szCs w:val="16"/>
                <w:b w:val="1"/>
                <w:bCs w:val="1"/>
                <w:color w:val="auto"/>
              </w:rPr>
              <w:t>Description of Exhibit</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4"/>
              </w:rPr>
              <w:t>Form</w:t>
            </w:r>
          </w:p>
        </w:tc>
        <w:tc>
          <w:tcPr>
            <w:tcW w:w="600" w:type="dxa"/>
            <w:vAlign w:val="bottom"/>
          </w:tcPr>
          <w:p>
            <w:pPr>
              <w:ind w:left="60"/>
              <w:spacing w:after="0"/>
              <w:rPr>
                <w:sz w:val="20"/>
                <w:szCs w:val="20"/>
                <w:color w:val="auto"/>
              </w:rPr>
            </w:pPr>
            <w:r>
              <w:rPr>
                <w:rFonts w:ascii="Arial" w:cs="Arial" w:eastAsia="Arial" w:hAnsi="Arial"/>
                <w:sz w:val="16"/>
                <w:szCs w:val="16"/>
                <w:b w:val="1"/>
                <w:bCs w:val="1"/>
                <w:color w:val="auto"/>
                <w:w w:val="97"/>
              </w:rPr>
              <w:t>Exhibit</w:t>
            </w:r>
          </w:p>
        </w:tc>
        <w:tc>
          <w:tcPr>
            <w:tcW w:w="1700" w:type="dxa"/>
            <w:vAlign w:val="bottom"/>
          </w:tcPr>
          <w:p>
            <w:pPr>
              <w:ind w:left="140"/>
              <w:spacing w:after="0"/>
              <w:rPr>
                <w:sz w:val="20"/>
                <w:szCs w:val="20"/>
                <w:color w:val="auto"/>
              </w:rPr>
            </w:pPr>
            <w:r>
              <w:rPr>
                <w:rFonts w:ascii="Arial" w:cs="Arial" w:eastAsia="Arial" w:hAnsi="Arial"/>
                <w:sz w:val="16"/>
                <w:szCs w:val="16"/>
                <w:b w:val="1"/>
                <w:bCs w:val="1"/>
                <w:color w:val="auto"/>
                <w:w w:val="97"/>
              </w:rPr>
              <w:t>Filing Date  Herewith</w:t>
            </w:r>
          </w:p>
        </w:tc>
      </w:tr>
      <w:tr>
        <w:trPr>
          <w:trHeight w:val="52"/>
        </w:trPr>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39"/>
        </w:trPr>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7"/>
              </w:rPr>
              <w:t>4.19</w:t>
            </w:r>
          </w:p>
        </w:tc>
        <w:tc>
          <w:tcPr>
            <w:tcW w:w="5140" w:type="dxa"/>
            <w:vAlign w:val="bottom"/>
            <w:tcBorders>
              <w:bottom w:val="single" w:sz="8" w:color="0000FF"/>
            </w:tcBorders>
            <w:gridSpan w:val="22"/>
            <w:shd w:val="clear" w:color="auto" w:fill="CFF0FC"/>
          </w:tcPr>
          <w:p>
            <w:pPr>
              <w:spacing w:after="0"/>
              <w:rPr>
                <w:rFonts w:ascii="Arial" w:cs="Arial" w:eastAsia="Arial" w:hAnsi="Arial"/>
                <w:sz w:val="20"/>
                <w:szCs w:val="20"/>
                <w:color w:val="0000FF"/>
                <w:w w:val="92"/>
              </w:rPr>
            </w:pPr>
            <w:hyperlink r:id="rId674">
              <w:r>
                <w:rPr>
                  <w:rFonts w:ascii="Arial" w:cs="Arial" w:eastAsia="Arial" w:hAnsi="Arial"/>
                  <w:sz w:val="20"/>
                  <w:szCs w:val="20"/>
                  <w:color w:val="0000FF"/>
                  <w:w w:val="92"/>
                </w:rPr>
                <w:t>Officers’ Certificate of the Issuer and the Guarantors (including</w:t>
              </w:r>
            </w:hyperlink>
          </w:p>
        </w:tc>
        <w:tc>
          <w:tcPr>
            <w:tcW w:w="140" w:type="dxa"/>
            <w:vAlign w:val="bottom"/>
            <w:tcBorders>
              <w:bottom w:val="single" w:sz="8" w:color="CFF0FC"/>
            </w:tcBorders>
            <w:gridSpan w:val="5"/>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3"/>
              </w:rPr>
              <w:t>4.1</w:t>
            </w:r>
          </w:p>
        </w:tc>
        <w:tc>
          <w:tcPr>
            <w:tcW w:w="1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May 29,</w:t>
            </w: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4880" w:type="dxa"/>
            <w:vAlign w:val="bottom"/>
            <w:tcBorders>
              <w:bottom w:val="single" w:sz="8" w:color="0000FF"/>
            </w:tcBorders>
            <w:gridSpan w:val="13"/>
            <w:shd w:val="clear" w:color="auto" w:fill="CFF0FC"/>
          </w:tcPr>
          <w:p>
            <w:pPr>
              <w:spacing w:after="0"/>
              <w:rPr>
                <w:rFonts w:ascii="Arial" w:cs="Arial" w:eastAsia="Arial" w:hAnsi="Arial"/>
                <w:sz w:val="20"/>
                <w:szCs w:val="20"/>
                <w:color w:val="0000FF"/>
                <w:w w:val="93"/>
              </w:rPr>
            </w:pPr>
            <w:hyperlink r:id="rId674">
              <w:r>
                <w:rPr>
                  <w:rFonts w:ascii="Arial" w:cs="Arial" w:eastAsia="Arial" w:hAnsi="Arial"/>
                  <w:sz w:val="20"/>
                  <w:szCs w:val="20"/>
                  <w:color w:val="0000FF"/>
                  <w:w w:val="93"/>
                </w:rPr>
                <w:t>Form of Willis North America Inc.'s 2.95% Senior Note due</w:t>
              </w:r>
            </w:hyperlink>
          </w:p>
        </w:tc>
        <w:tc>
          <w:tcPr>
            <w:tcW w:w="400" w:type="dxa"/>
            <w:vAlign w:val="bottom"/>
            <w:tcBorders>
              <w:bottom w:val="single" w:sz="8" w:color="CFF0FC"/>
            </w:tcBorders>
            <w:gridSpan w:val="14"/>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2020</w:t>
            </w:r>
          </w:p>
        </w:tc>
      </w:tr>
      <w:tr>
        <w:trPr>
          <w:trHeight w:val="280"/>
        </w:trPr>
        <w:tc>
          <w:tcPr>
            <w:tcW w:w="660" w:type="dxa"/>
            <w:vAlign w:val="bottom"/>
            <w:shd w:val="clear" w:color="auto" w:fill="CFF0FC"/>
          </w:tcPr>
          <w:p>
            <w:pPr>
              <w:spacing w:after="0"/>
              <w:rPr>
                <w:sz w:val="24"/>
                <w:szCs w:val="24"/>
                <w:color w:val="auto"/>
              </w:rPr>
            </w:pPr>
          </w:p>
        </w:tc>
        <w:tc>
          <w:tcPr>
            <w:tcW w:w="5280" w:type="dxa"/>
            <w:vAlign w:val="bottom"/>
            <w:gridSpan w:val="27"/>
            <w:shd w:val="clear" w:color="auto" w:fill="CFF0FC"/>
          </w:tcPr>
          <w:p>
            <w:pPr>
              <w:spacing w:after="0"/>
              <w:rPr>
                <w:rFonts w:ascii="Arial" w:cs="Arial" w:eastAsia="Arial" w:hAnsi="Arial"/>
                <w:sz w:val="20"/>
                <w:szCs w:val="20"/>
                <w:color w:val="0000FF"/>
                <w:w w:val="95"/>
              </w:rPr>
            </w:pPr>
            <w:hyperlink r:id="rId674">
              <w:r>
                <w:rPr>
                  <w:rFonts w:ascii="Arial" w:cs="Arial" w:eastAsia="Arial" w:hAnsi="Arial"/>
                  <w:sz w:val="20"/>
                  <w:szCs w:val="20"/>
                  <w:color w:val="0000FF"/>
                  <w:w w:val="95"/>
                </w:rPr>
                <w:t>2029 and 3.875% Senior Note due 2049), dated as of May 29,</w:t>
              </w:r>
            </w:hyperlink>
          </w:p>
        </w:tc>
        <w:tc>
          <w:tcPr>
            <w:tcW w:w="7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700" w:type="dxa"/>
            <w:vAlign w:val="bottom"/>
            <w:shd w:val="clear" w:color="auto" w:fill="CFF0FC"/>
          </w:tcPr>
          <w:p>
            <w:pPr>
              <w:spacing w:after="0"/>
              <w:rPr>
                <w:sz w:val="24"/>
                <w:szCs w:val="24"/>
                <w:color w:val="auto"/>
              </w:rPr>
            </w:pPr>
          </w:p>
        </w:tc>
      </w:tr>
      <w:tr>
        <w:trPr>
          <w:trHeight w:val="326"/>
        </w:trPr>
        <w:tc>
          <w:tcPr>
            <w:tcW w:w="660" w:type="dxa"/>
            <w:vAlign w:val="bottom"/>
            <w:tcBorders>
              <w:top w:val="single" w:sz="8" w:color="CFF0FC"/>
              <w:bottom w:val="single" w:sz="8" w:color="CFF0FC"/>
            </w:tcBorders>
            <w:shd w:val="clear" w:color="auto" w:fill="CFF0FC"/>
          </w:tcPr>
          <w:p>
            <w:pPr>
              <w:spacing w:after="0"/>
              <w:rPr>
                <w:sz w:val="24"/>
                <w:szCs w:val="24"/>
                <w:color w:val="auto"/>
              </w:rPr>
            </w:pPr>
          </w:p>
        </w:tc>
        <w:tc>
          <w:tcPr>
            <w:tcW w:w="400" w:type="dxa"/>
            <w:vAlign w:val="bottom"/>
            <w:tcBorders>
              <w:top w:val="single" w:sz="8" w:color="0000FF"/>
              <w:bottom w:val="single" w:sz="8" w:color="0000FF"/>
            </w:tcBorders>
            <w:shd w:val="clear" w:color="auto" w:fill="CFF0FC"/>
          </w:tcPr>
          <w:p>
            <w:pPr>
              <w:spacing w:after="0"/>
              <w:rPr>
                <w:rFonts w:ascii="Arial" w:cs="Arial" w:eastAsia="Arial" w:hAnsi="Arial"/>
                <w:sz w:val="20"/>
                <w:szCs w:val="20"/>
                <w:color w:val="0000FF"/>
                <w:w w:val="85"/>
              </w:rPr>
            </w:pPr>
            <w:hyperlink r:id="rId674">
              <w:r>
                <w:rPr>
                  <w:rFonts w:ascii="Arial" w:cs="Arial" w:eastAsia="Arial" w:hAnsi="Arial"/>
                  <w:sz w:val="20"/>
                  <w:szCs w:val="20"/>
                  <w:color w:val="0000FF"/>
                  <w:w w:val="85"/>
                </w:rPr>
                <w:t>2020</w:t>
              </w:r>
            </w:hyperlink>
          </w:p>
        </w:tc>
        <w:tc>
          <w:tcPr>
            <w:tcW w:w="40" w:type="dxa"/>
            <w:vAlign w:val="bottom"/>
            <w:tcBorders>
              <w:top w:val="single" w:sz="8" w:color="0000FF"/>
              <w:bottom w:val="single" w:sz="8" w:color="CFF0FC"/>
            </w:tcBorders>
            <w:shd w:val="clear" w:color="auto" w:fill="CFF0FC"/>
          </w:tcPr>
          <w:p>
            <w:pPr>
              <w:spacing w:after="0"/>
              <w:rPr>
                <w:sz w:val="24"/>
                <w:szCs w:val="24"/>
                <w:color w:val="auto"/>
              </w:rPr>
            </w:pPr>
          </w:p>
        </w:tc>
        <w:tc>
          <w:tcPr>
            <w:tcW w:w="1300" w:type="dxa"/>
            <w:vAlign w:val="bottom"/>
            <w:tcBorders>
              <w:top w:val="single" w:sz="8" w:color="0000FF"/>
              <w:bottom w:val="single" w:sz="8" w:color="CFF0FC"/>
            </w:tcBorders>
            <w:shd w:val="clear" w:color="auto" w:fill="CFF0FC"/>
          </w:tcPr>
          <w:p>
            <w:pPr>
              <w:spacing w:after="0"/>
              <w:rPr>
                <w:sz w:val="24"/>
                <w:szCs w:val="24"/>
                <w:color w:val="auto"/>
              </w:rPr>
            </w:pPr>
          </w:p>
        </w:tc>
        <w:tc>
          <w:tcPr>
            <w:tcW w:w="1040" w:type="dxa"/>
            <w:vAlign w:val="bottom"/>
            <w:tcBorders>
              <w:top w:val="single" w:sz="8" w:color="0000FF"/>
              <w:bottom w:val="single" w:sz="8" w:color="CFF0FC"/>
            </w:tcBorders>
            <w:shd w:val="clear" w:color="auto" w:fill="CFF0FC"/>
          </w:tcPr>
          <w:p>
            <w:pPr>
              <w:spacing w:after="0"/>
              <w:rPr>
                <w:sz w:val="24"/>
                <w:szCs w:val="24"/>
                <w:color w:val="auto"/>
              </w:rPr>
            </w:pPr>
          </w:p>
        </w:tc>
        <w:tc>
          <w:tcPr>
            <w:tcW w:w="1080" w:type="dxa"/>
            <w:vAlign w:val="bottom"/>
            <w:tcBorders>
              <w:top w:val="single" w:sz="8" w:color="0000FF"/>
              <w:bottom w:val="single" w:sz="8" w:color="CFF0FC"/>
            </w:tcBorders>
            <w:shd w:val="clear" w:color="auto" w:fill="CFF0FC"/>
          </w:tcPr>
          <w:p>
            <w:pPr>
              <w:spacing w:after="0"/>
              <w:rPr>
                <w:sz w:val="24"/>
                <w:szCs w:val="24"/>
                <w:color w:val="auto"/>
              </w:rPr>
            </w:pPr>
          </w:p>
        </w:tc>
        <w:tc>
          <w:tcPr>
            <w:tcW w:w="380" w:type="dxa"/>
            <w:vAlign w:val="bottom"/>
            <w:tcBorders>
              <w:top w:val="single" w:sz="8" w:color="0000FF"/>
              <w:bottom w:val="single" w:sz="8" w:color="CFF0FC"/>
            </w:tcBorders>
            <w:shd w:val="clear" w:color="auto" w:fill="CFF0FC"/>
          </w:tcPr>
          <w:p>
            <w:pPr>
              <w:spacing w:after="0"/>
              <w:rPr>
                <w:sz w:val="24"/>
                <w:szCs w:val="24"/>
                <w:color w:val="auto"/>
              </w:rPr>
            </w:pPr>
          </w:p>
        </w:tc>
        <w:tc>
          <w:tcPr>
            <w:tcW w:w="240" w:type="dxa"/>
            <w:vAlign w:val="bottom"/>
            <w:tcBorders>
              <w:top w:val="single" w:sz="8" w:color="0000FF"/>
              <w:bottom w:val="single" w:sz="8" w:color="CFF0FC"/>
            </w:tcBorders>
            <w:shd w:val="clear" w:color="auto" w:fill="CFF0FC"/>
          </w:tcPr>
          <w:p>
            <w:pPr>
              <w:spacing w:after="0"/>
              <w:rPr>
                <w:sz w:val="24"/>
                <w:szCs w:val="24"/>
                <w:color w:val="auto"/>
              </w:rPr>
            </w:pPr>
          </w:p>
        </w:tc>
        <w:tc>
          <w:tcPr>
            <w:tcW w:w="100" w:type="dxa"/>
            <w:vAlign w:val="bottom"/>
            <w:tcBorders>
              <w:top w:val="single" w:sz="8" w:color="0000FF"/>
              <w:bottom w:val="single" w:sz="8" w:color="CFF0FC"/>
            </w:tcBorders>
            <w:shd w:val="clear" w:color="auto" w:fill="CFF0FC"/>
          </w:tcPr>
          <w:p>
            <w:pPr>
              <w:spacing w:after="0"/>
              <w:rPr>
                <w:sz w:val="24"/>
                <w:szCs w:val="24"/>
                <w:color w:val="auto"/>
              </w:rPr>
            </w:pPr>
          </w:p>
        </w:tc>
        <w:tc>
          <w:tcPr>
            <w:tcW w:w="80" w:type="dxa"/>
            <w:vAlign w:val="bottom"/>
            <w:tcBorders>
              <w:top w:val="single" w:sz="8" w:color="0000FF"/>
              <w:bottom w:val="single" w:sz="8" w:color="CFF0FC"/>
            </w:tcBorders>
            <w:shd w:val="clear" w:color="auto" w:fill="CFF0FC"/>
          </w:tcPr>
          <w:p>
            <w:pPr>
              <w:spacing w:after="0"/>
              <w:rPr>
                <w:sz w:val="24"/>
                <w:szCs w:val="24"/>
                <w:color w:val="auto"/>
              </w:rPr>
            </w:pPr>
          </w:p>
        </w:tc>
        <w:tc>
          <w:tcPr>
            <w:tcW w:w="20" w:type="dxa"/>
            <w:vAlign w:val="bottom"/>
            <w:tcBorders>
              <w:top w:val="single" w:sz="8" w:color="0000FF"/>
              <w:bottom w:val="single" w:sz="8" w:color="CFF0FC"/>
            </w:tcBorders>
            <w:shd w:val="clear" w:color="auto" w:fill="CFF0FC"/>
          </w:tcPr>
          <w:p>
            <w:pPr>
              <w:spacing w:after="0"/>
              <w:rPr>
                <w:sz w:val="24"/>
                <w:szCs w:val="24"/>
                <w:color w:val="auto"/>
              </w:rPr>
            </w:pPr>
          </w:p>
        </w:tc>
        <w:tc>
          <w:tcPr>
            <w:tcW w:w="20" w:type="dxa"/>
            <w:vAlign w:val="bottom"/>
            <w:tcBorders>
              <w:top w:val="single" w:sz="8" w:color="0000FF"/>
              <w:bottom w:val="single" w:sz="8" w:color="CFF0FC"/>
            </w:tcBorders>
            <w:shd w:val="clear" w:color="auto" w:fill="CFF0FC"/>
          </w:tcPr>
          <w:p>
            <w:pPr>
              <w:spacing w:after="0"/>
              <w:rPr>
                <w:sz w:val="24"/>
                <w:szCs w:val="24"/>
                <w:color w:val="auto"/>
              </w:rPr>
            </w:pPr>
          </w:p>
        </w:tc>
        <w:tc>
          <w:tcPr>
            <w:tcW w:w="160" w:type="dxa"/>
            <w:vAlign w:val="bottom"/>
            <w:tcBorders>
              <w:top w:val="single" w:sz="8" w:color="0000FF"/>
              <w:bottom w:val="single" w:sz="8" w:color="CFF0FC"/>
            </w:tcBorders>
            <w:shd w:val="clear" w:color="auto" w:fill="CFF0FC"/>
          </w:tcPr>
          <w:p>
            <w:pPr>
              <w:spacing w:after="0"/>
              <w:rPr>
                <w:sz w:val="24"/>
                <w:szCs w:val="24"/>
                <w:color w:val="auto"/>
              </w:rPr>
            </w:pPr>
          </w:p>
        </w:tc>
        <w:tc>
          <w:tcPr>
            <w:tcW w:w="20" w:type="dxa"/>
            <w:vAlign w:val="bottom"/>
            <w:tcBorders>
              <w:top w:val="single" w:sz="8" w:color="0000FF"/>
              <w:bottom w:val="single" w:sz="8" w:color="CFF0FC"/>
            </w:tcBorders>
            <w:shd w:val="clear" w:color="auto" w:fill="CFF0FC"/>
          </w:tcPr>
          <w:p>
            <w:pPr>
              <w:spacing w:after="0"/>
              <w:rPr>
                <w:sz w:val="24"/>
                <w:szCs w:val="24"/>
                <w:color w:val="auto"/>
              </w:rPr>
            </w:pPr>
          </w:p>
        </w:tc>
        <w:tc>
          <w:tcPr>
            <w:tcW w:w="20" w:type="dxa"/>
            <w:vAlign w:val="bottom"/>
            <w:tcBorders>
              <w:top w:val="single" w:sz="8" w:color="0000FF"/>
              <w:bottom w:val="single" w:sz="8" w:color="CFF0FC"/>
            </w:tcBorders>
            <w:shd w:val="clear" w:color="auto" w:fill="CFF0FC"/>
          </w:tcPr>
          <w:p>
            <w:pPr>
              <w:spacing w:after="0"/>
              <w:rPr>
                <w:sz w:val="24"/>
                <w:szCs w:val="24"/>
                <w:color w:val="auto"/>
              </w:rPr>
            </w:pPr>
          </w:p>
        </w:tc>
        <w:tc>
          <w:tcPr>
            <w:tcW w:w="80" w:type="dxa"/>
            <w:vAlign w:val="bottom"/>
            <w:tcBorders>
              <w:top w:val="single" w:sz="8" w:color="0000FF"/>
              <w:bottom w:val="single" w:sz="8" w:color="CFF0FC"/>
            </w:tcBorders>
            <w:shd w:val="clear" w:color="auto" w:fill="CFF0FC"/>
          </w:tcPr>
          <w:p>
            <w:pPr>
              <w:spacing w:after="0"/>
              <w:rPr>
                <w:sz w:val="24"/>
                <w:szCs w:val="24"/>
                <w:color w:val="auto"/>
              </w:rPr>
            </w:pPr>
          </w:p>
        </w:tc>
        <w:tc>
          <w:tcPr>
            <w:tcW w:w="20" w:type="dxa"/>
            <w:vAlign w:val="bottom"/>
            <w:tcBorders>
              <w:top w:val="single" w:sz="8" w:color="0000FF"/>
              <w:bottom w:val="single" w:sz="8" w:color="CFF0FC"/>
            </w:tcBorders>
            <w:shd w:val="clear" w:color="auto" w:fill="CFF0FC"/>
          </w:tcPr>
          <w:p>
            <w:pPr>
              <w:spacing w:after="0"/>
              <w:rPr>
                <w:sz w:val="24"/>
                <w:szCs w:val="24"/>
                <w:color w:val="auto"/>
              </w:rPr>
            </w:pPr>
          </w:p>
        </w:tc>
        <w:tc>
          <w:tcPr>
            <w:tcW w:w="20" w:type="dxa"/>
            <w:vAlign w:val="bottom"/>
            <w:tcBorders>
              <w:top w:val="single" w:sz="8" w:color="0000FF"/>
              <w:bottom w:val="single" w:sz="8" w:color="CFF0FC"/>
            </w:tcBorders>
            <w:shd w:val="clear" w:color="auto" w:fill="CFF0FC"/>
          </w:tcPr>
          <w:p>
            <w:pPr>
              <w:spacing w:after="0"/>
              <w:rPr>
                <w:sz w:val="24"/>
                <w:szCs w:val="24"/>
                <w:color w:val="auto"/>
              </w:rPr>
            </w:pPr>
          </w:p>
        </w:tc>
        <w:tc>
          <w:tcPr>
            <w:tcW w:w="40" w:type="dxa"/>
            <w:vAlign w:val="bottom"/>
            <w:tcBorders>
              <w:top w:val="single" w:sz="8" w:color="CFF0FC"/>
              <w:bottom w:val="single" w:sz="8" w:color="CFF0FC"/>
            </w:tcBorders>
            <w:shd w:val="clear" w:color="auto" w:fill="CFF0FC"/>
          </w:tcPr>
          <w:p>
            <w:pPr>
              <w:spacing w:after="0"/>
              <w:rPr>
                <w:sz w:val="24"/>
                <w:szCs w:val="24"/>
                <w:color w:val="auto"/>
              </w:rPr>
            </w:pPr>
          </w:p>
        </w:tc>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40" w:type="dxa"/>
            <w:vAlign w:val="bottom"/>
            <w:tcBorders>
              <w:top w:val="single" w:sz="8" w:color="CFF0FC"/>
              <w:bottom w:val="single" w:sz="8" w:color="CFF0FC"/>
            </w:tcBorders>
            <w:shd w:val="clear" w:color="auto" w:fill="CFF0FC"/>
          </w:tcPr>
          <w:p>
            <w:pPr>
              <w:spacing w:after="0"/>
              <w:rPr>
                <w:sz w:val="24"/>
                <w:szCs w:val="24"/>
                <w:color w:val="auto"/>
              </w:rPr>
            </w:pPr>
          </w:p>
        </w:tc>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40" w:type="dxa"/>
            <w:vAlign w:val="bottom"/>
            <w:tcBorders>
              <w:top w:val="single" w:sz="8" w:color="CFF0FC"/>
              <w:bottom w:val="single" w:sz="8" w:color="CFF0FC"/>
            </w:tcBorders>
            <w:shd w:val="clear" w:color="auto" w:fill="CFF0FC"/>
          </w:tcPr>
          <w:p>
            <w:pPr>
              <w:spacing w:after="0"/>
              <w:rPr>
                <w:sz w:val="24"/>
                <w:szCs w:val="24"/>
                <w:color w:val="auto"/>
              </w:rPr>
            </w:pPr>
          </w:p>
        </w:tc>
        <w:tc>
          <w:tcPr>
            <w:tcW w:w="780" w:type="dxa"/>
            <w:vAlign w:val="bottom"/>
            <w:tcBorders>
              <w:top w:val="single" w:sz="8" w:color="CFF0FC"/>
              <w:bottom w:val="single" w:sz="8" w:color="CFF0FC"/>
            </w:tcBorders>
            <w:shd w:val="clear" w:color="auto" w:fill="CFF0FC"/>
          </w:tcPr>
          <w:p>
            <w:pPr>
              <w:spacing w:after="0"/>
              <w:rPr>
                <w:sz w:val="24"/>
                <w:szCs w:val="24"/>
                <w:color w:val="auto"/>
              </w:rPr>
            </w:pPr>
          </w:p>
        </w:tc>
        <w:tc>
          <w:tcPr>
            <w:tcW w:w="600" w:type="dxa"/>
            <w:vAlign w:val="bottom"/>
            <w:tcBorders>
              <w:top w:val="single" w:sz="8" w:color="CFF0FC"/>
              <w:bottom w:val="single" w:sz="8" w:color="CFF0FC"/>
            </w:tcBorders>
            <w:shd w:val="clear" w:color="auto" w:fill="CFF0FC"/>
          </w:tcPr>
          <w:p>
            <w:pPr>
              <w:spacing w:after="0"/>
              <w:rPr>
                <w:sz w:val="24"/>
                <w:szCs w:val="24"/>
                <w:color w:val="auto"/>
              </w:rPr>
            </w:pPr>
          </w:p>
        </w:tc>
        <w:tc>
          <w:tcPr>
            <w:tcW w:w="17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239"/>
        </w:trPr>
        <w:tc>
          <w:tcPr>
            <w:tcW w:w="660" w:type="dxa"/>
            <w:vAlign w:val="bottom"/>
            <w:tcBorders>
              <w:top w:val="single" w:sz="8" w:color="CFF0FC"/>
            </w:tcBorders>
          </w:tcPr>
          <w:p>
            <w:pPr>
              <w:jc w:val="center"/>
              <w:spacing w:after="0"/>
              <w:rPr>
                <w:sz w:val="20"/>
                <w:szCs w:val="20"/>
                <w:color w:val="auto"/>
              </w:rPr>
            </w:pPr>
            <w:r>
              <w:rPr>
                <w:rFonts w:ascii="Arial" w:cs="Arial" w:eastAsia="Arial" w:hAnsi="Arial"/>
                <w:sz w:val="20"/>
                <w:szCs w:val="20"/>
                <w:color w:val="auto"/>
                <w:w w:val="87"/>
              </w:rPr>
              <w:t>4.20</w:t>
            </w:r>
          </w:p>
        </w:tc>
        <w:tc>
          <w:tcPr>
            <w:tcW w:w="5220" w:type="dxa"/>
            <w:vAlign w:val="bottom"/>
            <w:tcBorders>
              <w:top w:val="single" w:sz="8" w:color="CFF0FC"/>
              <w:bottom w:val="single" w:sz="8" w:color="0000FF"/>
            </w:tcBorders>
            <w:gridSpan w:val="25"/>
          </w:tcPr>
          <w:p>
            <w:pPr>
              <w:spacing w:after="0"/>
              <w:rPr>
                <w:rFonts w:ascii="Arial" w:cs="Arial" w:eastAsia="Arial" w:hAnsi="Arial"/>
                <w:sz w:val="20"/>
                <w:szCs w:val="20"/>
                <w:color w:val="0000FF"/>
                <w:w w:val="94"/>
              </w:rPr>
            </w:pPr>
            <w:hyperlink r:id="rId675">
              <w:r>
                <w:rPr>
                  <w:rFonts w:ascii="Arial" w:cs="Arial" w:eastAsia="Arial" w:hAnsi="Arial"/>
                  <w:sz w:val="20"/>
                  <w:szCs w:val="20"/>
                  <w:color w:val="0000FF"/>
                  <w:w w:val="94"/>
                </w:rPr>
                <w:t>Form of Indenture among Willis Towers Watson Public Limited</w:t>
              </w:r>
            </w:hyperlink>
          </w:p>
        </w:tc>
        <w:tc>
          <w:tcPr>
            <w:tcW w:w="60" w:type="dxa"/>
            <w:vAlign w:val="bottom"/>
            <w:tcBorders>
              <w:top w:val="single" w:sz="8" w:color="CFF0FC"/>
            </w:tcBorders>
            <w:gridSpan w:val="2"/>
          </w:tcPr>
          <w:p>
            <w:pPr>
              <w:spacing w:after="0"/>
              <w:rPr>
                <w:sz w:val="20"/>
                <w:szCs w:val="20"/>
                <w:color w:val="auto"/>
              </w:rPr>
            </w:pPr>
          </w:p>
        </w:tc>
        <w:tc>
          <w:tcPr>
            <w:tcW w:w="780" w:type="dxa"/>
            <w:vAlign w:val="bottom"/>
            <w:tcBorders>
              <w:top w:val="single" w:sz="8" w:color="CFF0FC"/>
            </w:tcBorders>
          </w:tcPr>
          <w:p>
            <w:pPr>
              <w:jc w:val="center"/>
              <w:spacing w:after="0"/>
              <w:rPr>
                <w:sz w:val="20"/>
                <w:szCs w:val="20"/>
                <w:color w:val="auto"/>
              </w:rPr>
            </w:pPr>
            <w:r>
              <w:rPr>
                <w:rFonts w:ascii="Arial" w:cs="Arial" w:eastAsia="Arial" w:hAnsi="Arial"/>
                <w:sz w:val="20"/>
                <w:szCs w:val="20"/>
                <w:color w:val="auto"/>
                <w:w w:val="89"/>
              </w:rPr>
              <w:t>S-3</w:t>
            </w:r>
          </w:p>
        </w:tc>
        <w:tc>
          <w:tcPr>
            <w:tcW w:w="600" w:type="dxa"/>
            <w:vAlign w:val="bottom"/>
            <w:tcBorders>
              <w:top w:val="single" w:sz="8" w:color="CFF0FC"/>
            </w:tcBorders>
          </w:tcPr>
          <w:p>
            <w:pPr>
              <w:jc w:val="center"/>
              <w:spacing w:after="0"/>
              <w:rPr>
                <w:sz w:val="20"/>
                <w:szCs w:val="20"/>
                <w:color w:val="auto"/>
              </w:rPr>
            </w:pPr>
            <w:r>
              <w:rPr>
                <w:rFonts w:ascii="Arial" w:cs="Arial" w:eastAsia="Arial" w:hAnsi="Arial"/>
                <w:sz w:val="20"/>
                <w:szCs w:val="20"/>
                <w:color w:val="auto"/>
                <w:w w:val="93"/>
              </w:rPr>
              <w:t>4.6</w:t>
            </w:r>
          </w:p>
        </w:tc>
        <w:tc>
          <w:tcPr>
            <w:tcW w:w="1700" w:type="dxa"/>
            <w:vAlign w:val="bottom"/>
            <w:tcBorders>
              <w:top w:val="single" w:sz="8" w:color="CFF0FC"/>
            </w:tcBorders>
          </w:tcPr>
          <w:p>
            <w:pPr>
              <w:ind w:left="60"/>
              <w:spacing w:after="0"/>
              <w:rPr>
                <w:sz w:val="20"/>
                <w:szCs w:val="20"/>
                <w:color w:val="auto"/>
              </w:rPr>
            </w:pPr>
            <w:r>
              <w:rPr>
                <w:rFonts w:ascii="Arial" w:cs="Arial" w:eastAsia="Arial" w:hAnsi="Arial"/>
                <w:sz w:val="20"/>
                <w:szCs w:val="20"/>
                <w:color w:val="auto"/>
              </w:rPr>
              <w:t>February</w:t>
            </w:r>
          </w:p>
        </w:tc>
      </w:tr>
      <w:tr>
        <w:trPr>
          <w:trHeight w:val="280"/>
        </w:trPr>
        <w:tc>
          <w:tcPr>
            <w:tcW w:w="660" w:type="dxa"/>
            <w:vAlign w:val="bottom"/>
          </w:tcPr>
          <w:p>
            <w:pPr>
              <w:spacing w:after="0"/>
              <w:rPr>
                <w:sz w:val="24"/>
                <w:szCs w:val="24"/>
                <w:color w:val="auto"/>
              </w:rPr>
            </w:pPr>
          </w:p>
        </w:tc>
        <w:tc>
          <w:tcPr>
            <w:tcW w:w="4660" w:type="dxa"/>
            <w:vAlign w:val="bottom"/>
            <w:tcBorders>
              <w:bottom w:val="single" w:sz="8" w:color="0000FF"/>
            </w:tcBorders>
            <w:gridSpan w:val="9"/>
          </w:tcPr>
          <w:p>
            <w:pPr>
              <w:spacing w:after="0"/>
              <w:rPr>
                <w:rFonts w:ascii="Arial" w:cs="Arial" w:eastAsia="Arial" w:hAnsi="Arial"/>
                <w:sz w:val="20"/>
                <w:szCs w:val="20"/>
                <w:color w:val="0000FF"/>
                <w:w w:val="92"/>
              </w:rPr>
            </w:pPr>
            <w:hyperlink r:id="rId675">
              <w:r>
                <w:rPr>
                  <w:rFonts w:ascii="Arial" w:cs="Arial" w:eastAsia="Arial" w:hAnsi="Arial"/>
                  <w:sz w:val="20"/>
                  <w:szCs w:val="20"/>
                  <w:color w:val="0000FF"/>
                  <w:w w:val="92"/>
                </w:rPr>
                <w:t>Company, as issuer, Willis Towers Watson Sub Holdings</w:t>
              </w:r>
            </w:hyperlink>
          </w:p>
        </w:tc>
        <w:tc>
          <w:tcPr>
            <w:tcW w:w="620" w:type="dxa"/>
            <w:vAlign w:val="bottom"/>
            <w:gridSpan w:val="18"/>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28, 2022</w:t>
            </w:r>
          </w:p>
        </w:tc>
      </w:tr>
      <w:tr>
        <w:trPr>
          <w:trHeight w:val="280"/>
        </w:trPr>
        <w:tc>
          <w:tcPr>
            <w:tcW w:w="660" w:type="dxa"/>
            <w:vAlign w:val="bottom"/>
          </w:tcPr>
          <w:p>
            <w:pPr>
              <w:spacing w:after="0"/>
              <w:rPr>
                <w:sz w:val="24"/>
                <w:szCs w:val="24"/>
                <w:color w:val="auto"/>
              </w:rPr>
            </w:pPr>
          </w:p>
        </w:tc>
        <w:tc>
          <w:tcPr>
            <w:tcW w:w="5100" w:type="dxa"/>
            <w:vAlign w:val="bottom"/>
            <w:tcBorders>
              <w:bottom w:val="single" w:sz="8" w:color="0000FF"/>
            </w:tcBorders>
            <w:gridSpan w:val="20"/>
          </w:tcPr>
          <w:p>
            <w:pPr>
              <w:spacing w:after="0"/>
              <w:rPr>
                <w:rFonts w:ascii="Arial" w:cs="Arial" w:eastAsia="Arial" w:hAnsi="Arial"/>
                <w:sz w:val="20"/>
                <w:szCs w:val="20"/>
                <w:color w:val="0000FF"/>
                <w:w w:val="95"/>
              </w:rPr>
            </w:pPr>
            <w:hyperlink r:id="rId675">
              <w:r>
                <w:rPr>
                  <w:rFonts w:ascii="Arial" w:cs="Arial" w:eastAsia="Arial" w:hAnsi="Arial"/>
                  <w:sz w:val="20"/>
                  <w:szCs w:val="20"/>
                  <w:color w:val="0000FF"/>
                  <w:w w:val="95"/>
                </w:rPr>
                <w:t>Unlimited Company, Willis Netherlands Holdings B.V., Willis</w:t>
              </w:r>
            </w:hyperlink>
          </w:p>
        </w:tc>
        <w:tc>
          <w:tcPr>
            <w:tcW w:w="18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0"/>
        </w:trPr>
        <w:tc>
          <w:tcPr>
            <w:tcW w:w="660" w:type="dxa"/>
            <w:vAlign w:val="bottom"/>
          </w:tcPr>
          <w:p>
            <w:pPr>
              <w:spacing w:after="0"/>
              <w:rPr>
                <w:sz w:val="24"/>
                <w:szCs w:val="24"/>
                <w:color w:val="auto"/>
              </w:rPr>
            </w:pPr>
          </w:p>
        </w:tc>
        <w:tc>
          <w:tcPr>
            <w:tcW w:w="5140" w:type="dxa"/>
            <w:vAlign w:val="bottom"/>
            <w:tcBorders>
              <w:bottom w:val="single" w:sz="8" w:color="0000FF"/>
            </w:tcBorders>
            <w:gridSpan w:val="22"/>
          </w:tcPr>
          <w:p>
            <w:pPr>
              <w:spacing w:after="0"/>
              <w:rPr>
                <w:rFonts w:ascii="Arial" w:cs="Arial" w:eastAsia="Arial" w:hAnsi="Arial"/>
                <w:sz w:val="20"/>
                <w:szCs w:val="20"/>
                <w:color w:val="0000FF"/>
                <w:w w:val="96"/>
              </w:rPr>
            </w:pPr>
            <w:hyperlink r:id="rId675">
              <w:r>
                <w:rPr>
                  <w:rFonts w:ascii="Arial" w:cs="Arial" w:eastAsia="Arial" w:hAnsi="Arial"/>
                  <w:sz w:val="20"/>
                  <w:szCs w:val="20"/>
                  <w:color w:val="0000FF"/>
                  <w:w w:val="96"/>
                </w:rPr>
                <w:t>Investment UK Holdings Limited, TA I Limited, Willis Towers</w:t>
              </w:r>
            </w:hyperlink>
          </w:p>
        </w:tc>
        <w:tc>
          <w:tcPr>
            <w:tcW w:w="14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0"/>
        </w:trPr>
        <w:tc>
          <w:tcPr>
            <w:tcW w:w="660" w:type="dxa"/>
            <w:vAlign w:val="bottom"/>
          </w:tcPr>
          <w:p>
            <w:pPr>
              <w:spacing w:after="0"/>
              <w:rPr>
                <w:sz w:val="24"/>
                <w:szCs w:val="24"/>
                <w:color w:val="auto"/>
              </w:rPr>
            </w:pPr>
          </w:p>
        </w:tc>
        <w:tc>
          <w:tcPr>
            <w:tcW w:w="5000" w:type="dxa"/>
            <w:vAlign w:val="bottom"/>
            <w:tcBorders>
              <w:bottom w:val="single" w:sz="8" w:color="0000FF"/>
            </w:tcBorders>
            <w:gridSpan w:val="16"/>
          </w:tcPr>
          <w:p>
            <w:pPr>
              <w:spacing w:after="0"/>
              <w:rPr>
                <w:rFonts w:ascii="Arial" w:cs="Arial" w:eastAsia="Arial" w:hAnsi="Arial"/>
                <w:sz w:val="20"/>
                <w:szCs w:val="20"/>
                <w:color w:val="0000FF"/>
                <w:w w:val="97"/>
              </w:rPr>
            </w:pPr>
            <w:hyperlink r:id="rId675">
              <w:r>
                <w:rPr>
                  <w:rFonts w:ascii="Arial" w:cs="Arial" w:eastAsia="Arial" w:hAnsi="Arial"/>
                  <w:sz w:val="20"/>
                  <w:szCs w:val="20"/>
                  <w:color w:val="0000FF"/>
                  <w:w w:val="97"/>
                </w:rPr>
                <w:t>Watson UK Holdings Limited, Trinity Acquisition plc, Willis</w:t>
              </w:r>
            </w:hyperlink>
          </w:p>
        </w:tc>
        <w:tc>
          <w:tcPr>
            <w:tcW w:w="28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0"/>
        </w:trPr>
        <w:tc>
          <w:tcPr>
            <w:tcW w:w="660" w:type="dxa"/>
            <w:vAlign w:val="bottom"/>
          </w:tcPr>
          <w:p>
            <w:pPr>
              <w:spacing w:after="0"/>
              <w:rPr>
                <w:sz w:val="24"/>
                <w:szCs w:val="24"/>
                <w:color w:val="auto"/>
              </w:rPr>
            </w:pPr>
          </w:p>
        </w:tc>
        <w:tc>
          <w:tcPr>
            <w:tcW w:w="5280" w:type="dxa"/>
            <w:vAlign w:val="bottom"/>
            <w:tcBorders>
              <w:bottom w:val="single" w:sz="8" w:color="0000FF"/>
            </w:tcBorders>
            <w:gridSpan w:val="27"/>
          </w:tcPr>
          <w:p>
            <w:pPr>
              <w:spacing w:after="0"/>
              <w:rPr>
                <w:rFonts w:ascii="Arial" w:cs="Arial" w:eastAsia="Arial" w:hAnsi="Arial"/>
                <w:sz w:val="20"/>
                <w:szCs w:val="20"/>
                <w:color w:val="0000FF"/>
                <w:w w:val="92"/>
              </w:rPr>
            </w:pPr>
            <w:hyperlink r:id="rId675">
              <w:r>
                <w:rPr>
                  <w:rFonts w:ascii="Arial" w:cs="Arial" w:eastAsia="Arial" w:hAnsi="Arial"/>
                  <w:sz w:val="20"/>
                  <w:szCs w:val="20"/>
                  <w:color w:val="0000FF"/>
                  <w:w w:val="92"/>
                </w:rPr>
                <w:t>Group Limited and Willis North America Inc., as guarantors, and</w:t>
              </w:r>
            </w:hyperlink>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0"/>
        </w:trPr>
        <w:tc>
          <w:tcPr>
            <w:tcW w:w="660" w:type="dxa"/>
            <w:vAlign w:val="bottom"/>
          </w:tcPr>
          <w:p>
            <w:pPr>
              <w:spacing w:after="0"/>
              <w:rPr>
                <w:sz w:val="24"/>
                <w:szCs w:val="24"/>
                <w:color w:val="auto"/>
              </w:rPr>
            </w:pPr>
          </w:p>
        </w:tc>
        <w:tc>
          <w:tcPr>
            <w:tcW w:w="5280" w:type="dxa"/>
            <w:vAlign w:val="bottom"/>
            <w:gridSpan w:val="27"/>
          </w:tcPr>
          <w:p>
            <w:pPr>
              <w:spacing w:after="0"/>
              <w:rPr>
                <w:rFonts w:ascii="Arial" w:cs="Arial" w:eastAsia="Arial" w:hAnsi="Arial"/>
                <w:sz w:val="20"/>
                <w:szCs w:val="20"/>
                <w:color w:val="0000FF"/>
              </w:rPr>
            </w:pPr>
            <w:hyperlink r:id="rId675">
              <w:r>
                <w:rPr>
                  <w:rFonts w:ascii="Arial" w:cs="Arial" w:eastAsia="Arial" w:hAnsi="Arial"/>
                  <w:sz w:val="20"/>
                  <w:szCs w:val="20"/>
                  <w:color w:val="0000FF"/>
                </w:rPr>
                <w:t>Computershare Trust Company, N.A., as trustee</w:t>
              </w:r>
            </w:hyperlink>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
        </w:trPr>
        <w:tc>
          <w:tcPr>
            <w:tcW w:w="66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300" w:type="dxa"/>
            <w:vAlign w:val="bottom"/>
            <w:tcBorders>
              <w:top w:val="single" w:sz="8" w:color="0000FF"/>
            </w:tcBorders>
          </w:tcPr>
          <w:p>
            <w:pPr>
              <w:spacing w:after="0"/>
              <w:rPr>
                <w:sz w:val="3"/>
                <w:szCs w:val="3"/>
                <w:color w:val="auto"/>
              </w:rPr>
            </w:pPr>
          </w:p>
        </w:tc>
        <w:tc>
          <w:tcPr>
            <w:tcW w:w="1040" w:type="dxa"/>
            <w:vAlign w:val="bottom"/>
            <w:tcBorders>
              <w:top w:val="single" w:sz="8" w:color="0000FF"/>
            </w:tcBorders>
          </w:tcPr>
          <w:p>
            <w:pPr>
              <w:spacing w:after="0"/>
              <w:rPr>
                <w:sz w:val="3"/>
                <w:szCs w:val="3"/>
                <w:color w:val="auto"/>
              </w:rPr>
            </w:pPr>
          </w:p>
        </w:tc>
        <w:tc>
          <w:tcPr>
            <w:tcW w:w="1080" w:type="dxa"/>
            <w:vAlign w:val="bottom"/>
            <w:tcBorders>
              <w:top w:val="single" w:sz="8" w:color="0000FF"/>
            </w:tcBorders>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9"/>
        </w:trPr>
        <w:tc>
          <w:tcPr>
            <w:tcW w:w="660" w:type="dxa"/>
            <w:vAlign w:val="bottom"/>
            <w:tcBorders>
              <w:bottom w:val="single" w:sz="8" w:color="CFF0FC"/>
            </w:tcBorders>
            <w:shd w:val="clear" w:color="auto" w:fill="CFF0FC"/>
          </w:tcPr>
          <w:p>
            <w:pPr>
              <w:jc w:val="center"/>
              <w:ind w:right="4"/>
              <w:spacing w:after="0"/>
              <w:rPr>
                <w:sz w:val="20"/>
                <w:szCs w:val="20"/>
                <w:color w:val="auto"/>
              </w:rPr>
            </w:pPr>
            <w:r>
              <w:rPr>
                <w:rFonts w:ascii="Arial" w:cs="Arial" w:eastAsia="Arial" w:hAnsi="Arial"/>
                <w:sz w:val="20"/>
                <w:szCs w:val="20"/>
                <w:color w:val="auto"/>
                <w:w w:val="90"/>
              </w:rPr>
              <w:t>10.1^</w:t>
            </w:r>
          </w:p>
        </w:tc>
        <w:tc>
          <w:tcPr>
            <w:tcW w:w="5000" w:type="dxa"/>
            <w:vAlign w:val="bottom"/>
            <w:tcBorders>
              <w:bottom w:val="single" w:sz="8" w:color="0000FF"/>
            </w:tcBorders>
            <w:gridSpan w:val="16"/>
            <w:shd w:val="clear" w:color="auto" w:fill="CFF0FC"/>
          </w:tcPr>
          <w:p>
            <w:pPr>
              <w:spacing w:after="0"/>
              <w:rPr>
                <w:rFonts w:ascii="Arial" w:cs="Arial" w:eastAsia="Arial" w:hAnsi="Arial"/>
                <w:sz w:val="20"/>
                <w:szCs w:val="20"/>
                <w:color w:val="0000FF"/>
                <w:w w:val="89"/>
              </w:rPr>
            </w:pPr>
            <w:hyperlink r:id="rId676">
              <w:r>
                <w:rPr>
                  <w:rFonts w:ascii="Arial" w:cs="Arial" w:eastAsia="Arial" w:hAnsi="Arial"/>
                  <w:sz w:val="20"/>
                  <w:szCs w:val="20"/>
                  <w:color w:val="0000FF"/>
                  <w:w w:val="89"/>
                </w:rPr>
                <w:t>Second Amended and Restated Credit Agreement, dated as of</w:t>
              </w:r>
            </w:hyperlink>
          </w:p>
        </w:tc>
        <w:tc>
          <w:tcPr>
            <w:tcW w:w="280" w:type="dxa"/>
            <w:vAlign w:val="bottom"/>
            <w:tcBorders>
              <w:bottom w:val="single" w:sz="8" w:color="CFF0FC"/>
            </w:tcBorders>
            <w:gridSpan w:val="11"/>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7"/>
              </w:rPr>
              <w:t>10.1</w:t>
            </w:r>
          </w:p>
        </w:tc>
        <w:tc>
          <w:tcPr>
            <w:tcW w:w="1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October 7,</w:t>
            </w: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120" w:type="dxa"/>
            <w:vAlign w:val="bottom"/>
            <w:tcBorders>
              <w:bottom w:val="single" w:sz="8" w:color="0000FF"/>
            </w:tcBorders>
            <w:gridSpan w:val="21"/>
            <w:shd w:val="clear" w:color="auto" w:fill="CFF0FC"/>
          </w:tcPr>
          <w:p>
            <w:pPr>
              <w:spacing w:after="0"/>
              <w:rPr>
                <w:rFonts w:ascii="Arial" w:cs="Arial" w:eastAsia="Arial" w:hAnsi="Arial"/>
                <w:sz w:val="20"/>
                <w:szCs w:val="20"/>
                <w:color w:val="0000FF"/>
                <w:w w:val="93"/>
              </w:rPr>
            </w:pPr>
            <w:hyperlink r:id="rId676">
              <w:r>
                <w:rPr>
                  <w:rFonts w:ascii="Arial" w:cs="Arial" w:eastAsia="Arial" w:hAnsi="Arial"/>
                  <w:sz w:val="20"/>
                  <w:szCs w:val="20"/>
                  <w:color w:val="0000FF"/>
                  <w:w w:val="93"/>
                </w:rPr>
                <w:t>October 6, 2021, among Trinity Acquisition plc and its indirect</w:t>
              </w:r>
            </w:hyperlink>
          </w:p>
        </w:tc>
        <w:tc>
          <w:tcPr>
            <w:tcW w:w="160" w:type="dxa"/>
            <w:vAlign w:val="bottom"/>
            <w:tcBorders>
              <w:bottom w:val="single" w:sz="8" w:color="CFF0FC"/>
            </w:tcBorders>
            <w:gridSpan w:val="6"/>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2021</w:t>
            </w: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080" w:type="dxa"/>
            <w:vAlign w:val="bottom"/>
            <w:tcBorders>
              <w:bottom w:val="single" w:sz="8" w:color="0000FF"/>
            </w:tcBorders>
            <w:gridSpan w:val="19"/>
            <w:shd w:val="clear" w:color="auto" w:fill="CFF0FC"/>
          </w:tcPr>
          <w:p>
            <w:pPr>
              <w:spacing w:after="0"/>
              <w:rPr>
                <w:rFonts w:ascii="Arial" w:cs="Arial" w:eastAsia="Arial" w:hAnsi="Arial"/>
                <w:sz w:val="20"/>
                <w:szCs w:val="20"/>
                <w:color w:val="0000FF"/>
                <w:w w:val="93"/>
              </w:rPr>
            </w:pPr>
            <w:hyperlink r:id="rId676">
              <w:r>
                <w:rPr>
                  <w:rFonts w:ascii="Arial" w:cs="Arial" w:eastAsia="Arial" w:hAnsi="Arial"/>
                  <w:sz w:val="20"/>
                  <w:szCs w:val="20"/>
                  <w:color w:val="0000FF"/>
                  <w:w w:val="93"/>
                </w:rPr>
                <w:t>subsidiaries, Willis North America Inc. and Willis Netherlands</w:t>
              </w:r>
            </w:hyperlink>
          </w:p>
        </w:tc>
        <w:tc>
          <w:tcPr>
            <w:tcW w:w="200" w:type="dxa"/>
            <w:vAlign w:val="bottom"/>
            <w:tcBorders>
              <w:bottom w:val="single" w:sz="8" w:color="CFF0FC"/>
            </w:tcBorders>
            <w:gridSpan w:val="8"/>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240" w:type="dxa"/>
            <w:vAlign w:val="bottom"/>
            <w:tcBorders>
              <w:bottom w:val="single" w:sz="8" w:color="0000FF"/>
            </w:tcBorders>
            <w:gridSpan w:val="26"/>
            <w:shd w:val="clear" w:color="auto" w:fill="CFF0FC"/>
          </w:tcPr>
          <w:p>
            <w:pPr>
              <w:spacing w:after="0"/>
              <w:rPr>
                <w:rFonts w:ascii="Arial" w:cs="Arial" w:eastAsia="Arial" w:hAnsi="Arial"/>
                <w:sz w:val="20"/>
                <w:szCs w:val="20"/>
                <w:color w:val="0000FF"/>
                <w:w w:val="94"/>
              </w:rPr>
            </w:pPr>
            <w:hyperlink r:id="rId676">
              <w:r>
                <w:rPr>
                  <w:rFonts w:ascii="Arial" w:cs="Arial" w:eastAsia="Arial" w:hAnsi="Arial"/>
                  <w:sz w:val="20"/>
                  <w:szCs w:val="20"/>
                  <w:color w:val="0000FF"/>
                  <w:w w:val="94"/>
                </w:rPr>
                <w:t>Holdings B.V., Willis Towers Watson Public Limited Company,</w:t>
              </w:r>
            </w:hyperlink>
          </w:p>
        </w:tc>
        <w:tc>
          <w:tcPr>
            <w:tcW w:w="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4240" w:type="dxa"/>
            <w:vAlign w:val="bottom"/>
            <w:tcBorders>
              <w:bottom w:val="single" w:sz="8" w:color="0000FF"/>
            </w:tcBorders>
            <w:gridSpan w:val="6"/>
            <w:shd w:val="clear" w:color="auto" w:fill="CFF0FC"/>
          </w:tcPr>
          <w:p>
            <w:pPr>
              <w:spacing w:after="0"/>
              <w:rPr>
                <w:rFonts w:ascii="Arial" w:cs="Arial" w:eastAsia="Arial" w:hAnsi="Arial"/>
                <w:sz w:val="20"/>
                <w:szCs w:val="20"/>
                <w:color w:val="0000FF"/>
                <w:w w:val="90"/>
              </w:rPr>
            </w:pPr>
            <w:hyperlink r:id="rId676">
              <w:r>
                <w:rPr>
                  <w:rFonts w:ascii="Arial" w:cs="Arial" w:eastAsia="Arial" w:hAnsi="Arial"/>
                  <w:sz w:val="20"/>
                  <w:szCs w:val="20"/>
                  <w:color w:val="0000FF"/>
                  <w:w w:val="90"/>
                </w:rPr>
                <w:t>the lenders party thereto and Barclays Bank PLC, as</w:t>
              </w:r>
            </w:hyperlink>
          </w:p>
        </w:tc>
        <w:tc>
          <w:tcPr>
            <w:tcW w:w="1040" w:type="dxa"/>
            <w:vAlign w:val="bottom"/>
            <w:tcBorders>
              <w:bottom w:val="single" w:sz="8" w:color="CFF0FC"/>
            </w:tcBorders>
            <w:gridSpan w:val="21"/>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321"/>
        </w:trPr>
        <w:tc>
          <w:tcPr>
            <w:tcW w:w="66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0000FF"/>
            </w:tcBorders>
            <w:gridSpan w:val="3"/>
            <w:shd w:val="clear" w:color="auto" w:fill="CFF0FC"/>
          </w:tcPr>
          <w:p>
            <w:pPr>
              <w:spacing w:after="0"/>
              <w:rPr>
                <w:rFonts w:ascii="Arial" w:cs="Arial" w:eastAsia="Arial" w:hAnsi="Arial"/>
                <w:sz w:val="20"/>
                <w:szCs w:val="20"/>
                <w:color w:val="0000FF"/>
                <w:w w:val="93"/>
              </w:rPr>
            </w:pPr>
            <w:hyperlink r:id="rId676">
              <w:r>
                <w:rPr>
                  <w:rFonts w:ascii="Arial" w:cs="Arial" w:eastAsia="Arial" w:hAnsi="Arial"/>
                  <w:sz w:val="20"/>
                  <w:szCs w:val="20"/>
                  <w:color w:val="0000FF"/>
                  <w:w w:val="93"/>
                </w:rPr>
                <w:t>Administrative Agent</w:t>
              </w:r>
            </w:hyperlink>
          </w:p>
        </w:tc>
        <w:tc>
          <w:tcPr>
            <w:tcW w:w="3540" w:type="dxa"/>
            <w:vAlign w:val="bottom"/>
            <w:tcBorders>
              <w:bottom w:val="single" w:sz="8" w:color="CFF0FC"/>
            </w:tcBorders>
            <w:gridSpan w:val="24"/>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239"/>
        </w:trPr>
        <w:tc>
          <w:tcPr>
            <w:tcW w:w="660" w:type="dxa"/>
            <w:vAlign w:val="bottom"/>
          </w:tcPr>
          <w:p>
            <w:pPr>
              <w:jc w:val="center"/>
              <w:spacing w:after="0"/>
              <w:rPr>
                <w:sz w:val="20"/>
                <w:szCs w:val="20"/>
                <w:color w:val="auto"/>
              </w:rPr>
            </w:pPr>
            <w:r>
              <w:rPr>
                <w:rFonts w:ascii="Arial" w:cs="Arial" w:eastAsia="Arial" w:hAnsi="Arial"/>
                <w:sz w:val="20"/>
                <w:szCs w:val="20"/>
                <w:color w:val="auto"/>
                <w:w w:val="87"/>
              </w:rPr>
              <w:t>10.2</w:t>
            </w:r>
          </w:p>
        </w:tc>
        <w:tc>
          <w:tcPr>
            <w:tcW w:w="5240" w:type="dxa"/>
            <w:vAlign w:val="bottom"/>
            <w:tcBorders>
              <w:bottom w:val="single" w:sz="8" w:color="0000FF"/>
            </w:tcBorders>
            <w:gridSpan w:val="26"/>
          </w:tcPr>
          <w:p>
            <w:pPr>
              <w:spacing w:after="0"/>
              <w:rPr>
                <w:rFonts w:ascii="Arial" w:cs="Arial" w:eastAsia="Arial" w:hAnsi="Arial"/>
                <w:sz w:val="20"/>
                <w:szCs w:val="20"/>
                <w:color w:val="0000FF"/>
                <w:w w:val="89"/>
              </w:rPr>
            </w:pPr>
            <w:hyperlink r:id="rId677">
              <w:r>
                <w:rPr>
                  <w:rFonts w:ascii="Arial" w:cs="Arial" w:eastAsia="Arial" w:hAnsi="Arial"/>
                  <w:sz w:val="20"/>
                  <w:szCs w:val="20"/>
                  <w:color w:val="0000FF"/>
                  <w:w w:val="89"/>
                </w:rPr>
                <w:t>Second Amended and Restated Guaranty Agreement, dated as of</w:t>
              </w:r>
            </w:hyperlink>
          </w:p>
        </w:tc>
        <w:tc>
          <w:tcPr>
            <w:tcW w:w="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Pr>
          <w:p>
            <w:pPr>
              <w:jc w:val="center"/>
              <w:spacing w:after="0"/>
              <w:rPr>
                <w:sz w:val="20"/>
                <w:szCs w:val="20"/>
                <w:color w:val="auto"/>
              </w:rPr>
            </w:pPr>
            <w:r>
              <w:rPr>
                <w:rFonts w:ascii="Arial" w:cs="Arial" w:eastAsia="Arial" w:hAnsi="Arial"/>
                <w:sz w:val="20"/>
                <w:szCs w:val="20"/>
                <w:color w:val="auto"/>
                <w:w w:val="87"/>
              </w:rPr>
              <w:t>10.2</w:t>
            </w:r>
          </w:p>
        </w:tc>
        <w:tc>
          <w:tcPr>
            <w:tcW w:w="1700" w:type="dxa"/>
            <w:vAlign w:val="bottom"/>
          </w:tcPr>
          <w:p>
            <w:pPr>
              <w:ind w:left="60"/>
              <w:spacing w:after="0"/>
              <w:rPr>
                <w:sz w:val="20"/>
                <w:szCs w:val="20"/>
                <w:color w:val="auto"/>
              </w:rPr>
            </w:pPr>
            <w:r>
              <w:rPr>
                <w:rFonts w:ascii="Arial" w:cs="Arial" w:eastAsia="Arial" w:hAnsi="Arial"/>
                <w:sz w:val="20"/>
                <w:szCs w:val="20"/>
                <w:color w:val="auto"/>
              </w:rPr>
              <w:t>October 7,</w:t>
            </w:r>
          </w:p>
        </w:tc>
      </w:tr>
      <w:tr>
        <w:trPr>
          <w:trHeight w:val="280"/>
        </w:trPr>
        <w:tc>
          <w:tcPr>
            <w:tcW w:w="660" w:type="dxa"/>
            <w:vAlign w:val="bottom"/>
          </w:tcPr>
          <w:p>
            <w:pPr>
              <w:spacing w:after="0"/>
              <w:rPr>
                <w:sz w:val="24"/>
                <w:szCs w:val="24"/>
                <w:color w:val="auto"/>
              </w:rPr>
            </w:pPr>
          </w:p>
        </w:tc>
        <w:tc>
          <w:tcPr>
            <w:tcW w:w="5120" w:type="dxa"/>
            <w:vAlign w:val="bottom"/>
            <w:tcBorders>
              <w:bottom w:val="single" w:sz="8" w:color="0000FF"/>
            </w:tcBorders>
            <w:gridSpan w:val="21"/>
          </w:tcPr>
          <w:p>
            <w:pPr>
              <w:spacing w:after="0"/>
              <w:rPr>
                <w:rFonts w:ascii="Arial" w:cs="Arial" w:eastAsia="Arial" w:hAnsi="Arial"/>
                <w:sz w:val="20"/>
                <w:szCs w:val="20"/>
                <w:color w:val="0000FF"/>
                <w:w w:val="94"/>
              </w:rPr>
            </w:pPr>
            <w:hyperlink r:id="rId677">
              <w:r>
                <w:rPr>
                  <w:rFonts w:ascii="Arial" w:cs="Arial" w:eastAsia="Arial" w:hAnsi="Arial"/>
                  <w:sz w:val="20"/>
                  <w:szCs w:val="20"/>
                  <w:color w:val="0000FF"/>
                  <w:w w:val="94"/>
                </w:rPr>
                <w:t>October 6, 2021, among Trinity Acquisition plc, Willis Towers</w:t>
              </w:r>
            </w:hyperlink>
          </w:p>
        </w:tc>
        <w:tc>
          <w:tcPr>
            <w:tcW w:w="16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2021</w:t>
            </w:r>
          </w:p>
        </w:tc>
      </w:tr>
      <w:tr>
        <w:trPr>
          <w:trHeight w:val="280"/>
        </w:trPr>
        <w:tc>
          <w:tcPr>
            <w:tcW w:w="660" w:type="dxa"/>
            <w:vAlign w:val="bottom"/>
          </w:tcPr>
          <w:p>
            <w:pPr>
              <w:spacing w:after="0"/>
              <w:rPr>
                <w:sz w:val="24"/>
                <w:szCs w:val="24"/>
                <w:color w:val="auto"/>
              </w:rPr>
            </w:pPr>
          </w:p>
        </w:tc>
        <w:tc>
          <w:tcPr>
            <w:tcW w:w="4900" w:type="dxa"/>
            <w:vAlign w:val="bottom"/>
            <w:tcBorders>
              <w:bottom w:val="single" w:sz="8" w:color="0000FF"/>
            </w:tcBorders>
            <w:gridSpan w:val="14"/>
          </w:tcPr>
          <w:p>
            <w:pPr>
              <w:spacing w:after="0"/>
              <w:rPr>
                <w:rFonts w:ascii="Arial" w:cs="Arial" w:eastAsia="Arial" w:hAnsi="Arial"/>
                <w:sz w:val="20"/>
                <w:szCs w:val="20"/>
                <w:color w:val="0000FF"/>
                <w:w w:val="92"/>
              </w:rPr>
            </w:pPr>
            <w:hyperlink r:id="rId677">
              <w:r>
                <w:rPr>
                  <w:rFonts w:ascii="Arial" w:cs="Arial" w:eastAsia="Arial" w:hAnsi="Arial"/>
                  <w:sz w:val="20"/>
                  <w:szCs w:val="20"/>
                  <w:color w:val="0000FF"/>
                  <w:w w:val="92"/>
                </w:rPr>
                <w:t>Watson Public Limited Company, the other guarantors party</w:t>
              </w:r>
            </w:hyperlink>
          </w:p>
        </w:tc>
        <w:tc>
          <w:tcPr>
            <w:tcW w:w="38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0"/>
        </w:trPr>
        <w:tc>
          <w:tcPr>
            <w:tcW w:w="660" w:type="dxa"/>
            <w:vAlign w:val="bottom"/>
          </w:tcPr>
          <w:p>
            <w:pPr>
              <w:spacing w:after="0"/>
              <w:rPr>
                <w:sz w:val="24"/>
                <w:szCs w:val="24"/>
                <w:color w:val="auto"/>
              </w:rPr>
            </w:pPr>
          </w:p>
        </w:tc>
        <w:tc>
          <w:tcPr>
            <w:tcW w:w="5280" w:type="dxa"/>
            <w:vAlign w:val="bottom"/>
            <w:gridSpan w:val="27"/>
          </w:tcPr>
          <w:p>
            <w:pPr>
              <w:spacing w:after="0"/>
              <w:rPr>
                <w:rFonts w:ascii="Arial" w:cs="Arial" w:eastAsia="Arial" w:hAnsi="Arial"/>
                <w:sz w:val="20"/>
                <w:szCs w:val="20"/>
                <w:color w:val="0000FF"/>
              </w:rPr>
            </w:pPr>
            <w:hyperlink r:id="rId677">
              <w:r>
                <w:rPr>
                  <w:rFonts w:ascii="Arial" w:cs="Arial" w:eastAsia="Arial" w:hAnsi="Arial"/>
                  <w:sz w:val="20"/>
                  <w:szCs w:val="20"/>
                  <w:color w:val="0000FF"/>
                </w:rPr>
                <w:t>thereto and Barclays Bank PLC, as Administrative Agent</w:t>
              </w:r>
            </w:hyperlink>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
        </w:trPr>
        <w:tc>
          <w:tcPr>
            <w:tcW w:w="66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300" w:type="dxa"/>
            <w:vAlign w:val="bottom"/>
            <w:tcBorders>
              <w:top w:val="single" w:sz="8" w:color="0000FF"/>
            </w:tcBorders>
          </w:tcPr>
          <w:p>
            <w:pPr>
              <w:spacing w:after="0"/>
              <w:rPr>
                <w:sz w:val="3"/>
                <w:szCs w:val="3"/>
                <w:color w:val="auto"/>
              </w:rPr>
            </w:pPr>
          </w:p>
        </w:tc>
        <w:tc>
          <w:tcPr>
            <w:tcW w:w="1040" w:type="dxa"/>
            <w:vAlign w:val="bottom"/>
            <w:tcBorders>
              <w:top w:val="single" w:sz="8" w:color="0000FF"/>
            </w:tcBorders>
          </w:tcPr>
          <w:p>
            <w:pPr>
              <w:spacing w:after="0"/>
              <w:rPr>
                <w:sz w:val="3"/>
                <w:szCs w:val="3"/>
                <w:color w:val="auto"/>
              </w:rPr>
            </w:pPr>
          </w:p>
        </w:tc>
        <w:tc>
          <w:tcPr>
            <w:tcW w:w="108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9"/>
        </w:trPr>
        <w:tc>
          <w:tcPr>
            <w:tcW w:w="660" w:type="dxa"/>
            <w:vAlign w:val="bottom"/>
            <w:tcBorders>
              <w:bottom w:val="single" w:sz="8" w:color="CFF0FC"/>
            </w:tcBorders>
            <w:shd w:val="clear" w:color="auto" w:fill="CFF0FC"/>
          </w:tcPr>
          <w:p>
            <w:pPr>
              <w:jc w:val="center"/>
              <w:ind w:right="4"/>
              <w:spacing w:after="0"/>
              <w:rPr>
                <w:sz w:val="20"/>
                <w:szCs w:val="20"/>
                <w:color w:val="auto"/>
              </w:rPr>
            </w:pPr>
            <w:r>
              <w:rPr>
                <w:rFonts w:ascii="Arial" w:cs="Arial" w:eastAsia="Arial" w:hAnsi="Arial"/>
                <w:sz w:val="20"/>
                <w:szCs w:val="20"/>
                <w:color w:val="auto"/>
                <w:w w:val="90"/>
              </w:rPr>
              <w:t>10.3^</w:t>
            </w:r>
          </w:p>
        </w:tc>
        <w:tc>
          <w:tcPr>
            <w:tcW w:w="4680" w:type="dxa"/>
            <w:vAlign w:val="bottom"/>
            <w:tcBorders>
              <w:bottom w:val="single" w:sz="8" w:color="0000FF"/>
            </w:tcBorders>
            <w:gridSpan w:val="10"/>
            <w:shd w:val="clear" w:color="auto" w:fill="CFF0FC"/>
          </w:tcPr>
          <w:p>
            <w:pPr>
              <w:spacing w:after="0"/>
              <w:rPr>
                <w:rFonts w:ascii="Arial" w:cs="Arial" w:eastAsia="Arial" w:hAnsi="Arial"/>
                <w:sz w:val="20"/>
                <w:szCs w:val="20"/>
                <w:color w:val="0000FF"/>
                <w:w w:val="89"/>
              </w:rPr>
            </w:pPr>
            <w:hyperlink r:id="rId678">
              <w:r>
                <w:rPr>
                  <w:rFonts w:ascii="Arial" w:cs="Arial" w:eastAsia="Arial" w:hAnsi="Arial"/>
                  <w:sz w:val="20"/>
                  <w:szCs w:val="20"/>
                  <w:color w:val="0000FF"/>
                  <w:w w:val="89"/>
                </w:rPr>
                <w:t>First Amendment dated as of June 29, 2023 to the Second</w:t>
              </w:r>
            </w:hyperlink>
          </w:p>
        </w:tc>
        <w:tc>
          <w:tcPr>
            <w:tcW w:w="600" w:type="dxa"/>
            <w:vAlign w:val="bottom"/>
            <w:tcBorders>
              <w:bottom w:val="single" w:sz="8" w:color="CFF0FC"/>
            </w:tcBorders>
            <w:gridSpan w:val="17"/>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4"/>
              </w:rPr>
              <w:t>10-Q</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7"/>
              </w:rPr>
              <w:t>10.1</w:t>
            </w:r>
          </w:p>
        </w:tc>
        <w:tc>
          <w:tcPr>
            <w:tcW w:w="1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July 27,</w:t>
            </w: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220" w:type="dxa"/>
            <w:vAlign w:val="bottom"/>
            <w:tcBorders>
              <w:bottom w:val="single" w:sz="8" w:color="0000FF"/>
            </w:tcBorders>
            <w:gridSpan w:val="25"/>
            <w:shd w:val="clear" w:color="auto" w:fill="CFF0FC"/>
          </w:tcPr>
          <w:p>
            <w:pPr>
              <w:spacing w:after="0"/>
              <w:rPr>
                <w:rFonts w:ascii="Arial" w:cs="Arial" w:eastAsia="Arial" w:hAnsi="Arial"/>
                <w:sz w:val="20"/>
                <w:szCs w:val="20"/>
                <w:color w:val="0000FF"/>
                <w:w w:val="90"/>
              </w:rPr>
            </w:pPr>
            <w:hyperlink r:id="rId678">
              <w:r>
                <w:rPr>
                  <w:rFonts w:ascii="Arial" w:cs="Arial" w:eastAsia="Arial" w:hAnsi="Arial"/>
                  <w:sz w:val="20"/>
                  <w:szCs w:val="20"/>
                  <w:color w:val="0000FF"/>
                  <w:w w:val="90"/>
                </w:rPr>
                <w:t>Amended and Restated Credit Agreement dated as of October 6,</w:t>
              </w:r>
            </w:hyperlink>
          </w:p>
        </w:tc>
        <w:tc>
          <w:tcPr>
            <w:tcW w:w="60" w:type="dxa"/>
            <w:vAlign w:val="bottom"/>
            <w:tcBorders>
              <w:bottom w:val="single" w:sz="8" w:color="CFF0FC"/>
            </w:tcBorders>
            <w:gridSpan w:val="2"/>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2023</w:t>
            </w: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060" w:type="dxa"/>
            <w:vAlign w:val="bottom"/>
            <w:tcBorders>
              <w:bottom w:val="single" w:sz="8" w:color="0000FF"/>
            </w:tcBorders>
            <w:gridSpan w:val="18"/>
            <w:shd w:val="clear" w:color="auto" w:fill="CFF0FC"/>
          </w:tcPr>
          <w:p>
            <w:pPr>
              <w:spacing w:after="0"/>
              <w:rPr>
                <w:rFonts w:ascii="Arial" w:cs="Arial" w:eastAsia="Arial" w:hAnsi="Arial"/>
                <w:sz w:val="20"/>
                <w:szCs w:val="20"/>
                <w:color w:val="0000FF"/>
                <w:w w:val="93"/>
              </w:rPr>
            </w:pPr>
            <w:hyperlink r:id="rId678">
              <w:r>
                <w:rPr>
                  <w:rFonts w:ascii="Arial" w:cs="Arial" w:eastAsia="Arial" w:hAnsi="Arial"/>
                  <w:sz w:val="20"/>
                  <w:szCs w:val="20"/>
                  <w:color w:val="0000FF"/>
                  <w:w w:val="93"/>
                </w:rPr>
                <w:t>2021 by and among, inter alia, Trinity Acquisition PLC, as the</w:t>
              </w:r>
            </w:hyperlink>
          </w:p>
        </w:tc>
        <w:tc>
          <w:tcPr>
            <w:tcW w:w="220" w:type="dxa"/>
            <w:vAlign w:val="bottom"/>
            <w:tcBorders>
              <w:bottom w:val="single" w:sz="8" w:color="CFF0FC"/>
            </w:tcBorders>
            <w:gridSpan w:val="9"/>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060" w:type="dxa"/>
            <w:vAlign w:val="bottom"/>
            <w:tcBorders>
              <w:bottom w:val="single" w:sz="8" w:color="0000FF"/>
            </w:tcBorders>
            <w:gridSpan w:val="18"/>
            <w:shd w:val="clear" w:color="auto" w:fill="CFF0FC"/>
          </w:tcPr>
          <w:p>
            <w:pPr>
              <w:spacing w:after="0"/>
              <w:rPr>
                <w:rFonts w:ascii="Arial" w:cs="Arial" w:eastAsia="Arial" w:hAnsi="Arial"/>
                <w:sz w:val="20"/>
                <w:szCs w:val="20"/>
                <w:color w:val="0000FF"/>
                <w:w w:val="93"/>
              </w:rPr>
            </w:pPr>
            <w:hyperlink r:id="rId678">
              <w:r>
                <w:rPr>
                  <w:rFonts w:ascii="Arial" w:cs="Arial" w:eastAsia="Arial" w:hAnsi="Arial"/>
                  <w:sz w:val="20"/>
                  <w:szCs w:val="20"/>
                  <w:color w:val="0000FF"/>
                  <w:w w:val="93"/>
                </w:rPr>
                <w:t>Company, Willis Towers Watson Public Limited Company, as</w:t>
              </w:r>
            </w:hyperlink>
          </w:p>
        </w:tc>
        <w:tc>
          <w:tcPr>
            <w:tcW w:w="220" w:type="dxa"/>
            <w:vAlign w:val="bottom"/>
            <w:tcBorders>
              <w:bottom w:val="single" w:sz="8" w:color="CFF0FC"/>
            </w:tcBorders>
            <w:gridSpan w:val="9"/>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4700" w:type="dxa"/>
            <w:vAlign w:val="bottom"/>
            <w:tcBorders>
              <w:bottom w:val="single" w:sz="8" w:color="0000FF"/>
            </w:tcBorders>
            <w:gridSpan w:val="11"/>
            <w:shd w:val="clear" w:color="auto" w:fill="CFF0FC"/>
          </w:tcPr>
          <w:p>
            <w:pPr>
              <w:spacing w:after="0"/>
              <w:rPr>
                <w:rFonts w:ascii="Arial" w:cs="Arial" w:eastAsia="Arial" w:hAnsi="Arial"/>
                <w:sz w:val="20"/>
                <w:szCs w:val="20"/>
                <w:color w:val="0000FF"/>
                <w:w w:val="89"/>
              </w:rPr>
            </w:pPr>
            <w:hyperlink r:id="rId678">
              <w:r>
                <w:rPr>
                  <w:rFonts w:ascii="Arial" w:cs="Arial" w:eastAsia="Arial" w:hAnsi="Arial"/>
                  <w:sz w:val="20"/>
                  <w:szCs w:val="20"/>
                  <w:color w:val="0000FF"/>
                  <w:w w:val="89"/>
                </w:rPr>
                <w:t>the Parent, the Guarantors party thereto, the Lenders party</w:t>
              </w:r>
            </w:hyperlink>
          </w:p>
        </w:tc>
        <w:tc>
          <w:tcPr>
            <w:tcW w:w="580" w:type="dxa"/>
            <w:vAlign w:val="bottom"/>
            <w:tcBorders>
              <w:bottom w:val="single" w:sz="8" w:color="CFF0FC"/>
            </w:tcBorders>
            <w:gridSpan w:val="16"/>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160" w:type="dxa"/>
            <w:vAlign w:val="bottom"/>
            <w:tcBorders>
              <w:bottom w:val="single" w:sz="8" w:color="0000FF"/>
            </w:tcBorders>
            <w:gridSpan w:val="23"/>
            <w:shd w:val="clear" w:color="auto" w:fill="CFF0FC"/>
          </w:tcPr>
          <w:p>
            <w:pPr>
              <w:spacing w:after="0"/>
              <w:rPr>
                <w:rFonts w:ascii="Arial" w:cs="Arial" w:eastAsia="Arial" w:hAnsi="Arial"/>
                <w:sz w:val="20"/>
                <w:szCs w:val="20"/>
                <w:color w:val="0000FF"/>
                <w:w w:val="91"/>
              </w:rPr>
            </w:pPr>
            <w:hyperlink r:id="rId678">
              <w:r>
                <w:rPr>
                  <w:rFonts w:ascii="Arial" w:cs="Arial" w:eastAsia="Arial" w:hAnsi="Arial"/>
                  <w:sz w:val="20"/>
                  <w:szCs w:val="20"/>
                  <w:color w:val="0000FF"/>
                  <w:w w:val="91"/>
                </w:rPr>
                <w:t>thereto, and Barclays Bank PLC, party thereto as administrative</w:t>
              </w:r>
            </w:hyperlink>
          </w:p>
        </w:tc>
        <w:tc>
          <w:tcPr>
            <w:tcW w:w="120" w:type="dxa"/>
            <w:vAlign w:val="bottom"/>
            <w:tcBorders>
              <w:bottom w:val="single" w:sz="8" w:color="CFF0FC"/>
            </w:tcBorders>
            <w:gridSpan w:val="4"/>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321"/>
        </w:trPr>
        <w:tc>
          <w:tcPr>
            <w:tcW w:w="6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0000FF"/>
            </w:tcBorders>
            <w:gridSpan w:val="2"/>
            <w:shd w:val="clear" w:color="auto" w:fill="CFF0FC"/>
          </w:tcPr>
          <w:p>
            <w:pPr>
              <w:spacing w:after="0"/>
              <w:rPr>
                <w:rFonts w:ascii="Arial" w:cs="Arial" w:eastAsia="Arial" w:hAnsi="Arial"/>
                <w:sz w:val="20"/>
                <w:szCs w:val="20"/>
                <w:color w:val="0000FF"/>
                <w:w w:val="83"/>
              </w:rPr>
            </w:pPr>
            <w:hyperlink r:id="rId678">
              <w:r>
                <w:rPr>
                  <w:rFonts w:ascii="Arial" w:cs="Arial" w:eastAsia="Arial" w:hAnsi="Arial"/>
                  <w:sz w:val="20"/>
                  <w:szCs w:val="20"/>
                  <w:color w:val="0000FF"/>
                  <w:w w:val="83"/>
                </w:rPr>
                <w:t>agent</w:t>
              </w:r>
            </w:hyperlink>
          </w:p>
        </w:tc>
        <w:tc>
          <w:tcPr>
            <w:tcW w:w="4840" w:type="dxa"/>
            <w:vAlign w:val="bottom"/>
            <w:tcBorders>
              <w:bottom w:val="single" w:sz="8" w:color="CFF0FC"/>
            </w:tcBorders>
            <w:gridSpan w:val="25"/>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239"/>
        </w:trPr>
        <w:tc>
          <w:tcPr>
            <w:tcW w:w="660" w:type="dxa"/>
            <w:vAlign w:val="bottom"/>
          </w:tcPr>
          <w:p>
            <w:pPr>
              <w:jc w:val="center"/>
              <w:ind w:right="4"/>
              <w:spacing w:after="0"/>
              <w:rPr>
                <w:sz w:val="20"/>
                <w:szCs w:val="20"/>
                <w:color w:val="auto"/>
              </w:rPr>
            </w:pPr>
            <w:r>
              <w:rPr>
                <w:rFonts w:ascii="Arial" w:cs="Arial" w:eastAsia="Arial" w:hAnsi="Arial"/>
                <w:sz w:val="20"/>
                <w:szCs w:val="20"/>
                <w:color w:val="auto"/>
                <w:w w:val="90"/>
              </w:rPr>
              <w:t>10.4^</w:t>
            </w:r>
          </w:p>
        </w:tc>
        <w:tc>
          <w:tcPr>
            <w:tcW w:w="4860" w:type="dxa"/>
            <w:vAlign w:val="bottom"/>
            <w:tcBorders>
              <w:bottom w:val="single" w:sz="8" w:color="0000FF"/>
            </w:tcBorders>
            <w:gridSpan w:val="12"/>
          </w:tcPr>
          <w:p>
            <w:pPr>
              <w:spacing w:after="0"/>
              <w:rPr>
                <w:rFonts w:ascii="Arial" w:cs="Arial" w:eastAsia="Arial" w:hAnsi="Arial"/>
                <w:sz w:val="20"/>
                <w:szCs w:val="20"/>
                <w:color w:val="0000FF"/>
                <w:w w:val="90"/>
              </w:rPr>
            </w:pPr>
            <w:hyperlink r:id="rId679">
              <w:r>
                <w:rPr>
                  <w:rFonts w:ascii="Arial" w:cs="Arial" w:eastAsia="Arial" w:hAnsi="Arial"/>
                  <w:sz w:val="20"/>
                  <w:szCs w:val="20"/>
                  <w:color w:val="0000FF"/>
                  <w:w w:val="90"/>
                </w:rPr>
                <w:t>Third Amended and Restated Credit Agreement, dated as of</w:t>
              </w:r>
            </w:hyperlink>
          </w:p>
        </w:tc>
        <w:tc>
          <w:tcPr>
            <w:tcW w:w="420" w:type="dxa"/>
            <w:vAlign w:val="bottom"/>
            <w:gridSpan w:val="15"/>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Pr>
          <w:p>
            <w:pPr>
              <w:jc w:val="center"/>
              <w:spacing w:after="0"/>
              <w:rPr>
                <w:sz w:val="20"/>
                <w:szCs w:val="20"/>
                <w:color w:val="auto"/>
              </w:rPr>
            </w:pPr>
            <w:r>
              <w:rPr>
                <w:rFonts w:ascii="Arial" w:cs="Arial" w:eastAsia="Arial" w:hAnsi="Arial"/>
                <w:sz w:val="20"/>
                <w:szCs w:val="20"/>
                <w:color w:val="auto"/>
                <w:w w:val="87"/>
              </w:rPr>
              <w:t>10.1</w:t>
            </w:r>
          </w:p>
        </w:tc>
        <w:tc>
          <w:tcPr>
            <w:tcW w:w="1700" w:type="dxa"/>
            <w:vAlign w:val="bottom"/>
          </w:tcPr>
          <w:p>
            <w:pPr>
              <w:ind w:left="60"/>
              <w:spacing w:after="0"/>
              <w:rPr>
                <w:sz w:val="20"/>
                <w:szCs w:val="20"/>
                <w:color w:val="auto"/>
              </w:rPr>
            </w:pPr>
            <w:r>
              <w:rPr>
                <w:rFonts w:ascii="Arial" w:cs="Arial" w:eastAsia="Arial" w:hAnsi="Arial"/>
                <w:sz w:val="20"/>
                <w:szCs w:val="20"/>
                <w:color w:val="auto"/>
              </w:rPr>
              <w:t>October</w:t>
            </w:r>
          </w:p>
        </w:tc>
      </w:tr>
      <w:tr>
        <w:trPr>
          <w:trHeight w:val="280"/>
        </w:trPr>
        <w:tc>
          <w:tcPr>
            <w:tcW w:w="660" w:type="dxa"/>
            <w:vAlign w:val="bottom"/>
          </w:tcPr>
          <w:p>
            <w:pPr>
              <w:spacing w:after="0"/>
              <w:rPr>
                <w:sz w:val="24"/>
                <w:szCs w:val="24"/>
                <w:color w:val="auto"/>
              </w:rPr>
            </w:pPr>
          </w:p>
        </w:tc>
        <w:tc>
          <w:tcPr>
            <w:tcW w:w="5220" w:type="dxa"/>
            <w:vAlign w:val="bottom"/>
            <w:tcBorders>
              <w:bottom w:val="single" w:sz="8" w:color="0000FF"/>
            </w:tcBorders>
            <w:gridSpan w:val="25"/>
          </w:tcPr>
          <w:p>
            <w:pPr>
              <w:spacing w:after="0"/>
              <w:rPr>
                <w:rFonts w:ascii="Arial" w:cs="Arial" w:eastAsia="Arial" w:hAnsi="Arial"/>
                <w:sz w:val="20"/>
                <w:szCs w:val="20"/>
                <w:color w:val="0000FF"/>
                <w:w w:val="93"/>
              </w:rPr>
            </w:pPr>
            <w:hyperlink r:id="rId679">
              <w:r>
                <w:rPr>
                  <w:rFonts w:ascii="Arial" w:cs="Arial" w:eastAsia="Arial" w:hAnsi="Arial"/>
                  <w:sz w:val="20"/>
                  <w:szCs w:val="20"/>
                  <w:color w:val="0000FF"/>
                  <w:w w:val="93"/>
                </w:rPr>
                <w:t>October 17, 2025, among Trinity Acquisition plc and its indirect</w:t>
              </w:r>
            </w:hyperlink>
          </w:p>
        </w:tc>
        <w:tc>
          <w:tcPr>
            <w:tcW w:w="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60"/>
              <w:spacing w:after="0"/>
              <w:rPr>
                <w:sz w:val="20"/>
                <w:szCs w:val="20"/>
                <w:color w:val="auto"/>
              </w:rPr>
            </w:pPr>
            <w:r>
              <w:rPr>
                <w:rFonts w:ascii="Arial" w:cs="Arial" w:eastAsia="Arial" w:hAnsi="Arial"/>
                <w:sz w:val="20"/>
                <w:szCs w:val="20"/>
                <w:color w:val="auto"/>
              </w:rPr>
              <w:t>17, 2025</w:t>
            </w:r>
          </w:p>
        </w:tc>
      </w:tr>
      <w:tr>
        <w:trPr>
          <w:trHeight w:val="280"/>
        </w:trPr>
        <w:tc>
          <w:tcPr>
            <w:tcW w:w="660" w:type="dxa"/>
            <w:vAlign w:val="bottom"/>
          </w:tcPr>
          <w:p>
            <w:pPr>
              <w:spacing w:after="0"/>
              <w:rPr>
                <w:sz w:val="24"/>
                <w:szCs w:val="24"/>
                <w:color w:val="auto"/>
              </w:rPr>
            </w:pPr>
          </w:p>
        </w:tc>
        <w:tc>
          <w:tcPr>
            <w:tcW w:w="4980" w:type="dxa"/>
            <w:vAlign w:val="bottom"/>
            <w:tcBorders>
              <w:bottom w:val="single" w:sz="8" w:color="0000FF"/>
            </w:tcBorders>
            <w:gridSpan w:val="15"/>
          </w:tcPr>
          <w:p>
            <w:pPr>
              <w:spacing w:after="0"/>
              <w:rPr>
                <w:rFonts w:ascii="Arial" w:cs="Arial" w:eastAsia="Arial" w:hAnsi="Arial"/>
                <w:sz w:val="20"/>
                <w:szCs w:val="20"/>
                <w:color w:val="0000FF"/>
                <w:w w:val="95"/>
              </w:rPr>
            </w:pPr>
            <w:hyperlink r:id="rId679">
              <w:r>
                <w:rPr>
                  <w:rFonts w:ascii="Arial" w:cs="Arial" w:eastAsia="Arial" w:hAnsi="Arial"/>
                  <w:sz w:val="20"/>
                  <w:szCs w:val="20"/>
                  <w:color w:val="0000FF"/>
                  <w:w w:val="95"/>
                </w:rPr>
                <w:t>subsidiary, Willis North America Inc., Willis Towers Watson</w:t>
              </w:r>
            </w:hyperlink>
          </w:p>
        </w:tc>
        <w:tc>
          <w:tcPr>
            <w:tcW w:w="30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0"/>
        </w:trPr>
        <w:tc>
          <w:tcPr>
            <w:tcW w:w="660" w:type="dxa"/>
            <w:vAlign w:val="bottom"/>
          </w:tcPr>
          <w:p>
            <w:pPr>
              <w:spacing w:after="0"/>
              <w:rPr>
                <w:sz w:val="24"/>
                <w:szCs w:val="24"/>
                <w:color w:val="auto"/>
              </w:rPr>
            </w:pPr>
          </w:p>
        </w:tc>
        <w:tc>
          <w:tcPr>
            <w:tcW w:w="5200" w:type="dxa"/>
            <w:vAlign w:val="bottom"/>
            <w:tcBorders>
              <w:bottom w:val="single" w:sz="8" w:color="0000FF"/>
            </w:tcBorders>
            <w:gridSpan w:val="24"/>
          </w:tcPr>
          <w:p>
            <w:pPr>
              <w:spacing w:after="0"/>
              <w:rPr>
                <w:rFonts w:ascii="Arial" w:cs="Arial" w:eastAsia="Arial" w:hAnsi="Arial"/>
                <w:sz w:val="20"/>
                <w:szCs w:val="20"/>
                <w:color w:val="0000FF"/>
                <w:w w:val="91"/>
              </w:rPr>
            </w:pPr>
            <w:hyperlink r:id="rId679">
              <w:r>
                <w:rPr>
                  <w:rFonts w:ascii="Arial" w:cs="Arial" w:eastAsia="Arial" w:hAnsi="Arial"/>
                  <w:sz w:val="20"/>
                  <w:szCs w:val="20"/>
                  <w:color w:val="0000FF"/>
                  <w:w w:val="91"/>
                </w:rPr>
                <w:t>Public Limited Company, the lenders party thereto and Barclays</w:t>
              </w:r>
            </w:hyperlink>
          </w:p>
        </w:tc>
        <w:tc>
          <w:tcPr>
            <w:tcW w:w="8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0"/>
        </w:trPr>
        <w:tc>
          <w:tcPr>
            <w:tcW w:w="660" w:type="dxa"/>
            <w:vAlign w:val="bottom"/>
          </w:tcPr>
          <w:p>
            <w:pPr>
              <w:spacing w:after="0"/>
              <w:rPr>
                <w:sz w:val="24"/>
                <w:szCs w:val="24"/>
                <w:color w:val="auto"/>
              </w:rPr>
            </w:pPr>
          </w:p>
        </w:tc>
        <w:tc>
          <w:tcPr>
            <w:tcW w:w="5280" w:type="dxa"/>
            <w:vAlign w:val="bottom"/>
            <w:gridSpan w:val="27"/>
          </w:tcPr>
          <w:p>
            <w:pPr>
              <w:spacing w:after="0"/>
              <w:rPr>
                <w:rFonts w:ascii="Arial" w:cs="Arial" w:eastAsia="Arial" w:hAnsi="Arial"/>
                <w:sz w:val="20"/>
                <w:szCs w:val="20"/>
                <w:color w:val="0000FF"/>
              </w:rPr>
            </w:pPr>
            <w:hyperlink r:id="rId679">
              <w:r>
                <w:rPr>
                  <w:rFonts w:ascii="Arial" w:cs="Arial" w:eastAsia="Arial" w:hAnsi="Arial"/>
                  <w:sz w:val="20"/>
                  <w:szCs w:val="20"/>
                  <w:color w:val="0000FF"/>
                </w:rPr>
                <w:t>Bank PLC, as administrative agent</w:t>
              </w:r>
            </w:hyperlink>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
        </w:trPr>
        <w:tc>
          <w:tcPr>
            <w:tcW w:w="66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300" w:type="dxa"/>
            <w:vAlign w:val="bottom"/>
            <w:tcBorders>
              <w:top w:val="single" w:sz="8" w:color="0000FF"/>
            </w:tcBorders>
          </w:tcPr>
          <w:p>
            <w:pPr>
              <w:spacing w:after="0"/>
              <w:rPr>
                <w:sz w:val="3"/>
                <w:szCs w:val="3"/>
                <w:color w:val="auto"/>
              </w:rPr>
            </w:pPr>
          </w:p>
        </w:tc>
        <w:tc>
          <w:tcPr>
            <w:tcW w:w="1040" w:type="dxa"/>
            <w:vAlign w:val="bottom"/>
            <w:tcBorders>
              <w:top w:val="single" w:sz="8" w:color="0000FF"/>
            </w:tcBorders>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9"/>
        </w:trPr>
        <w:tc>
          <w:tcPr>
            <w:tcW w:w="660" w:type="dxa"/>
            <w:vAlign w:val="bottom"/>
            <w:tcBorders>
              <w:bottom w:val="single" w:sz="8" w:color="CFF0FC"/>
            </w:tcBorders>
            <w:shd w:val="clear" w:color="auto" w:fill="CFF0FC"/>
          </w:tcPr>
          <w:p>
            <w:pPr>
              <w:jc w:val="center"/>
              <w:ind w:right="4"/>
              <w:spacing w:after="0"/>
              <w:rPr>
                <w:sz w:val="20"/>
                <w:szCs w:val="20"/>
                <w:color w:val="auto"/>
              </w:rPr>
            </w:pPr>
            <w:r>
              <w:rPr>
                <w:rFonts w:ascii="Arial" w:cs="Arial" w:eastAsia="Arial" w:hAnsi="Arial"/>
                <w:sz w:val="20"/>
                <w:szCs w:val="20"/>
                <w:color w:val="auto"/>
                <w:w w:val="90"/>
              </w:rPr>
              <w:t>10.5^</w:t>
            </w:r>
          </w:p>
        </w:tc>
        <w:tc>
          <w:tcPr>
            <w:tcW w:w="5100" w:type="dxa"/>
            <w:vAlign w:val="bottom"/>
            <w:tcBorders>
              <w:bottom w:val="single" w:sz="8" w:color="0000FF"/>
            </w:tcBorders>
            <w:gridSpan w:val="20"/>
            <w:shd w:val="clear" w:color="auto" w:fill="CFF0FC"/>
          </w:tcPr>
          <w:p>
            <w:pPr>
              <w:spacing w:after="0"/>
              <w:rPr>
                <w:rFonts w:ascii="Arial" w:cs="Arial" w:eastAsia="Arial" w:hAnsi="Arial"/>
                <w:sz w:val="20"/>
                <w:szCs w:val="20"/>
                <w:color w:val="0000FF"/>
                <w:w w:val="90"/>
              </w:rPr>
            </w:pPr>
            <w:hyperlink r:id="rId680">
              <w:r>
                <w:rPr>
                  <w:rFonts w:ascii="Arial" w:cs="Arial" w:eastAsia="Arial" w:hAnsi="Arial"/>
                  <w:sz w:val="20"/>
                  <w:szCs w:val="20"/>
                  <w:color w:val="0000FF"/>
                  <w:w w:val="90"/>
                </w:rPr>
                <w:t>Third Amended and Restated Guaranty Agreement, dated as of</w:t>
              </w:r>
            </w:hyperlink>
          </w:p>
        </w:tc>
        <w:tc>
          <w:tcPr>
            <w:tcW w:w="180" w:type="dxa"/>
            <w:vAlign w:val="bottom"/>
            <w:tcBorders>
              <w:bottom w:val="single" w:sz="8" w:color="CFF0FC"/>
            </w:tcBorders>
            <w:gridSpan w:val="7"/>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7"/>
              </w:rPr>
              <w:t>10.2</w:t>
            </w:r>
          </w:p>
        </w:tc>
        <w:tc>
          <w:tcPr>
            <w:tcW w:w="1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October</w:t>
            </w: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220" w:type="dxa"/>
            <w:vAlign w:val="bottom"/>
            <w:tcBorders>
              <w:bottom w:val="single" w:sz="8" w:color="0000FF"/>
            </w:tcBorders>
            <w:gridSpan w:val="25"/>
            <w:shd w:val="clear" w:color="auto" w:fill="CFF0FC"/>
          </w:tcPr>
          <w:p>
            <w:pPr>
              <w:spacing w:after="0"/>
              <w:rPr>
                <w:rFonts w:ascii="Arial" w:cs="Arial" w:eastAsia="Arial" w:hAnsi="Arial"/>
                <w:sz w:val="20"/>
                <w:szCs w:val="20"/>
                <w:color w:val="0000FF"/>
                <w:w w:val="94"/>
              </w:rPr>
            </w:pPr>
            <w:hyperlink r:id="rId680">
              <w:r>
                <w:rPr>
                  <w:rFonts w:ascii="Arial" w:cs="Arial" w:eastAsia="Arial" w:hAnsi="Arial"/>
                  <w:sz w:val="20"/>
                  <w:szCs w:val="20"/>
                  <w:color w:val="0000FF"/>
                  <w:w w:val="94"/>
                </w:rPr>
                <w:t>October 17, 2025, among Trinity Acquisition plc, Willis Towers</w:t>
              </w:r>
            </w:hyperlink>
          </w:p>
        </w:tc>
        <w:tc>
          <w:tcPr>
            <w:tcW w:w="60" w:type="dxa"/>
            <w:vAlign w:val="bottom"/>
            <w:tcBorders>
              <w:bottom w:val="single" w:sz="8" w:color="CFF0FC"/>
            </w:tcBorders>
            <w:gridSpan w:val="2"/>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17, 2025</w:t>
            </w: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4900" w:type="dxa"/>
            <w:vAlign w:val="bottom"/>
            <w:tcBorders>
              <w:bottom w:val="single" w:sz="8" w:color="0000FF"/>
            </w:tcBorders>
            <w:gridSpan w:val="14"/>
            <w:shd w:val="clear" w:color="auto" w:fill="CFF0FC"/>
          </w:tcPr>
          <w:p>
            <w:pPr>
              <w:spacing w:after="0"/>
              <w:rPr>
                <w:rFonts w:ascii="Arial" w:cs="Arial" w:eastAsia="Arial" w:hAnsi="Arial"/>
                <w:sz w:val="20"/>
                <w:szCs w:val="20"/>
                <w:color w:val="0000FF"/>
                <w:w w:val="92"/>
              </w:rPr>
            </w:pPr>
            <w:hyperlink r:id="rId680">
              <w:r>
                <w:rPr>
                  <w:rFonts w:ascii="Arial" w:cs="Arial" w:eastAsia="Arial" w:hAnsi="Arial"/>
                  <w:sz w:val="20"/>
                  <w:szCs w:val="20"/>
                  <w:color w:val="0000FF"/>
                  <w:w w:val="92"/>
                </w:rPr>
                <w:t>Watson Public Limited Company, the other guarantors party</w:t>
              </w:r>
            </w:hyperlink>
          </w:p>
        </w:tc>
        <w:tc>
          <w:tcPr>
            <w:tcW w:w="380" w:type="dxa"/>
            <w:vAlign w:val="bottom"/>
            <w:tcBorders>
              <w:bottom w:val="single" w:sz="8" w:color="CFF0FC"/>
            </w:tcBorders>
            <w:gridSpan w:val="13"/>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280"/>
        </w:trPr>
        <w:tc>
          <w:tcPr>
            <w:tcW w:w="660" w:type="dxa"/>
            <w:vAlign w:val="bottom"/>
            <w:shd w:val="clear" w:color="auto" w:fill="CFF0FC"/>
          </w:tcPr>
          <w:p>
            <w:pPr>
              <w:spacing w:after="0"/>
              <w:rPr>
                <w:sz w:val="24"/>
                <w:szCs w:val="24"/>
                <w:color w:val="auto"/>
              </w:rPr>
            </w:pPr>
          </w:p>
        </w:tc>
        <w:tc>
          <w:tcPr>
            <w:tcW w:w="5280" w:type="dxa"/>
            <w:vAlign w:val="bottom"/>
            <w:gridSpan w:val="27"/>
            <w:shd w:val="clear" w:color="auto" w:fill="CFF0FC"/>
          </w:tcPr>
          <w:p>
            <w:pPr>
              <w:spacing w:after="0"/>
              <w:rPr>
                <w:rFonts w:ascii="Arial" w:cs="Arial" w:eastAsia="Arial" w:hAnsi="Arial"/>
                <w:sz w:val="20"/>
                <w:szCs w:val="20"/>
                <w:color w:val="0000FF"/>
              </w:rPr>
            </w:pPr>
            <w:hyperlink r:id="rId680">
              <w:r>
                <w:rPr>
                  <w:rFonts w:ascii="Arial" w:cs="Arial" w:eastAsia="Arial" w:hAnsi="Arial"/>
                  <w:sz w:val="20"/>
                  <w:szCs w:val="20"/>
                  <w:color w:val="0000FF"/>
                </w:rPr>
                <w:t>thereto and Barclays Bank PLC, as administrative agent</w:t>
              </w:r>
            </w:hyperlink>
          </w:p>
        </w:tc>
        <w:tc>
          <w:tcPr>
            <w:tcW w:w="7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700" w:type="dxa"/>
            <w:vAlign w:val="bottom"/>
            <w:shd w:val="clear" w:color="auto" w:fill="CFF0FC"/>
          </w:tcPr>
          <w:p>
            <w:pPr>
              <w:spacing w:after="0"/>
              <w:rPr>
                <w:sz w:val="24"/>
                <w:szCs w:val="24"/>
                <w:color w:val="auto"/>
              </w:rPr>
            </w:pPr>
          </w:p>
        </w:tc>
      </w:tr>
      <w:tr>
        <w:trPr>
          <w:trHeight w:val="41"/>
        </w:trPr>
        <w:tc>
          <w:tcPr>
            <w:tcW w:w="660" w:type="dxa"/>
            <w:vAlign w:val="bottom"/>
            <w:tcBorders>
              <w:top w:val="single" w:sz="8" w:color="CFF0FC"/>
            </w:tcBorders>
            <w:shd w:val="clear" w:color="auto" w:fill="CFF0FC"/>
          </w:tcPr>
          <w:p>
            <w:pPr>
              <w:spacing w:after="0"/>
              <w:rPr>
                <w:sz w:val="3"/>
                <w:szCs w:val="3"/>
                <w:color w:val="auto"/>
              </w:rPr>
            </w:pPr>
          </w:p>
        </w:tc>
        <w:tc>
          <w:tcPr>
            <w:tcW w:w="400" w:type="dxa"/>
            <w:vAlign w:val="bottom"/>
            <w:tcBorders>
              <w:top w:val="single" w:sz="8" w:color="0000FF"/>
            </w:tcBorders>
            <w:shd w:val="clear" w:color="auto" w:fill="CFF0FC"/>
          </w:tcPr>
          <w:p>
            <w:pPr>
              <w:spacing w:after="0"/>
              <w:rPr>
                <w:sz w:val="3"/>
                <w:szCs w:val="3"/>
                <w:color w:val="auto"/>
              </w:rPr>
            </w:pPr>
          </w:p>
        </w:tc>
        <w:tc>
          <w:tcPr>
            <w:tcW w:w="40" w:type="dxa"/>
            <w:vAlign w:val="bottom"/>
            <w:tcBorders>
              <w:top w:val="single" w:sz="8" w:color="0000FF"/>
            </w:tcBorders>
            <w:shd w:val="clear" w:color="auto" w:fill="CFF0FC"/>
          </w:tcPr>
          <w:p>
            <w:pPr>
              <w:spacing w:after="0"/>
              <w:rPr>
                <w:sz w:val="3"/>
                <w:szCs w:val="3"/>
                <w:color w:val="auto"/>
              </w:rPr>
            </w:pPr>
          </w:p>
        </w:tc>
        <w:tc>
          <w:tcPr>
            <w:tcW w:w="1300" w:type="dxa"/>
            <w:vAlign w:val="bottom"/>
            <w:tcBorders>
              <w:top w:val="single" w:sz="8" w:color="0000FF"/>
            </w:tcBorders>
            <w:shd w:val="clear" w:color="auto" w:fill="CFF0FC"/>
          </w:tcPr>
          <w:p>
            <w:pPr>
              <w:spacing w:after="0"/>
              <w:rPr>
                <w:sz w:val="3"/>
                <w:szCs w:val="3"/>
                <w:color w:val="auto"/>
              </w:rPr>
            </w:pPr>
          </w:p>
        </w:tc>
        <w:tc>
          <w:tcPr>
            <w:tcW w:w="1040" w:type="dxa"/>
            <w:vAlign w:val="bottom"/>
            <w:tcBorders>
              <w:top w:val="single" w:sz="8" w:color="0000FF"/>
            </w:tcBorders>
            <w:shd w:val="clear" w:color="auto" w:fill="CFF0FC"/>
          </w:tcPr>
          <w:p>
            <w:pPr>
              <w:spacing w:after="0"/>
              <w:rPr>
                <w:sz w:val="3"/>
                <w:szCs w:val="3"/>
                <w:color w:val="auto"/>
              </w:rPr>
            </w:pPr>
          </w:p>
        </w:tc>
        <w:tc>
          <w:tcPr>
            <w:tcW w:w="1080" w:type="dxa"/>
            <w:vAlign w:val="bottom"/>
            <w:tcBorders>
              <w:top w:val="single" w:sz="8" w:color="0000FF"/>
            </w:tcBorders>
            <w:shd w:val="clear" w:color="auto" w:fill="CFF0FC"/>
          </w:tcPr>
          <w:p>
            <w:pPr>
              <w:spacing w:after="0"/>
              <w:rPr>
                <w:sz w:val="3"/>
                <w:szCs w:val="3"/>
                <w:color w:val="auto"/>
              </w:rPr>
            </w:pPr>
          </w:p>
        </w:tc>
        <w:tc>
          <w:tcPr>
            <w:tcW w:w="380" w:type="dxa"/>
            <w:vAlign w:val="bottom"/>
            <w:tcBorders>
              <w:top w:val="single" w:sz="8" w:color="0000FF"/>
            </w:tcBorders>
            <w:shd w:val="clear" w:color="auto" w:fill="CFF0FC"/>
          </w:tcPr>
          <w:p>
            <w:pPr>
              <w:spacing w:after="0"/>
              <w:rPr>
                <w:sz w:val="3"/>
                <w:szCs w:val="3"/>
                <w:color w:val="auto"/>
              </w:rPr>
            </w:pPr>
          </w:p>
        </w:tc>
        <w:tc>
          <w:tcPr>
            <w:tcW w:w="240" w:type="dxa"/>
            <w:vAlign w:val="bottom"/>
            <w:tcBorders>
              <w:top w:val="single" w:sz="8" w:color="0000FF"/>
            </w:tcBorders>
            <w:shd w:val="clear" w:color="auto" w:fill="CFF0FC"/>
          </w:tcPr>
          <w:p>
            <w:pPr>
              <w:spacing w:after="0"/>
              <w:rPr>
                <w:sz w:val="3"/>
                <w:szCs w:val="3"/>
                <w:color w:val="auto"/>
              </w:rPr>
            </w:pPr>
          </w:p>
        </w:tc>
        <w:tc>
          <w:tcPr>
            <w:tcW w:w="100" w:type="dxa"/>
            <w:vAlign w:val="bottom"/>
            <w:tcBorders>
              <w:top w:val="single" w:sz="8" w:color="CFF0FC"/>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780" w:type="dxa"/>
            <w:vAlign w:val="bottom"/>
            <w:tcBorders>
              <w:top w:val="single" w:sz="8" w:color="CFF0FC"/>
            </w:tcBorders>
            <w:shd w:val="clear" w:color="auto" w:fill="CFF0FC"/>
          </w:tcPr>
          <w:p>
            <w:pPr>
              <w:spacing w:after="0"/>
              <w:rPr>
                <w:sz w:val="3"/>
                <w:szCs w:val="3"/>
                <w:color w:val="auto"/>
              </w:rPr>
            </w:pPr>
          </w:p>
        </w:tc>
        <w:tc>
          <w:tcPr>
            <w:tcW w:w="600" w:type="dxa"/>
            <w:vAlign w:val="bottom"/>
            <w:tcBorders>
              <w:top w:val="single" w:sz="8" w:color="CFF0FC"/>
            </w:tcBorders>
            <w:shd w:val="clear" w:color="auto" w:fill="CFF0FC"/>
          </w:tcPr>
          <w:p>
            <w:pPr>
              <w:spacing w:after="0"/>
              <w:rPr>
                <w:sz w:val="3"/>
                <w:szCs w:val="3"/>
                <w:color w:val="auto"/>
              </w:rPr>
            </w:pPr>
          </w:p>
        </w:tc>
        <w:tc>
          <w:tcPr>
            <w:tcW w:w="1700" w:type="dxa"/>
            <w:vAlign w:val="bottom"/>
            <w:tcBorders>
              <w:top w:val="single" w:sz="8" w:color="CFF0FC"/>
            </w:tcBorders>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-7371715</wp:posOffset>
            </wp:positionV>
            <wp:extent cx="1440815" cy="63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1">
                      <a:extLst>
                        <a:ext uri="{28A0092B-C50C-407E-A947-70E740481C1C}"/>
                      </a:extLst>
                    </a:blip>
                    <a:srcRect/>
                    <a:stretch>
                      <a:fillRect/>
                    </a:stretch>
                  </pic:blipFill>
                  <pic:spPr bwMode="auto">
                    <a:xfrm>
                      <a:off x="0" y="0"/>
                      <a:ext cx="144081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-7060565</wp:posOffset>
            </wp:positionV>
            <wp:extent cx="5728970" cy="127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2">
                      <a:extLst>
                        <a:ext uri="{28A0092B-C50C-407E-A947-70E740481C1C}"/>
                      </a:extLst>
                    </a:blip>
                    <a:srcRect/>
                    <a:stretch>
                      <a:fillRect/>
                    </a:stretch>
                  </pic:blipFill>
                  <pic:spPr bwMode="auto">
                    <a:xfrm>
                      <a:off x="0" y="0"/>
                      <a:ext cx="5728970" cy="1270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15 / 60</w:t>
      </w:r>
    </w:p>
    <w:p>
      <w:pPr>
        <w:sectPr>
          <w:pgSz w:w="11900" w:h="16838" w:orient="portrait"/>
          <w:cols w:equalWidth="0" w:num="1">
            <w:col w:w="9026"/>
          </w:cols>
          <w:pgMar w:left="1440" w:top="1440" w:right="1440" w:bottom="0" w:gutter="0" w:footer="0" w:header="0"/>
          <w:type w:val="continuous"/>
        </w:sectPr>
      </w:pPr>
    </w:p>
    <w:bookmarkStart w:id="275" w:name="page276"/>
    <w:bookmarkEnd w:id="275"/>
    <w:tbl>
      <w:tblPr>
        <w:tblLayout w:type="fixed"/>
        <w:tblInd w:w="0" w:type="dxa"/>
        <w:tblCellMar>
          <w:top w:w="0" w:type="dxa"/>
          <w:left w:w="0" w:type="dxa"/>
          <w:bottom w:w="0" w:type="dxa"/>
          <w:right w:w="0" w:type="dxa"/>
        </w:tblCellMar>
      </w:tblPr>
      <w:tr>
        <w:trPr>
          <w:trHeight w:val="230"/>
        </w:trPr>
        <w:tc>
          <w:tcPr>
            <w:tcW w:w="840" w:type="dxa"/>
            <w:vAlign w:val="bottom"/>
            <w:gridSpan w:val="2"/>
          </w:tcPr>
          <w:p>
            <w:pPr>
              <w:jc w:val="center"/>
              <w:spacing w:after="0"/>
              <w:rPr>
                <w:sz w:val="20"/>
                <w:szCs w:val="20"/>
                <w:color w:val="auto"/>
              </w:rPr>
            </w:pPr>
            <w:r>
              <w:rPr>
                <w:rFonts w:ascii="Arial" w:cs="Arial" w:eastAsia="Arial" w:hAnsi="Arial"/>
                <w:sz w:val="20"/>
                <w:szCs w:val="20"/>
                <w:color w:val="auto"/>
                <w:w w:val="90"/>
              </w:rPr>
              <w:t>10.6^</w:t>
            </w:r>
          </w:p>
        </w:tc>
        <w:tc>
          <w:tcPr>
            <w:tcW w:w="4900" w:type="dxa"/>
            <w:vAlign w:val="bottom"/>
            <w:tcBorders>
              <w:bottom w:val="single" w:sz="8" w:color="0000FF"/>
            </w:tcBorders>
            <w:gridSpan w:val="11"/>
          </w:tcPr>
          <w:p>
            <w:pPr>
              <w:spacing w:after="0"/>
              <w:rPr>
                <w:rFonts w:ascii="Arial" w:cs="Arial" w:eastAsia="Arial" w:hAnsi="Arial"/>
                <w:sz w:val="20"/>
                <w:szCs w:val="20"/>
                <w:color w:val="0000FF"/>
                <w:w w:val="91"/>
              </w:rPr>
            </w:pPr>
            <w:hyperlink r:id="rId683">
              <w:r>
                <w:rPr>
                  <w:rFonts w:ascii="Arial" w:cs="Arial" w:eastAsia="Arial" w:hAnsi="Arial"/>
                  <w:sz w:val="20"/>
                  <w:szCs w:val="20"/>
                  <w:color w:val="0000FF"/>
                  <w:w w:val="91"/>
                </w:rPr>
                <w:t>Delayed Draw Term Loan Agreement dated as of January 7,</w:t>
              </w:r>
            </w:hyperlink>
          </w:p>
        </w:tc>
        <w:tc>
          <w:tcPr>
            <w:tcW w:w="400" w:type="dxa"/>
            <w:vAlign w:val="bottom"/>
            <w:gridSpan w:val="7"/>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580" w:type="dxa"/>
            <w:vAlign w:val="bottom"/>
          </w:tcPr>
          <w:p>
            <w:pPr>
              <w:jc w:val="right"/>
              <w:spacing w:after="0"/>
              <w:rPr>
                <w:sz w:val="20"/>
                <w:szCs w:val="20"/>
                <w:color w:val="auto"/>
              </w:rPr>
            </w:pPr>
            <w:r>
              <w:rPr>
                <w:rFonts w:ascii="Arial" w:cs="Arial" w:eastAsia="Arial" w:hAnsi="Arial"/>
                <w:sz w:val="20"/>
                <w:szCs w:val="20"/>
                <w:color w:val="auto"/>
              </w:rPr>
              <w:t>10.1</w:t>
            </w:r>
          </w:p>
        </w:tc>
        <w:tc>
          <w:tcPr>
            <w:tcW w:w="1940" w:type="dxa"/>
            <w:vAlign w:val="bottom"/>
            <w:gridSpan w:val="2"/>
          </w:tcPr>
          <w:p>
            <w:pPr>
              <w:ind w:left="100"/>
              <w:spacing w:after="0"/>
              <w:rPr>
                <w:sz w:val="20"/>
                <w:szCs w:val="20"/>
                <w:color w:val="auto"/>
              </w:rPr>
            </w:pPr>
            <w:r>
              <w:rPr>
                <w:rFonts w:ascii="Arial" w:cs="Arial" w:eastAsia="Arial" w:hAnsi="Arial"/>
                <w:sz w:val="20"/>
                <w:szCs w:val="20"/>
                <w:color w:val="auto"/>
              </w:rPr>
              <w:t>January 9,</w:t>
            </w: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20" w:type="dxa"/>
            <w:vAlign w:val="bottom"/>
            <w:tcBorders>
              <w:bottom w:val="single" w:sz="8" w:color="0000FF"/>
            </w:tcBorders>
            <w:gridSpan w:val="9"/>
          </w:tcPr>
          <w:p>
            <w:pPr>
              <w:spacing w:after="0"/>
              <w:rPr>
                <w:rFonts w:ascii="Arial" w:cs="Arial" w:eastAsia="Arial" w:hAnsi="Arial"/>
                <w:sz w:val="20"/>
                <w:szCs w:val="20"/>
                <w:color w:val="0000FF"/>
                <w:w w:val="92"/>
              </w:rPr>
            </w:pPr>
            <w:hyperlink r:id="rId683">
              <w:r>
                <w:rPr>
                  <w:rFonts w:ascii="Arial" w:cs="Arial" w:eastAsia="Arial" w:hAnsi="Arial"/>
                  <w:sz w:val="20"/>
                  <w:szCs w:val="20"/>
                  <w:color w:val="0000FF"/>
                  <w:w w:val="92"/>
                </w:rPr>
                <w:t>2026, by and among Trinity Acquisition plc, the designated</w:t>
              </w:r>
            </w:hyperlink>
          </w:p>
        </w:tc>
        <w:tc>
          <w:tcPr>
            <w:tcW w:w="480" w:type="dxa"/>
            <w:vAlign w:val="bottom"/>
            <w:gridSpan w:val="9"/>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ind w:left="100"/>
              <w:spacing w:after="0"/>
              <w:rPr>
                <w:sz w:val="20"/>
                <w:szCs w:val="20"/>
                <w:color w:val="auto"/>
              </w:rPr>
            </w:pPr>
            <w:r>
              <w:rPr>
                <w:rFonts w:ascii="Arial" w:cs="Arial" w:eastAsia="Arial" w:hAnsi="Arial"/>
                <w:sz w:val="20"/>
                <w:szCs w:val="20"/>
                <w:color w:val="auto"/>
              </w:rPr>
              <w:t>2026</w:t>
            </w:r>
          </w:p>
        </w:tc>
        <w:tc>
          <w:tcPr>
            <w:tcW w:w="200" w:type="dxa"/>
            <w:vAlign w:val="bottom"/>
          </w:tcPr>
          <w:p>
            <w:pPr>
              <w:spacing w:after="0"/>
              <w:rPr>
                <w:sz w:val="24"/>
                <w:szCs w:val="24"/>
                <w:color w:val="auto"/>
              </w:rPr>
            </w:pP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60" w:type="dxa"/>
            <w:vAlign w:val="bottom"/>
            <w:tcBorders>
              <w:bottom w:val="single" w:sz="8" w:color="0000FF"/>
            </w:tcBorders>
            <w:gridSpan w:val="7"/>
          </w:tcPr>
          <w:p>
            <w:pPr>
              <w:spacing w:after="0"/>
              <w:rPr>
                <w:rFonts w:ascii="Arial" w:cs="Arial" w:eastAsia="Arial" w:hAnsi="Arial"/>
                <w:sz w:val="20"/>
                <w:szCs w:val="20"/>
                <w:color w:val="0000FF"/>
                <w:w w:val="94"/>
              </w:rPr>
            </w:pPr>
            <w:hyperlink r:id="rId683">
              <w:r>
                <w:rPr>
                  <w:rFonts w:ascii="Arial" w:cs="Arial" w:eastAsia="Arial" w:hAnsi="Arial"/>
                  <w:sz w:val="20"/>
                  <w:szCs w:val="20"/>
                  <w:color w:val="0000FF"/>
                  <w:w w:val="94"/>
                </w:rPr>
                <w:t>borrower(s) from time to time party thereto, Willis Towers</w:t>
              </w:r>
            </w:hyperlink>
          </w:p>
        </w:tc>
        <w:tc>
          <w:tcPr>
            <w:tcW w:w="540" w:type="dxa"/>
            <w:vAlign w:val="bottom"/>
            <w:gridSpan w:val="11"/>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60" w:type="dxa"/>
            <w:vAlign w:val="bottom"/>
            <w:tcBorders>
              <w:bottom w:val="single" w:sz="8" w:color="0000FF"/>
            </w:tcBorders>
            <w:gridSpan w:val="15"/>
          </w:tcPr>
          <w:p>
            <w:pPr>
              <w:spacing w:after="0"/>
              <w:rPr>
                <w:rFonts w:ascii="Arial" w:cs="Arial" w:eastAsia="Arial" w:hAnsi="Arial"/>
                <w:sz w:val="20"/>
                <w:szCs w:val="20"/>
                <w:color w:val="0000FF"/>
                <w:w w:val="91"/>
              </w:rPr>
            </w:pPr>
            <w:hyperlink r:id="rId683">
              <w:r>
                <w:rPr>
                  <w:rFonts w:ascii="Arial" w:cs="Arial" w:eastAsia="Arial" w:hAnsi="Arial"/>
                  <w:sz w:val="20"/>
                  <w:szCs w:val="20"/>
                  <w:color w:val="0000FF"/>
                  <w:w w:val="91"/>
                </w:rPr>
                <w:t>Watson Public Limited Company, and JPMorgan Chase Bank,</w:t>
              </w:r>
            </w:hyperlink>
          </w:p>
        </w:tc>
        <w:tc>
          <w:tcPr>
            <w:tcW w:w="24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00" w:type="dxa"/>
            <w:vAlign w:val="bottom"/>
            <w:gridSpan w:val="18"/>
          </w:tcPr>
          <w:p>
            <w:pPr>
              <w:spacing w:after="0"/>
              <w:rPr>
                <w:rFonts w:ascii="Arial" w:cs="Arial" w:eastAsia="Arial" w:hAnsi="Arial"/>
                <w:sz w:val="20"/>
                <w:szCs w:val="20"/>
                <w:color w:val="0000FF"/>
              </w:rPr>
            </w:pPr>
            <w:hyperlink r:id="rId683">
              <w:r>
                <w:rPr>
                  <w:rFonts w:ascii="Arial" w:cs="Arial" w:eastAsia="Arial" w:hAnsi="Arial"/>
                  <w:sz w:val="20"/>
                  <w:szCs w:val="20"/>
                  <w:color w:val="0000FF"/>
                </w:rPr>
                <w:t>N.A., as Administrative Agent</w:t>
              </w:r>
            </w:hyperlink>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7"/>
              </w:rPr>
              <w:t>10.7</w:t>
            </w:r>
          </w:p>
        </w:tc>
        <w:tc>
          <w:tcPr>
            <w:tcW w:w="5300" w:type="dxa"/>
            <w:vAlign w:val="bottom"/>
            <w:tcBorders>
              <w:bottom w:val="single" w:sz="8" w:color="0000FF"/>
            </w:tcBorders>
            <w:gridSpan w:val="18"/>
            <w:shd w:val="clear" w:color="auto" w:fill="CFF0FC"/>
          </w:tcPr>
          <w:p>
            <w:pPr>
              <w:spacing w:after="0"/>
              <w:rPr>
                <w:rFonts w:ascii="Arial" w:cs="Arial" w:eastAsia="Arial" w:hAnsi="Arial"/>
                <w:sz w:val="20"/>
                <w:szCs w:val="20"/>
                <w:color w:val="0000FF"/>
                <w:w w:val="90"/>
              </w:rPr>
            </w:pPr>
            <w:hyperlink r:id="rId684">
              <w:r>
                <w:rPr>
                  <w:rFonts w:ascii="Arial" w:cs="Arial" w:eastAsia="Arial" w:hAnsi="Arial"/>
                  <w:sz w:val="20"/>
                  <w:szCs w:val="20"/>
                  <w:color w:val="0000FF"/>
                  <w:w w:val="90"/>
                </w:rPr>
                <w:t>Deed Poll of Assumption, dated as of December 31, 2009, by and</w:t>
              </w:r>
            </w:hyperlink>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6"/>
              </w:rPr>
              <w:t>8-K</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10.4</w:t>
            </w:r>
          </w:p>
        </w:tc>
        <w:tc>
          <w:tcPr>
            <w:tcW w:w="17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January 4,</w:t>
            </w:r>
          </w:p>
        </w:tc>
        <w:tc>
          <w:tcPr>
            <w:tcW w:w="200" w:type="dxa"/>
            <w:vAlign w:val="bottom"/>
          </w:tcPr>
          <w:p>
            <w:pPr>
              <w:spacing w:after="0"/>
              <w:rPr>
                <w:sz w:val="20"/>
                <w:szCs w:val="20"/>
                <w:color w:val="auto"/>
              </w:rPr>
            </w:pPr>
          </w:p>
        </w:tc>
      </w:tr>
      <w:tr>
        <w:trPr>
          <w:trHeight w:val="280"/>
        </w:trPr>
        <w:tc>
          <w:tcPr>
            <w:tcW w:w="180" w:type="dxa"/>
            <w:vAlign w:val="bottom"/>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4720" w:type="dxa"/>
            <w:vAlign w:val="bottom"/>
            <w:tcBorders>
              <w:bottom w:val="single" w:sz="8" w:color="0000FF"/>
            </w:tcBorders>
            <w:gridSpan w:val="6"/>
            <w:shd w:val="clear" w:color="auto" w:fill="CFF0FC"/>
          </w:tcPr>
          <w:p>
            <w:pPr>
              <w:spacing w:after="0"/>
              <w:rPr>
                <w:rFonts w:ascii="Arial" w:cs="Arial" w:eastAsia="Arial" w:hAnsi="Arial"/>
                <w:sz w:val="20"/>
                <w:szCs w:val="20"/>
                <w:color w:val="0000FF"/>
                <w:w w:val="95"/>
              </w:rPr>
            </w:pPr>
            <w:hyperlink r:id="rId684">
              <w:r>
                <w:rPr>
                  <w:rFonts w:ascii="Arial" w:cs="Arial" w:eastAsia="Arial" w:hAnsi="Arial"/>
                  <w:sz w:val="20"/>
                  <w:szCs w:val="20"/>
                  <w:color w:val="0000FF"/>
                  <w:w w:val="95"/>
                </w:rPr>
                <w:t>between Willis Group Holdings Limited and Willis Group</w:t>
              </w:r>
            </w:hyperlink>
          </w:p>
        </w:tc>
        <w:tc>
          <w:tcPr>
            <w:tcW w:w="580" w:type="dxa"/>
            <w:vAlign w:val="bottom"/>
            <w:tcBorders>
              <w:bottom w:val="single" w:sz="8" w:color="CFF0FC"/>
            </w:tcBorders>
            <w:gridSpan w:val="12"/>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2010</w:t>
            </w:r>
          </w:p>
        </w:tc>
        <w:tc>
          <w:tcPr>
            <w:tcW w:w="200" w:type="dxa"/>
            <w:vAlign w:val="bottom"/>
          </w:tcPr>
          <w:p>
            <w:pPr>
              <w:spacing w:after="0"/>
              <w:rPr>
                <w:sz w:val="24"/>
                <w:szCs w:val="24"/>
                <w:color w:val="auto"/>
              </w:rPr>
            </w:pPr>
          </w:p>
        </w:tc>
      </w:tr>
      <w:tr>
        <w:trPr>
          <w:trHeight w:val="280"/>
        </w:trPr>
        <w:tc>
          <w:tcPr>
            <w:tcW w:w="180" w:type="dxa"/>
            <w:vAlign w:val="bottom"/>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5300" w:type="dxa"/>
            <w:vAlign w:val="bottom"/>
            <w:gridSpan w:val="18"/>
            <w:shd w:val="clear" w:color="auto" w:fill="CFF0FC"/>
          </w:tcPr>
          <w:p>
            <w:pPr>
              <w:spacing w:after="0"/>
              <w:rPr>
                <w:rFonts w:ascii="Arial" w:cs="Arial" w:eastAsia="Arial" w:hAnsi="Arial"/>
                <w:sz w:val="20"/>
                <w:szCs w:val="20"/>
                <w:color w:val="0000FF"/>
              </w:rPr>
            </w:pPr>
            <w:hyperlink r:id="rId684">
              <w:r>
                <w:rPr>
                  <w:rFonts w:ascii="Arial" w:cs="Arial" w:eastAsia="Arial" w:hAnsi="Arial"/>
                  <w:sz w:val="20"/>
                  <w:szCs w:val="20"/>
                  <w:color w:val="0000FF"/>
                </w:rPr>
                <w:t>Holdings Public Limited Company</w:t>
              </w:r>
            </w:hyperlink>
          </w:p>
        </w:tc>
        <w:tc>
          <w:tcPr>
            <w:tcW w:w="74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1740" w:type="dxa"/>
            <w:vAlign w:val="bottom"/>
            <w:shd w:val="clear" w:color="auto" w:fill="CFF0FC"/>
          </w:tcPr>
          <w:p>
            <w:pPr>
              <w:spacing w:after="0"/>
              <w:rPr>
                <w:sz w:val="24"/>
                <w:szCs w:val="24"/>
                <w:color w:val="auto"/>
              </w:rPr>
            </w:pP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Borders>
              <w:top w:val="single" w:sz="8" w:color="CFF0FC"/>
            </w:tcBorders>
            <w:shd w:val="clear" w:color="auto" w:fill="CFF0FC"/>
          </w:tcPr>
          <w:p>
            <w:pPr>
              <w:spacing w:after="0"/>
              <w:rPr>
                <w:sz w:val="3"/>
                <w:szCs w:val="3"/>
                <w:color w:val="auto"/>
              </w:rPr>
            </w:pPr>
          </w:p>
        </w:tc>
        <w:tc>
          <w:tcPr>
            <w:tcW w:w="1160" w:type="dxa"/>
            <w:vAlign w:val="bottom"/>
            <w:tcBorders>
              <w:top w:val="single" w:sz="8" w:color="0000FF"/>
            </w:tcBorders>
            <w:shd w:val="clear" w:color="auto" w:fill="CFF0FC"/>
          </w:tcPr>
          <w:p>
            <w:pPr>
              <w:spacing w:after="0"/>
              <w:rPr>
                <w:sz w:val="3"/>
                <w:szCs w:val="3"/>
                <w:color w:val="auto"/>
              </w:rPr>
            </w:pPr>
          </w:p>
        </w:tc>
        <w:tc>
          <w:tcPr>
            <w:tcW w:w="160" w:type="dxa"/>
            <w:vAlign w:val="bottom"/>
            <w:tcBorders>
              <w:top w:val="single" w:sz="8" w:color="0000FF"/>
            </w:tcBorders>
            <w:shd w:val="clear" w:color="auto" w:fill="CFF0FC"/>
          </w:tcPr>
          <w:p>
            <w:pPr>
              <w:spacing w:after="0"/>
              <w:rPr>
                <w:sz w:val="3"/>
                <w:szCs w:val="3"/>
                <w:color w:val="auto"/>
              </w:rPr>
            </w:pPr>
          </w:p>
        </w:tc>
        <w:tc>
          <w:tcPr>
            <w:tcW w:w="1120" w:type="dxa"/>
            <w:vAlign w:val="bottom"/>
            <w:tcBorders>
              <w:top w:val="single" w:sz="8" w:color="0000FF"/>
            </w:tcBorders>
            <w:shd w:val="clear" w:color="auto" w:fill="CFF0FC"/>
          </w:tcPr>
          <w:p>
            <w:pPr>
              <w:spacing w:after="0"/>
              <w:rPr>
                <w:sz w:val="3"/>
                <w:szCs w:val="3"/>
                <w:color w:val="auto"/>
              </w:rPr>
            </w:pPr>
          </w:p>
        </w:tc>
        <w:tc>
          <w:tcPr>
            <w:tcW w:w="360" w:type="dxa"/>
            <w:vAlign w:val="bottom"/>
            <w:tcBorders>
              <w:top w:val="single" w:sz="8" w:color="0000FF"/>
            </w:tcBorders>
            <w:shd w:val="clear" w:color="auto" w:fill="CFF0FC"/>
          </w:tcPr>
          <w:p>
            <w:pPr>
              <w:spacing w:after="0"/>
              <w:rPr>
                <w:sz w:val="3"/>
                <w:szCs w:val="3"/>
                <w:color w:val="auto"/>
              </w:rPr>
            </w:pPr>
          </w:p>
        </w:tc>
        <w:tc>
          <w:tcPr>
            <w:tcW w:w="1780" w:type="dxa"/>
            <w:vAlign w:val="bottom"/>
            <w:tcBorders>
              <w:top w:val="single" w:sz="8" w:color="CFF0FC"/>
            </w:tcBorders>
            <w:shd w:val="clear" w:color="auto" w:fill="CFF0FC"/>
          </w:tcPr>
          <w:p>
            <w:pPr>
              <w:spacing w:after="0"/>
              <w:rPr>
                <w:sz w:val="3"/>
                <w:szCs w:val="3"/>
                <w:color w:val="auto"/>
              </w:rPr>
            </w:pPr>
          </w:p>
        </w:tc>
        <w:tc>
          <w:tcPr>
            <w:tcW w:w="14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0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20" w:type="dxa"/>
            <w:vAlign w:val="bottom"/>
            <w:tcBorders>
              <w:top w:val="single" w:sz="8" w:color="CFF0FC"/>
            </w:tcBorders>
            <w:shd w:val="clear" w:color="auto" w:fill="CFF0FC"/>
          </w:tcPr>
          <w:p>
            <w:pPr>
              <w:spacing w:after="0"/>
              <w:rPr>
                <w:sz w:val="3"/>
                <w:szCs w:val="3"/>
                <w:color w:val="auto"/>
              </w:rPr>
            </w:pPr>
          </w:p>
        </w:tc>
        <w:tc>
          <w:tcPr>
            <w:tcW w:w="740" w:type="dxa"/>
            <w:vAlign w:val="bottom"/>
            <w:tcBorders>
              <w:top w:val="single" w:sz="8" w:color="CFF0FC"/>
            </w:tcBorders>
            <w:shd w:val="clear" w:color="auto" w:fill="CFF0FC"/>
          </w:tcPr>
          <w:p>
            <w:pPr>
              <w:spacing w:after="0"/>
              <w:rPr>
                <w:sz w:val="3"/>
                <w:szCs w:val="3"/>
                <w:color w:val="auto"/>
              </w:rPr>
            </w:pPr>
          </w:p>
        </w:tc>
        <w:tc>
          <w:tcPr>
            <w:tcW w:w="580" w:type="dxa"/>
            <w:vAlign w:val="bottom"/>
            <w:tcBorders>
              <w:top w:val="single" w:sz="8" w:color="CFF0FC"/>
            </w:tcBorders>
            <w:shd w:val="clear" w:color="auto" w:fill="CFF0FC"/>
          </w:tcPr>
          <w:p>
            <w:pPr>
              <w:spacing w:after="0"/>
              <w:rPr>
                <w:sz w:val="3"/>
                <w:szCs w:val="3"/>
                <w:color w:val="auto"/>
              </w:rPr>
            </w:pPr>
          </w:p>
        </w:tc>
        <w:tc>
          <w:tcPr>
            <w:tcW w:w="1740" w:type="dxa"/>
            <w:vAlign w:val="bottom"/>
            <w:tcBorders>
              <w:top w:val="single" w:sz="8" w:color="CFF0FC"/>
            </w:tcBorders>
            <w:shd w:val="clear" w:color="auto" w:fill="CFF0FC"/>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20"/>
                <w:szCs w:val="20"/>
                <w:color w:val="auto"/>
                <w:w w:val="87"/>
              </w:rPr>
              <w:t>10.8</w:t>
            </w:r>
          </w:p>
        </w:tc>
        <w:tc>
          <w:tcPr>
            <w:tcW w:w="5160" w:type="dxa"/>
            <w:vAlign w:val="bottom"/>
            <w:tcBorders>
              <w:bottom w:val="single" w:sz="8" w:color="0000FF"/>
            </w:tcBorders>
            <w:gridSpan w:val="16"/>
          </w:tcPr>
          <w:p>
            <w:pPr>
              <w:spacing w:after="0"/>
              <w:rPr>
                <w:rFonts w:ascii="Arial" w:cs="Arial" w:eastAsia="Arial" w:hAnsi="Arial"/>
                <w:sz w:val="20"/>
                <w:szCs w:val="20"/>
                <w:color w:val="0000FF"/>
                <w:w w:val="89"/>
              </w:rPr>
            </w:pPr>
            <w:hyperlink r:id="rId685">
              <w:r>
                <w:rPr>
                  <w:rFonts w:ascii="Arial" w:cs="Arial" w:eastAsia="Arial" w:hAnsi="Arial"/>
                  <w:sz w:val="20"/>
                  <w:szCs w:val="20"/>
                  <w:color w:val="0000FF"/>
                  <w:w w:val="89"/>
                </w:rPr>
                <w:t>Security and Asset Purchase Agreement, dated as of August 12,</w:t>
              </w:r>
            </w:hyperlink>
          </w:p>
        </w:tc>
        <w:tc>
          <w:tcPr>
            <w:tcW w:w="140" w:type="dxa"/>
            <w:vAlign w:val="bottom"/>
            <w:gridSpan w:val="2"/>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580" w:type="dxa"/>
            <w:vAlign w:val="bottom"/>
          </w:tcPr>
          <w:p>
            <w:pPr>
              <w:jc w:val="right"/>
              <w:spacing w:after="0"/>
              <w:rPr>
                <w:sz w:val="20"/>
                <w:szCs w:val="20"/>
                <w:color w:val="auto"/>
              </w:rPr>
            </w:pPr>
            <w:r>
              <w:rPr>
                <w:rFonts w:ascii="Arial" w:cs="Arial" w:eastAsia="Arial" w:hAnsi="Arial"/>
                <w:sz w:val="20"/>
                <w:szCs w:val="20"/>
                <w:color w:val="auto"/>
              </w:rPr>
              <w:t>10.1</w:t>
            </w:r>
          </w:p>
        </w:tc>
        <w:tc>
          <w:tcPr>
            <w:tcW w:w="1940" w:type="dxa"/>
            <w:vAlign w:val="bottom"/>
            <w:gridSpan w:val="2"/>
          </w:tcPr>
          <w:p>
            <w:pPr>
              <w:ind w:left="100"/>
              <w:spacing w:after="0"/>
              <w:rPr>
                <w:sz w:val="20"/>
                <w:szCs w:val="20"/>
                <w:color w:val="auto"/>
              </w:rPr>
            </w:pPr>
            <w:r>
              <w:rPr>
                <w:rFonts w:ascii="Arial" w:cs="Arial" w:eastAsia="Arial" w:hAnsi="Arial"/>
                <w:sz w:val="20"/>
                <w:szCs w:val="20"/>
                <w:color w:val="auto"/>
              </w:rPr>
              <w:t>August 16,</w:t>
            </w: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40" w:type="dxa"/>
            <w:vAlign w:val="bottom"/>
            <w:tcBorders>
              <w:bottom w:val="single" w:sz="8" w:color="0000FF"/>
            </w:tcBorders>
            <w:gridSpan w:val="14"/>
          </w:tcPr>
          <w:p>
            <w:pPr>
              <w:spacing w:after="0"/>
              <w:rPr>
                <w:rFonts w:ascii="Arial" w:cs="Arial" w:eastAsia="Arial" w:hAnsi="Arial"/>
                <w:sz w:val="20"/>
                <w:szCs w:val="20"/>
                <w:color w:val="0000FF"/>
                <w:w w:val="92"/>
              </w:rPr>
            </w:pPr>
            <w:hyperlink r:id="rId685">
              <w:r>
                <w:rPr>
                  <w:rFonts w:ascii="Arial" w:cs="Arial" w:eastAsia="Arial" w:hAnsi="Arial"/>
                  <w:sz w:val="20"/>
                  <w:szCs w:val="20"/>
                  <w:color w:val="0000FF"/>
                  <w:w w:val="92"/>
                </w:rPr>
                <w:t>2021, by and between Willis Towers Watson plc and Arthur J.</w:t>
              </w:r>
            </w:hyperlink>
          </w:p>
        </w:tc>
        <w:tc>
          <w:tcPr>
            <w:tcW w:w="26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ind w:left="100"/>
              <w:spacing w:after="0"/>
              <w:rPr>
                <w:sz w:val="20"/>
                <w:szCs w:val="20"/>
                <w:color w:val="auto"/>
              </w:rPr>
            </w:pPr>
            <w:r>
              <w:rPr>
                <w:rFonts w:ascii="Arial" w:cs="Arial" w:eastAsia="Arial" w:hAnsi="Arial"/>
                <w:sz w:val="20"/>
                <w:szCs w:val="20"/>
                <w:color w:val="auto"/>
              </w:rPr>
              <w:t>2021</w:t>
            </w:r>
          </w:p>
        </w:tc>
        <w:tc>
          <w:tcPr>
            <w:tcW w:w="200" w:type="dxa"/>
            <w:vAlign w:val="bottom"/>
          </w:tcPr>
          <w:p>
            <w:pPr>
              <w:spacing w:after="0"/>
              <w:rPr>
                <w:sz w:val="24"/>
                <w:szCs w:val="24"/>
                <w:color w:val="auto"/>
              </w:rPr>
            </w:pP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00" w:type="dxa"/>
            <w:vAlign w:val="bottom"/>
            <w:gridSpan w:val="18"/>
          </w:tcPr>
          <w:p>
            <w:pPr>
              <w:spacing w:after="0"/>
              <w:rPr>
                <w:rFonts w:ascii="Arial" w:cs="Arial" w:eastAsia="Arial" w:hAnsi="Arial"/>
                <w:sz w:val="20"/>
                <w:szCs w:val="20"/>
                <w:color w:val="0000FF"/>
              </w:rPr>
            </w:pPr>
            <w:hyperlink r:id="rId685">
              <w:r>
                <w:rPr>
                  <w:rFonts w:ascii="Arial" w:cs="Arial" w:eastAsia="Arial" w:hAnsi="Arial"/>
                  <w:sz w:val="20"/>
                  <w:szCs w:val="20"/>
                  <w:color w:val="0000FF"/>
                </w:rPr>
                <w:t>Gallagher &amp; Co.</w:t>
              </w:r>
            </w:hyperlink>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7"/>
              </w:rPr>
              <w:t>10.9</w:t>
            </w:r>
          </w:p>
        </w:tc>
        <w:tc>
          <w:tcPr>
            <w:tcW w:w="4880" w:type="dxa"/>
            <w:vAlign w:val="bottom"/>
            <w:tcBorders>
              <w:bottom w:val="single" w:sz="8" w:color="0000FF"/>
            </w:tcBorders>
            <w:gridSpan w:val="10"/>
            <w:shd w:val="clear" w:color="auto" w:fill="CFF0FC"/>
          </w:tcPr>
          <w:p>
            <w:pPr>
              <w:spacing w:after="0"/>
              <w:rPr>
                <w:rFonts w:ascii="Arial" w:cs="Arial" w:eastAsia="Arial" w:hAnsi="Arial"/>
                <w:sz w:val="20"/>
                <w:szCs w:val="20"/>
                <w:color w:val="0000FF"/>
                <w:w w:val="90"/>
              </w:rPr>
            </w:pPr>
            <w:hyperlink r:id="rId686">
              <w:r>
                <w:rPr>
                  <w:rFonts w:ascii="Arial" w:cs="Arial" w:eastAsia="Arial" w:hAnsi="Arial"/>
                  <w:sz w:val="20"/>
                  <w:szCs w:val="20"/>
                  <w:color w:val="0000FF"/>
                  <w:w w:val="90"/>
                </w:rPr>
                <w:t>Letter Agreement, dated December 1, 2021, by and between</w:t>
              </w:r>
            </w:hyperlink>
          </w:p>
        </w:tc>
        <w:tc>
          <w:tcPr>
            <w:tcW w:w="420" w:type="dxa"/>
            <w:vAlign w:val="bottom"/>
            <w:tcBorders>
              <w:bottom w:val="single" w:sz="8" w:color="CFF0FC"/>
            </w:tcBorders>
            <w:gridSpan w:val="8"/>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6"/>
              </w:rPr>
              <w:t>8-K</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10.1</w:t>
            </w:r>
          </w:p>
        </w:tc>
        <w:tc>
          <w:tcPr>
            <w:tcW w:w="17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December</w:t>
            </w:r>
          </w:p>
        </w:tc>
        <w:tc>
          <w:tcPr>
            <w:tcW w:w="200" w:type="dxa"/>
            <w:vAlign w:val="bottom"/>
          </w:tcPr>
          <w:p>
            <w:pPr>
              <w:spacing w:after="0"/>
              <w:rPr>
                <w:sz w:val="20"/>
                <w:szCs w:val="20"/>
                <w:color w:val="auto"/>
              </w:rPr>
            </w:pPr>
          </w:p>
        </w:tc>
      </w:tr>
      <w:tr>
        <w:trPr>
          <w:trHeight w:val="321"/>
        </w:trPr>
        <w:tc>
          <w:tcPr>
            <w:tcW w:w="180" w:type="dxa"/>
            <w:vAlign w:val="bottom"/>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4580" w:type="dxa"/>
            <w:vAlign w:val="bottom"/>
            <w:tcBorders>
              <w:bottom w:val="single" w:sz="8" w:color="0000FF"/>
            </w:tcBorders>
            <w:gridSpan w:val="5"/>
            <w:shd w:val="clear" w:color="auto" w:fill="CFF0FC"/>
          </w:tcPr>
          <w:p>
            <w:pPr>
              <w:spacing w:after="0"/>
              <w:rPr>
                <w:rFonts w:ascii="Arial" w:cs="Arial" w:eastAsia="Arial" w:hAnsi="Arial"/>
                <w:sz w:val="20"/>
                <w:szCs w:val="20"/>
                <w:color w:val="0000FF"/>
                <w:w w:val="93"/>
              </w:rPr>
            </w:pPr>
            <w:hyperlink r:id="rId686">
              <w:r>
                <w:rPr>
                  <w:rFonts w:ascii="Arial" w:cs="Arial" w:eastAsia="Arial" w:hAnsi="Arial"/>
                  <w:sz w:val="20"/>
                  <w:szCs w:val="20"/>
                  <w:color w:val="0000FF"/>
                  <w:w w:val="93"/>
                </w:rPr>
                <w:t>Willis Towers Watson plc and Arthur J. Gallagher &amp; Co.</w:t>
              </w:r>
            </w:hyperlink>
          </w:p>
        </w:tc>
        <w:tc>
          <w:tcPr>
            <w:tcW w:w="720" w:type="dxa"/>
            <w:vAlign w:val="bottom"/>
            <w:tcBorders>
              <w:bottom w:val="single" w:sz="8" w:color="CFF0FC"/>
            </w:tcBorders>
            <w:gridSpan w:val="13"/>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6, 2021</w:t>
            </w:r>
          </w:p>
        </w:tc>
        <w:tc>
          <w:tcPr>
            <w:tcW w:w="200" w:type="dxa"/>
            <w:vAlign w:val="bottom"/>
          </w:tcPr>
          <w:p>
            <w:pPr>
              <w:spacing w:after="0"/>
              <w:rPr>
                <w:sz w:val="24"/>
                <w:szCs w:val="24"/>
                <w:color w:val="auto"/>
              </w:rPr>
            </w:pPr>
          </w:p>
        </w:tc>
      </w:tr>
      <w:tr>
        <w:trPr>
          <w:trHeight w:val="239"/>
        </w:trPr>
        <w:tc>
          <w:tcPr>
            <w:tcW w:w="1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20"/>
                <w:szCs w:val="20"/>
                <w:color w:val="auto"/>
                <w:w w:val="88"/>
              </w:rPr>
              <w:t>10.10†</w:t>
            </w:r>
          </w:p>
        </w:tc>
        <w:tc>
          <w:tcPr>
            <w:tcW w:w="4960" w:type="dxa"/>
            <w:vAlign w:val="bottom"/>
            <w:tcBorders>
              <w:bottom w:val="single" w:sz="8" w:color="0000FF"/>
            </w:tcBorders>
            <w:gridSpan w:val="12"/>
          </w:tcPr>
          <w:p>
            <w:pPr>
              <w:spacing w:after="0"/>
              <w:rPr>
                <w:rFonts w:ascii="Arial" w:cs="Arial" w:eastAsia="Arial" w:hAnsi="Arial"/>
                <w:sz w:val="20"/>
                <w:szCs w:val="20"/>
                <w:color w:val="0000FF"/>
                <w:w w:val="94"/>
              </w:rPr>
            </w:pPr>
            <w:hyperlink r:id="rId687">
              <w:r>
                <w:rPr>
                  <w:rFonts w:ascii="Arial" w:cs="Arial" w:eastAsia="Arial" w:hAnsi="Arial"/>
                  <w:sz w:val="20"/>
                  <w:szCs w:val="20"/>
                  <w:color w:val="0000FF"/>
                  <w:w w:val="94"/>
                </w:rPr>
                <w:t>Willis Towers Watson Public Limited Company 2012 Equity</w:t>
              </w:r>
            </w:hyperlink>
          </w:p>
        </w:tc>
        <w:tc>
          <w:tcPr>
            <w:tcW w:w="340" w:type="dxa"/>
            <w:vAlign w:val="bottom"/>
            <w:gridSpan w:val="6"/>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580" w:type="dxa"/>
            <w:vAlign w:val="bottom"/>
          </w:tcPr>
          <w:p>
            <w:pPr>
              <w:jc w:val="right"/>
              <w:spacing w:after="0"/>
              <w:rPr>
                <w:sz w:val="20"/>
                <w:szCs w:val="20"/>
                <w:color w:val="auto"/>
              </w:rPr>
            </w:pPr>
            <w:r>
              <w:rPr>
                <w:rFonts w:ascii="Arial" w:cs="Arial" w:eastAsia="Arial" w:hAnsi="Arial"/>
                <w:sz w:val="20"/>
                <w:szCs w:val="20"/>
                <w:color w:val="auto"/>
              </w:rPr>
              <w:t>10.1</w:t>
            </w:r>
          </w:p>
        </w:tc>
        <w:tc>
          <w:tcPr>
            <w:tcW w:w="1940" w:type="dxa"/>
            <w:vAlign w:val="bottom"/>
            <w:gridSpan w:val="2"/>
          </w:tcPr>
          <w:p>
            <w:pPr>
              <w:ind w:left="100"/>
              <w:spacing w:after="0"/>
              <w:rPr>
                <w:sz w:val="20"/>
                <w:szCs w:val="20"/>
                <w:color w:val="auto"/>
              </w:rPr>
            </w:pPr>
            <w:r>
              <w:rPr>
                <w:rFonts w:ascii="Arial" w:cs="Arial" w:eastAsia="Arial" w:hAnsi="Arial"/>
                <w:sz w:val="20"/>
                <w:szCs w:val="20"/>
                <w:color w:val="auto"/>
              </w:rPr>
              <w:t>April 24,</w:t>
            </w: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00" w:type="dxa"/>
            <w:vAlign w:val="bottom"/>
            <w:gridSpan w:val="18"/>
          </w:tcPr>
          <w:p>
            <w:pPr>
              <w:spacing w:after="0"/>
              <w:rPr>
                <w:rFonts w:ascii="Arial" w:cs="Arial" w:eastAsia="Arial" w:hAnsi="Arial"/>
                <w:sz w:val="20"/>
                <w:szCs w:val="20"/>
                <w:color w:val="0000FF"/>
                <w:w w:val="97"/>
              </w:rPr>
            </w:pPr>
            <w:hyperlink r:id="rId687">
              <w:r>
                <w:rPr>
                  <w:rFonts w:ascii="Arial" w:cs="Arial" w:eastAsia="Arial" w:hAnsi="Arial"/>
                  <w:sz w:val="20"/>
                  <w:szCs w:val="20"/>
                  <w:color w:val="0000FF"/>
                  <w:w w:val="97"/>
                </w:rPr>
                <w:t>Incentive Plan (as amended and restated February 25, 2025)</w:t>
              </w:r>
            </w:hyperlink>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ind w:left="100"/>
              <w:spacing w:after="0"/>
              <w:rPr>
                <w:sz w:val="20"/>
                <w:szCs w:val="20"/>
                <w:color w:val="auto"/>
              </w:rPr>
            </w:pPr>
            <w:r>
              <w:rPr>
                <w:rFonts w:ascii="Arial" w:cs="Arial" w:eastAsia="Arial" w:hAnsi="Arial"/>
                <w:sz w:val="20"/>
                <w:szCs w:val="20"/>
                <w:color w:val="auto"/>
              </w:rPr>
              <w:t>2025</w:t>
            </w: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8"/>
              </w:rPr>
              <w:t>10.11†</w:t>
            </w:r>
          </w:p>
        </w:tc>
        <w:tc>
          <w:tcPr>
            <w:tcW w:w="5180" w:type="dxa"/>
            <w:vAlign w:val="bottom"/>
            <w:tcBorders>
              <w:bottom w:val="single" w:sz="8" w:color="0000FF"/>
            </w:tcBorders>
            <w:gridSpan w:val="17"/>
            <w:shd w:val="clear" w:color="auto" w:fill="CFF0FC"/>
          </w:tcPr>
          <w:p>
            <w:pPr>
              <w:spacing w:after="0"/>
              <w:rPr>
                <w:rFonts w:ascii="Arial" w:cs="Arial" w:eastAsia="Arial" w:hAnsi="Arial"/>
                <w:sz w:val="20"/>
                <w:szCs w:val="20"/>
                <w:color w:val="0000FF"/>
                <w:w w:val="91"/>
              </w:rPr>
            </w:pPr>
            <w:hyperlink r:id="rId688">
              <w:r>
                <w:rPr>
                  <w:rFonts w:ascii="Arial" w:cs="Arial" w:eastAsia="Arial" w:hAnsi="Arial"/>
                  <w:sz w:val="20"/>
                  <w:szCs w:val="20"/>
                  <w:color w:val="0000FF"/>
                  <w:w w:val="91"/>
                </w:rPr>
                <w:t>Form of Time-Based Share Option Award Agreement under the</w:t>
              </w:r>
            </w:hyperlink>
          </w:p>
        </w:tc>
        <w:tc>
          <w:tcPr>
            <w:tcW w:w="1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4"/>
              </w:rPr>
              <w:t>10-Q</w:t>
            </w: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10.1</w:t>
            </w:r>
          </w:p>
        </w:tc>
        <w:tc>
          <w:tcPr>
            <w:tcW w:w="17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August 9,</w:t>
            </w:r>
          </w:p>
        </w:tc>
        <w:tc>
          <w:tcPr>
            <w:tcW w:w="200" w:type="dxa"/>
            <w:vAlign w:val="bottom"/>
          </w:tcPr>
          <w:p>
            <w:pPr>
              <w:spacing w:after="0"/>
              <w:rPr>
                <w:sz w:val="20"/>
                <w:szCs w:val="20"/>
                <w:color w:val="auto"/>
              </w:rPr>
            </w:pPr>
          </w:p>
        </w:tc>
      </w:tr>
      <w:tr>
        <w:trPr>
          <w:trHeight w:val="280"/>
        </w:trPr>
        <w:tc>
          <w:tcPr>
            <w:tcW w:w="180" w:type="dxa"/>
            <w:vAlign w:val="bottom"/>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4980" w:type="dxa"/>
            <w:vAlign w:val="bottom"/>
            <w:tcBorders>
              <w:bottom w:val="single" w:sz="8" w:color="0000FF"/>
            </w:tcBorders>
            <w:gridSpan w:val="13"/>
            <w:shd w:val="clear" w:color="auto" w:fill="CFF0FC"/>
          </w:tcPr>
          <w:p>
            <w:pPr>
              <w:spacing w:after="0"/>
              <w:rPr>
                <w:rFonts w:ascii="Arial" w:cs="Arial" w:eastAsia="Arial" w:hAnsi="Arial"/>
                <w:sz w:val="20"/>
                <w:szCs w:val="20"/>
                <w:color w:val="0000FF"/>
                <w:w w:val="94"/>
              </w:rPr>
            </w:pPr>
            <w:hyperlink r:id="rId688">
              <w:r>
                <w:rPr>
                  <w:rFonts w:ascii="Arial" w:cs="Arial" w:eastAsia="Arial" w:hAnsi="Arial"/>
                  <w:sz w:val="20"/>
                  <w:szCs w:val="20"/>
                  <w:color w:val="0000FF"/>
                  <w:w w:val="94"/>
                </w:rPr>
                <w:t>Willis Group Holdings Public Limited Company 2012 Equity</w:t>
              </w:r>
            </w:hyperlink>
          </w:p>
        </w:tc>
        <w:tc>
          <w:tcPr>
            <w:tcW w:w="320" w:type="dxa"/>
            <w:vAlign w:val="bottom"/>
            <w:tcBorders>
              <w:bottom w:val="single" w:sz="8" w:color="CFF0FC"/>
            </w:tcBorders>
            <w:gridSpan w:val="5"/>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2012</w:t>
            </w:r>
          </w:p>
        </w:tc>
        <w:tc>
          <w:tcPr>
            <w:tcW w:w="200" w:type="dxa"/>
            <w:vAlign w:val="bottom"/>
          </w:tcPr>
          <w:p>
            <w:pPr>
              <w:spacing w:after="0"/>
              <w:rPr>
                <w:sz w:val="24"/>
                <w:szCs w:val="24"/>
                <w:color w:val="auto"/>
              </w:rPr>
            </w:pPr>
          </w:p>
        </w:tc>
      </w:tr>
      <w:tr>
        <w:trPr>
          <w:trHeight w:val="321"/>
        </w:trPr>
        <w:tc>
          <w:tcPr>
            <w:tcW w:w="180" w:type="dxa"/>
            <w:vAlign w:val="bottom"/>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0000FF"/>
            </w:tcBorders>
            <w:shd w:val="clear" w:color="auto" w:fill="CFF0FC"/>
          </w:tcPr>
          <w:p>
            <w:pPr>
              <w:spacing w:after="0"/>
              <w:rPr>
                <w:rFonts w:ascii="Arial" w:cs="Arial" w:eastAsia="Arial" w:hAnsi="Arial"/>
                <w:sz w:val="20"/>
                <w:szCs w:val="20"/>
                <w:color w:val="0000FF"/>
                <w:w w:val="90"/>
              </w:rPr>
            </w:pPr>
            <w:hyperlink r:id="rId688">
              <w:r>
                <w:rPr>
                  <w:rFonts w:ascii="Arial" w:cs="Arial" w:eastAsia="Arial" w:hAnsi="Arial"/>
                  <w:sz w:val="20"/>
                  <w:szCs w:val="20"/>
                  <w:color w:val="0000FF"/>
                  <w:w w:val="90"/>
                </w:rPr>
                <w:t>Incentive Plan</w:t>
              </w:r>
            </w:hyperlink>
          </w:p>
        </w:tc>
        <w:tc>
          <w:tcPr>
            <w:tcW w:w="4140" w:type="dxa"/>
            <w:vAlign w:val="bottom"/>
            <w:tcBorders>
              <w:bottom w:val="single" w:sz="8" w:color="CFF0FC"/>
            </w:tcBorders>
            <w:gridSpan w:val="17"/>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spacing w:after="0"/>
              <w:rPr>
                <w:sz w:val="24"/>
                <w:szCs w:val="24"/>
                <w:color w:val="auto"/>
              </w:rPr>
            </w:pPr>
          </w:p>
        </w:tc>
        <w:tc>
          <w:tcPr>
            <w:tcW w:w="200" w:type="dxa"/>
            <w:vAlign w:val="bottom"/>
          </w:tcPr>
          <w:p>
            <w:pPr>
              <w:spacing w:after="0"/>
              <w:rPr>
                <w:sz w:val="24"/>
                <w:szCs w:val="24"/>
                <w:color w:val="auto"/>
              </w:rPr>
            </w:pPr>
          </w:p>
        </w:tc>
      </w:tr>
      <w:tr>
        <w:trPr>
          <w:trHeight w:val="799"/>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80" w:type="dxa"/>
            <w:vAlign w:val="bottom"/>
            <w:gridSpan w:val="5"/>
          </w:tcPr>
          <w:p>
            <w:pPr>
              <w:ind w:left="3700"/>
              <w:spacing w:after="0"/>
              <w:rPr>
                <w:sz w:val="20"/>
                <w:szCs w:val="20"/>
                <w:color w:val="auto"/>
              </w:rPr>
            </w:pPr>
            <w:r>
              <w:rPr>
                <w:rFonts w:ascii="Arial" w:cs="Arial" w:eastAsia="Arial" w:hAnsi="Arial"/>
                <w:sz w:val="20"/>
                <w:szCs w:val="20"/>
                <w:color w:val="auto"/>
              </w:rPr>
              <w:t>136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891"/>
        </w:trPr>
        <w:tc>
          <w:tcPr>
            <w:tcW w:w="18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17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0">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4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60</w:t>
      </w:r>
    </w:p>
    <w:p>
      <w:pPr>
        <w:sectPr>
          <w:pgSz w:w="11900" w:h="16838" w:orient="portrait"/>
          <w:cols w:equalWidth="0" w:num="1">
            <w:col w:w="9400"/>
          </w:cols>
          <w:pgMar w:left="1260" w:top="1143" w:right="1246" w:bottom="0" w:gutter="0" w:footer="0" w:header="0"/>
          <w:type w:val="continuous"/>
        </w:sectPr>
      </w:pPr>
    </w:p>
    <w:bookmarkStart w:id="276" w:name="page277"/>
    <w:bookmarkEnd w:id="2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gridSpan w:val="3"/>
          </w:tcPr>
          <w:p>
            <w:pPr>
              <w:ind w:left="300"/>
              <w:spacing w:after="0"/>
              <w:rPr>
                <w:sz w:val="20"/>
                <w:szCs w:val="20"/>
                <w:color w:val="auto"/>
              </w:rPr>
            </w:pPr>
            <w:r>
              <w:rPr>
                <w:rFonts w:ascii="Arial" w:cs="Arial" w:eastAsia="Arial" w:hAnsi="Arial"/>
                <w:sz w:val="16"/>
                <w:szCs w:val="16"/>
                <w:b w:val="1"/>
                <w:bCs w:val="1"/>
                <w:color w:val="auto"/>
              </w:rPr>
              <w:t>Incorporated by Reference</w:t>
            </w:r>
          </w:p>
        </w:tc>
      </w:tr>
      <w:tr>
        <w:trPr>
          <w:trHeight w:val="310"/>
        </w:trPr>
        <w:tc>
          <w:tcPr>
            <w:tcW w:w="660" w:type="dxa"/>
            <w:vAlign w:val="bottom"/>
          </w:tcPr>
          <w:p>
            <w:pPr>
              <w:ind w:left="4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87"/>
              </w:rPr>
              <w:t>Schedule/</w:t>
            </w:r>
          </w:p>
        </w:tc>
        <w:tc>
          <w:tcPr>
            <w:tcW w:w="600" w:type="dxa"/>
            <w:vAlign w:val="bottom"/>
          </w:tcPr>
          <w:p>
            <w:pPr>
              <w:spacing w:after="0"/>
              <w:rPr>
                <w:sz w:val="24"/>
                <w:szCs w:val="24"/>
                <w:color w:val="auto"/>
              </w:rPr>
            </w:pPr>
          </w:p>
        </w:tc>
        <w:tc>
          <w:tcPr>
            <w:tcW w:w="1740" w:type="dxa"/>
            <w:vAlign w:val="bottom"/>
          </w:tcPr>
          <w:p>
            <w:pPr>
              <w:ind w:left="1260"/>
              <w:spacing w:after="0"/>
              <w:rPr>
                <w:sz w:val="20"/>
                <w:szCs w:val="20"/>
                <w:color w:val="auto"/>
              </w:rPr>
            </w:pPr>
            <w:r>
              <w:rPr>
                <w:rFonts w:ascii="Arial" w:cs="Arial" w:eastAsia="Arial" w:hAnsi="Arial"/>
                <w:sz w:val="16"/>
                <w:szCs w:val="16"/>
                <w:b w:val="1"/>
                <w:bCs w:val="1"/>
                <w:color w:val="auto"/>
              </w:rPr>
              <w:t>Filed</w:t>
            </w:r>
          </w:p>
        </w:tc>
      </w:tr>
      <w:tr>
        <w:trPr>
          <w:trHeight w:val="240"/>
        </w:trPr>
        <w:tc>
          <w:tcPr>
            <w:tcW w:w="66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80" w:type="dxa"/>
            <w:vAlign w:val="bottom"/>
            <w:gridSpan w:val="19"/>
          </w:tcPr>
          <w:p>
            <w:pPr>
              <w:ind w:left="400"/>
              <w:spacing w:after="0"/>
              <w:rPr>
                <w:sz w:val="20"/>
                <w:szCs w:val="20"/>
                <w:color w:val="auto"/>
              </w:rPr>
            </w:pPr>
            <w:r>
              <w:rPr>
                <w:rFonts w:ascii="Arial" w:cs="Arial" w:eastAsia="Arial" w:hAnsi="Arial"/>
                <w:sz w:val="16"/>
                <w:szCs w:val="16"/>
                <w:b w:val="1"/>
                <w:bCs w:val="1"/>
                <w:color w:val="auto"/>
              </w:rPr>
              <w:t>Description of Exhibit</w:t>
            </w:r>
          </w:p>
        </w:tc>
        <w:tc>
          <w:tcPr>
            <w:tcW w:w="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4"/>
              </w:rPr>
              <w:t>Form</w:t>
            </w:r>
          </w:p>
        </w:tc>
        <w:tc>
          <w:tcPr>
            <w:tcW w:w="600" w:type="dxa"/>
            <w:vAlign w:val="bottom"/>
          </w:tcPr>
          <w:p>
            <w:pPr>
              <w:ind w:left="40"/>
              <w:spacing w:after="0"/>
              <w:rPr>
                <w:sz w:val="20"/>
                <w:szCs w:val="20"/>
                <w:color w:val="auto"/>
              </w:rPr>
            </w:pPr>
            <w:r>
              <w:rPr>
                <w:rFonts w:ascii="Arial" w:cs="Arial" w:eastAsia="Arial" w:hAnsi="Arial"/>
                <w:sz w:val="16"/>
                <w:szCs w:val="16"/>
                <w:b w:val="1"/>
                <w:bCs w:val="1"/>
                <w:color w:val="auto"/>
              </w:rPr>
              <w:t>Exhibit</w:t>
            </w:r>
          </w:p>
        </w:tc>
        <w:tc>
          <w:tcPr>
            <w:tcW w:w="1740" w:type="dxa"/>
            <w:vAlign w:val="bottom"/>
          </w:tcPr>
          <w:p>
            <w:pPr>
              <w:ind w:left="140"/>
              <w:spacing w:after="0"/>
              <w:rPr>
                <w:sz w:val="20"/>
                <w:szCs w:val="20"/>
                <w:color w:val="auto"/>
              </w:rPr>
            </w:pPr>
            <w:r>
              <w:rPr>
                <w:rFonts w:ascii="Arial" w:cs="Arial" w:eastAsia="Arial" w:hAnsi="Arial"/>
                <w:sz w:val="16"/>
                <w:szCs w:val="16"/>
                <w:b w:val="1"/>
                <w:bCs w:val="1"/>
                <w:color w:val="auto"/>
                <w:w w:val="99"/>
              </w:rPr>
              <w:t>Filing Date  Herewith</w:t>
            </w:r>
          </w:p>
        </w:tc>
      </w:tr>
      <w:tr>
        <w:trPr>
          <w:trHeight w:val="291"/>
        </w:trPr>
        <w:tc>
          <w:tcPr>
            <w:tcW w:w="5900" w:type="dxa"/>
            <w:vAlign w:val="bottom"/>
            <w:gridSpan w:val="26"/>
          </w:tcPr>
          <w:p>
            <w:pPr>
              <w:ind w:left="20"/>
              <w:spacing w:after="0"/>
              <w:rPr>
                <w:rFonts w:ascii="Arial" w:cs="Arial" w:eastAsia="Arial" w:hAnsi="Arial"/>
                <w:sz w:val="20"/>
                <w:szCs w:val="20"/>
                <w:color w:val="auto"/>
                <w:w w:val="92"/>
              </w:rPr>
            </w:pPr>
            <w:r>
              <w:rPr>
                <w:rFonts w:ascii="Arial" w:cs="Arial" w:eastAsia="Arial" w:hAnsi="Arial"/>
                <w:sz w:val="20"/>
                <w:szCs w:val="20"/>
                <w:color w:val="auto"/>
                <w:w w:val="92"/>
              </w:rPr>
              <w:t xml:space="preserve">10.12† </w:t>
            </w:r>
            <w:hyperlink r:id="rId691">
              <w:r>
                <w:rPr>
                  <w:rFonts w:ascii="Arial" w:cs="Arial" w:eastAsia="Arial" w:hAnsi="Arial"/>
                  <w:sz w:val="20"/>
                  <w:szCs w:val="20"/>
                  <w:color w:val="0000FF"/>
                  <w:w w:val="92"/>
                </w:rPr>
                <w:t>Form of 2012 Equity Incentive Plan (As Amended and Restated)</w:t>
              </w:r>
            </w:hyperlink>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10-K</w:t>
            </w:r>
          </w:p>
        </w:tc>
        <w:tc>
          <w:tcPr>
            <w:tcW w:w="600" w:type="dxa"/>
            <w:vAlign w:val="bottom"/>
          </w:tcPr>
          <w:p>
            <w:pPr>
              <w:jc w:val="center"/>
              <w:spacing w:after="0"/>
              <w:rPr>
                <w:sz w:val="20"/>
                <w:szCs w:val="20"/>
                <w:color w:val="auto"/>
              </w:rPr>
            </w:pPr>
            <w:r>
              <w:rPr>
                <w:rFonts w:ascii="Arial" w:cs="Arial" w:eastAsia="Arial" w:hAnsi="Arial"/>
                <w:sz w:val="20"/>
                <w:szCs w:val="20"/>
                <w:color w:val="auto"/>
                <w:w w:val="92"/>
              </w:rPr>
              <w:t>10.9</w:t>
            </w:r>
          </w:p>
        </w:tc>
        <w:tc>
          <w:tcPr>
            <w:tcW w:w="1740" w:type="dxa"/>
            <w:vAlign w:val="bottom"/>
          </w:tcPr>
          <w:p>
            <w:pPr>
              <w:ind w:left="40"/>
              <w:spacing w:after="0"/>
              <w:rPr>
                <w:sz w:val="20"/>
                <w:szCs w:val="20"/>
                <w:color w:val="auto"/>
              </w:rPr>
            </w:pPr>
            <w:r>
              <w:rPr>
                <w:rFonts w:ascii="Arial" w:cs="Arial" w:eastAsia="Arial" w:hAnsi="Arial"/>
                <w:sz w:val="20"/>
                <w:szCs w:val="20"/>
                <w:color w:val="auto"/>
              </w:rPr>
              <w:t>February</w:t>
            </w:r>
          </w:p>
        </w:tc>
      </w:tr>
      <w:tr>
        <w:trPr>
          <w:trHeight w:val="280"/>
        </w:trPr>
        <w:tc>
          <w:tcPr>
            <w:tcW w:w="660" w:type="dxa"/>
            <w:vAlign w:val="bottom"/>
          </w:tcPr>
          <w:p>
            <w:pPr>
              <w:spacing w:after="0"/>
              <w:rPr>
                <w:sz w:val="24"/>
                <w:szCs w:val="24"/>
                <w:color w:val="auto"/>
              </w:rPr>
            </w:pPr>
          </w:p>
        </w:tc>
        <w:tc>
          <w:tcPr>
            <w:tcW w:w="4880" w:type="dxa"/>
            <w:vAlign w:val="bottom"/>
            <w:tcBorders>
              <w:top w:val="single" w:sz="8" w:color="0000FF"/>
              <w:bottom w:val="single" w:sz="8" w:color="0000FF"/>
            </w:tcBorders>
            <w:gridSpan w:val="18"/>
          </w:tcPr>
          <w:p>
            <w:pPr>
              <w:spacing w:after="0"/>
              <w:rPr>
                <w:rFonts w:ascii="Arial" w:cs="Arial" w:eastAsia="Arial" w:hAnsi="Arial"/>
                <w:sz w:val="20"/>
                <w:szCs w:val="20"/>
                <w:color w:val="0000FF"/>
                <w:w w:val="93"/>
              </w:rPr>
            </w:pPr>
            <w:hyperlink r:id="rId691">
              <w:r>
                <w:rPr>
                  <w:rFonts w:ascii="Arial" w:cs="Arial" w:eastAsia="Arial" w:hAnsi="Arial"/>
                  <w:sz w:val="20"/>
                  <w:szCs w:val="20"/>
                  <w:color w:val="0000FF"/>
                  <w:w w:val="93"/>
                </w:rPr>
                <w:t>Restricted Share Unit Award Agreement for Non-Employee</w:t>
              </w:r>
            </w:hyperlink>
          </w:p>
        </w:tc>
        <w:tc>
          <w:tcPr>
            <w:tcW w:w="360" w:type="dxa"/>
            <w:vAlign w:val="bottom"/>
            <w:tcBorders>
              <w:top w:val="single" w:sz="8" w:color="0000FF"/>
            </w:tcBorders>
            <w:gridSpan w:val="7"/>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14, 2022</w:t>
            </w:r>
          </w:p>
        </w:tc>
      </w:tr>
      <w:tr>
        <w:trPr>
          <w:trHeight w:val="280"/>
        </w:trPr>
        <w:tc>
          <w:tcPr>
            <w:tcW w:w="660" w:type="dxa"/>
            <w:vAlign w:val="bottom"/>
          </w:tcPr>
          <w:p>
            <w:pPr>
              <w:spacing w:after="0"/>
              <w:rPr>
                <w:sz w:val="24"/>
                <w:szCs w:val="24"/>
                <w:color w:val="auto"/>
              </w:rPr>
            </w:pPr>
          </w:p>
        </w:tc>
        <w:tc>
          <w:tcPr>
            <w:tcW w:w="4740" w:type="dxa"/>
            <w:vAlign w:val="bottom"/>
            <w:tcBorders>
              <w:bottom w:val="single" w:sz="8" w:color="0000FF"/>
            </w:tcBorders>
            <w:gridSpan w:val="14"/>
          </w:tcPr>
          <w:p>
            <w:pPr>
              <w:spacing w:after="0"/>
              <w:rPr>
                <w:rFonts w:ascii="Arial" w:cs="Arial" w:eastAsia="Arial" w:hAnsi="Arial"/>
                <w:sz w:val="20"/>
                <w:szCs w:val="20"/>
                <w:color w:val="0000FF"/>
                <w:w w:val="94"/>
              </w:rPr>
            </w:pPr>
            <w:hyperlink r:id="rId691">
              <w:r>
                <w:rPr>
                  <w:rFonts w:ascii="Arial" w:cs="Arial" w:eastAsia="Arial" w:hAnsi="Arial"/>
                  <w:sz w:val="20"/>
                  <w:szCs w:val="20"/>
                  <w:color w:val="0000FF"/>
                  <w:w w:val="94"/>
                </w:rPr>
                <w:t>Directors under the Willis Group Holdings Public Limited</w:t>
              </w:r>
            </w:hyperlink>
          </w:p>
        </w:tc>
        <w:tc>
          <w:tcPr>
            <w:tcW w:w="50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80"/>
        </w:trPr>
        <w:tc>
          <w:tcPr>
            <w:tcW w:w="660" w:type="dxa"/>
            <w:vAlign w:val="bottom"/>
          </w:tcPr>
          <w:p>
            <w:pPr>
              <w:spacing w:after="0"/>
              <w:rPr>
                <w:sz w:val="24"/>
                <w:szCs w:val="24"/>
                <w:color w:val="auto"/>
              </w:rPr>
            </w:pPr>
          </w:p>
        </w:tc>
        <w:tc>
          <w:tcPr>
            <w:tcW w:w="5240" w:type="dxa"/>
            <w:vAlign w:val="bottom"/>
            <w:gridSpan w:val="25"/>
          </w:tcPr>
          <w:p>
            <w:pPr>
              <w:spacing w:after="0"/>
              <w:rPr>
                <w:rFonts w:ascii="Arial" w:cs="Arial" w:eastAsia="Arial" w:hAnsi="Arial"/>
                <w:sz w:val="20"/>
                <w:szCs w:val="20"/>
                <w:color w:val="0000FF"/>
              </w:rPr>
            </w:pPr>
            <w:hyperlink r:id="rId691">
              <w:r>
                <w:rPr>
                  <w:rFonts w:ascii="Arial" w:cs="Arial" w:eastAsia="Arial" w:hAnsi="Arial"/>
                  <w:sz w:val="20"/>
                  <w:szCs w:val="20"/>
                  <w:color w:val="0000FF"/>
                </w:rPr>
                <w:t>Company 2012 Equity Incentive Plan</w:t>
              </w:r>
            </w:hyperlink>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1"/>
        </w:trPr>
        <w:tc>
          <w:tcPr>
            <w:tcW w:w="660" w:type="dxa"/>
            <w:vAlign w:val="bottom"/>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3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39"/>
        </w:trPr>
        <w:tc>
          <w:tcPr>
            <w:tcW w:w="5900" w:type="dxa"/>
            <w:vAlign w:val="bottom"/>
            <w:gridSpan w:val="26"/>
            <w:shd w:val="clear" w:color="auto" w:fill="CFF0FC"/>
          </w:tcPr>
          <w:p>
            <w:pPr>
              <w:ind w:left="20"/>
              <w:spacing w:after="0"/>
              <w:rPr>
                <w:rFonts w:ascii="Arial" w:cs="Arial" w:eastAsia="Arial" w:hAnsi="Arial"/>
                <w:sz w:val="20"/>
                <w:szCs w:val="20"/>
                <w:color w:val="auto"/>
                <w:w w:val="99"/>
              </w:rPr>
            </w:pPr>
            <w:r>
              <w:rPr>
                <w:rFonts w:ascii="Arial" w:cs="Arial" w:eastAsia="Arial" w:hAnsi="Arial"/>
                <w:sz w:val="20"/>
                <w:szCs w:val="20"/>
                <w:color w:val="auto"/>
                <w:w w:val="99"/>
              </w:rPr>
              <w:t xml:space="preserve">10.13† </w:t>
            </w:r>
            <w:hyperlink r:id="rId692">
              <w:r>
                <w:rPr>
                  <w:rFonts w:ascii="Arial" w:cs="Arial" w:eastAsia="Arial" w:hAnsi="Arial"/>
                  <w:sz w:val="20"/>
                  <w:szCs w:val="20"/>
                  <w:color w:val="0000FF"/>
                  <w:w w:val="99"/>
                </w:rPr>
                <w:t>Rules of the Willis Group Holdings Public Limited Company</w:t>
              </w:r>
            </w:hyperlink>
          </w:p>
        </w:tc>
        <w:tc>
          <w:tcPr>
            <w:tcW w:w="20" w:type="dxa"/>
            <w:vAlign w:val="bottom"/>
            <w:shd w:val="clear" w:color="auto" w:fill="CFF0FC"/>
          </w:tcPr>
          <w:p>
            <w:pPr>
              <w:spacing w:after="0"/>
              <w:rPr>
                <w:sz w:val="20"/>
                <w:szCs w:val="20"/>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9"/>
              </w:rPr>
              <w:t>10-K</w:t>
            </w:r>
          </w:p>
        </w:tc>
        <w:tc>
          <w:tcPr>
            <w:tcW w:w="6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10.32</w:t>
            </w:r>
          </w:p>
        </w:tc>
        <w:tc>
          <w:tcPr>
            <w:tcW w:w="1740" w:type="dxa"/>
            <w:vAlign w:val="bottom"/>
            <w:shd w:val="clear" w:color="auto" w:fill="CFF0FC"/>
          </w:tcPr>
          <w:p>
            <w:pPr>
              <w:ind w:left="40"/>
              <w:spacing w:after="0"/>
              <w:rPr>
                <w:sz w:val="20"/>
                <w:szCs w:val="20"/>
                <w:color w:val="auto"/>
              </w:rPr>
            </w:pPr>
            <w:r>
              <w:rPr>
                <w:rFonts w:ascii="Arial" w:cs="Arial" w:eastAsia="Arial" w:hAnsi="Arial"/>
                <w:sz w:val="20"/>
                <w:szCs w:val="20"/>
                <w:color w:val="auto"/>
              </w:rPr>
              <w:t>February</w:t>
            </w:r>
          </w:p>
        </w:tc>
      </w:tr>
      <w:tr>
        <w:trPr>
          <w:trHeight w:val="20"/>
        </w:trPr>
        <w:tc>
          <w:tcPr>
            <w:tcW w:w="660" w:type="dxa"/>
            <w:vAlign w:val="bottom"/>
            <w:shd w:val="clear" w:color="auto" w:fill="CFF0FC"/>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120" w:type="dxa"/>
            <w:vAlign w:val="bottom"/>
            <w:tcBorders>
              <w:bottom w:val="single" w:sz="8" w:color="0000FF"/>
            </w:tcBorders>
            <w:gridSpan w:val="22"/>
            <w:shd w:val="clear" w:color="auto" w:fill="CFF0FC"/>
          </w:tcPr>
          <w:p>
            <w:pPr>
              <w:spacing w:after="0"/>
              <w:rPr>
                <w:rFonts w:ascii="Arial" w:cs="Arial" w:eastAsia="Arial" w:hAnsi="Arial"/>
                <w:sz w:val="20"/>
                <w:szCs w:val="20"/>
                <w:color w:val="0000FF"/>
                <w:w w:val="92"/>
              </w:rPr>
            </w:pPr>
            <w:hyperlink r:id="rId692">
              <w:r>
                <w:rPr>
                  <w:rFonts w:ascii="Arial" w:cs="Arial" w:eastAsia="Arial" w:hAnsi="Arial"/>
                  <w:sz w:val="20"/>
                  <w:szCs w:val="20"/>
                  <w:color w:val="0000FF"/>
                  <w:w w:val="92"/>
                </w:rPr>
                <w:t>2012 Sharesave Sub-Plan for the United Kingdom to the Willis</w:t>
              </w:r>
            </w:hyperlink>
          </w:p>
        </w:tc>
        <w:tc>
          <w:tcPr>
            <w:tcW w:w="120" w:type="dxa"/>
            <w:vAlign w:val="bottom"/>
            <w:tcBorders>
              <w:bottom w:val="single" w:sz="8" w:color="CFF0FC"/>
            </w:tcBorders>
            <w:gridSpan w:val="3"/>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28, 2013</w:t>
            </w: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240" w:type="dxa"/>
            <w:vAlign w:val="bottom"/>
            <w:tcBorders>
              <w:bottom w:val="single" w:sz="8" w:color="0000FF"/>
            </w:tcBorders>
            <w:gridSpan w:val="25"/>
            <w:shd w:val="clear" w:color="auto" w:fill="CFF0FC"/>
          </w:tcPr>
          <w:p>
            <w:pPr>
              <w:spacing w:after="0"/>
              <w:rPr>
                <w:rFonts w:ascii="Arial" w:cs="Arial" w:eastAsia="Arial" w:hAnsi="Arial"/>
                <w:sz w:val="20"/>
                <w:szCs w:val="20"/>
                <w:color w:val="0000FF"/>
                <w:w w:val="93"/>
              </w:rPr>
            </w:pPr>
            <w:hyperlink r:id="rId692">
              <w:r>
                <w:rPr>
                  <w:rFonts w:ascii="Arial" w:cs="Arial" w:eastAsia="Arial" w:hAnsi="Arial"/>
                  <w:sz w:val="20"/>
                  <w:szCs w:val="20"/>
                  <w:color w:val="0000FF"/>
                  <w:w w:val="93"/>
                </w:rPr>
                <w:t>Group Holdings Public Limited Company 2012 Equity Incentive</w:t>
              </w:r>
            </w:hyperlink>
          </w:p>
        </w:tc>
        <w:tc>
          <w:tcPr>
            <w:tcW w:w="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spacing w:after="0"/>
              <w:rPr>
                <w:sz w:val="24"/>
                <w:szCs w:val="24"/>
                <w:color w:val="auto"/>
              </w:rPr>
            </w:pPr>
          </w:p>
        </w:tc>
      </w:tr>
      <w:tr>
        <w:trPr>
          <w:trHeight w:val="321"/>
        </w:trPr>
        <w:tc>
          <w:tcPr>
            <w:tcW w:w="6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0000FF"/>
            </w:tcBorders>
            <w:gridSpan w:val="3"/>
            <w:shd w:val="clear" w:color="auto" w:fill="CFF0FC"/>
          </w:tcPr>
          <w:p>
            <w:pPr>
              <w:spacing w:after="0"/>
              <w:rPr>
                <w:rFonts w:ascii="Arial" w:cs="Arial" w:eastAsia="Arial" w:hAnsi="Arial"/>
                <w:sz w:val="20"/>
                <w:szCs w:val="20"/>
                <w:color w:val="0000FF"/>
                <w:w w:val="84"/>
              </w:rPr>
            </w:pPr>
            <w:hyperlink r:id="rId692">
              <w:r>
                <w:rPr>
                  <w:rFonts w:ascii="Arial" w:cs="Arial" w:eastAsia="Arial" w:hAnsi="Arial"/>
                  <w:sz w:val="20"/>
                  <w:szCs w:val="20"/>
                  <w:color w:val="0000FF"/>
                  <w:w w:val="84"/>
                </w:rPr>
                <w:t>Plan</w:t>
              </w:r>
            </w:hyperlink>
          </w:p>
        </w:tc>
        <w:tc>
          <w:tcPr>
            <w:tcW w:w="4880" w:type="dxa"/>
            <w:vAlign w:val="bottom"/>
            <w:tcBorders>
              <w:bottom w:val="single" w:sz="8" w:color="CFF0FC"/>
            </w:tcBorders>
            <w:gridSpan w:val="22"/>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spacing w:after="0"/>
              <w:rPr>
                <w:sz w:val="24"/>
                <w:szCs w:val="24"/>
                <w:color w:val="auto"/>
              </w:rPr>
            </w:pPr>
          </w:p>
        </w:tc>
      </w:tr>
      <w:tr>
        <w:trPr>
          <w:trHeight w:val="239"/>
        </w:trPr>
        <w:tc>
          <w:tcPr>
            <w:tcW w:w="5900" w:type="dxa"/>
            <w:vAlign w:val="bottom"/>
            <w:gridSpan w:val="26"/>
          </w:tcPr>
          <w:p>
            <w:pPr>
              <w:ind w:left="20"/>
              <w:spacing w:after="0"/>
              <w:rPr>
                <w:rFonts w:ascii="Arial" w:cs="Arial" w:eastAsia="Arial" w:hAnsi="Arial"/>
                <w:sz w:val="20"/>
                <w:szCs w:val="20"/>
                <w:color w:val="auto"/>
                <w:w w:val="91"/>
              </w:rPr>
            </w:pPr>
            <w:r>
              <w:rPr>
                <w:rFonts w:ascii="Arial" w:cs="Arial" w:eastAsia="Arial" w:hAnsi="Arial"/>
                <w:sz w:val="20"/>
                <w:szCs w:val="20"/>
                <w:color w:val="auto"/>
                <w:w w:val="91"/>
              </w:rPr>
              <w:t xml:space="preserve">10.14† </w:t>
            </w:r>
            <w:hyperlink r:id="rId693">
              <w:r>
                <w:rPr>
                  <w:rFonts w:ascii="Arial" w:cs="Arial" w:eastAsia="Arial" w:hAnsi="Arial"/>
                  <w:sz w:val="20"/>
                  <w:szCs w:val="20"/>
                  <w:color w:val="0000FF"/>
                  <w:w w:val="91"/>
                </w:rPr>
                <w:t>Amended and Restated Willis U.S. 2005 Deferred Compensation</w:t>
              </w:r>
            </w:hyperlink>
          </w:p>
        </w:tc>
        <w:tc>
          <w:tcPr>
            <w:tcW w:w="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Pr>
          <w:p>
            <w:pPr>
              <w:jc w:val="center"/>
              <w:spacing w:after="0"/>
              <w:rPr>
                <w:sz w:val="20"/>
                <w:szCs w:val="20"/>
                <w:color w:val="auto"/>
              </w:rPr>
            </w:pPr>
            <w:r>
              <w:rPr>
                <w:rFonts w:ascii="Arial" w:cs="Arial" w:eastAsia="Arial" w:hAnsi="Arial"/>
                <w:sz w:val="20"/>
                <w:szCs w:val="20"/>
                <w:color w:val="auto"/>
                <w:w w:val="92"/>
              </w:rPr>
              <w:t>10.1</w:t>
            </w:r>
          </w:p>
        </w:tc>
        <w:tc>
          <w:tcPr>
            <w:tcW w:w="1740" w:type="dxa"/>
            <w:vAlign w:val="bottom"/>
          </w:tcPr>
          <w:p>
            <w:pPr>
              <w:ind w:left="40"/>
              <w:spacing w:after="0"/>
              <w:rPr>
                <w:sz w:val="20"/>
                <w:szCs w:val="20"/>
                <w:color w:val="auto"/>
              </w:rPr>
            </w:pPr>
            <w:r>
              <w:rPr>
                <w:rFonts w:ascii="Arial" w:cs="Arial" w:eastAsia="Arial" w:hAnsi="Arial"/>
                <w:sz w:val="20"/>
                <w:szCs w:val="20"/>
                <w:color w:val="auto"/>
              </w:rPr>
              <w:t>November</w:t>
            </w:r>
          </w:p>
        </w:tc>
      </w:tr>
      <w:tr>
        <w:trPr>
          <w:trHeight w:val="280"/>
        </w:trPr>
        <w:tc>
          <w:tcPr>
            <w:tcW w:w="660" w:type="dxa"/>
            <w:vAlign w:val="bottom"/>
          </w:tcPr>
          <w:p>
            <w:pPr>
              <w:spacing w:after="0"/>
              <w:rPr>
                <w:sz w:val="24"/>
                <w:szCs w:val="24"/>
                <w:color w:val="auto"/>
              </w:rPr>
            </w:pPr>
          </w:p>
        </w:tc>
        <w:tc>
          <w:tcPr>
            <w:tcW w:w="5240" w:type="dxa"/>
            <w:vAlign w:val="bottom"/>
            <w:tcBorders>
              <w:top w:val="single" w:sz="8" w:color="0000FF"/>
            </w:tcBorders>
            <w:gridSpan w:val="25"/>
          </w:tcPr>
          <w:p>
            <w:pPr>
              <w:spacing w:after="0"/>
              <w:rPr>
                <w:rFonts w:ascii="Arial" w:cs="Arial" w:eastAsia="Arial" w:hAnsi="Arial"/>
                <w:sz w:val="20"/>
                <w:szCs w:val="20"/>
                <w:color w:val="0000FF"/>
              </w:rPr>
            </w:pPr>
            <w:hyperlink r:id="rId693">
              <w:r>
                <w:rPr>
                  <w:rFonts w:ascii="Arial" w:cs="Arial" w:eastAsia="Arial" w:hAnsi="Arial"/>
                  <w:sz w:val="20"/>
                  <w:szCs w:val="20"/>
                  <w:color w:val="0000FF"/>
                </w:rPr>
                <w:t>Plan</w:t>
              </w:r>
            </w:hyperlink>
          </w:p>
        </w:tc>
        <w:tc>
          <w:tcPr>
            <w:tcW w:w="2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20, 2009</w:t>
            </w:r>
          </w:p>
        </w:tc>
      </w:tr>
      <w:tr>
        <w:trPr>
          <w:trHeight w:val="41"/>
        </w:trPr>
        <w:tc>
          <w:tcPr>
            <w:tcW w:w="660" w:type="dxa"/>
            <w:vAlign w:val="bottom"/>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39"/>
        </w:trPr>
        <w:tc>
          <w:tcPr>
            <w:tcW w:w="5900" w:type="dxa"/>
            <w:vAlign w:val="bottom"/>
            <w:gridSpan w:val="26"/>
            <w:shd w:val="clear" w:color="auto" w:fill="CFF0FC"/>
          </w:tcPr>
          <w:p>
            <w:pPr>
              <w:ind w:left="20"/>
              <w:spacing w:after="0"/>
              <w:rPr>
                <w:rFonts w:ascii="Arial" w:cs="Arial" w:eastAsia="Arial" w:hAnsi="Arial"/>
                <w:sz w:val="20"/>
                <w:szCs w:val="20"/>
                <w:color w:val="auto"/>
                <w:w w:val="91"/>
              </w:rPr>
            </w:pPr>
            <w:r>
              <w:rPr>
                <w:rFonts w:ascii="Arial" w:cs="Arial" w:eastAsia="Arial" w:hAnsi="Arial"/>
                <w:sz w:val="20"/>
                <w:szCs w:val="20"/>
                <w:color w:val="auto"/>
                <w:w w:val="91"/>
              </w:rPr>
              <w:t xml:space="preserve">10.15† </w:t>
            </w:r>
            <w:hyperlink r:id="rId694">
              <w:r>
                <w:rPr>
                  <w:rFonts w:ascii="Arial" w:cs="Arial" w:eastAsia="Arial" w:hAnsi="Arial"/>
                  <w:sz w:val="20"/>
                  <w:szCs w:val="20"/>
                  <w:color w:val="0000FF"/>
                  <w:w w:val="91"/>
                </w:rPr>
                <w:t>First Amendment to the Amended and Restated Willis U.S. 2005</w:t>
              </w:r>
            </w:hyperlink>
          </w:p>
        </w:tc>
        <w:tc>
          <w:tcPr>
            <w:tcW w:w="20" w:type="dxa"/>
            <w:vAlign w:val="bottom"/>
            <w:shd w:val="clear" w:color="auto" w:fill="CFF0FC"/>
          </w:tcPr>
          <w:p>
            <w:pPr>
              <w:spacing w:after="0"/>
              <w:rPr>
                <w:sz w:val="20"/>
                <w:szCs w:val="20"/>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4"/>
              </w:rPr>
              <w:t>10-Q</w:t>
            </w:r>
          </w:p>
        </w:tc>
        <w:tc>
          <w:tcPr>
            <w:tcW w:w="6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2"/>
              </w:rPr>
              <w:t>10.1</w:t>
            </w:r>
          </w:p>
        </w:tc>
        <w:tc>
          <w:tcPr>
            <w:tcW w:w="1740" w:type="dxa"/>
            <w:vAlign w:val="bottom"/>
            <w:shd w:val="clear" w:color="auto" w:fill="CFF0FC"/>
          </w:tcPr>
          <w:p>
            <w:pPr>
              <w:ind w:left="40"/>
              <w:spacing w:after="0"/>
              <w:rPr>
                <w:sz w:val="20"/>
                <w:szCs w:val="20"/>
                <w:color w:val="auto"/>
              </w:rPr>
            </w:pPr>
            <w:r>
              <w:rPr>
                <w:rFonts w:ascii="Arial" w:cs="Arial" w:eastAsia="Arial" w:hAnsi="Arial"/>
                <w:sz w:val="20"/>
                <w:szCs w:val="20"/>
                <w:color w:val="auto"/>
              </w:rPr>
              <w:t>August 9,</w:t>
            </w:r>
          </w:p>
        </w:tc>
      </w:tr>
      <w:tr>
        <w:trPr>
          <w:trHeight w:val="280"/>
        </w:trPr>
        <w:tc>
          <w:tcPr>
            <w:tcW w:w="660" w:type="dxa"/>
            <w:vAlign w:val="bottom"/>
            <w:tcBorders>
              <w:top w:val="single" w:sz="8" w:color="CFF0FC"/>
            </w:tcBorders>
            <w:shd w:val="clear" w:color="auto" w:fill="CFF0FC"/>
          </w:tcPr>
          <w:p>
            <w:pPr>
              <w:spacing w:after="0"/>
              <w:rPr>
                <w:sz w:val="24"/>
                <w:szCs w:val="24"/>
                <w:color w:val="auto"/>
              </w:rPr>
            </w:pPr>
          </w:p>
        </w:tc>
        <w:tc>
          <w:tcPr>
            <w:tcW w:w="5240" w:type="dxa"/>
            <w:vAlign w:val="bottom"/>
            <w:tcBorders>
              <w:top w:val="single" w:sz="8" w:color="0000FF"/>
            </w:tcBorders>
            <w:gridSpan w:val="25"/>
            <w:shd w:val="clear" w:color="auto" w:fill="CFF0FC"/>
          </w:tcPr>
          <w:p>
            <w:pPr>
              <w:spacing w:after="0"/>
              <w:rPr>
                <w:rFonts w:ascii="Arial" w:cs="Arial" w:eastAsia="Arial" w:hAnsi="Arial"/>
                <w:sz w:val="20"/>
                <w:szCs w:val="20"/>
                <w:color w:val="0000FF"/>
              </w:rPr>
            </w:pPr>
            <w:hyperlink r:id="rId694">
              <w:r>
                <w:rPr>
                  <w:rFonts w:ascii="Arial" w:cs="Arial" w:eastAsia="Arial" w:hAnsi="Arial"/>
                  <w:sz w:val="20"/>
                  <w:szCs w:val="20"/>
                  <w:color w:val="0000FF"/>
                </w:rPr>
                <w:t>Deferred Compensation Plan, effective June 1, 2011</w:t>
              </w:r>
            </w:hyperlink>
          </w:p>
        </w:tc>
        <w:tc>
          <w:tcPr>
            <w:tcW w:w="20" w:type="dxa"/>
            <w:vAlign w:val="bottom"/>
            <w:tcBorders>
              <w:top w:val="single" w:sz="8" w:color="0000FF"/>
            </w:tcBorders>
            <w:shd w:val="clear" w:color="auto" w:fill="CFF0FC"/>
          </w:tcPr>
          <w:p>
            <w:pPr>
              <w:spacing w:after="0"/>
              <w:rPr>
                <w:sz w:val="24"/>
                <w:szCs w:val="24"/>
                <w:color w:val="auto"/>
              </w:rPr>
            </w:pPr>
          </w:p>
        </w:tc>
        <w:tc>
          <w:tcPr>
            <w:tcW w:w="760" w:type="dxa"/>
            <w:vAlign w:val="bottom"/>
            <w:tcBorders>
              <w:top w:val="single" w:sz="8" w:color="CFF0FC"/>
            </w:tcBorders>
            <w:shd w:val="clear" w:color="auto" w:fill="CFF0FC"/>
          </w:tcPr>
          <w:p>
            <w:pPr>
              <w:spacing w:after="0"/>
              <w:rPr>
                <w:sz w:val="24"/>
                <w:szCs w:val="24"/>
                <w:color w:val="auto"/>
              </w:rPr>
            </w:pPr>
          </w:p>
        </w:tc>
        <w:tc>
          <w:tcPr>
            <w:tcW w:w="600" w:type="dxa"/>
            <w:vAlign w:val="bottom"/>
            <w:tcBorders>
              <w:top w:val="single" w:sz="8" w:color="CFF0FC"/>
            </w:tcBorders>
            <w:shd w:val="clear" w:color="auto" w:fill="CFF0FC"/>
          </w:tcPr>
          <w:p>
            <w:pPr>
              <w:spacing w:after="0"/>
              <w:rPr>
                <w:sz w:val="24"/>
                <w:szCs w:val="24"/>
                <w:color w:val="auto"/>
              </w:rPr>
            </w:pPr>
          </w:p>
        </w:tc>
        <w:tc>
          <w:tcPr>
            <w:tcW w:w="174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2011</w:t>
            </w:r>
          </w:p>
        </w:tc>
      </w:tr>
      <w:tr>
        <w:trPr>
          <w:trHeight w:val="41"/>
        </w:trPr>
        <w:tc>
          <w:tcPr>
            <w:tcW w:w="660" w:type="dxa"/>
            <w:vAlign w:val="bottom"/>
            <w:tcBorders>
              <w:top w:val="single" w:sz="8" w:color="CFF0FC"/>
            </w:tcBorders>
            <w:shd w:val="clear" w:color="auto" w:fill="CFF0FC"/>
          </w:tcPr>
          <w:p>
            <w:pPr>
              <w:spacing w:after="0"/>
              <w:rPr>
                <w:sz w:val="3"/>
                <w:szCs w:val="3"/>
                <w:color w:val="auto"/>
              </w:rPr>
            </w:pPr>
          </w:p>
        </w:tc>
        <w:tc>
          <w:tcPr>
            <w:tcW w:w="120" w:type="dxa"/>
            <w:vAlign w:val="bottom"/>
            <w:tcBorders>
              <w:top w:val="single" w:sz="8" w:color="0000FF"/>
            </w:tcBorders>
            <w:shd w:val="clear" w:color="auto" w:fill="CFF0FC"/>
          </w:tcPr>
          <w:p>
            <w:pPr>
              <w:spacing w:after="0"/>
              <w:rPr>
                <w:sz w:val="3"/>
                <w:szCs w:val="3"/>
                <w:color w:val="auto"/>
              </w:rPr>
            </w:pPr>
          </w:p>
        </w:tc>
        <w:tc>
          <w:tcPr>
            <w:tcW w:w="180" w:type="dxa"/>
            <w:vAlign w:val="bottom"/>
            <w:tcBorders>
              <w:top w:val="single" w:sz="8" w:color="0000FF"/>
            </w:tcBorders>
            <w:shd w:val="clear" w:color="auto" w:fill="CFF0FC"/>
          </w:tcPr>
          <w:p>
            <w:pPr>
              <w:spacing w:after="0"/>
              <w:rPr>
                <w:sz w:val="3"/>
                <w:szCs w:val="3"/>
                <w:color w:val="auto"/>
              </w:rPr>
            </w:pPr>
          </w:p>
        </w:tc>
        <w:tc>
          <w:tcPr>
            <w:tcW w:w="60" w:type="dxa"/>
            <w:vAlign w:val="bottom"/>
            <w:tcBorders>
              <w:top w:val="single" w:sz="8" w:color="0000FF"/>
            </w:tcBorders>
            <w:shd w:val="clear" w:color="auto" w:fill="CFF0FC"/>
          </w:tcPr>
          <w:p>
            <w:pPr>
              <w:spacing w:after="0"/>
              <w:rPr>
                <w:sz w:val="3"/>
                <w:szCs w:val="3"/>
                <w:color w:val="auto"/>
              </w:rPr>
            </w:pPr>
          </w:p>
        </w:tc>
        <w:tc>
          <w:tcPr>
            <w:tcW w:w="180" w:type="dxa"/>
            <w:vAlign w:val="bottom"/>
            <w:tcBorders>
              <w:top w:val="single" w:sz="8" w:color="0000FF"/>
            </w:tcBorders>
            <w:shd w:val="clear" w:color="auto" w:fill="CFF0FC"/>
          </w:tcPr>
          <w:p>
            <w:pPr>
              <w:spacing w:after="0"/>
              <w:rPr>
                <w:sz w:val="3"/>
                <w:szCs w:val="3"/>
                <w:color w:val="auto"/>
              </w:rPr>
            </w:pPr>
          </w:p>
        </w:tc>
        <w:tc>
          <w:tcPr>
            <w:tcW w:w="840" w:type="dxa"/>
            <w:vAlign w:val="bottom"/>
            <w:tcBorders>
              <w:top w:val="single" w:sz="8" w:color="0000FF"/>
            </w:tcBorders>
            <w:shd w:val="clear" w:color="auto" w:fill="CFF0FC"/>
          </w:tcPr>
          <w:p>
            <w:pPr>
              <w:spacing w:after="0"/>
              <w:rPr>
                <w:sz w:val="3"/>
                <w:szCs w:val="3"/>
                <w:color w:val="auto"/>
              </w:rPr>
            </w:pPr>
          </w:p>
        </w:tc>
        <w:tc>
          <w:tcPr>
            <w:tcW w:w="80" w:type="dxa"/>
            <w:vAlign w:val="bottom"/>
            <w:tcBorders>
              <w:top w:val="single" w:sz="8" w:color="0000FF"/>
            </w:tcBorders>
            <w:shd w:val="clear" w:color="auto" w:fill="CFF0FC"/>
          </w:tcPr>
          <w:p>
            <w:pPr>
              <w:spacing w:after="0"/>
              <w:rPr>
                <w:sz w:val="3"/>
                <w:szCs w:val="3"/>
                <w:color w:val="auto"/>
              </w:rPr>
            </w:pPr>
          </w:p>
        </w:tc>
        <w:tc>
          <w:tcPr>
            <w:tcW w:w="1320" w:type="dxa"/>
            <w:vAlign w:val="bottom"/>
            <w:tcBorders>
              <w:top w:val="single" w:sz="8" w:color="0000FF"/>
            </w:tcBorders>
            <w:shd w:val="clear" w:color="auto" w:fill="CFF0FC"/>
          </w:tcPr>
          <w:p>
            <w:pPr>
              <w:spacing w:after="0"/>
              <w:rPr>
                <w:sz w:val="3"/>
                <w:szCs w:val="3"/>
                <w:color w:val="auto"/>
              </w:rPr>
            </w:pPr>
          </w:p>
        </w:tc>
        <w:tc>
          <w:tcPr>
            <w:tcW w:w="240" w:type="dxa"/>
            <w:vAlign w:val="bottom"/>
            <w:tcBorders>
              <w:top w:val="single" w:sz="8" w:color="0000FF"/>
            </w:tcBorders>
            <w:shd w:val="clear" w:color="auto" w:fill="CFF0FC"/>
          </w:tcPr>
          <w:p>
            <w:pPr>
              <w:spacing w:after="0"/>
              <w:rPr>
                <w:sz w:val="3"/>
                <w:szCs w:val="3"/>
                <w:color w:val="auto"/>
              </w:rPr>
            </w:pPr>
          </w:p>
        </w:tc>
        <w:tc>
          <w:tcPr>
            <w:tcW w:w="700" w:type="dxa"/>
            <w:vAlign w:val="bottom"/>
            <w:tcBorders>
              <w:top w:val="single" w:sz="8" w:color="0000FF"/>
            </w:tcBorders>
            <w:shd w:val="clear" w:color="auto" w:fill="CFF0FC"/>
          </w:tcPr>
          <w:p>
            <w:pPr>
              <w:spacing w:after="0"/>
              <w:rPr>
                <w:sz w:val="3"/>
                <w:szCs w:val="3"/>
                <w:color w:val="auto"/>
              </w:rPr>
            </w:pPr>
          </w:p>
        </w:tc>
        <w:tc>
          <w:tcPr>
            <w:tcW w:w="20" w:type="dxa"/>
            <w:vAlign w:val="bottom"/>
            <w:tcBorders>
              <w:top w:val="single" w:sz="8" w:color="0000FF"/>
            </w:tcBorders>
            <w:shd w:val="clear" w:color="auto" w:fill="CFF0FC"/>
          </w:tcPr>
          <w:p>
            <w:pPr>
              <w:spacing w:after="0"/>
              <w:rPr>
                <w:sz w:val="3"/>
                <w:szCs w:val="3"/>
                <w:color w:val="auto"/>
              </w:rPr>
            </w:pPr>
          </w:p>
        </w:tc>
        <w:tc>
          <w:tcPr>
            <w:tcW w:w="320" w:type="dxa"/>
            <w:vAlign w:val="bottom"/>
            <w:tcBorders>
              <w:top w:val="single" w:sz="8" w:color="0000FF"/>
            </w:tcBorders>
            <w:shd w:val="clear" w:color="auto" w:fill="CFF0FC"/>
          </w:tcPr>
          <w:p>
            <w:pPr>
              <w:spacing w:after="0"/>
              <w:rPr>
                <w:sz w:val="3"/>
                <w:szCs w:val="3"/>
                <w:color w:val="auto"/>
              </w:rPr>
            </w:pPr>
          </w:p>
        </w:tc>
        <w:tc>
          <w:tcPr>
            <w:tcW w:w="120" w:type="dxa"/>
            <w:vAlign w:val="bottom"/>
            <w:tcBorders>
              <w:top w:val="single" w:sz="8" w:color="0000FF"/>
            </w:tcBorders>
            <w:shd w:val="clear" w:color="auto" w:fill="CFF0FC"/>
          </w:tcPr>
          <w:p>
            <w:pPr>
              <w:spacing w:after="0"/>
              <w:rPr>
                <w:sz w:val="3"/>
                <w:szCs w:val="3"/>
                <w:color w:val="auto"/>
              </w:rPr>
            </w:pPr>
          </w:p>
        </w:tc>
        <w:tc>
          <w:tcPr>
            <w:tcW w:w="5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100" w:type="dxa"/>
            <w:vAlign w:val="bottom"/>
            <w:tcBorders>
              <w:top w:val="single" w:sz="8" w:color="CFF0FC"/>
              <w:left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760" w:type="dxa"/>
            <w:vAlign w:val="bottom"/>
            <w:tcBorders>
              <w:top w:val="single" w:sz="8" w:color="CFF0FC"/>
            </w:tcBorders>
            <w:shd w:val="clear" w:color="auto" w:fill="CFF0FC"/>
          </w:tcPr>
          <w:p>
            <w:pPr>
              <w:spacing w:after="0"/>
              <w:rPr>
                <w:sz w:val="3"/>
                <w:szCs w:val="3"/>
                <w:color w:val="auto"/>
              </w:rPr>
            </w:pPr>
          </w:p>
        </w:tc>
        <w:tc>
          <w:tcPr>
            <w:tcW w:w="600" w:type="dxa"/>
            <w:vAlign w:val="bottom"/>
            <w:tcBorders>
              <w:top w:val="single" w:sz="8" w:color="CFF0FC"/>
            </w:tcBorders>
            <w:shd w:val="clear" w:color="auto" w:fill="CFF0FC"/>
          </w:tcPr>
          <w:p>
            <w:pPr>
              <w:spacing w:after="0"/>
              <w:rPr>
                <w:sz w:val="3"/>
                <w:szCs w:val="3"/>
                <w:color w:val="auto"/>
              </w:rPr>
            </w:pPr>
          </w:p>
        </w:tc>
        <w:tc>
          <w:tcPr>
            <w:tcW w:w="1740" w:type="dxa"/>
            <w:vAlign w:val="bottom"/>
            <w:tcBorders>
              <w:top w:val="single" w:sz="8" w:color="CFF0FC"/>
            </w:tcBorders>
            <w:shd w:val="clear" w:color="auto" w:fill="CFF0FC"/>
          </w:tcPr>
          <w:p>
            <w:pPr>
              <w:spacing w:after="0"/>
              <w:rPr>
                <w:sz w:val="3"/>
                <w:szCs w:val="3"/>
                <w:color w:val="auto"/>
              </w:rPr>
            </w:pPr>
          </w:p>
        </w:tc>
      </w:tr>
      <w:tr>
        <w:trPr>
          <w:trHeight w:val="239"/>
        </w:trPr>
        <w:tc>
          <w:tcPr>
            <w:tcW w:w="5900" w:type="dxa"/>
            <w:vAlign w:val="bottom"/>
            <w:gridSpan w:val="26"/>
          </w:tcPr>
          <w:p>
            <w:pPr>
              <w:ind w:left="20"/>
              <w:spacing w:after="0"/>
              <w:rPr>
                <w:rFonts w:ascii="Arial" w:cs="Arial" w:eastAsia="Arial" w:hAnsi="Arial"/>
                <w:sz w:val="20"/>
                <w:szCs w:val="20"/>
                <w:color w:val="auto"/>
                <w:w w:val="95"/>
              </w:rPr>
            </w:pPr>
            <w:r>
              <w:rPr>
                <w:rFonts w:ascii="Arial" w:cs="Arial" w:eastAsia="Arial" w:hAnsi="Arial"/>
                <w:sz w:val="20"/>
                <w:szCs w:val="20"/>
                <w:color w:val="auto"/>
                <w:w w:val="95"/>
              </w:rPr>
              <w:t xml:space="preserve">10.16† </w:t>
            </w:r>
            <w:hyperlink r:id="rId695">
              <w:r>
                <w:rPr>
                  <w:rFonts w:ascii="Arial" w:cs="Arial" w:eastAsia="Arial" w:hAnsi="Arial"/>
                  <w:sz w:val="20"/>
                  <w:szCs w:val="20"/>
                  <w:color w:val="0000FF"/>
                  <w:w w:val="95"/>
                </w:rPr>
                <w:t>Second Amendment to the Amended and Restated Willis U.S.</w:t>
              </w:r>
            </w:hyperlink>
          </w:p>
        </w:tc>
        <w:tc>
          <w:tcPr>
            <w:tcW w:w="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600" w:type="dxa"/>
            <w:vAlign w:val="bottom"/>
          </w:tcPr>
          <w:p>
            <w:pPr>
              <w:jc w:val="center"/>
              <w:spacing w:after="0"/>
              <w:rPr>
                <w:sz w:val="20"/>
                <w:szCs w:val="20"/>
                <w:color w:val="auto"/>
              </w:rPr>
            </w:pPr>
            <w:r>
              <w:rPr>
                <w:rFonts w:ascii="Arial" w:cs="Arial" w:eastAsia="Arial" w:hAnsi="Arial"/>
                <w:sz w:val="20"/>
                <w:szCs w:val="20"/>
                <w:color w:val="auto"/>
                <w:w w:val="92"/>
              </w:rPr>
              <w:t>10.6</w:t>
            </w:r>
          </w:p>
        </w:tc>
        <w:tc>
          <w:tcPr>
            <w:tcW w:w="1740" w:type="dxa"/>
            <w:vAlign w:val="bottom"/>
          </w:tcPr>
          <w:p>
            <w:pPr>
              <w:ind w:left="40"/>
              <w:spacing w:after="0"/>
              <w:rPr>
                <w:sz w:val="20"/>
                <w:szCs w:val="20"/>
                <w:color w:val="auto"/>
              </w:rPr>
            </w:pPr>
            <w:r>
              <w:rPr>
                <w:rFonts w:ascii="Arial" w:cs="Arial" w:eastAsia="Arial" w:hAnsi="Arial"/>
                <w:sz w:val="20"/>
                <w:szCs w:val="20"/>
                <w:color w:val="auto"/>
              </w:rPr>
              <w:t>November</w:t>
            </w:r>
          </w:p>
        </w:tc>
      </w:tr>
      <w:tr>
        <w:trPr>
          <w:trHeight w:val="280"/>
        </w:trPr>
        <w:tc>
          <w:tcPr>
            <w:tcW w:w="660" w:type="dxa"/>
            <w:vAlign w:val="bottom"/>
          </w:tcPr>
          <w:p>
            <w:pPr>
              <w:spacing w:after="0"/>
              <w:rPr>
                <w:sz w:val="24"/>
                <w:szCs w:val="24"/>
                <w:color w:val="auto"/>
              </w:rPr>
            </w:pPr>
          </w:p>
        </w:tc>
        <w:tc>
          <w:tcPr>
            <w:tcW w:w="4980" w:type="dxa"/>
            <w:vAlign w:val="bottom"/>
            <w:tcBorders>
              <w:top w:val="single" w:sz="8" w:color="0000FF"/>
            </w:tcBorders>
            <w:gridSpan w:val="20"/>
          </w:tcPr>
          <w:p>
            <w:pPr>
              <w:spacing w:after="0"/>
              <w:rPr>
                <w:rFonts w:ascii="Arial" w:cs="Arial" w:eastAsia="Arial" w:hAnsi="Arial"/>
                <w:sz w:val="20"/>
                <w:szCs w:val="20"/>
                <w:color w:val="0000FF"/>
              </w:rPr>
            </w:pPr>
            <w:hyperlink r:id="rId695">
              <w:r>
                <w:rPr>
                  <w:rFonts w:ascii="Arial" w:cs="Arial" w:eastAsia="Arial" w:hAnsi="Arial"/>
                  <w:sz w:val="20"/>
                  <w:szCs w:val="20"/>
                  <w:color w:val="0000FF"/>
                </w:rPr>
                <w:t>2005 Deferred Compensation Plan</w:t>
              </w:r>
            </w:hyperlink>
          </w:p>
        </w:tc>
        <w:tc>
          <w:tcPr>
            <w:tcW w:w="2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5, 2013</w:t>
            </w:r>
          </w:p>
        </w:tc>
      </w:tr>
      <w:tr>
        <w:trPr>
          <w:trHeight w:val="41"/>
        </w:trPr>
        <w:tc>
          <w:tcPr>
            <w:tcW w:w="660" w:type="dxa"/>
            <w:vAlign w:val="bottom"/>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320" w:type="dxa"/>
            <w:vAlign w:val="bottom"/>
            <w:tcBorders>
              <w:top w:val="single" w:sz="8" w:color="0000FF"/>
            </w:tcBorders>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39"/>
        </w:trPr>
        <w:tc>
          <w:tcPr>
            <w:tcW w:w="5900" w:type="dxa"/>
            <w:vAlign w:val="bottom"/>
            <w:gridSpan w:val="26"/>
            <w:shd w:val="clear" w:color="auto" w:fill="CFF0FC"/>
          </w:tcPr>
          <w:p>
            <w:pPr>
              <w:ind w:left="20"/>
              <w:spacing w:after="0"/>
              <w:rPr>
                <w:rFonts w:ascii="Arial" w:cs="Arial" w:eastAsia="Arial" w:hAnsi="Arial"/>
                <w:sz w:val="20"/>
                <w:szCs w:val="20"/>
                <w:color w:val="auto"/>
                <w:w w:val="96"/>
              </w:rPr>
            </w:pPr>
            <w:r>
              <w:rPr>
                <w:rFonts w:ascii="Arial" w:cs="Arial" w:eastAsia="Arial" w:hAnsi="Arial"/>
                <w:sz w:val="20"/>
                <w:szCs w:val="20"/>
                <w:color w:val="auto"/>
                <w:w w:val="96"/>
              </w:rPr>
              <w:t xml:space="preserve">10.17† </w:t>
            </w:r>
            <w:hyperlink r:id="rId696">
              <w:r>
                <w:rPr>
                  <w:rFonts w:ascii="Arial" w:cs="Arial" w:eastAsia="Arial" w:hAnsi="Arial"/>
                  <w:sz w:val="20"/>
                  <w:szCs w:val="20"/>
                  <w:color w:val="0000FF"/>
                  <w:w w:val="96"/>
                </w:rPr>
                <w:t>Amendment 2017-1 to the Amended and Restated Willis U.S.</w:t>
              </w:r>
            </w:hyperlink>
          </w:p>
        </w:tc>
        <w:tc>
          <w:tcPr>
            <w:tcW w:w="20" w:type="dxa"/>
            <w:vAlign w:val="bottom"/>
            <w:shd w:val="clear" w:color="auto" w:fill="CFF0FC"/>
          </w:tcPr>
          <w:p>
            <w:pPr>
              <w:spacing w:after="0"/>
              <w:rPr>
                <w:sz w:val="20"/>
                <w:szCs w:val="20"/>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9"/>
              </w:rPr>
              <w:t>10-K</w:t>
            </w:r>
          </w:p>
        </w:tc>
        <w:tc>
          <w:tcPr>
            <w:tcW w:w="6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10.34</w:t>
            </w:r>
          </w:p>
        </w:tc>
        <w:tc>
          <w:tcPr>
            <w:tcW w:w="1740" w:type="dxa"/>
            <w:vAlign w:val="bottom"/>
            <w:shd w:val="clear" w:color="auto" w:fill="CFF0FC"/>
          </w:tcPr>
          <w:p>
            <w:pPr>
              <w:ind w:left="40"/>
              <w:spacing w:after="0"/>
              <w:rPr>
                <w:sz w:val="20"/>
                <w:szCs w:val="20"/>
                <w:color w:val="auto"/>
              </w:rPr>
            </w:pPr>
            <w:r>
              <w:rPr>
                <w:rFonts w:ascii="Arial" w:cs="Arial" w:eastAsia="Arial" w:hAnsi="Arial"/>
                <w:sz w:val="20"/>
                <w:szCs w:val="20"/>
                <w:color w:val="auto"/>
              </w:rPr>
              <w:t>February</w:t>
            </w:r>
          </w:p>
        </w:tc>
      </w:tr>
      <w:tr>
        <w:trPr>
          <w:trHeight w:val="321"/>
        </w:trPr>
        <w:tc>
          <w:tcPr>
            <w:tcW w:w="660" w:type="dxa"/>
            <w:vAlign w:val="bottom"/>
            <w:tcBorders>
              <w:top w:val="single" w:sz="8" w:color="CFF0FC"/>
              <w:bottom w:val="single" w:sz="8" w:color="CFF0FC"/>
            </w:tcBorders>
            <w:shd w:val="clear" w:color="auto" w:fill="CFF0FC"/>
          </w:tcPr>
          <w:p>
            <w:pPr>
              <w:spacing w:after="0"/>
              <w:rPr>
                <w:sz w:val="24"/>
                <w:szCs w:val="24"/>
                <w:color w:val="auto"/>
              </w:rPr>
            </w:pPr>
          </w:p>
        </w:tc>
        <w:tc>
          <w:tcPr>
            <w:tcW w:w="2780" w:type="dxa"/>
            <w:vAlign w:val="bottom"/>
            <w:tcBorders>
              <w:top w:val="single" w:sz="8" w:color="0000FF"/>
              <w:bottom w:val="single" w:sz="8" w:color="0000FF"/>
            </w:tcBorders>
            <w:gridSpan w:val="7"/>
            <w:shd w:val="clear" w:color="auto" w:fill="CFF0FC"/>
          </w:tcPr>
          <w:p>
            <w:pPr>
              <w:spacing w:after="0"/>
              <w:rPr>
                <w:rFonts w:ascii="Arial" w:cs="Arial" w:eastAsia="Arial" w:hAnsi="Arial"/>
                <w:sz w:val="20"/>
                <w:szCs w:val="20"/>
                <w:color w:val="0000FF"/>
                <w:w w:val="89"/>
              </w:rPr>
            </w:pPr>
            <w:hyperlink r:id="rId696">
              <w:r>
                <w:rPr>
                  <w:rFonts w:ascii="Arial" w:cs="Arial" w:eastAsia="Arial" w:hAnsi="Arial"/>
                  <w:sz w:val="20"/>
                  <w:szCs w:val="20"/>
                  <w:color w:val="0000FF"/>
                  <w:w w:val="89"/>
                </w:rPr>
                <w:t>2005 Deferred Compensation Plan</w:t>
              </w:r>
            </w:hyperlink>
          </w:p>
        </w:tc>
        <w:tc>
          <w:tcPr>
            <w:tcW w:w="2200" w:type="dxa"/>
            <w:vAlign w:val="bottom"/>
            <w:tcBorders>
              <w:top w:val="single" w:sz="8" w:color="0000FF"/>
              <w:bottom w:val="single" w:sz="8" w:color="CFF0FC"/>
            </w:tcBorders>
            <w:gridSpan w:val="13"/>
            <w:shd w:val="clear" w:color="auto" w:fill="CFF0FC"/>
          </w:tcPr>
          <w:p>
            <w:pPr>
              <w:spacing w:after="0"/>
              <w:rPr>
                <w:sz w:val="24"/>
                <w:szCs w:val="24"/>
                <w:color w:val="auto"/>
              </w:rPr>
            </w:pPr>
          </w:p>
        </w:tc>
        <w:tc>
          <w:tcPr>
            <w:tcW w:w="260" w:type="dxa"/>
            <w:vAlign w:val="bottom"/>
            <w:tcBorders>
              <w:top w:val="single" w:sz="8" w:color="CFF0FC"/>
              <w:left w:val="single" w:sz="8" w:color="CFF0FC"/>
              <w:bottom w:val="single" w:sz="8" w:color="CFF0FC"/>
            </w:tcBorders>
            <w:gridSpan w:val="5"/>
            <w:shd w:val="clear" w:color="auto" w:fill="CFF0FC"/>
          </w:tcPr>
          <w:p>
            <w:pPr>
              <w:spacing w:after="0"/>
              <w:rPr>
                <w:sz w:val="24"/>
                <w:szCs w:val="24"/>
                <w:color w:val="auto"/>
              </w:rPr>
            </w:pPr>
          </w:p>
        </w:tc>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760" w:type="dxa"/>
            <w:vAlign w:val="bottom"/>
            <w:tcBorders>
              <w:top w:val="single" w:sz="8" w:color="CFF0FC"/>
              <w:bottom w:val="single" w:sz="8" w:color="CFF0FC"/>
            </w:tcBorders>
            <w:shd w:val="clear" w:color="auto" w:fill="CFF0FC"/>
          </w:tcPr>
          <w:p>
            <w:pPr>
              <w:spacing w:after="0"/>
              <w:rPr>
                <w:sz w:val="24"/>
                <w:szCs w:val="24"/>
                <w:color w:val="auto"/>
              </w:rPr>
            </w:pPr>
          </w:p>
        </w:tc>
        <w:tc>
          <w:tcPr>
            <w:tcW w:w="600" w:type="dxa"/>
            <w:vAlign w:val="bottom"/>
            <w:tcBorders>
              <w:top w:val="single" w:sz="8" w:color="CFF0FC"/>
              <w:bottom w:val="single" w:sz="8" w:color="CFF0FC"/>
            </w:tcBorders>
            <w:shd w:val="clear" w:color="auto" w:fill="CFF0FC"/>
          </w:tcPr>
          <w:p>
            <w:pPr>
              <w:spacing w:after="0"/>
              <w:rPr>
                <w:sz w:val="24"/>
                <w:szCs w:val="24"/>
                <w:color w:val="auto"/>
              </w:rPr>
            </w:pPr>
          </w:p>
        </w:tc>
        <w:tc>
          <w:tcPr>
            <w:tcW w:w="174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28, 2018</w:t>
            </w:r>
          </w:p>
        </w:tc>
      </w:tr>
      <w:tr>
        <w:trPr>
          <w:trHeight w:val="239"/>
        </w:trPr>
        <w:tc>
          <w:tcPr>
            <w:tcW w:w="5900" w:type="dxa"/>
            <w:vAlign w:val="bottom"/>
            <w:gridSpan w:val="26"/>
          </w:tcPr>
          <w:p>
            <w:pPr>
              <w:ind w:left="20"/>
              <w:spacing w:after="0"/>
              <w:rPr>
                <w:rFonts w:ascii="Arial" w:cs="Arial" w:eastAsia="Arial" w:hAnsi="Arial"/>
                <w:sz w:val="20"/>
                <w:szCs w:val="20"/>
                <w:color w:val="auto"/>
                <w:w w:val="96"/>
              </w:rPr>
            </w:pPr>
            <w:r>
              <w:rPr>
                <w:rFonts w:ascii="Arial" w:cs="Arial" w:eastAsia="Arial" w:hAnsi="Arial"/>
                <w:sz w:val="20"/>
                <w:szCs w:val="20"/>
                <w:color w:val="auto"/>
                <w:w w:val="96"/>
              </w:rPr>
              <w:t xml:space="preserve">10.18† </w:t>
            </w:r>
            <w:hyperlink r:id="rId697">
              <w:r>
                <w:rPr>
                  <w:rFonts w:ascii="Arial" w:cs="Arial" w:eastAsia="Arial" w:hAnsi="Arial"/>
                  <w:sz w:val="20"/>
                  <w:szCs w:val="20"/>
                  <w:color w:val="0000FF"/>
                  <w:w w:val="96"/>
                </w:rPr>
                <w:t>Amendment 2019-1 to the Amended and Restated Willis U.S.</w:t>
              </w:r>
            </w:hyperlink>
          </w:p>
        </w:tc>
        <w:tc>
          <w:tcPr>
            <w:tcW w:w="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600" w:type="dxa"/>
            <w:vAlign w:val="bottom"/>
          </w:tcPr>
          <w:p>
            <w:pPr>
              <w:jc w:val="center"/>
              <w:spacing w:after="0"/>
              <w:rPr>
                <w:sz w:val="20"/>
                <w:szCs w:val="20"/>
                <w:color w:val="auto"/>
              </w:rPr>
            </w:pPr>
            <w:r>
              <w:rPr>
                <w:rFonts w:ascii="Arial" w:cs="Arial" w:eastAsia="Arial" w:hAnsi="Arial"/>
                <w:sz w:val="20"/>
                <w:szCs w:val="20"/>
                <w:color w:val="auto"/>
                <w:w w:val="92"/>
              </w:rPr>
              <w:t>10.2</w:t>
            </w:r>
          </w:p>
        </w:tc>
        <w:tc>
          <w:tcPr>
            <w:tcW w:w="1740" w:type="dxa"/>
            <w:vAlign w:val="bottom"/>
          </w:tcPr>
          <w:p>
            <w:pPr>
              <w:ind w:left="40"/>
              <w:spacing w:after="0"/>
              <w:rPr>
                <w:sz w:val="20"/>
                <w:szCs w:val="20"/>
                <w:color w:val="auto"/>
              </w:rPr>
            </w:pPr>
            <w:r>
              <w:rPr>
                <w:rFonts w:ascii="Arial" w:cs="Arial" w:eastAsia="Arial" w:hAnsi="Arial"/>
                <w:sz w:val="20"/>
                <w:szCs w:val="20"/>
                <w:color w:val="auto"/>
              </w:rPr>
              <w:t>November</w:t>
            </w:r>
          </w:p>
        </w:tc>
      </w:tr>
      <w:tr>
        <w:trPr>
          <w:trHeight w:val="280"/>
        </w:trPr>
        <w:tc>
          <w:tcPr>
            <w:tcW w:w="660" w:type="dxa"/>
            <w:vAlign w:val="bottom"/>
          </w:tcPr>
          <w:p>
            <w:pPr>
              <w:spacing w:after="0"/>
              <w:rPr>
                <w:sz w:val="24"/>
                <w:szCs w:val="24"/>
                <w:color w:val="auto"/>
              </w:rPr>
            </w:pPr>
          </w:p>
        </w:tc>
        <w:tc>
          <w:tcPr>
            <w:tcW w:w="4980" w:type="dxa"/>
            <w:vAlign w:val="bottom"/>
            <w:tcBorders>
              <w:top w:val="single" w:sz="8" w:color="0000FF"/>
            </w:tcBorders>
            <w:gridSpan w:val="20"/>
          </w:tcPr>
          <w:p>
            <w:pPr>
              <w:spacing w:after="0"/>
              <w:rPr>
                <w:rFonts w:ascii="Arial" w:cs="Arial" w:eastAsia="Arial" w:hAnsi="Arial"/>
                <w:sz w:val="20"/>
                <w:szCs w:val="20"/>
                <w:color w:val="0000FF"/>
              </w:rPr>
            </w:pPr>
            <w:hyperlink r:id="rId697">
              <w:r>
                <w:rPr>
                  <w:rFonts w:ascii="Arial" w:cs="Arial" w:eastAsia="Arial" w:hAnsi="Arial"/>
                  <w:sz w:val="20"/>
                  <w:szCs w:val="20"/>
                  <w:color w:val="0000FF"/>
                </w:rPr>
                <w:t>2005 Deferred Compensation Plan</w:t>
              </w:r>
            </w:hyperlink>
          </w:p>
        </w:tc>
        <w:tc>
          <w:tcPr>
            <w:tcW w:w="2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1, 2019</w:t>
            </w:r>
          </w:p>
        </w:tc>
      </w:tr>
      <w:tr>
        <w:trPr>
          <w:trHeight w:val="41"/>
        </w:trPr>
        <w:tc>
          <w:tcPr>
            <w:tcW w:w="660" w:type="dxa"/>
            <w:vAlign w:val="bottom"/>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320" w:type="dxa"/>
            <w:vAlign w:val="bottom"/>
            <w:tcBorders>
              <w:top w:val="single" w:sz="8" w:color="0000FF"/>
            </w:tcBorders>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39"/>
        </w:trPr>
        <w:tc>
          <w:tcPr>
            <w:tcW w:w="5900" w:type="dxa"/>
            <w:vAlign w:val="bottom"/>
            <w:gridSpan w:val="26"/>
            <w:shd w:val="clear" w:color="auto" w:fill="CFF0FC"/>
          </w:tcPr>
          <w:p>
            <w:pPr>
              <w:ind w:left="20"/>
              <w:spacing w:after="0"/>
              <w:rPr>
                <w:rFonts w:ascii="Arial" w:cs="Arial" w:eastAsia="Arial" w:hAnsi="Arial"/>
                <w:sz w:val="20"/>
                <w:szCs w:val="20"/>
                <w:color w:val="auto"/>
              </w:rPr>
            </w:pPr>
            <w:r>
              <w:rPr>
                <w:rFonts w:ascii="Arial" w:cs="Arial" w:eastAsia="Arial" w:hAnsi="Arial"/>
                <w:sz w:val="20"/>
                <w:szCs w:val="20"/>
                <w:color w:val="auto"/>
              </w:rPr>
              <w:t xml:space="preserve">10.19† </w:t>
            </w:r>
            <w:hyperlink r:id="rId698">
              <w:r>
                <w:rPr>
                  <w:rFonts w:ascii="Arial" w:cs="Arial" w:eastAsia="Arial" w:hAnsi="Arial"/>
                  <w:sz w:val="20"/>
                  <w:szCs w:val="20"/>
                  <w:color w:val="0000FF"/>
                </w:rPr>
                <w:t>Form of Deed of Indemnity of Willis Towers Watson Public</w:t>
              </w:r>
            </w:hyperlink>
          </w:p>
        </w:tc>
        <w:tc>
          <w:tcPr>
            <w:tcW w:w="20" w:type="dxa"/>
            <w:vAlign w:val="bottom"/>
            <w:shd w:val="clear" w:color="auto" w:fill="CFF0FC"/>
          </w:tcPr>
          <w:p>
            <w:pPr>
              <w:spacing w:after="0"/>
              <w:rPr>
                <w:sz w:val="20"/>
                <w:szCs w:val="20"/>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2"/>
              </w:rPr>
              <w:t>10.1</w:t>
            </w:r>
          </w:p>
        </w:tc>
        <w:tc>
          <w:tcPr>
            <w:tcW w:w="1740" w:type="dxa"/>
            <w:vAlign w:val="bottom"/>
            <w:shd w:val="clear" w:color="auto" w:fill="CFF0FC"/>
          </w:tcPr>
          <w:p>
            <w:pPr>
              <w:ind w:left="40"/>
              <w:spacing w:after="0"/>
              <w:rPr>
                <w:sz w:val="20"/>
                <w:szCs w:val="20"/>
                <w:color w:val="auto"/>
              </w:rPr>
            </w:pPr>
            <w:r>
              <w:rPr>
                <w:rFonts w:ascii="Arial" w:cs="Arial" w:eastAsia="Arial" w:hAnsi="Arial"/>
                <w:sz w:val="20"/>
                <w:szCs w:val="20"/>
                <w:color w:val="auto"/>
              </w:rPr>
              <w:t>January 5,</w:t>
            </w:r>
          </w:p>
        </w:tc>
      </w:tr>
      <w:tr>
        <w:trPr>
          <w:trHeight w:val="280"/>
        </w:trPr>
        <w:tc>
          <w:tcPr>
            <w:tcW w:w="660" w:type="dxa"/>
            <w:vAlign w:val="bottom"/>
            <w:tcBorders>
              <w:top w:val="single" w:sz="8" w:color="CFF0FC"/>
            </w:tcBorders>
            <w:shd w:val="clear" w:color="auto" w:fill="CFF0FC"/>
          </w:tcPr>
          <w:p>
            <w:pPr>
              <w:spacing w:after="0"/>
              <w:rPr>
                <w:sz w:val="24"/>
                <w:szCs w:val="24"/>
                <w:color w:val="auto"/>
              </w:rPr>
            </w:pPr>
          </w:p>
        </w:tc>
        <w:tc>
          <w:tcPr>
            <w:tcW w:w="4900" w:type="dxa"/>
            <w:vAlign w:val="bottom"/>
            <w:tcBorders>
              <w:top w:val="single" w:sz="8" w:color="0000FF"/>
            </w:tcBorders>
            <w:gridSpan w:val="19"/>
            <w:shd w:val="clear" w:color="auto" w:fill="CFF0FC"/>
          </w:tcPr>
          <w:p>
            <w:pPr>
              <w:spacing w:after="0"/>
              <w:rPr>
                <w:rFonts w:ascii="Arial" w:cs="Arial" w:eastAsia="Arial" w:hAnsi="Arial"/>
                <w:sz w:val="20"/>
                <w:szCs w:val="20"/>
                <w:color w:val="0000FF"/>
              </w:rPr>
            </w:pPr>
            <w:hyperlink r:id="rId698">
              <w:r>
                <w:rPr>
                  <w:rFonts w:ascii="Arial" w:cs="Arial" w:eastAsia="Arial" w:hAnsi="Arial"/>
                  <w:sz w:val="20"/>
                  <w:szCs w:val="20"/>
                  <w:color w:val="0000FF"/>
                </w:rPr>
                <w:t>Limited Company</w:t>
              </w:r>
            </w:hyperlink>
          </w:p>
        </w:tc>
        <w:tc>
          <w:tcPr>
            <w:tcW w:w="340" w:type="dxa"/>
            <w:vAlign w:val="bottom"/>
            <w:tcBorders>
              <w:top w:val="single" w:sz="8" w:color="CFF0FC"/>
            </w:tcBorders>
            <w:gridSpan w:val="6"/>
            <w:shd w:val="clear" w:color="auto" w:fill="CFF0FC"/>
          </w:tcPr>
          <w:p>
            <w:pPr>
              <w:spacing w:after="0"/>
              <w:rPr>
                <w:sz w:val="24"/>
                <w:szCs w:val="24"/>
                <w:color w:val="auto"/>
              </w:rPr>
            </w:pPr>
          </w:p>
        </w:tc>
        <w:tc>
          <w:tcPr>
            <w:tcW w:w="20" w:type="dxa"/>
            <w:vAlign w:val="bottom"/>
            <w:tcBorders>
              <w:top w:val="single" w:sz="8" w:color="CFF0FC"/>
            </w:tcBorders>
            <w:shd w:val="clear" w:color="auto" w:fill="CFF0FC"/>
          </w:tcPr>
          <w:p>
            <w:pPr>
              <w:spacing w:after="0"/>
              <w:rPr>
                <w:sz w:val="24"/>
                <w:szCs w:val="24"/>
                <w:color w:val="auto"/>
              </w:rPr>
            </w:pPr>
          </w:p>
        </w:tc>
        <w:tc>
          <w:tcPr>
            <w:tcW w:w="760" w:type="dxa"/>
            <w:vAlign w:val="bottom"/>
            <w:tcBorders>
              <w:top w:val="single" w:sz="8" w:color="CFF0FC"/>
            </w:tcBorders>
            <w:shd w:val="clear" w:color="auto" w:fill="CFF0FC"/>
          </w:tcPr>
          <w:p>
            <w:pPr>
              <w:spacing w:after="0"/>
              <w:rPr>
                <w:sz w:val="24"/>
                <w:szCs w:val="24"/>
                <w:color w:val="auto"/>
              </w:rPr>
            </w:pPr>
          </w:p>
        </w:tc>
        <w:tc>
          <w:tcPr>
            <w:tcW w:w="600" w:type="dxa"/>
            <w:vAlign w:val="bottom"/>
            <w:tcBorders>
              <w:top w:val="single" w:sz="8" w:color="CFF0FC"/>
            </w:tcBorders>
            <w:shd w:val="clear" w:color="auto" w:fill="CFF0FC"/>
          </w:tcPr>
          <w:p>
            <w:pPr>
              <w:spacing w:after="0"/>
              <w:rPr>
                <w:sz w:val="24"/>
                <w:szCs w:val="24"/>
                <w:color w:val="auto"/>
              </w:rPr>
            </w:pPr>
          </w:p>
        </w:tc>
        <w:tc>
          <w:tcPr>
            <w:tcW w:w="174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2016</w:t>
            </w:r>
          </w:p>
        </w:tc>
      </w:tr>
      <w:tr>
        <w:trPr>
          <w:trHeight w:val="41"/>
        </w:trPr>
        <w:tc>
          <w:tcPr>
            <w:tcW w:w="660" w:type="dxa"/>
            <w:vAlign w:val="bottom"/>
            <w:tcBorders>
              <w:top w:val="single" w:sz="8" w:color="CFF0FC"/>
            </w:tcBorders>
            <w:shd w:val="clear" w:color="auto" w:fill="CFF0FC"/>
          </w:tcPr>
          <w:p>
            <w:pPr>
              <w:spacing w:after="0"/>
              <w:rPr>
                <w:sz w:val="3"/>
                <w:szCs w:val="3"/>
                <w:color w:val="auto"/>
              </w:rPr>
            </w:pPr>
          </w:p>
        </w:tc>
        <w:tc>
          <w:tcPr>
            <w:tcW w:w="120" w:type="dxa"/>
            <w:vAlign w:val="bottom"/>
            <w:tcBorders>
              <w:top w:val="single" w:sz="8" w:color="0000FF"/>
            </w:tcBorders>
            <w:shd w:val="clear" w:color="auto" w:fill="CFF0FC"/>
          </w:tcPr>
          <w:p>
            <w:pPr>
              <w:spacing w:after="0"/>
              <w:rPr>
                <w:sz w:val="3"/>
                <w:szCs w:val="3"/>
                <w:color w:val="auto"/>
              </w:rPr>
            </w:pPr>
          </w:p>
        </w:tc>
        <w:tc>
          <w:tcPr>
            <w:tcW w:w="180" w:type="dxa"/>
            <w:vAlign w:val="bottom"/>
            <w:tcBorders>
              <w:top w:val="single" w:sz="8" w:color="0000FF"/>
            </w:tcBorders>
            <w:shd w:val="clear" w:color="auto" w:fill="CFF0FC"/>
          </w:tcPr>
          <w:p>
            <w:pPr>
              <w:spacing w:after="0"/>
              <w:rPr>
                <w:sz w:val="3"/>
                <w:szCs w:val="3"/>
                <w:color w:val="auto"/>
              </w:rPr>
            </w:pPr>
          </w:p>
        </w:tc>
        <w:tc>
          <w:tcPr>
            <w:tcW w:w="60" w:type="dxa"/>
            <w:vAlign w:val="bottom"/>
            <w:tcBorders>
              <w:top w:val="single" w:sz="8" w:color="0000FF"/>
            </w:tcBorders>
            <w:shd w:val="clear" w:color="auto" w:fill="CFF0FC"/>
          </w:tcPr>
          <w:p>
            <w:pPr>
              <w:spacing w:after="0"/>
              <w:rPr>
                <w:sz w:val="3"/>
                <w:szCs w:val="3"/>
                <w:color w:val="auto"/>
              </w:rPr>
            </w:pPr>
          </w:p>
        </w:tc>
        <w:tc>
          <w:tcPr>
            <w:tcW w:w="180" w:type="dxa"/>
            <w:vAlign w:val="bottom"/>
            <w:tcBorders>
              <w:top w:val="single" w:sz="8" w:color="0000FF"/>
            </w:tcBorders>
            <w:shd w:val="clear" w:color="auto" w:fill="CFF0FC"/>
          </w:tcPr>
          <w:p>
            <w:pPr>
              <w:spacing w:after="0"/>
              <w:rPr>
                <w:sz w:val="3"/>
                <w:szCs w:val="3"/>
                <w:color w:val="auto"/>
              </w:rPr>
            </w:pPr>
          </w:p>
        </w:tc>
        <w:tc>
          <w:tcPr>
            <w:tcW w:w="840" w:type="dxa"/>
            <w:vAlign w:val="bottom"/>
            <w:tcBorders>
              <w:top w:val="single" w:sz="8" w:color="0000FF"/>
            </w:tcBorders>
            <w:shd w:val="clear" w:color="auto" w:fill="CFF0FC"/>
          </w:tcPr>
          <w:p>
            <w:pPr>
              <w:spacing w:after="0"/>
              <w:rPr>
                <w:sz w:val="3"/>
                <w:szCs w:val="3"/>
                <w:color w:val="auto"/>
              </w:rPr>
            </w:pPr>
          </w:p>
        </w:tc>
        <w:tc>
          <w:tcPr>
            <w:tcW w:w="80" w:type="dxa"/>
            <w:vAlign w:val="bottom"/>
            <w:tcBorders>
              <w:top w:val="single" w:sz="8" w:color="0000FF"/>
            </w:tcBorders>
            <w:shd w:val="clear" w:color="auto" w:fill="CFF0FC"/>
          </w:tcPr>
          <w:p>
            <w:pPr>
              <w:spacing w:after="0"/>
              <w:rPr>
                <w:sz w:val="3"/>
                <w:szCs w:val="3"/>
                <w:color w:val="auto"/>
              </w:rPr>
            </w:pPr>
          </w:p>
        </w:tc>
        <w:tc>
          <w:tcPr>
            <w:tcW w:w="1320" w:type="dxa"/>
            <w:vAlign w:val="bottom"/>
            <w:tcBorders>
              <w:top w:val="single" w:sz="8" w:color="CFF0FC"/>
            </w:tcBorders>
            <w:shd w:val="clear" w:color="auto" w:fill="CFF0FC"/>
          </w:tcPr>
          <w:p>
            <w:pPr>
              <w:spacing w:after="0"/>
              <w:rPr>
                <w:sz w:val="3"/>
                <w:szCs w:val="3"/>
                <w:color w:val="auto"/>
              </w:rPr>
            </w:pPr>
          </w:p>
        </w:tc>
        <w:tc>
          <w:tcPr>
            <w:tcW w:w="240" w:type="dxa"/>
            <w:vAlign w:val="bottom"/>
            <w:tcBorders>
              <w:top w:val="single" w:sz="8" w:color="CFF0FC"/>
            </w:tcBorders>
            <w:shd w:val="clear" w:color="auto" w:fill="CFF0FC"/>
          </w:tcPr>
          <w:p>
            <w:pPr>
              <w:spacing w:after="0"/>
              <w:rPr>
                <w:sz w:val="3"/>
                <w:szCs w:val="3"/>
                <w:color w:val="auto"/>
              </w:rPr>
            </w:pPr>
          </w:p>
        </w:tc>
        <w:tc>
          <w:tcPr>
            <w:tcW w:w="70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320" w:type="dxa"/>
            <w:vAlign w:val="bottom"/>
            <w:tcBorders>
              <w:top w:val="single" w:sz="8" w:color="CFF0FC"/>
            </w:tcBorders>
            <w:shd w:val="clear" w:color="auto" w:fill="CFF0FC"/>
          </w:tcPr>
          <w:p>
            <w:pPr>
              <w:spacing w:after="0"/>
              <w:rPr>
                <w:sz w:val="3"/>
                <w:szCs w:val="3"/>
                <w:color w:val="auto"/>
              </w:rPr>
            </w:pPr>
          </w:p>
        </w:tc>
        <w:tc>
          <w:tcPr>
            <w:tcW w:w="120" w:type="dxa"/>
            <w:vAlign w:val="bottom"/>
            <w:tcBorders>
              <w:top w:val="single" w:sz="8" w:color="CFF0FC"/>
            </w:tcBorders>
            <w:shd w:val="clear" w:color="auto" w:fill="CFF0FC"/>
          </w:tcPr>
          <w:p>
            <w:pPr>
              <w:spacing w:after="0"/>
              <w:rPr>
                <w:sz w:val="3"/>
                <w:szCs w:val="3"/>
                <w:color w:val="auto"/>
              </w:rPr>
            </w:pPr>
          </w:p>
        </w:tc>
        <w:tc>
          <w:tcPr>
            <w:tcW w:w="5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100" w:type="dxa"/>
            <w:vAlign w:val="bottom"/>
            <w:tcBorders>
              <w:top w:val="single" w:sz="8" w:color="CFF0FC"/>
              <w:left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760" w:type="dxa"/>
            <w:vAlign w:val="bottom"/>
            <w:tcBorders>
              <w:top w:val="single" w:sz="8" w:color="CFF0FC"/>
            </w:tcBorders>
            <w:shd w:val="clear" w:color="auto" w:fill="CFF0FC"/>
          </w:tcPr>
          <w:p>
            <w:pPr>
              <w:spacing w:after="0"/>
              <w:rPr>
                <w:sz w:val="3"/>
                <w:szCs w:val="3"/>
                <w:color w:val="auto"/>
              </w:rPr>
            </w:pPr>
          </w:p>
        </w:tc>
        <w:tc>
          <w:tcPr>
            <w:tcW w:w="600" w:type="dxa"/>
            <w:vAlign w:val="bottom"/>
            <w:tcBorders>
              <w:top w:val="single" w:sz="8" w:color="CFF0FC"/>
            </w:tcBorders>
            <w:shd w:val="clear" w:color="auto" w:fill="CFF0FC"/>
          </w:tcPr>
          <w:p>
            <w:pPr>
              <w:spacing w:after="0"/>
              <w:rPr>
                <w:sz w:val="3"/>
                <w:szCs w:val="3"/>
                <w:color w:val="auto"/>
              </w:rPr>
            </w:pPr>
          </w:p>
        </w:tc>
        <w:tc>
          <w:tcPr>
            <w:tcW w:w="1740" w:type="dxa"/>
            <w:vAlign w:val="bottom"/>
            <w:tcBorders>
              <w:top w:val="single" w:sz="8" w:color="CFF0FC"/>
            </w:tcBorders>
            <w:shd w:val="clear" w:color="auto" w:fill="CFF0FC"/>
          </w:tcPr>
          <w:p>
            <w:pPr>
              <w:spacing w:after="0"/>
              <w:rPr>
                <w:sz w:val="3"/>
                <w:szCs w:val="3"/>
                <w:color w:val="auto"/>
              </w:rPr>
            </w:pPr>
          </w:p>
        </w:tc>
      </w:tr>
      <w:tr>
        <w:trPr>
          <w:trHeight w:val="239"/>
        </w:trPr>
        <w:tc>
          <w:tcPr>
            <w:tcW w:w="5900" w:type="dxa"/>
            <w:vAlign w:val="bottom"/>
            <w:gridSpan w:val="26"/>
          </w:tcPr>
          <w:p>
            <w:pPr>
              <w:ind w:left="20"/>
              <w:spacing w:after="0"/>
              <w:rPr>
                <w:rFonts w:ascii="Arial" w:cs="Arial" w:eastAsia="Arial" w:hAnsi="Arial"/>
                <w:sz w:val="20"/>
                <w:szCs w:val="20"/>
                <w:color w:val="auto"/>
                <w:w w:val="99"/>
              </w:rPr>
            </w:pPr>
            <w:r>
              <w:rPr>
                <w:rFonts w:ascii="Arial" w:cs="Arial" w:eastAsia="Arial" w:hAnsi="Arial"/>
                <w:sz w:val="20"/>
                <w:szCs w:val="20"/>
                <w:color w:val="auto"/>
                <w:w w:val="99"/>
              </w:rPr>
              <w:t xml:space="preserve">10.20† </w:t>
            </w:r>
            <w:r>
              <w:rPr>
                <w:rFonts w:ascii="Arial" w:cs="Arial" w:eastAsia="Arial" w:hAnsi="Arial"/>
                <w:sz w:val="20"/>
                <w:szCs w:val="20"/>
                <w:color w:val="0000FF"/>
                <w:w w:val="99"/>
              </w:rPr>
              <w:t>F</w:t>
            </w:r>
            <w:hyperlink r:id="rId699">
              <w:r>
                <w:rPr>
                  <w:rFonts w:ascii="Arial" w:cs="Arial" w:eastAsia="Arial" w:hAnsi="Arial"/>
                  <w:sz w:val="20"/>
                  <w:szCs w:val="20"/>
                  <w:color w:val="0000FF"/>
                  <w:w w:val="99"/>
                </w:rPr>
                <w:t>orm of Indemnification Agreement of Willis North America</w:t>
              </w:r>
            </w:hyperlink>
          </w:p>
        </w:tc>
        <w:tc>
          <w:tcPr>
            <w:tcW w:w="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600" w:type="dxa"/>
            <w:vAlign w:val="bottom"/>
          </w:tcPr>
          <w:p>
            <w:pPr>
              <w:jc w:val="center"/>
              <w:spacing w:after="0"/>
              <w:rPr>
                <w:sz w:val="20"/>
                <w:szCs w:val="20"/>
                <w:color w:val="auto"/>
              </w:rPr>
            </w:pPr>
            <w:r>
              <w:rPr>
                <w:rFonts w:ascii="Arial" w:cs="Arial" w:eastAsia="Arial" w:hAnsi="Arial"/>
                <w:sz w:val="20"/>
                <w:szCs w:val="20"/>
                <w:color w:val="auto"/>
                <w:w w:val="92"/>
              </w:rPr>
              <w:t>10.2</w:t>
            </w:r>
          </w:p>
        </w:tc>
        <w:tc>
          <w:tcPr>
            <w:tcW w:w="1740" w:type="dxa"/>
            <w:vAlign w:val="bottom"/>
          </w:tcPr>
          <w:p>
            <w:pPr>
              <w:ind w:left="40"/>
              <w:spacing w:after="0"/>
              <w:rPr>
                <w:sz w:val="20"/>
                <w:szCs w:val="20"/>
                <w:color w:val="auto"/>
              </w:rPr>
            </w:pPr>
            <w:r>
              <w:rPr>
                <w:rFonts w:ascii="Arial" w:cs="Arial" w:eastAsia="Arial" w:hAnsi="Arial"/>
                <w:sz w:val="20"/>
                <w:szCs w:val="20"/>
                <w:color w:val="auto"/>
              </w:rPr>
              <w:t>January 5,</w:t>
            </w: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80"/>
        </w:trPr>
        <w:tc>
          <w:tcPr>
            <w:tcW w:w="660" w:type="dxa"/>
            <w:vAlign w:val="bottom"/>
          </w:tcPr>
          <w:p>
            <w:pPr>
              <w:spacing w:after="0"/>
              <w:rPr>
                <w:sz w:val="24"/>
                <w:szCs w:val="24"/>
                <w:color w:val="auto"/>
              </w:rPr>
            </w:pPr>
          </w:p>
        </w:tc>
        <w:tc>
          <w:tcPr>
            <w:tcW w:w="5240" w:type="dxa"/>
            <w:vAlign w:val="bottom"/>
            <w:gridSpan w:val="25"/>
          </w:tcPr>
          <w:p>
            <w:pPr>
              <w:spacing w:after="0"/>
              <w:rPr>
                <w:rFonts w:ascii="Arial" w:cs="Arial" w:eastAsia="Arial" w:hAnsi="Arial"/>
                <w:sz w:val="20"/>
                <w:szCs w:val="20"/>
                <w:color w:val="0000FF"/>
              </w:rPr>
            </w:pPr>
            <w:hyperlink r:id="rId699">
              <w:r>
                <w:rPr>
                  <w:rFonts w:ascii="Arial" w:cs="Arial" w:eastAsia="Arial" w:hAnsi="Arial"/>
                  <w:sz w:val="20"/>
                  <w:szCs w:val="20"/>
                  <w:color w:val="0000FF"/>
                </w:rPr>
                <w:t>Inc.</w:t>
              </w:r>
            </w:hyperlink>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2016</w:t>
            </w:r>
          </w:p>
        </w:tc>
      </w:tr>
      <w:tr>
        <w:trPr>
          <w:trHeight w:val="41"/>
        </w:trPr>
        <w:tc>
          <w:tcPr>
            <w:tcW w:w="660" w:type="dxa"/>
            <w:vAlign w:val="bottom"/>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39"/>
        </w:trPr>
        <w:tc>
          <w:tcPr>
            <w:tcW w:w="5900" w:type="dxa"/>
            <w:vAlign w:val="bottom"/>
            <w:gridSpan w:val="26"/>
            <w:shd w:val="clear" w:color="auto" w:fill="CFF0FC"/>
          </w:tcPr>
          <w:p>
            <w:pPr>
              <w:ind w:left="20"/>
              <w:spacing w:after="0"/>
              <w:rPr>
                <w:rFonts w:ascii="Arial" w:cs="Arial" w:eastAsia="Arial" w:hAnsi="Arial"/>
                <w:sz w:val="20"/>
                <w:szCs w:val="20"/>
                <w:color w:val="auto"/>
                <w:w w:val="92"/>
              </w:rPr>
            </w:pPr>
            <w:r>
              <w:rPr>
                <w:rFonts w:ascii="Arial" w:cs="Arial" w:eastAsia="Arial" w:hAnsi="Arial"/>
                <w:sz w:val="20"/>
                <w:szCs w:val="20"/>
                <w:color w:val="auto"/>
                <w:w w:val="92"/>
              </w:rPr>
              <w:t xml:space="preserve">10.21† </w:t>
            </w:r>
            <w:hyperlink r:id="rId700">
              <w:r>
                <w:rPr>
                  <w:rFonts w:ascii="Arial" w:cs="Arial" w:eastAsia="Arial" w:hAnsi="Arial"/>
                  <w:sz w:val="20"/>
                  <w:szCs w:val="20"/>
                  <w:color w:val="0000FF"/>
                  <w:w w:val="92"/>
                </w:rPr>
                <w:t>Offer Letter, dated as of August 26, 2021, by and between Willis</w:t>
              </w:r>
            </w:hyperlink>
          </w:p>
        </w:tc>
        <w:tc>
          <w:tcPr>
            <w:tcW w:w="20" w:type="dxa"/>
            <w:vAlign w:val="bottom"/>
            <w:shd w:val="clear" w:color="auto" w:fill="CFF0FC"/>
          </w:tcPr>
          <w:p>
            <w:pPr>
              <w:spacing w:after="0"/>
              <w:rPr>
                <w:sz w:val="20"/>
                <w:szCs w:val="20"/>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4"/>
              </w:rPr>
              <w:t>10-Q</w:t>
            </w:r>
          </w:p>
        </w:tc>
        <w:tc>
          <w:tcPr>
            <w:tcW w:w="6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2"/>
              </w:rPr>
              <w:t>10.4</w:t>
            </w:r>
          </w:p>
        </w:tc>
        <w:tc>
          <w:tcPr>
            <w:tcW w:w="1740" w:type="dxa"/>
            <w:vAlign w:val="bottom"/>
            <w:shd w:val="clear" w:color="auto" w:fill="CFF0FC"/>
          </w:tcPr>
          <w:p>
            <w:pPr>
              <w:ind w:left="40"/>
              <w:spacing w:after="0"/>
              <w:rPr>
                <w:sz w:val="20"/>
                <w:szCs w:val="20"/>
                <w:color w:val="auto"/>
              </w:rPr>
            </w:pPr>
            <w:r>
              <w:rPr>
                <w:rFonts w:ascii="Arial" w:cs="Arial" w:eastAsia="Arial" w:hAnsi="Arial"/>
                <w:sz w:val="20"/>
                <w:szCs w:val="20"/>
                <w:color w:val="auto"/>
              </w:rPr>
              <w:t>October 28,</w:t>
            </w:r>
          </w:p>
        </w:tc>
      </w:tr>
      <w:tr>
        <w:trPr>
          <w:trHeight w:val="321"/>
        </w:trPr>
        <w:tc>
          <w:tcPr>
            <w:tcW w:w="660" w:type="dxa"/>
            <w:vAlign w:val="bottom"/>
            <w:tcBorders>
              <w:top w:val="single" w:sz="8" w:color="CFF0FC"/>
              <w:bottom w:val="single" w:sz="8" w:color="CFF0FC"/>
            </w:tcBorders>
            <w:shd w:val="clear" w:color="auto" w:fill="CFF0FC"/>
          </w:tcPr>
          <w:p>
            <w:pPr>
              <w:spacing w:after="0"/>
              <w:rPr>
                <w:sz w:val="24"/>
                <w:szCs w:val="24"/>
                <w:color w:val="auto"/>
              </w:rPr>
            </w:pPr>
          </w:p>
        </w:tc>
        <w:tc>
          <w:tcPr>
            <w:tcW w:w="3720" w:type="dxa"/>
            <w:vAlign w:val="bottom"/>
            <w:tcBorders>
              <w:top w:val="single" w:sz="8" w:color="0000FF"/>
              <w:bottom w:val="single" w:sz="8" w:color="0000FF"/>
            </w:tcBorders>
            <w:gridSpan w:val="9"/>
            <w:shd w:val="clear" w:color="auto" w:fill="CFF0FC"/>
          </w:tcPr>
          <w:p>
            <w:pPr>
              <w:spacing w:after="0"/>
              <w:rPr>
                <w:rFonts w:ascii="Arial" w:cs="Arial" w:eastAsia="Arial" w:hAnsi="Arial"/>
                <w:sz w:val="20"/>
                <w:szCs w:val="20"/>
                <w:color w:val="0000FF"/>
                <w:w w:val="91"/>
              </w:rPr>
            </w:pPr>
            <w:hyperlink r:id="rId700">
              <w:r>
                <w:rPr>
                  <w:rFonts w:ascii="Arial" w:cs="Arial" w:eastAsia="Arial" w:hAnsi="Arial"/>
                  <w:sz w:val="20"/>
                  <w:szCs w:val="20"/>
                  <w:color w:val="0000FF"/>
                  <w:w w:val="91"/>
                </w:rPr>
                <w:t>Towers Watson US LLC and Andrew Krasner</w:t>
              </w:r>
            </w:hyperlink>
          </w:p>
        </w:tc>
        <w:tc>
          <w:tcPr>
            <w:tcW w:w="1520" w:type="dxa"/>
            <w:vAlign w:val="bottom"/>
            <w:tcBorders>
              <w:top w:val="single" w:sz="8" w:color="0000FF"/>
              <w:bottom w:val="single" w:sz="8" w:color="CFF0FC"/>
            </w:tcBorders>
            <w:gridSpan w:val="16"/>
            <w:shd w:val="clear" w:color="auto" w:fill="CFF0FC"/>
          </w:tcPr>
          <w:p>
            <w:pPr>
              <w:spacing w:after="0"/>
              <w:rPr>
                <w:sz w:val="24"/>
                <w:szCs w:val="24"/>
                <w:color w:val="auto"/>
              </w:rPr>
            </w:pPr>
          </w:p>
        </w:tc>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760" w:type="dxa"/>
            <w:vAlign w:val="bottom"/>
            <w:tcBorders>
              <w:top w:val="single" w:sz="8" w:color="CFF0FC"/>
              <w:bottom w:val="single" w:sz="8" w:color="CFF0FC"/>
            </w:tcBorders>
            <w:shd w:val="clear" w:color="auto" w:fill="CFF0FC"/>
          </w:tcPr>
          <w:p>
            <w:pPr>
              <w:spacing w:after="0"/>
              <w:rPr>
                <w:sz w:val="24"/>
                <w:szCs w:val="24"/>
                <w:color w:val="auto"/>
              </w:rPr>
            </w:pPr>
          </w:p>
        </w:tc>
        <w:tc>
          <w:tcPr>
            <w:tcW w:w="600" w:type="dxa"/>
            <w:vAlign w:val="bottom"/>
            <w:tcBorders>
              <w:top w:val="single" w:sz="8" w:color="CFF0FC"/>
              <w:bottom w:val="single" w:sz="8" w:color="CFF0FC"/>
            </w:tcBorders>
            <w:shd w:val="clear" w:color="auto" w:fill="CFF0FC"/>
          </w:tcPr>
          <w:p>
            <w:pPr>
              <w:spacing w:after="0"/>
              <w:rPr>
                <w:sz w:val="24"/>
                <w:szCs w:val="24"/>
                <w:color w:val="auto"/>
              </w:rPr>
            </w:pPr>
          </w:p>
        </w:tc>
        <w:tc>
          <w:tcPr>
            <w:tcW w:w="174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2021</w:t>
            </w:r>
          </w:p>
        </w:tc>
      </w:tr>
      <w:tr>
        <w:trPr>
          <w:trHeight w:val="239"/>
        </w:trPr>
        <w:tc>
          <w:tcPr>
            <w:tcW w:w="5900" w:type="dxa"/>
            <w:vAlign w:val="bottom"/>
            <w:gridSpan w:val="26"/>
          </w:tcPr>
          <w:p>
            <w:pPr>
              <w:ind w:left="20"/>
              <w:spacing w:after="0"/>
              <w:rPr>
                <w:rFonts w:ascii="Arial" w:cs="Arial" w:eastAsia="Arial" w:hAnsi="Arial"/>
                <w:sz w:val="20"/>
                <w:szCs w:val="20"/>
                <w:color w:val="auto"/>
                <w:w w:val="93"/>
              </w:rPr>
            </w:pPr>
            <w:r>
              <w:rPr>
                <w:rFonts w:ascii="Arial" w:cs="Arial" w:eastAsia="Arial" w:hAnsi="Arial"/>
                <w:sz w:val="20"/>
                <w:szCs w:val="20"/>
                <w:color w:val="auto"/>
                <w:w w:val="93"/>
              </w:rPr>
              <w:t xml:space="preserve">10.22† </w:t>
            </w:r>
            <w:hyperlink r:id="rId701">
              <w:r>
                <w:rPr>
                  <w:rFonts w:ascii="Arial" w:cs="Arial" w:eastAsia="Arial" w:hAnsi="Arial"/>
                  <w:sz w:val="20"/>
                  <w:szCs w:val="20"/>
                  <w:color w:val="0000FF"/>
                  <w:w w:val="93"/>
                </w:rPr>
                <w:t>Time-Based Restricted Share Unit Award Agreement, dated as</w:t>
              </w:r>
            </w:hyperlink>
          </w:p>
        </w:tc>
        <w:tc>
          <w:tcPr>
            <w:tcW w:w="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600" w:type="dxa"/>
            <w:vAlign w:val="bottom"/>
          </w:tcPr>
          <w:p>
            <w:pPr>
              <w:jc w:val="center"/>
              <w:spacing w:after="0"/>
              <w:rPr>
                <w:sz w:val="20"/>
                <w:szCs w:val="20"/>
                <w:color w:val="auto"/>
              </w:rPr>
            </w:pPr>
            <w:r>
              <w:rPr>
                <w:rFonts w:ascii="Arial" w:cs="Arial" w:eastAsia="Arial" w:hAnsi="Arial"/>
                <w:sz w:val="20"/>
                <w:szCs w:val="20"/>
                <w:color w:val="auto"/>
                <w:w w:val="92"/>
              </w:rPr>
              <w:t>10.5</w:t>
            </w:r>
          </w:p>
        </w:tc>
        <w:tc>
          <w:tcPr>
            <w:tcW w:w="1740" w:type="dxa"/>
            <w:vAlign w:val="bottom"/>
          </w:tcPr>
          <w:p>
            <w:pPr>
              <w:ind w:left="40"/>
              <w:spacing w:after="0"/>
              <w:rPr>
                <w:sz w:val="20"/>
                <w:szCs w:val="20"/>
                <w:color w:val="auto"/>
              </w:rPr>
            </w:pPr>
            <w:r>
              <w:rPr>
                <w:rFonts w:ascii="Arial" w:cs="Arial" w:eastAsia="Arial" w:hAnsi="Arial"/>
                <w:sz w:val="20"/>
                <w:szCs w:val="20"/>
                <w:color w:val="auto"/>
              </w:rPr>
              <w:t>October 28,</w:t>
            </w:r>
          </w:p>
        </w:tc>
      </w:tr>
      <w:tr>
        <w:trPr>
          <w:trHeight w:val="280"/>
        </w:trPr>
        <w:tc>
          <w:tcPr>
            <w:tcW w:w="660" w:type="dxa"/>
            <w:vAlign w:val="bottom"/>
          </w:tcPr>
          <w:p>
            <w:pPr>
              <w:spacing w:after="0"/>
              <w:rPr>
                <w:sz w:val="24"/>
                <w:szCs w:val="24"/>
                <w:color w:val="auto"/>
              </w:rPr>
            </w:pPr>
          </w:p>
        </w:tc>
        <w:tc>
          <w:tcPr>
            <w:tcW w:w="4980" w:type="dxa"/>
            <w:vAlign w:val="bottom"/>
            <w:tcBorders>
              <w:top w:val="single" w:sz="8" w:color="0000FF"/>
              <w:bottom w:val="single" w:sz="8" w:color="0000FF"/>
            </w:tcBorders>
            <w:gridSpan w:val="20"/>
          </w:tcPr>
          <w:p>
            <w:pPr>
              <w:spacing w:after="0"/>
              <w:rPr>
                <w:rFonts w:ascii="Arial" w:cs="Arial" w:eastAsia="Arial" w:hAnsi="Arial"/>
                <w:sz w:val="20"/>
                <w:szCs w:val="20"/>
                <w:color w:val="0000FF"/>
                <w:w w:val="91"/>
              </w:rPr>
            </w:pPr>
            <w:hyperlink r:id="rId701">
              <w:r>
                <w:rPr>
                  <w:rFonts w:ascii="Arial" w:cs="Arial" w:eastAsia="Arial" w:hAnsi="Arial"/>
                  <w:sz w:val="20"/>
                  <w:szCs w:val="20"/>
                  <w:color w:val="0000FF"/>
                  <w:w w:val="91"/>
                </w:rPr>
                <w:t>of September 7, 2021, by and between Willis Towers Watson</w:t>
              </w:r>
            </w:hyperlink>
          </w:p>
        </w:tc>
        <w:tc>
          <w:tcPr>
            <w:tcW w:w="100" w:type="dxa"/>
            <w:vAlign w:val="bottom"/>
            <w:tcBorders>
              <w:top w:val="single" w:sz="8" w:color="0000FF"/>
            </w:tcBorders>
          </w:tcPr>
          <w:p>
            <w:pPr>
              <w:spacing w:after="0"/>
              <w:rPr>
                <w:sz w:val="24"/>
                <w:szCs w:val="24"/>
                <w:color w:val="auto"/>
              </w:rPr>
            </w:pPr>
          </w:p>
        </w:tc>
        <w:tc>
          <w:tcPr>
            <w:tcW w:w="1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2021</w:t>
            </w:r>
          </w:p>
        </w:tc>
      </w:tr>
      <w:tr>
        <w:trPr>
          <w:trHeight w:val="280"/>
        </w:trPr>
        <w:tc>
          <w:tcPr>
            <w:tcW w:w="660" w:type="dxa"/>
            <w:vAlign w:val="bottom"/>
          </w:tcPr>
          <w:p>
            <w:pPr>
              <w:spacing w:after="0"/>
              <w:rPr>
                <w:sz w:val="24"/>
                <w:szCs w:val="24"/>
                <w:color w:val="auto"/>
              </w:rPr>
            </w:pPr>
          </w:p>
        </w:tc>
        <w:tc>
          <w:tcPr>
            <w:tcW w:w="5240" w:type="dxa"/>
            <w:vAlign w:val="bottom"/>
            <w:gridSpan w:val="25"/>
          </w:tcPr>
          <w:p>
            <w:pPr>
              <w:spacing w:after="0"/>
              <w:rPr>
                <w:rFonts w:ascii="Arial" w:cs="Arial" w:eastAsia="Arial" w:hAnsi="Arial"/>
                <w:sz w:val="20"/>
                <w:szCs w:val="20"/>
                <w:color w:val="0000FF"/>
              </w:rPr>
            </w:pPr>
            <w:hyperlink r:id="rId701">
              <w:r>
                <w:rPr>
                  <w:rFonts w:ascii="Arial" w:cs="Arial" w:eastAsia="Arial" w:hAnsi="Arial"/>
                  <w:sz w:val="20"/>
                  <w:szCs w:val="20"/>
                  <w:color w:val="0000FF"/>
                </w:rPr>
                <w:t>Public Limited Company and Andrew Krasner</w:t>
              </w:r>
            </w:hyperlink>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1"/>
        </w:trPr>
        <w:tc>
          <w:tcPr>
            <w:tcW w:w="660" w:type="dxa"/>
            <w:vAlign w:val="bottom"/>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3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7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39"/>
        </w:trPr>
        <w:tc>
          <w:tcPr>
            <w:tcW w:w="5900" w:type="dxa"/>
            <w:vAlign w:val="bottom"/>
            <w:gridSpan w:val="26"/>
            <w:shd w:val="clear" w:color="auto" w:fill="CFF0FC"/>
          </w:tcPr>
          <w:p>
            <w:pPr>
              <w:ind w:left="20"/>
              <w:spacing w:after="0"/>
              <w:rPr>
                <w:rFonts w:ascii="Arial" w:cs="Arial" w:eastAsia="Arial" w:hAnsi="Arial"/>
                <w:sz w:val="20"/>
                <w:szCs w:val="20"/>
                <w:color w:val="auto"/>
                <w:w w:val="92"/>
              </w:rPr>
            </w:pPr>
            <w:r>
              <w:rPr>
                <w:rFonts w:ascii="Arial" w:cs="Arial" w:eastAsia="Arial" w:hAnsi="Arial"/>
                <w:sz w:val="20"/>
                <w:szCs w:val="20"/>
                <w:color w:val="auto"/>
                <w:w w:val="92"/>
              </w:rPr>
              <w:t xml:space="preserve">10.23† </w:t>
            </w:r>
            <w:hyperlink r:id="rId702">
              <w:r>
                <w:rPr>
                  <w:rFonts w:ascii="Arial" w:cs="Arial" w:eastAsia="Arial" w:hAnsi="Arial"/>
                  <w:sz w:val="20"/>
                  <w:szCs w:val="20"/>
                  <w:color w:val="0000FF"/>
                  <w:w w:val="92"/>
                </w:rPr>
                <w:t>Employment Agreement, dated as of February 25, 2015, by and</w:t>
              </w:r>
            </w:hyperlink>
          </w:p>
        </w:tc>
        <w:tc>
          <w:tcPr>
            <w:tcW w:w="20" w:type="dxa"/>
            <w:vAlign w:val="bottom"/>
            <w:shd w:val="clear" w:color="auto" w:fill="CFF0FC"/>
          </w:tcPr>
          <w:p>
            <w:pPr>
              <w:spacing w:after="0"/>
              <w:rPr>
                <w:sz w:val="20"/>
                <w:szCs w:val="20"/>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9"/>
              </w:rPr>
              <w:t>10-K</w:t>
            </w:r>
          </w:p>
        </w:tc>
        <w:tc>
          <w:tcPr>
            <w:tcW w:w="6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10.45</w:t>
            </w:r>
          </w:p>
        </w:tc>
        <w:tc>
          <w:tcPr>
            <w:tcW w:w="1740" w:type="dxa"/>
            <w:vAlign w:val="bottom"/>
            <w:shd w:val="clear" w:color="auto" w:fill="CFF0FC"/>
          </w:tcPr>
          <w:p>
            <w:pPr>
              <w:ind w:left="40"/>
              <w:spacing w:after="0"/>
              <w:rPr>
                <w:sz w:val="20"/>
                <w:szCs w:val="20"/>
                <w:color w:val="auto"/>
              </w:rPr>
            </w:pPr>
            <w:r>
              <w:rPr>
                <w:rFonts w:ascii="Arial" w:cs="Arial" w:eastAsia="Arial" w:hAnsi="Arial"/>
                <w:sz w:val="20"/>
                <w:szCs w:val="20"/>
                <w:color w:val="auto"/>
              </w:rPr>
              <w:t>February</w:t>
            </w:r>
          </w:p>
        </w:tc>
      </w:tr>
      <w:tr>
        <w:trPr>
          <w:trHeight w:val="280"/>
        </w:trPr>
        <w:tc>
          <w:tcPr>
            <w:tcW w:w="660" w:type="dxa"/>
            <w:vAlign w:val="bottom"/>
            <w:tcBorders>
              <w:top w:val="single" w:sz="8" w:color="CFF0FC"/>
              <w:bottom w:val="single" w:sz="8" w:color="CFF0FC"/>
            </w:tcBorders>
            <w:shd w:val="clear" w:color="auto" w:fill="CFF0FC"/>
          </w:tcPr>
          <w:p>
            <w:pPr>
              <w:spacing w:after="0"/>
              <w:rPr>
                <w:sz w:val="24"/>
                <w:szCs w:val="24"/>
                <w:color w:val="auto"/>
              </w:rPr>
            </w:pPr>
          </w:p>
        </w:tc>
        <w:tc>
          <w:tcPr>
            <w:tcW w:w="4980" w:type="dxa"/>
            <w:vAlign w:val="bottom"/>
            <w:tcBorders>
              <w:top w:val="single" w:sz="8" w:color="0000FF"/>
              <w:bottom w:val="single" w:sz="8" w:color="0000FF"/>
            </w:tcBorders>
            <w:gridSpan w:val="20"/>
            <w:shd w:val="clear" w:color="auto" w:fill="CFF0FC"/>
          </w:tcPr>
          <w:p>
            <w:pPr>
              <w:spacing w:after="0"/>
              <w:rPr>
                <w:rFonts w:ascii="Arial" w:cs="Arial" w:eastAsia="Arial" w:hAnsi="Arial"/>
                <w:sz w:val="20"/>
                <w:szCs w:val="20"/>
                <w:color w:val="0000FF"/>
                <w:w w:val="92"/>
              </w:rPr>
            </w:pPr>
            <w:hyperlink r:id="rId702">
              <w:r>
                <w:rPr>
                  <w:rFonts w:ascii="Arial" w:cs="Arial" w:eastAsia="Arial" w:hAnsi="Arial"/>
                  <w:sz w:val="20"/>
                  <w:szCs w:val="20"/>
                  <w:color w:val="0000FF"/>
                  <w:w w:val="92"/>
                </w:rPr>
                <w:t>between Willis Group Holdings Public Limited Company and</w:t>
              </w:r>
            </w:hyperlink>
          </w:p>
        </w:tc>
        <w:tc>
          <w:tcPr>
            <w:tcW w:w="160" w:type="dxa"/>
            <w:vAlign w:val="bottom"/>
            <w:tcBorders>
              <w:top w:val="single" w:sz="8" w:color="0000FF"/>
              <w:left w:val="single" w:sz="8" w:color="CFF0FC"/>
              <w:bottom w:val="single" w:sz="8" w:color="CFF0FC"/>
            </w:tcBorders>
            <w:gridSpan w:val="3"/>
            <w:shd w:val="clear" w:color="auto" w:fill="CFF0FC"/>
          </w:tcPr>
          <w:p>
            <w:pPr>
              <w:spacing w:after="0"/>
              <w:rPr>
                <w:sz w:val="24"/>
                <w:szCs w:val="24"/>
                <w:color w:val="auto"/>
              </w:rPr>
            </w:pPr>
          </w:p>
        </w:tc>
        <w:tc>
          <w:tcPr>
            <w:tcW w:w="100" w:type="dxa"/>
            <w:vAlign w:val="bottom"/>
            <w:tcBorders>
              <w:top w:val="single" w:sz="8" w:color="CFF0FC"/>
              <w:bottom w:val="single" w:sz="8" w:color="CFF0FC"/>
            </w:tcBorders>
            <w:gridSpan w:val="2"/>
            <w:shd w:val="clear" w:color="auto" w:fill="CFF0FC"/>
          </w:tcPr>
          <w:p>
            <w:pPr>
              <w:spacing w:after="0"/>
              <w:rPr>
                <w:sz w:val="24"/>
                <w:szCs w:val="24"/>
                <w:color w:val="auto"/>
              </w:rPr>
            </w:pPr>
          </w:p>
        </w:tc>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760" w:type="dxa"/>
            <w:vAlign w:val="bottom"/>
            <w:tcBorders>
              <w:top w:val="single" w:sz="8" w:color="CFF0FC"/>
              <w:bottom w:val="single" w:sz="8" w:color="CFF0FC"/>
            </w:tcBorders>
            <w:shd w:val="clear" w:color="auto" w:fill="CFF0FC"/>
          </w:tcPr>
          <w:p>
            <w:pPr>
              <w:spacing w:after="0"/>
              <w:rPr>
                <w:sz w:val="24"/>
                <w:szCs w:val="24"/>
                <w:color w:val="auto"/>
              </w:rPr>
            </w:pPr>
          </w:p>
        </w:tc>
        <w:tc>
          <w:tcPr>
            <w:tcW w:w="600" w:type="dxa"/>
            <w:vAlign w:val="bottom"/>
            <w:tcBorders>
              <w:top w:val="single" w:sz="8" w:color="CFF0FC"/>
              <w:bottom w:val="single" w:sz="8" w:color="CFF0FC"/>
            </w:tcBorders>
            <w:shd w:val="clear" w:color="auto" w:fill="CFF0FC"/>
          </w:tcPr>
          <w:p>
            <w:pPr>
              <w:spacing w:after="0"/>
              <w:rPr>
                <w:sz w:val="24"/>
                <w:szCs w:val="24"/>
                <w:color w:val="auto"/>
              </w:rPr>
            </w:pPr>
          </w:p>
        </w:tc>
        <w:tc>
          <w:tcPr>
            <w:tcW w:w="174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24, 2022</w:t>
            </w:r>
          </w:p>
        </w:tc>
      </w:tr>
      <w:tr>
        <w:trPr>
          <w:trHeight w:val="280"/>
        </w:trPr>
        <w:tc>
          <w:tcPr>
            <w:tcW w:w="660" w:type="dxa"/>
            <w:vAlign w:val="bottom"/>
            <w:shd w:val="clear" w:color="auto" w:fill="CFF0FC"/>
          </w:tcPr>
          <w:p>
            <w:pPr>
              <w:spacing w:after="0"/>
              <w:rPr>
                <w:sz w:val="24"/>
                <w:szCs w:val="24"/>
                <w:color w:val="auto"/>
              </w:rPr>
            </w:pPr>
          </w:p>
        </w:tc>
        <w:tc>
          <w:tcPr>
            <w:tcW w:w="5240" w:type="dxa"/>
            <w:vAlign w:val="bottom"/>
            <w:gridSpan w:val="25"/>
            <w:shd w:val="clear" w:color="auto" w:fill="CFF0FC"/>
          </w:tcPr>
          <w:p>
            <w:pPr>
              <w:spacing w:after="0"/>
              <w:rPr>
                <w:rFonts w:ascii="Arial" w:cs="Arial" w:eastAsia="Arial" w:hAnsi="Arial"/>
                <w:sz w:val="20"/>
                <w:szCs w:val="20"/>
                <w:color w:val="0000FF"/>
              </w:rPr>
            </w:pPr>
            <w:hyperlink r:id="rId702">
              <w:r>
                <w:rPr>
                  <w:rFonts w:ascii="Arial" w:cs="Arial" w:eastAsia="Arial" w:hAnsi="Arial"/>
                  <w:sz w:val="20"/>
                  <w:szCs w:val="20"/>
                  <w:color w:val="0000FF"/>
                </w:rPr>
                <w:t>Matthew Furman</w:t>
              </w:r>
            </w:hyperlink>
          </w:p>
        </w:tc>
        <w:tc>
          <w:tcPr>
            <w:tcW w:w="2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740" w:type="dxa"/>
            <w:vAlign w:val="bottom"/>
            <w:shd w:val="clear" w:color="auto" w:fill="CFF0FC"/>
          </w:tcPr>
          <w:p>
            <w:pPr>
              <w:spacing w:after="0"/>
              <w:rPr>
                <w:sz w:val="24"/>
                <w:szCs w:val="24"/>
                <w:color w:val="auto"/>
              </w:rPr>
            </w:pPr>
          </w:p>
        </w:tc>
      </w:tr>
      <w:tr>
        <w:trPr>
          <w:trHeight w:val="41"/>
        </w:trPr>
        <w:tc>
          <w:tcPr>
            <w:tcW w:w="660" w:type="dxa"/>
            <w:vAlign w:val="bottom"/>
            <w:tcBorders>
              <w:top w:val="single" w:sz="8" w:color="CFF0FC"/>
            </w:tcBorders>
            <w:shd w:val="clear" w:color="auto" w:fill="CFF0FC"/>
          </w:tcPr>
          <w:p>
            <w:pPr>
              <w:spacing w:after="0"/>
              <w:rPr>
                <w:sz w:val="3"/>
                <w:szCs w:val="3"/>
                <w:color w:val="auto"/>
              </w:rPr>
            </w:pPr>
          </w:p>
        </w:tc>
        <w:tc>
          <w:tcPr>
            <w:tcW w:w="120" w:type="dxa"/>
            <w:vAlign w:val="bottom"/>
            <w:tcBorders>
              <w:top w:val="single" w:sz="8" w:color="0000FF"/>
            </w:tcBorders>
            <w:shd w:val="clear" w:color="auto" w:fill="CFF0FC"/>
          </w:tcPr>
          <w:p>
            <w:pPr>
              <w:spacing w:after="0"/>
              <w:rPr>
                <w:sz w:val="3"/>
                <w:szCs w:val="3"/>
                <w:color w:val="auto"/>
              </w:rPr>
            </w:pPr>
          </w:p>
        </w:tc>
        <w:tc>
          <w:tcPr>
            <w:tcW w:w="180" w:type="dxa"/>
            <w:vAlign w:val="bottom"/>
            <w:tcBorders>
              <w:top w:val="single" w:sz="8" w:color="0000FF"/>
            </w:tcBorders>
            <w:shd w:val="clear" w:color="auto" w:fill="CFF0FC"/>
          </w:tcPr>
          <w:p>
            <w:pPr>
              <w:spacing w:after="0"/>
              <w:rPr>
                <w:sz w:val="3"/>
                <w:szCs w:val="3"/>
                <w:color w:val="auto"/>
              </w:rPr>
            </w:pPr>
          </w:p>
        </w:tc>
        <w:tc>
          <w:tcPr>
            <w:tcW w:w="60" w:type="dxa"/>
            <w:vAlign w:val="bottom"/>
            <w:tcBorders>
              <w:top w:val="single" w:sz="8" w:color="0000FF"/>
            </w:tcBorders>
            <w:shd w:val="clear" w:color="auto" w:fill="CFF0FC"/>
          </w:tcPr>
          <w:p>
            <w:pPr>
              <w:spacing w:after="0"/>
              <w:rPr>
                <w:sz w:val="3"/>
                <w:szCs w:val="3"/>
                <w:color w:val="auto"/>
              </w:rPr>
            </w:pPr>
          </w:p>
        </w:tc>
        <w:tc>
          <w:tcPr>
            <w:tcW w:w="180" w:type="dxa"/>
            <w:vAlign w:val="bottom"/>
            <w:tcBorders>
              <w:top w:val="single" w:sz="8" w:color="0000FF"/>
            </w:tcBorders>
            <w:shd w:val="clear" w:color="auto" w:fill="CFF0FC"/>
          </w:tcPr>
          <w:p>
            <w:pPr>
              <w:spacing w:after="0"/>
              <w:rPr>
                <w:sz w:val="3"/>
                <w:szCs w:val="3"/>
                <w:color w:val="auto"/>
              </w:rPr>
            </w:pPr>
          </w:p>
        </w:tc>
        <w:tc>
          <w:tcPr>
            <w:tcW w:w="840" w:type="dxa"/>
            <w:vAlign w:val="bottom"/>
            <w:tcBorders>
              <w:top w:val="single" w:sz="8" w:color="0000FF"/>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1320" w:type="dxa"/>
            <w:vAlign w:val="bottom"/>
            <w:tcBorders>
              <w:top w:val="single" w:sz="8" w:color="CFF0FC"/>
            </w:tcBorders>
            <w:shd w:val="clear" w:color="auto" w:fill="CFF0FC"/>
          </w:tcPr>
          <w:p>
            <w:pPr>
              <w:spacing w:after="0"/>
              <w:rPr>
                <w:sz w:val="3"/>
                <w:szCs w:val="3"/>
                <w:color w:val="auto"/>
              </w:rPr>
            </w:pPr>
          </w:p>
        </w:tc>
        <w:tc>
          <w:tcPr>
            <w:tcW w:w="240" w:type="dxa"/>
            <w:vAlign w:val="bottom"/>
            <w:tcBorders>
              <w:top w:val="single" w:sz="8" w:color="CFF0FC"/>
            </w:tcBorders>
            <w:shd w:val="clear" w:color="auto" w:fill="CFF0FC"/>
          </w:tcPr>
          <w:p>
            <w:pPr>
              <w:spacing w:after="0"/>
              <w:rPr>
                <w:sz w:val="3"/>
                <w:szCs w:val="3"/>
                <w:color w:val="auto"/>
              </w:rPr>
            </w:pPr>
          </w:p>
        </w:tc>
        <w:tc>
          <w:tcPr>
            <w:tcW w:w="70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320" w:type="dxa"/>
            <w:vAlign w:val="bottom"/>
            <w:tcBorders>
              <w:top w:val="single" w:sz="8" w:color="CFF0FC"/>
            </w:tcBorders>
            <w:shd w:val="clear" w:color="auto" w:fill="CFF0FC"/>
          </w:tcPr>
          <w:p>
            <w:pPr>
              <w:spacing w:after="0"/>
              <w:rPr>
                <w:sz w:val="3"/>
                <w:szCs w:val="3"/>
                <w:color w:val="auto"/>
              </w:rPr>
            </w:pPr>
          </w:p>
        </w:tc>
        <w:tc>
          <w:tcPr>
            <w:tcW w:w="120" w:type="dxa"/>
            <w:vAlign w:val="bottom"/>
            <w:tcBorders>
              <w:top w:val="single" w:sz="8" w:color="CFF0FC"/>
            </w:tcBorders>
            <w:shd w:val="clear" w:color="auto" w:fill="CFF0FC"/>
          </w:tcPr>
          <w:p>
            <w:pPr>
              <w:spacing w:after="0"/>
              <w:rPr>
                <w:sz w:val="3"/>
                <w:szCs w:val="3"/>
                <w:color w:val="auto"/>
              </w:rPr>
            </w:pPr>
          </w:p>
        </w:tc>
        <w:tc>
          <w:tcPr>
            <w:tcW w:w="5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100" w:type="dxa"/>
            <w:vAlign w:val="bottom"/>
            <w:tcBorders>
              <w:top w:val="single" w:sz="8" w:color="CFF0FC"/>
              <w:left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760" w:type="dxa"/>
            <w:vAlign w:val="bottom"/>
            <w:tcBorders>
              <w:top w:val="single" w:sz="8" w:color="CFF0FC"/>
            </w:tcBorders>
            <w:shd w:val="clear" w:color="auto" w:fill="CFF0FC"/>
          </w:tcPr>
          <w:p>
            <w:pPr>
              <w:spacing w:after="0"/>
              <w:rPr>
                <w:sz w:val="3"/>
                <w:szCs w:val="3"/>
                <w:color w:val="auto"/>
              </w:rPr>
            </w:pPr>
          </w:p>
        </w:tc>
        <w:tc>
          <w:tcPr>
            <w:tcW w:w="600" w:type="dxa"/>
            <w:vAlign w:val="bottom"/>
            <w:tcBorders>
              <w:top w:val="single" w:sz="8" w:color="CFF0FC"/>
            </w:tcBorders>
            <w:shd w:val="clear" w:color="auto" w:fill="CFF0FC"/>
          </w:tcPr>
          <w:p>
            <w:pPr>
              <w:spacing w:after="0"/>
              <w:rPr>
                <w:sz w:val="3"/>
                <w:szCs w:val="3"/>
                <w:color w:val="auto"/>
              </w:rPr>
            </w:pPr>
          </w:p>
        </w:tc>
        <w:tc>
          <w:tcPr>
            <w:tcW w:w="1740" w:type="dxa"/>
            <w:vAlign w:val="bottom"/>
            <w:tcBorders>
              <w:top w:val="single" w:sz="8" w:color="CFF0FC"/>
            </w:tcBorders>
            <w:shd w:val="clear" w:color="auto" w:fill="CFF0FC"/>
          </w:tcPr>
          <w:p>
            <w:pPr>
              <w:spacing w:after="0"/>
              <w:rPr>
                <w:sz w:val="3"/>
                <w:szCs w:val="3"/>
                <w:color w:val="auto"/>
              </w:rPr>
            </w:pPr>
          </w:p>
        </w:tc>
      </w:tr>
      <w:tr>
        <w:trPr>
          <w:trHeight w:val="239"/>
        </w:trPr>
        <w:tc>
          <w:tcPr>
            <w:tcW w:w="5900" w:type="dxa"/>
            <w:vAlign w:val="bottom"/>
            <w:gridSpan w:val="26"/>
          </w:tcPr>
          <w:p>
            <w:pPr>
              <w:ind w:left="20"/>
              <w:spacing w:after="0"/>
              <w:rPr>
                <w:rFonts w:ascii="Arial" w:cs="Arial" w:eastAsia="Arial" w:hAnsi="Arial"/>
                <w:sz w:val="20"/>
                <w:szCs w:val="20"/>
                <w:color w:val="auto"/>
                <w:w w:val="99"/>
              </w:rPr>
            </w:pPr>
            <w:r>
              <w:rPr>
                <w:rFonts w:ascii="Arial" w:cs="Arial" w:eastAsia="Arial" w:hAnsi="Arial"/>
                <w:sz w:val="20"/>
                <w:szCs w:val="20"/>
                <w:color w:val="auto"/>
                <w:w w:val="99"/>
              </w:rPr>
              <w:t xml:space="preserve">10.24† </w:t>
            </w:r>
            <w:hyperlink r:id="rId703">
              <w:r>
                <w:rPr>
                  <w:rFonts w:ascii="Arial" w:cs="Arial" w:eastAsia="Arial" w:hAnsi="Arial"/>
                  <w:sz w:val="20"/>
                  <w:szCs w:val="20"/>
                  <w:color w:val="0000FF"/>
                  <w:w w:val="99"/>
                </w:rPr>
                <w:t>Employment Agreement, dated as of May 15, 2024, by and</w:t>
              </w:r>
            </w:hyperlink>
          </w:p>
        </w:tc>
        <w:tc>
          <w:tcPr>
            <w:tcW w:w="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10-K</w:t>
            </w:r>
          </w:p>
        </w:tc>
        <w:tc>
          <w:tcPr>
            <w:tcW w:w="600" w:type="dxa"/>
            <w:vAlign w:val="bottom"/>
          </w:tcPr>
          <w:p>
            <w:pPr>
              <w:jc w:val="center"/>
              <w:spacing w:after="0"/>
              <w:rPr>
                <w:sz w:val="20"/>
                <w:szCs w:val="20"/>
                <w:color w:val="auto"/>
              </w:rPr>
            </w:pPr>
            <w:r>
              <w:rPr>
                <w:rFonts w:ascii="Arial" w:cs="Arial" w:eastAsia="Arial" w:hAnsi="Arial"/>
                <w:sz w:val="20"/>
                <w:szCs w:val="20"/>
                <w:color w:val="auto"/>
                <w:w w:val="87"/>
              </w:rPr>
              <w:t>10.21</w:t>
            </w:r>
          </w:p>
        </w:tc>
        <w:tc>
          <w:tcPr>
            <w:tcW w:w="1740" w:type="dxa"/>
            <w:vAlign w:val="bottom"/>
          </w:tcPr>
          <w:p>
            <w:pPr>
              <w:ind w:left="40"/>
              <w:spacing w:after="0"/>
              <w:rPr>
                <w:sz w:val="20"/>
                <w:szCs w:val="20"/>
                <w:color w:val="auto"/>
              </w:rPr>
            </w:pPr>
            <w:r>
              <w:rPr>
                <w:rFonts w:ascii="Arial" w:cs="Arial" w:eastAsia="Arial" w:hAnsi="Arial"/>
                <w:sz w:val="20"/>
                <w:szCs w:val="20"/>
                <w:color w:val="auto"/>
              </w:rPr>
              <w:t>February</w:t>
            </w:r>
          </w:p>
        </w:tc>
      </w:tr>
      <w:tr>
        <w:trPr>
          <w:trHeight w:val="20"/>
        </w:trPr>
        <w:tc>
          <w:tcPr>
            <w:tcW w:w="66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3520" w:type="dxa"/>
            <w:vAlign w:val="bottom"/>
            <w:gridSpan w:val="7"/>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80"/>
        </w:trPr>
        <w:tc>
          <w:tcPr>
            <w:tcW w:w="660" w:type="dxa"/>
            <w:vAlign w:val="bottom"/>
          </w:tcPr>
          <w:p>
            <w:pPr>
              <w:spacing w:after="0"/>
              <w:rPr>
                <w:sz w:val="24"/>
                <w:szCs w:val="24"/>
                <w:color w:val="auto"/>
              </w:rPr>
            </w:pPr>
          </w:p>
        </w:tc>
        <w:tc>
          <w:tcPr>
            <w:tcW w:w="4860" w:type="dxa"/>
            <w:vAlign w:val="bottom"/>
            <w:tcBorders>
              <w:bottom w:val="single" w:sz="8" w:color="0000FF"/>
            </w:tcBorders>
            <w:gridSpan w:val="17"/>
          </w:tcPr>
          <w:p>
            <w:pPr>
              <w:spacing w:after="0"/>
              <w:rPr>
                <w:rFonts w:ascii="Arial" w:cs="Arial" w:eastAsia="Arial" w:hAnsi="Arial"/>
                <w:sz w:val="20"/>
                <w:szCs w:val="20"/>
                <w:color w:val="0000FF"/>
                <w:w w:val="93"/>
              </w:rPr>
            </w:pPr>
            <w:hyperlink r:id="rId703">
              <w:r>
                <w:rPr>
                  <w:rFonts w:ascii="Arial" w:cs="Arial" w:eastAsia="Arial" w:hAnsi="Arial"/>
                  <w:sz w:val="20"/>
                  <w:szCs w:val="20"/>
                  <w:color w:val="0000FF"/>
                  <w:w w:val="93"/>
                </w:rPr>
                <w:t>between Willis Group Services Limited Company and Lucy</w:t>
              </w:r>
            </w:hyperlink>
          </w:p>
        </w:tc>
        <w:tc>
          <w:tcPr>
            <w:tcW w:w="3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25, 2025</w:t>
            </w:r>
          </w:p>
        </w:tc>
      </w:tr>
      <w:tr>
        <w:trPr>
          <w:trHeight w:val="280"/>
        </w:trPr>
        <w:tc>
          <w:tcPr>
            <w:tcW w:w="660" w:type="dxa"/>
            <w:vAlign w:val="bottom"/>
          </w:tcPr>
          <w:p>
            <w:pPr>
              <w:spacing w:after="0"/>
              <w:rPr>
                <w:sz w:val="24"/>
                <w:szCs w:val="24"/>
                <w:color w:val="auto"/>
              </w:rPr>
            </w:pPr>
          </w:p>
        </w:tc>
        <w:tc>
          <w:tcPr>
            <w:tcW w:w="5240" w:type="dxa"/>
            <w:vAlign w:val="bottom"/>
            <w:gridSpan w:val="25"/>
          </w:tcPr>
          <w:p>
            <w:pPr>
              <w:spacing w:after="0"/>
              <w:rPr>
                <w:rFonts w:ascii="Arial" w:cs="Arial" w:eastAsia="Arial" w:hAnsi="Arial"/>
                <w:sz w:val="20"/>
                <w:szCs w:val="20"/>
                <w:color w:val="0000FF"/>
              </w:rPr>
            </w:pPr>
            <w:hyperlink r:id="rId703">
              <w:r>
                <w:rPr>
                  <w:rFonts w:ascii="Arial" w:cs="Arial" w:eastAsia="Arial" w:hAnsi="Arial"/>
                  <w:sz w:val="20"/>
                  <w:szCs w:val="20"/>
                  <w:color w:val="0000FF"/>
                </w:rPr>
                <w:t>Clarke</w:t>
              </w:r>
            </w:hyperlink>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1"/>
        </w:trPr>
        <w:tc>
          <w:tcPr>
            <w:tcW w:w="660" w:type="dxa"/>
            <w:vAlign w:val="bottom"/>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39"/>
        </w:trPr>
        <w:tc>
          <w:tcPr>
            <w:tcW w:w="5900" w:type="dxa"/>
            <w:vAlign w:val="bottom"/>
            <w:gridSpan w:val="26"/>
            <w:shd w:val="clear" w:color="auto" w:fill="CFF0FC"/>
          </w:tcPr>
          <w:p>
            <w:pPr>
              <w:ind w:left="20"/>
              <w:spacing w:after="0"/>
              <w:rPr>
                <w:rFonts w:ascii="Arial" w:cs="Arial" w:eastAsia="Arial" w:hAnsi="Arial"/>
                <w:sz w:val="20"/>
                <w:szCs w:val="20"/>
                <w:color w:val="auto"/>
                <w:w w:val="99"/>
              </w:rPr>
            </w:pPr>
            <w:r>
              <w:rPr>
                <w:rFonts w:ascii="Arial" w:cs="Arial" w:eastAsia="Arial" w:hAnsi="Arial"/>
                <w:sz w:val="20"/>
                <w:szCs w:val="20"/>
                <w:color w:val="auto"/>
                <w:w w:val="99"/>
              </w:rPr>
              <w:t xml:space="preserve">10.25† </w:t>
            </w:r>
            <w:hyperlink r:id="rId704">
              <w:r>
                <w:rPr>
                  <w:rFonts w:ascii="Arial" w:cs="Arial" w:eastAsia="Arial" w:hAnsi="Arial"/>
                  <w:sz w:val="20"/>
                  <w:szCs w:val="20"/>
                  <w:color w:val="0000FF"/>
                  <w:w w:val="99"/>
                </w:rPr>
                <w:t>Time-Based Restricted Share Unit Award Agreement No. 1</w:t>
              </w:r>
            </w:hyperlink>
          </w:p>
        </w:tc>
        <w:tc>
          <w:tcPr>
            <w:tcW w:w="20" w:type="dxa"/>
            <w:vAlign w:val="bottom"/>
            <w:shd w:val="clear" w:color="auto" w:fill="CFF0FC"/>
          </w:tcPr>
          <w:p>
            <w:pPr>
              <w:spacing w:after="0"/>
              <w:rPr>
                <w:sz w:val="20"/>
                <w:szCs w:val="20"/>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9"/>
              </w:rPr>
              <w:t>10-K</w:t>
            </w:r>
          </w:p>
        </w:tc>
        <w:tc>
          <w:tcPr>
            <w:tcW w:w="6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10.22</w:t>
            </w:r>
          </w:p>
        </w:tc>
        <w:tc>
          <w:tcPr>
            <w:tcW w:w="1740" w:type="dxa"/>
            <w:vAlign w:val="bottom"/>
            <w:shd w:val="clear" w:color="auto" w:fill="CFF0FC"/>
          </w:tcPr>
          <w:p>
            <w:pPr>
              <w:ind w:left="40"/>
              <w:spacing w:after="0"/>
              <w:rPr>
                <w:sz w:val="20"/>
                <w:szCs w:val="20"/>
                <w:color w:val="auto"/>
              </w:rPr>
            </w:pPr>
            <w:r>
              <w:rPr>
                <w:rFonts w:ascii="Arial" w:cs="Arial" w:eastAsia="Arial" w:hAnsi="Arial"/>
                <w:sz w:val="20"/>
                <w:szCs w:val="20"/>
                <w:color w:val="auto"/>
              </w:rPr>
              <w:t>February</w:t>
            </w:r>
          </w:p>
        </w:tc>
      </w:tr>
      <w:tr>
        <w:trPr>
          <w:trHeight w:val="20"/>
        </w:trPr>
        <w:tc>
          <w:tcPr>
            <w:tcW w:w="660" w:type="dxa"/>
            <w:vAlign w:val="bottom"/>
            <w:shd w:val="clear" w:color="auto" w:fill="CFF0FC"/>
          </w:tcPr>
          <w:p>
            <w:pPr>
              <w:spacing w:after="0" w:line="20" w:lineRule="exact"/>
              <w:rPr>
                <w:sz w:val="1"/>
                <w:szCs w:val="1"/>
                <w:color w:val="auto"/>
              </w:rPr>
            </w:pPr>
          </w:p>
        </w:tc>
        <w:tc>
          <w:tcPr>
            <w:tcW w:w="4060" w:type="dxa"/>
            <w:vAlign w:val="bottom"/>
            <w:gridSpan w:val="11"/>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00" w:type="dxa"/>
            <w:vAlign w:val="bottom"/>
            <w:gridSpan w:val="5"/>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200" w:type="dxa"/>
            <w:vAlign w:val="bottom"/>
            <w:tcBorders>
              <w:bottom w:val="single" w:sz="8" w:color="0000FF"/>
            </w:tcBorders>
            <w:gridSpan w:val="24"/>
            <w:shd w:val="clear" w:color="auto" w:fill="CFF0FC"/>
          </w:tcPr>
          <w:p>
            <w:pPr>
              <w:spacing w:after="0"/>
              <w:rPr>
                <w:rFonts w:ascii="Arial" w:cs="Arial" w:eastAsia="Arial" w:hAnsi="Arial"/>
                <w:sz w:val="20"/>
                <w:szCs w:val="20"/>
                <w:color w:val="0000FF"/>
                <w:w w:val="90"/>
              </w:rPr>
            </w:pPr>
            <w:hyperlink r:id="rId704">
              <w:r>
                <w:rPr>
                  <w:rFonts w:ascii="Arial" w:cs="Arial" w:eastAsia="Arial" w:hAnsi="Arial"/>
                  <w:sz w:val="20"/>
                  <w:szCs w:val="20"/>
                  <w:color w:val="0000FF"/>
                  <w:w w:val="90"/>
                </w:rPr>
                <w:t>(Sign On Award), dated as of October 14, 2024, by and between</w:t>
              </w:r>
            </w:hyperlink>
          </w:p>
        </w:tc>
        <w:tc>
          <w:tcPr>
            <w:tcW w:w="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25, 2025</w:t>
            </w: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4720" w:type="dxa"/>
            <w:vAlign w:val="bottom"/>
            <w:tcBorders>
              <w:bottom w:val="single" w:sz="8" w:color="0000FF"/>
            </w:tcBorders>
            <w:gridSpan w:val="13"/>
            <w:shd w:val="clear" w:color="auto" w:fill="CFF0FC"/>
          </w:tcPr>
          <w:p>
            <w:pPr>
              <w:spacing w:after="0"/>
              <w:rPr>
                <w:rFonts w:ascii="Arial" w:cs="Arial" w:eastAsia="Arial" w:hAnsi="Arial"/>
                <w:sz w:val="20"/>
                <w:szCs w:val="20"/>
                <w:color w:val="0000FF"/>
                <w:w w:val="94"/>
              </w:rPr>
            </w:pPr>
            <w:hyperlink r:id="rId704">
              <w:r>
                <w:rPr>
                  <w:rFonts w:ascii="Arial" w:cs="Arial" w:eastAsia="Arial" w:hAnsi="Arial"/>
                  <w:sz w:val="20"/>
                  <w:szCs w:val="20"/>
                  <w:color w:val="0000FF"/>
                  <w:w w:val="94"/>
                </w:rPr>
                <w:t>Willis Towers Watson Public Limited Company and Lucy</w:t>
              </w:r>
            </w:hyperlink>
          </w:p>
        </w:tc>
        <w:tc>
          <w:tcPr>
            <w:tcW w:w="520" w:type="dxa"/>
            <w:vAlign w:val="bottom"/>
            <w:tcBorders>
              <w:bottom w:val="single" w:sz="8" w:color="CFF0FC"/>
            </w:tcBorders>
            <w:gridSpan w:val="12"/>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spacing w:after="0"/>
              <w:rPr>
                <w:sz w:val="24"/>
                <w:szCs w:val="24"/>
                <w:color w:val="auto"/>
              </w:rPr>
            </w:pPr>
          </w:p>
        </w:tc>
      </w:tr>
      <w:tr>
        <w:trPr>
          <w:trHeight w:val="321"/>
        </w:trPr>
        <w:tc>
          <w:tcPr>
            <w:tcW w:w="6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0000FF"/>
            </w:tcBorders>
            <w:gridSpan w:val="4"/>
            <w:shd w:val="clear" w:color="auto" w:fill="CFF0FC"/>
          </w:tcPr>
          <w:p>
            <w:pPr>
              <w:spacing w:after="0"/>
              <w:rPr>
                <w:rFonts w:ascii="Arial" w:cs="Arial" w:eastAsia="Arial" w:hAnsi="Arial"/>
                <w:sz w:val="20"/>
                <w:szCs w:val="20"/>
                <w:color w:val="0000FF"/>
                <w:w w:val="89"/>
              </w:rPr>
            </w:pPr>
            <w:hyperlink r:id="rId704">
              <w:r>
                <w:rPr>
                  <w:rFonts w:ascii="Arial" w:cs="Arial" w:eastAsia="Arial" w:hAnsi="Arial"/>
                  <w:sz w:val="20"/>
                  <w:szCs w:val="20"/>
                  <w:color w:val="0000FF"/>
                  <w:w w:val="89"/>
                </w:rPr>
                <w:t>Clarke</w:t>
              </w:r>
            </w:hyperlink>
          </w:p>
        </w:tc>
        <w:tc>
          <w:tcPr>
            <w:tcW w:w="4700" w:type="dxa"/>
            <w:vAlign w:val="bottom"/>
            <w:tcBorders>
              <w:bottom w:val="single" w:sz="8" w:color="CFF0FC"/>
            </w:tcBorders>
            <w:gridSpan w:val="21"/>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spacing w:after="0"/>
              <w:rPr>
                <w:sz w:val="24"/>
                <w:szCs w:val="24"/>
                <w:color w:val="auto"/>
              </w:rPr>
            </w:pPr>
          </w:p>
        </w:tc>
      </w:tr>
      <w:tr>
        <w:trPr>
          <w:trHeight w:val="239"/>
        </w:trPr>
        <w:tc>
          <w:tcPr>
            <w:tcW w:w="5900" w:type="dxa"/>
            <w:vAlign w:val="bottom"/>
            <w:gridSpan w:val="26"/>
          </w:tcPr>
          <w:p>
            <w:pPr>
              <w:ind w:left="20"/>
              <w:spacing w:after="0"/>
              <w:rPr>
                <w:rFonts w:ascii="Arial" w:cs="Arial" w:eastAsia="Arial" w:hAnsi="Arial"/>
                <w:sz w:val="20"/>
                <w:szCs w:val="20"/>
                <w:color w:val="auto"/>
                <w:w w:val="98"/>
              </w:rPr>
            </w:pPr>
            <w:r>
              <w:rPr>
                <w:rFonts w:ascii="Arial" w:cs="Arial" w:eastAsia="Arial" w:hAnsi="Arial"/>
                <w:sz w:val="20"/>
                <w:szCs w:val="20"/>
                <w:color w:val="auto"/>
                <w:w w:val="98"/>
              </w:rPr>
              <w:t xml:space="preserve">10.26† </w:t>
            </w:r>
            <w:hyperlink r:id="rId705">
              <w:r>
                <w:rPr>
                  <w:rFonts w:ascii="Arial" w:cs="Arial" w:eastAsia="Arial" w:hAnsi="Arial"/>
                  <w:sz w:val="20"/>
                  <w:szCs w:val="20"/>
                  <w:color w:val="0000FF"/>
                  <w:w w:val="98"/>
                </w:rPr>
                <w:t>Time-Based Restricted Share Unit Award Agreement No. 2,</w:t>
              </w:r>
            </w:hyperlink>
          </w:p>
        </w:tc>
        <w:tc>
          <w:tcPr>
            <w:tcW w:w="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10-K</w:t>
            </w:r>
          </w:p>
        </w:tc>
        <w:tc>
          <w:tcPr>
            <w:tcW w:w="600" w:type="dxa"/>
            <w:vAlign w:val="bottom"/>
          </w:tcPr>
          <w:p>
            <w:pPr>
              <w:jc w:val="center"/>
              <w:spacing w:after="0"/>
              <w:rPr>
                <w:sz w:val="20"/>
                <w:szCs w:val="20"/>
                <w:color w:val="auto"/>
              </w:rPr>
            </w:pPr>
            <w:r>
              <w:rPr>
                <w:rFonts w:ascii="Arial" w:cs="Arial" w:eastAsia="Arial" w:hAnsi="Arial"/>
                <w:sz w:val="20"/>
                <w:szCs w:val="20"/>
                <w:color w:val="auto"/>
                <w:w w:val="87"/>
              </w:rPr>
              <w:t>10.23</w:t>
            </w:r>
          </w:p>
        </w:tc>
        <w:tc>
          <w:tcPr>
            <w:tcW w:w="1740" w:type="dxa"/>
            <w:vAlign w:val="bottom"/>
          </w:tcPr>
          <w:p>
            <w:pPr>
              <w:ind w:left="40"/>
              <w:spacing w:after="0"/>
              <w:rPr>
                <w:sz w:val="20"/>
                <w:szCs w:val="20"/>
                <w:color w:val="auto"/>
              </w:rPr>
            </w:pPr>
            <w:r>
              <w:rPr>
                <w:rFonts w:ascii="Arial" w:cs="Arial" w:eastAsia="Arial" w:hAnsi="Arial"/>
                <w:sz w:val="20"/>
                <w:szCs w:val="20"/>
                <w:color w:val="auto"/>
              </w:rPr>
              <w:t>February</w:t>
            </w:r>
          </w:p>
        </w:tc>
      </w:tr>
      <w:tr>
        <w:trPr>
          <w:trHeight w:val="280"/>
        </w:trPr>
        <w:tc>
          <w:tcPr>
            <w:tcW w:w="660" w:type="dxa"/>
            <w:vAlign w:val="bottom"/>
          </w:tcPr>
          <w:p>
            <w:pPr>
              <w:spacing w:after="0"/>
              <w:rPr>
                <w:sz w:val="24"/>
                <w:szCs w:val="24"/>
                <w:color w:val="auto"/>
              </w:rPr>
            </w:pPr>
          </w:p>
        </w:tc>
        <w:tc>
          <w:tcPr>
            <w:tcW w:w="4880" w:type="dxa"/>
            <w:vAlign w:val="bottom"/>
            <w:tcBorders>
              <w:top w:val="single" w:sz="8" w:color="0000FF"/>
              <w:bottom w:val="single" w:sz="8" w:color="0000FF"/>
            </w:tcBorders>
            <w:gridSpan w:val="18"/>
          </w:tcPr>
          <w:p>
            <w:pPr>
              <w:spacing w:after="0"/>
              <w:rPr>
                <w:rFonts w:ascii="Arial" w:cs="Arial" w:eastAsia="Arial" w:hAnsi="Arial"/>
                <w:sz w:val="20"/>
                <w:szCs w:val="20"/>
                <w:color w:val="0000FF"/>
                <w:w w:val="90"/>
              </w:rPr>
            </w:pPr>
            <w:hyperlink r:id="rId705">
              <w:r>
                <w:rPr>
                  <w:rFonts w:ascii="Arial" w:cs="Arial" w:eastAsia="Arial" w:hAnsi="Arial"/>
                  <w:sz w:val="20"/>
                  <w:szCs w:val="20"/>
                  <w:color w:val="0000FF"/>
                  <w:w w:val="90"/>
                </w:rPr>
                <w:t>dated as of October 14, 2024, by and between Willis Towers</w:t>
              </w:r>
            </w:hyperlink>
          </w:p>
        </w:tc>
        <w:tc>
          <w:tcPr>
            <w:tcW w:w="20" w:type="dxa"/>
            <w:vAlign w:val="bottom"/>
            <w:tcBorders>
              <w:bottom w:val="single" w:sz="8" w:color="0000FF"/>
            </w:tcBorders>
          </w:tcPr>
          <w:p>
            <w:pPr>
              <w:spacing w:after="0"/>
              <w:rPr>
                <w:sz w:val="24"/>
                <w:szCs w:val="24"/>
                <w:color w:val="auto"/>
              </w:rPr>
            </w:pPr>
          </w:p>
        </w:tc>
        <w:tc>
          <w:tcPr>
            <w:tcW w:w="3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ind w:left="40"/>
              <w:spacing w:after="0"/>
              <w:rPr>
                <w:sz w:val="20"/>
                <w:szCs w:val="20"/>
                <w:color w:val="auto"/>
              </w:rPr>
            </w:pPr>
            <w:r>
              <w:rPr>
                <w:rFonts w:ascii="Arial" w:cs="Arial" w:eastAsia="Arial" w:hAnsi="Arial"/>
                <w:sz w:val="20"/>
                <w:szCs w:val="20"/>
                <w:color w:val="auto"/>
              </w:rPr>
              <w:t>25, 2025</w:t>
            </w:r>
          </w:p>
        </w:tc>
      </w:tr>
      <w:tr>
        <w:trPr>
          <w:trHeight w:val="280"/>
        </w:trPr>
        <w:tc>
          <w:tcPr>
            <w:tcW w:w="660" w:type="dxa"/>
            <w:vAlign w:val="bottom"/>
          </w:tcPr>
          <w:p>
            <w:pPr>
              <w:spacing w:after="0"/>
              <w:rPr>
                <w:sz w:val="24"/>
                <w:szCs w:val="24"/>
                <w:color w:val="auto"/>
              </w:rPr>
            </w:pPr>
          </w:p>
        </w:tc>
        <w:tc>
          <w:tcPr>
            <w:tcW w:w="5240" w:type="dxa"/>
            <w:vAlign w:val="bottom"/>
            <w:gridSpan w:val="25"/>
          </w:tcPr>
          <w:p>
            <w:pPr>
              <w:spacing w:after="0"/>
              <w:rPr>
                <w:rFonts w:ascii="Arial" w:cs="Arial" w:eastAsia="Arial" w:hAnsi="Arial"/>
                <w:sz w:val="20"/>
                <w:szCs w:val="20"/>
                <w:color w:val="0000FF"/>
              </w:rPr>
            </w:pPr>
            <w:hyperlink r:id="rId705">
              <w:r>
                <w:rPr>
                  <w:rFonts w:ascii="Arial" w:cs="Arial" w:eastAsia="Arial" w:hAnsi="Arial"/>
                  <w:sz w:val="20"/>
                  <w:szCs w:val="20"/>
                  <w:color w:val="0000FF"/>
                </w:rPr>
                <w:t>Watson Public Limited Company and Lucy Clarke</w:t>
              </w:r>
            </w:hyperlink>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3797300</wp:posOffset>
            </wp:positionH>
            <wp:positionV relativeFrom="paragraph">
              <wp:posOffset>-7910830</wp:posOffset>
            </wp:positionV>
            <wp:extent cx="1469390" cy="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06">
                      <a:extLst>
                        <a:ext uri="{28A0092B-C50C-407E-A947-70E740481C1C}"/>
                      </a:extLst>
                    </a:blip>
                    <a:srcRect/>
                    <a:stretch>
                      <a:fillRect/>
                    </a:stretch>
                  </pic:blipFill>
                  <pic:spPr bwMode="auto">
                    <a:xfrm>
                      <a:off x="0" y="0"/>
                      <a:ext cx="146939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-7599680</wp:posOffset>
            </wp:positionV>
            <wp:extent cx="5728970" cy="127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07">
                      <a:extLst>
                        <a:ext uri="{28A0092B-C50C-407E-A947-70E740481C1C}"/>
                      </a:extLst>
                    </a:blip>
                    <a:srcRect/>
                    <a:stretch>
                      <a:fillRect/>
                    </a:stretch>
                  </pic:blipFill>
                  <pic:spPr bwMode="auto">
                    <a:xfrm>
                      <a:off x="0" y="0"/>
                      <a:ext cx="5728970" cy="1270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17 / 60</w:t>
      </w:r>
    </w:p>
    <w:p>
      <w:pPr>
        <w:sectPr>
          <w:pgSz w:w="11900" w:h="16838" w:orient="portrait"/>
          <w:cols w:equalWidth="0" w:num="1">
            <w:col w:w="9026"/>
          </w:cols>
          <w:pgMar w:left="1440" w:top="1440" w:right="1440" w:bottom="0" w:gutter="0" w:footer="0" w:header="0"/>
          <w:type w:val="continuous"/>
        </w:sectPr>
      </w:pPr>
    </w:p>
    <w:bookmarkStart w:id="277" w:name="page278"/>
    <w:bookmarkEnd w:id="277"/>
    <w:tbl>
      <w:tblPr>
        <w:tblLayout w:type="fixed"/>
        <w:tblInd w:w="0" w:type="dxa"/>
        <w:tblCellMar>
          <w:top w:w="0" w:type="dxa"/>
          <w:left w:w="0" w:type="dxa"/>
          <w:bottom w:w="0" w:type="dxa"/>
          <w:right w:w="0" w:type="dxa"/>
        </w:tblCellMar>
      </w:tblPr>
      <w:tr>
        <w:trPr>
          <w:trHeight w:val="239"/>
        </w:trPr>
        <w:tc>
          <w:tcPr>
            <w:tcW w:w="180" w:type="dxa"/>
            <w:vAlign w:val="bottom"/>
          </w:tcPr>
          <w:p>
            <w:pPr>
              <w:spacing w:after="0"/>
              <w:rPr>
                <w:sz w:val="20"/>
                <w:szCs w:val="20"/>
                <w:color w:val="auto"/>
              </w:rPr>
            </w:pPr>
          </w:p>
        </w:tc>
        <w:tc>
          <w:tcPr>
            <w:tcW w:w="5860" w:type="dxa"/>
            <w:vAlign w:val="bottom"/>
            <w:gridSpan w:val="17"/>
            <w:shd w:val="clear" w:color="auto" w:fill="CFF0FC"/>
          </w:tcPr>
          <w:p>
            <w:pPr>
              <w:ind w:left="20"/>
              <w:spacing w:after="0"/>
              <w:rPr>
                <w:rFonts w:ascii="Arial" w:cs="Arial" w:eastAsia="Arial" w:hAnsi="Arial"/>
                <w:sz w:val="20"/>
                <w:szCs w:val="20"/>
                <w:color w:val="auto"/>
                <w:w w:val="92"/>
              </w:rPr>
            </w:pPr>
            <w:r>
              <w:rPr>
                <w:rFonts w:ascii="Arial" w:cs="Arial" w:eastAsia="Arial" w:hAnsi="Arial"/>
                <w:sz w:val="20"/>
                <w:szCs w:val="20"/>
                <w:color w:val="auto"/>
                <w:w w:val="92"/>
              </w:rPr>
              <w:t xml:space="preserve">10.27† </w:t>
            </w:r>
            <w:hyperlink r:id="rId708">
              <w:r>
                <w:rPr>
                  <w:rFonts w:ascii="Arial" w:cs="Arial" w:eastAsia="Arial" w:hAnsi="Arial"/>
                  <w:sz w:val="20"/>
                  <w:szCs w:val="20"/>
                  <w:color w:val="0000FF"/>
                  <w:w w:val="92"/>
                </w:rPr>
                <w:t>Fully Vested Restricted Share Unit Award Agreement, dated as</w:t>
              </w:r>
            </w:hyperlink>
          </w:p>
        </w:tc>
        <w:tc>
          <w:tcPr>
            <w:tcW w:w="20" w:type="dxa"/>
            <w:vAlign w:val="bottom"/>
            <w:shd w:val="clear" w:color="auto" w:fill="CFF0FC"/>
          </w:tcPr>
          <w:p>
            <w:pPr>
              <w:spacing w:after="0"/>
              <w:rPr>
                <w:sz w:val="20"/>
                <w:szCs w:val="20"/>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9"/>
              </w:rPr>
              <w:t>10-K</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10.24</w:t>
            </w:r>
          </w:p>
        </w:tc>
        <w:tc>
          <w:tcPr>
            <w:tcW w:w="1760" w:type="dxa"/>
            <w:vAlign w:val="bottom"/>
            <w:shd w:val="clear" w:color="auto" w:fill="CFF0FC"/>
          </w:tcPr>
          <w:p>
            <w:pPr>
              <w:ind w:left="60"/>
              <w:spacing w:after="0"/>
              <w:rPr>
                <w:sz w:val="20"/>
                <w:szCs w:val="20"/>
                <w:color w:val="auto"/>
              </w:rPr>
            </w:pPr>
            <w:r>
              <w:rPr>
                <w:rFonts w:ascii="Arial" w:cs="Arial" w:eastAsia="Arial" w:hAnsi="Arial"/>
                <w:sz w:val="20"/>
                <w:szCs w:val="20"/>
                <w:color w:val="auto"/>
              </w:rPr>
              <w:t>February</w:t>
            </w:r>
          </w:p>
        </w:tc>
        <w:tc>
          <w:tcPr>
            <w:tcW w:w="200" w:type="dxa"/>
            <w:vAlign w:val="bottom"/>
          </w:tcPr>
          <w:p>
            <w:pPr>
              <w:spacing w:after="0"/>
              <w:rPr>
                <w:sz w:val="20"/>
                <w:szCs w:val="20"/>
                <w:color w:val="auto"/>
              </w:rPr>
            </w:pPr>
          </w:p>
        </w:tc>
      </w:tr>
      <w:tr>
        <w:trPr>
          <w:trHeight w:val="280"/>
        </w:trPr>
        <w:tc>
          <w:tcPr>
            <w:tcW w:w="180" w:type="dxa"/>
            <w:vAlign w:val="bottom"/>
          </w:tcPr>
          <w:p>
            <w:pPr>
              <w:spacing w:after="0"/>
              <w:rPr>
                <w:sz w:val="24"/>
                <w:szCs w:val="24"/>
                <w:color w:val="auto"/>
              </w:rPr>
            </w:pPr>
          </w:p>
        </w:tc>
        <w:tc>
          <w:tcPr>
            <w:tcW w:w="660" w:type="dxa"/>
            <w:vAlign w:val="bottom"/>
            <w:tcBorders>
              <w:top w:val="single" w:sz="8" w:color="CFF0FC"/>
              <w:bottom w:val="single" w:sz="8" w:color="CFF0FC"/>
            </w:tcBorders>
            <w:shd w:val="clear" w:color="auto" w:fill="CFF0FC"/>
          </w:tcPr>
          <w:p>
            <w:pPr>
              <w:spacing w:after="0"/>
              <w:rPr>
                <w:sz w:val="24"/>
                <w:szCs w:val="24"/>
                <w:color w:val="auto"/>
              </w:rPr>
            </w:pPr>
          </w:p>
        </w:tc>
        <w:tc>
          <w:tcPr>
            <w:tcW w:w="4860" w:type="dxa"/>
            <w:vAlign w:val="bottom"/>
            <w:tcBorders>
              <w:top w:val="single" w:sz="8" w:color="0000FF"/>
              <w:bottom w:val="single" w:sz="8" w:color="0000FF"/>
            </w:tcBorders>
            <w:gridSpan w:val="13"/>
            <w:shd w:val="clear" w:color="auto" w:fill="CFF0FC"/>
          </w:tcPr>
          <w:p>
            <w:pPr>
              <w:spacing w:after="0"/>
              <w:rPr>
                <w:rFonts w:ascii="Arial" w:cs="Arial" w:eastAsia="Arial" w:hAnsi="Arial"/>
                <w:sz w:val="20"/>
                <w:szCs w:val="20"/>
                <w:color w:val="0000FF"/>
                <w:w w:val="92"/>
              </w:rPr>
            </w:pPr>
            <w:hyperlink r:id="rId708">
              <w:r>
                <w:rPr>
                  <w:rFonts w:ascii="Arial" w:cs="Arial" w:eastAsia="Arial" w:hAnsi="Arial"/>
                  <w:sz w:val="20"/>
                  <w:szCs w:val="20"/>
                  <w:color w:val="0000FF"/>
                  <w:w w:val="92"/>
                </w:rPr>
                <w:t>of October 14, 2024, by and between Willis Towers Watson</w:t>
              </w:r>
            </w:hyperlink>
          </w:p>
        </w:tc>
        <w:tc>
          <w:tcPr>
            <w:tcW w:w="280" w:type="dxa"/>
            <w:vAlign w:val="bottom"/>
            <w:tcBorders>
              <w:top w:val="single" w:sz="8" w:color="0000FF"/>
              <w:bottom w:val="single" w:sz="8" w:color="CFF0FC"/>
            </w:tcBorders>
            <w:gridSpan w:val="2"/>
            <w:shd w:val="clear" w:color="auto" w:fill="CFF0FC"/>
          </w:tcPr>
          <w:p>
            <w:pPr>
              <w:spacing w:after="0"/>
              <w:rPr>
                <w:sz w:val="24"/>
                <w:szCs w:val="24"/>
                <w:color w:val="auto"/>
              </w:rPr>
            </w:pPr>
          </w:p>
        </w:tc>
        <w:tc>
          <w:tcPr>
            <w:tcW w:w="60" w:type="dxa"/>
            <w:vAlign w:val="bottom"/>
            <w:tcBorders>
              <w:top w:val="single" w:sz="8" w:color="CFF0FC"/>
              <w:bottom w:val="single" w:sz="8" w:color="CFF0FC"/>
            </w:tcBorders>
            <w:shd w:val="clear" w:color="auto" w:fill="CFF0FC"/>
          </w:tcPr>
          <w:p>
            <w:pPr>
              <w:spacing w:after="0"/>
              <w:rPr>
                <w:sz w:val="24"/>
                <w:szCs w:val="24"/>
                <w:color w:val="auto"/>
              </w:rPr>
            </w:pPr>
          </w:p>
        </w:tc>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760" w:type="dxa"/>
            <w:vAlign w:val="bottom"/>
            <w:tcBorders>
              <w:top w:val="single" w:sz="8" w:color="CFF0FC"/>
              <w:bottom w:val="single" w:sz="8" w:color="CFF0FC"/>
            </w:tcBorders>
            <w:shd w:val="clear" w:color="auto" w:fill="CFF0FC"/>
          </w:tcPr>
          <w:p>
            <w:pPr>
              <w:spacing w:after="0"/>
              <w:rPr>
                <w:sz w:val="24"/>
                <w:szCs w:val="24"/>
                <w:color w:val="auto"/>
              </w:rPr>
            </w:pPr>
          </w:p>
        </w:tc>
        <w:tc>
          <w:tcPr>
            <w:tcW w:w="620" w:type="dxa"/>
            <w:vAlign w:val="bottom"/>
            <w:tcBorders>
              <w:top w:val="single" w:sz="8" w:color="CFF0FC"/>
              <w:bottom w:val="single" w:sz="8" w:color="CFF0FC"/>
            </w:tcBorders>
            <w:shd w:val="clear" w:color="auto" w:fill="CFF0FC"/>
          </w:tcPr>
          <w:p>
            <w:pPr>
              <w:spacing w:after="0"/>
              <w:rPr>
                <w:sz w:val="24"/>
                <w:szCs w:val="24"/>
                <w:color w:val="auto"/>
              </w:rPr>
            </w:pPr>
          </w:p>
        </w:tc>
        <w:tc>
          <w:tcPr>
            <w:tcW w:w="176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25, 2025</w:t>
            </w:r>
          </w:p>
        </w:tc>
        <w:tc>
          <w:tcPr>
            <w:tcW w:w="200" w:type="dxa"/>
            <w:vAlign w:val="bottom"/>
          </w:tcPr>
          <w:p>
            <w:pPr>
              <w:spacing w:after="0"/>
              <w:rPr>
                <w:sz w:val="24"/>
                <w:szCs w:val="24"/>
                <w:color w:val="auto"/>
              </w:rPr>
            </w:pPr>
          </w:p>
        </w:tc>
      </w:tr>
      <w:tr>
        <w:trPr>
          <w:trHeight w:val="280"/>
        </w:trPr>
        <w:tc>
          <w:tcPr>
            <w:tcW w:w="180" w:type="dxa"/>
            <w:vAlign w:val="bottom"/>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5200" w:type="dxa"/>
            <w:vAlign w:val="bottom"/>
            <w:gridSpan w:val="16"/>
            <w:shd w:val="clear" w:color="auto" w:fill="CFF0FC"/>
          </w:tcPr>
          <w:p>
            <w:pPr>
              <w:spacing w:after="0"/>
              <w:rPr>
                <w:rFonts w:ascii="Arial" w:cs="Arial" w:eastAsia="Arial" w:hAnsi="Arial"/>
                <w:sz w:val="20"/>
                <w:szCs w:val="20"/>
                <w:color w:val="0000FF"/>
              </w:rPr>
            </w:pPr>
            <w:hyperlink r:id="rId708">
              <w:r>
                <w:rPr>
                  <w:rFonts w:ascii="Arial" w:cs="Arial" w:eastAsia="Arial" w:hAnsi="Arial"/>
                  <w:sz w:val="20"/>
                  <w:szCs w:val="20"/>
                  <w:color w:val="0000FF"/>
                </w:rPr>
                <w:t>Public Limited Company and Lucy Clarke</w:t>
              </w:r>
            </w:hyperlink>
          </w:p>
        </w:tc>
        <w:tc>
          <w:tcPr>
            <w:tcW w:w="2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1760" w:type="dxa"/>
            <w:vAlign w:val="bottom"/>
            <w:shd w:val="clear" w:color="auto" w:fill="CFF0FC"/>
          </w:tcPr>
          <w:p>
            <w:pPr>
              <w:spacing w:after="0"/>
              <w:rPr>
                <w:sz w:val="24"/>
                <w:szCs w:val="24"/>
                <w:color w:val="auto"/>
              </w:rPr>
            </w:pP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Borders>
              <w:top w:val="single" w:sz="8" w:color="CFF0FC"/>
            </w:tcBorders>
            <w:shd w:val="clear" w:color="auto" w:fill="CFF0FC"/>
          </w:tcPr>
          <w:p>
            <w:pPr>
              <w:spacing w:after="0"/>
              <w:rPr>
                <w:sz w:val="3"/>
                <w:szCs w:val="3"/>
                <w:color w:val="auto"/>
              </w:rPr>
            </w:pPr>
          </w:p>
        </w:tc>
        <w:tc>
          <w:tcPr>
            <w:tcW w:w="460" w:type="dxa"/>
            <w:vAlign w:val="bottom"/>
            <w:tcBorders>
              <w:top w:val="single" w:sz="8" w:color="0000FF"/>
            </w:tcBorders>
            <w:shd w:val="clear" w:color="auto" w:fill="CFF0FC"/>
          </w:tcPr>
          <w:p>
            <w:pPr>
              <w:spacing w:after="0"/>
              <w:rPr>
                <w:sz w:val="3"/>
                <w:szCs w:val="3"/>
                <w:color w:val="auto"/>
              </w:rPr>
            </w:pPr>
          </w:p>
        </w:tc>
        <w:tc>
          <w:tcPr>
            <w:tcW w:w="680" w:type="dxa"/>
            <w:vAlign w:val="bottom"/>
            <w:tcBorders>
              <w:top w:val="single" w:sz="8" w:color="0000FF"/>
            </w:tcBorders>
            <w:shd w:val="clear" w:color="auto" w:fill="CFF0FC"/>
          </w:tcPr>
          <w:p>
            <w:pPr>
              <w:spacing w:after="0"/>
              <w:rPr>
                <w:sz w:val="3"/>
                <w:szCs w:val="3"/>
                <w:color w:val="auto"/>
              </w:rPr>
            </w:pPr>
          </w:p>
        </w:tc>
        <w:tc>
          <w:tcPr>
            <w:tcW w:w="420" w:type="dxa"/>
            <w:vAlign w:val="bottom"/>
            <w:tcBorders>
              <w:top w:val="single" w:sz="8" w:color="0000FF"/>
            </w:tcBorders>
            <w:shd w:val="clear" w:color="auto" w:fill="CFF0FC"/>
          </w:tcPr>
          <w:p>
            <w:pPr>
              <w:spacing w:after="0"/>
              <w:rPr>
                <w:sz w:val="3"/>
                <w:szCs w:val="3"/>
                <w:color w:val="auto"/>
              </w:rPr>
            </w:pPr>
          </w:p>
        </w:tc>
        <w:tc>
          <w:tcPr>
            <w:tcW w:w="620" w:type="dxa"/>
            <w:vAlign w:val="bottom"/>
            <w:tcBorders>
              <w:top w:val="single" w:sz="8" w:color="0000FF"/>
            </w:tcBorders>
            <w:shd w:val="clear" w:color="auto" w:fill="CFF0FC"/>
          </w:tcPr>
          <w:p>
            <w:pPr>
              <w:spacing w:after="0"/>
              <w:rPr>
                <w:sz w:val="3"/>
                <w:szCs w:val="3"/>
                <w:color w:val="auto"/>
              </w:rPr>
            </w:pPr>
          </w:p>
        </w:tc>
        <w:tc>
          <w:tcPr>
            <w:tcW w:w="240" w:type="dxa"/>
            <w:vAlign w:val="bottom"/>
            <w:tcBorders>
              <w:top w:val="single" w:sz="8" w:color="0000FF"/>
            </w:tcBorders>
            <w:shd w:val="clear" w:color="auto" w:fill="CFF0FC"/>
          </w:tcPr>
          <w:p>
            <w:pPr>
              <w:spacing w:after="0"/>
              <w:rPr>
                <w:sz w:val="3"/>
                <w:szCs w:val="3"/>
                <w:color w:val="auto"/>
              </w:rPr>
            </w:pPr>
          </w:p>
        </w:tc>
        <w:tc>
          <w:tcPr>
            <w:tcW w:w="840" w:type="dxa"/>
            <w:vAlign w:val="bottom"/>
            <w:tcBorders>
              <w:top w:val="single" w:sz="8" w:color="0000FF"/>
            </w:tcBorders>
            <w:shd w:val="clear" w:color="auto" w:fill="CFF0FC"/>
          </w:tcPr>
          <w:p>
            <w:pPr>
              <w:spacing w:after="0"/>
              <w:rPr>
                <w:sz w:val="3"/>
                <w:szCs w:val="3"/>
                <w:color w:val="auto"/>
              </w:rPr>
            </w:pPr>
          </w:p>
        </w:tc>
        <w:tc>
          <w:tcPr>
            <w:tcW w:w="140" w:type="dxa"/>
            <w:vAlign w:val="bottom"/>
            <w:tcBorders>
              <w:top w:val="single" w:sz="8" w:color="0000FF"/>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200" w:type="dxa"/>
            <w:vAlign w:val="bottom"/>
            <w:tcBorders>
              <w:top w:val="single" w:sz="8" w:color="CFF0FC"/>
            </w:tcBorders>
            <w:shd w:val="clear" w:color="auto" w:fill="CFF0FC"/>
          </w:tcPr>
          <w:p>
            <w:pPr>
              <w:spacing w:after="0"/>
              <w:rPr>
                <w:sz w:val="3"/>
                <w:szCs w:val="3"/>
                <w:color w:val="auto"/>
              </w:rPr>
            </w:pPr>
          </w:p>
        </w:tc>
        <w:tc>
          <w:tcPr>
            <w:tcW w:w="1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80" w:type="dxa"/>
            <w:vAlign w:val="bottom"/>
            <w:tcBorders>
              <w:top w:val="single" w:sz="8" w:color="CFF0FC"/>
            </w:tcBorders>
            <w:shd w:val="clear" w:color="auto" w:fill="CFF0FC"/>
          </w:tcPr>
          <w:p>
            <w:pPr>
              <w:spacing w:after="0"/>
              <w:rPr>
                <w:sz w:val="3"/>
                <w:szCs w:val="3"/>
                <w:color w:val="auto"/>
              </w:rPr>
            </w:pPr>
          </w:p>
        </w:tc>
        <w:tc>
          <w:tcPr>
            <w:tcW w:w="10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760" w:type="dxa"/>
            <w:vAlign w:val="bottom"/>
            <w:tcBorders>
              <w:top w:val="single" w:sz="8" w:color="CFF0FC"/>
            </w:tcBorders>
            <w:shd w:val="clear" w:color="auto" w:fill="CFF0FC"/>
          </w:tcPr>
          <w:p>
            <w:pPr>
              <w:spacing w:after="0"/>
              <w:rPr>
                <w:sz w:val="3"/>
                <w:szCs w:val="3"/>
                <w:color w:val="auto"/>
              </w:rPr>
            </w:pPr>
          </w:p>
        </w:tc>
        <w:tc>
          <w:tcPr>
            <w:tcW w:w="620" w:type="dxa"/>
            <w:vAlign w:val="bottom"/>
            <w:tcBorders>
              <w:top w:val="single" w:sz="8" w:color="CFF0FC"/>
            </w:tcBorders>
            <w:shd w:val="clear" w:color="auto" w:fill="CFF0FC"/>
          </w:tcPr>
          <w:p>
            <w:pPr>
              <w:spacing w:after="0"/>
              <w:rPr>
                <w:sz w:val="3"/>
                <w:szCs w:val="3"/>
                <w:color w:val="auto"/>
              </w:rPr>
            </w:pPr>
          </w:p>
        </w:tc>
        <w:tc>
          <w:tcPr>
            <w:tcW w:w="1760" w:type="dxa"/>
            <w:vAlign w:val="bottom"/>
            <w:tcBorders>
              <w:top w:val="single" w:sz="8" w:color="CFF0FC"/>
            </w:tcBorders>
            <w:shd w:val="clear" w:color="auto" w:fill="CFF0FC"/>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5860" w:type="dxa"/>
            <w:vAlign w:val="bottom"/>
            <w:gridSpan w:val="17"/>
          </w:tcPr>
          <w:p>
            <w:pPr>
              <w:ind w:left="20"/>
              <w:spacing w:after="0"/>
              <w:rPr>
                <w:rFonts w:ascii="Arial" w:cs="Arial" w:eastAsia="Arial" w:hAnsi="Arial"/>
                <w:sz w:val="20"/>
                <w:szCs w:val="20"/>
                <w:color w:val="auto"/>
              </w:rPr>
            </w:pPr>
            <w:r>
              <w:rPr>
                <w:rFonts w:ascii="Arial" w:cs="Arial" w:eastAsia="Arial" w:hAnsi="Arial"/>
                <w:sz w:val="20"/>
                <w:szCs w:val="20"/>
                <w:color w:val="auto"/>
              </w:rPr>
              <w:t xml:space="preserve">10.28† </w:t>
            </w:r>
            <w:hyperlink r:id="rId709">
              <w:r>
                <w:rPr>
                  <w:rFonts w:ascii="Arial" w:cs="Arial" w:eastAsia="Arial" w:hAnsi="Arial"/>
                  <w:sz w:val="20"/>
                  <w:szCs w:val="20"/>
                  <w:color w:val="0000FF"/>
                </w:rPr>
                <w:t>Form of Retention Agreement</w:t>
              </w:r>
            </w:hyperlink>
          </w:p>
        </w:tc>
        <w:tc>
          <w:tcPr>
            <w:tcW w:w="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620" w:type="dxa"/>
            <w:vAlign w:val="bottom"/>
          </w:tcPr>
          <w:p>
            <w:pPr>
              <w:jc w:val="center"/>
              <w:spacing w:after="0"/>
              <w:rPr>
                <w:sz w:val="20"/>
                <w:szCs w:val="20"/>
                <w:color w:val="auto"/>
              </w:rPr>
            </w:pPr>
            <w:r>
              <w:rPr>
                <w:rFonts w:ascii="Arial" w:cs="Arial" w:eastAsia="Arial" w:hAnsi="Arial"/>
                <w:sz w:val="20"/>
                <w:szCs w:val="20"/>
                <w:color w:val="auto"/>
                <w:w w:val="92"/>
              </w:rPr>
              <w:t>10.1</w:t>
            </w:r>
          </w:p>
        </w:tc>
        <w:tc>
          <w:tcPr>
            <w:tcW w:w="1960" w:type="dxa"/>
            <w:vAlign w:val="bottom"/>
            <w:gridSpan w:val="2"/>
          </w:tcPr>
          <w:p>
            <w:pPr>
              <w:ind w:left="60"/>
              <w:spacing w:after="0"/>
              <w:rPr>
                <w:sz w:val="20"/>
                <w:szCs w:val="20"/>
                <w:color w:val="auto"/>
              </w:rPr>
            </w:pPr>
            <w:r>
              <w:rPr>
                <w:rFonts w:ascii="Arial" w:cs="Arial" w:eastAsia="Arial" w:hAnsi="Arial"/>
                <w:sz w:val="20"/>
                <w:szCs w:val="20"/>
                <w:color w:val="auto"/>
              </w:rPr>
              <w:t>February 5,</w:t>
            </w:r>
          </w:p>
        </w:tc>
      </w:tr>
      <w:tr>
        <w:trPr>
          <w:trHeight w:val="30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Arial" w:cs="Arial" w:eastAsia="Arial" w:hAnsi="Arial"/>
                <w:sz w:val="20"/>
                <w:szCs w:val="20"/>
                <w:color w:val="auto"/>
              </w:rPr>
              <w:t>2021</w:t>
            </w: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960" w:type="dxa"/>
            <w:vAlign w:val="bottom"/>
            <w:gridSpan w:val="2"/>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10.29†</w:t>
            </w:r>
          </w:p>
        </w:tc>
        <w:tc>
          <w:tcPr>
            <w:tcW w:w="4620" w:type="dxa"/>
            <w:vAlign w:val="bottom"/>
            <w:tcBorders>
              <w:bottom w:val="single" w:sz="8" w:color="0000FF"/>
            </w:tcBorders>
            <w:gridSpan w:val="9"/>
            <w:shd w:val="clear" w:color="auto" w:fill="CFF0FC"/>
          </w:tcPr>
          <w:p>
            <w:pPr>
              <w:spacing w:after="0"/>
              <w:rPr>
                <w:rFonts w:ascii="Arial" w:cs="Arial" w:eastAsia="Arial" w:hAnsi="Arial"/>
                <w:sz w:val="20"/>
                <w:szCs w:val="20"/>
                <w:color w:val="0000FF"/>
                <w:w w:val="90"/>
              </w:rPr>
            </w:pPr>
            <w:hyperlink r:id="rId710">
              <w:r>
                <w:rPr>
                  <w:rFonts w:ascii="Arial" w:cs="Arial" w:eastAsia="Arial" w:hAnsi="Arial"/>
                  <w:sz w:val="20"/>
                  <w:szCs w:val="20"/>
                  <w:color w:val="0000FF"/>
                  <w:w w:val="90"/>
                </w:rPr>
                <w:t>Towers Watson Amended and Restated 2009 Long Term</w:t>
              </w:r>
            </w:hyperlink>
          </w:p>
        </w:tc>
        <w:tc>
          <w:tcPr>
            <w:tcW w:w="580" w:type="dxa"/>
            <w:vAlign w:val="bottom"/>
            <w:tcBorders>
              <w:bottom w:val="single" w:sz="8" w:color="CFF0FC"/>
            </w:tcBorders>
            <w:gridSpan w:val="7"/>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3"/>
              </w:rPr>
              <w:t>S-8</w:t>
            </w:r>
          </w:p>
        </w:tc>
        <w:tc>
          <w:tcPr>
            <w:tcW w:w="6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99.1</w:t>
            </w:r>
          </w:p>
        </w:tc>
        <w:tc>
          <w:tcPr>
            <w:tcW w:w="17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January 5,</w:t>
            </w:r>
          </w:p>
        </w:tc>
        <w:tc>
          <w:tcPr>
            <w:tcW w:w="200" w:type="dxa"/>
            <w:vAlign w:val="bottom"/>
          </w:tcPr>
          <w:p>
            <w:pPr>
              <w:spacing w:after="0"/>
              <w:rPr>
                <w:sz w:val="20"/>
                <w:szCs w:val="20"/>
                <w:color w:val="auto"/>
              </w:rPr>
            </w:pPr>
          </w:p>
        </w:tc>
      </w:tr>
      <w:tr>
        <w:trPr>
          <w:trHeight w:val="280"/>
        </w:trPr>
        <w:tc>
          <w:tcPr>
            <w:tcW w:w="180" w:type="dxa"/>
            <w:vAlign w:val="bottom"/>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5200" w:type="dxa"/>
            <w:vAlign w:val="bottom"/>
            <w:gridSpan w:val="16"/>
            <w:shd w:val="clear" w:color="auto" w:fill="CFF0FC"/>
          </w:tcPr>
          <w:p>
            <w:pPr>
              <w:spacing w:after="0"/>
              <w:rPr>
                <w:rFonts w:ascii="Arial" w:cs="Arial" w:eastAsia="Arial" w:hAnsi="Arial"/>
                <w:sz w:val="20"/>
                <w:szCs w:val="20"/>
                <w:color w:val="0000FF"/>
              </w:rPr>
            </w:pPr>
            <w:hyperlink r:id="rId710">
              <w:r>
                <w:rPr>
                  <w:rFonts w:ascii="Arial" w:cs="Arial" w:eastAsia="Arial" w:hAnsi="Arial"/>
                  <w:sz w:val="20"/>
                  <w:szCs w:val="20"/>
                  <w:color w:val="0000FF"/>
                </w:rPr>
                <w:t>Incentive Plan</w:t>
              </w:r>
            </w:hyperlink>
          </w:p>
        </w:tc>
        <w:tc>
          <w:tcPr>
            <w:tcW w:w="2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1760" w:type="dxa"/>
            <w:vAlign w:val="bottom"/>
            <w:shd w:val="clear" w:color="auto" w:fill="CFF0FC"/>
          </w:tcPr>
          <w:p>
            <w:pPr>
              <w:ind w:left="60"/>
              <w:spacing w:after="0"/>
              <w:rPr>
                <w:sz w:val="20"/>
                <w:szCs w:val="20"/>
                <w:color w:val="auto"/>
              </w:rPr>
            </w:pPr>
            <w:r>
              <w:rPr>
                <w:rFonts w:ascii="Arial" w:cs="Arial" w:eastAsia="Arial" w:hAnsi="Arial"/>
                <w:sz w:val="20"/>
                <w:szCs w:val="20"/>
                <w:color w:val="auto"/>
              </w:rPr>
              <w:t>2016</w:t>
            </w: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Borders>
              <w:top w:val="single" w:sz="8" w:color="CFF0FC"/>
            </w:tcBorders>
            <w:shd w:val="clear" w:color="auto" w:fill="CFF0FC"/>
          </w:tcPr>
          <w:p>
            <w:pPr>
              <w:spacing w:after="0"/>
              <w:rPr>
                <w:sz w:val="3"/>
                <w:szCs w:val="3"/>
                <w:color w:val="auto"/>
              </w:rPr>
            </w:pPr>
          </w:p>
        </w:tc>
        <w:tc>
          <w:tcPr>
            <w:tcW w:w="460" w:type="dxa"/>
            <w:vAlign w:val="bottom"/>
            <w:tcBorders>
              <w:top w:val="single" w:sz="8" w:color="0000FF"/>
            </w:tcBorders>
            <w:shd w:val="clear" w:color="auto" w:fill="CFF0FC"/>
          </w:tcPr>
          <w:p>
            <w:pPr>
              <w:spacing w:after="0"/>
              <w:rPr>
                <w:sz w:val="3"/>
                <w:szCs w:val="3"/>
                <w:color w:val="auto"/>
              </w:rPr>
            </w:pPr>
          </w:p>
        </w:tc>
        <w:tc>
          <w:tcPr>
            <w:tcW w:w="680" w:type="dxa"/>
            <w:vAlign w:val="bottom"/>
            <w:tcBorders>
              <w:top w:val="single" w:sz="8" w:color="0000FF"/>
            </w:tcBorders>
            <w:shd w:val="clear" w:color="auto" w:fill="CFF0FC"/>
          </w:tcPr>
          <w:p>
            <w:pPr>
              <w:spacing w:after="0"/>
              <w:rPr>
                <w:sz w:val="3"/>
                <w:szCs w:val="3"/>
                <w:color w:val="auto"/>
              </w:rPr>
            </w:pPr>
          </w:p>
        </w:tc>
        <w:tc>
          <w:tcPr>
            <w:tcW w:w="420" w:type="dxa"/>
            <w:vAlign w:val="bottom"/>
            <w:tcBorders>
              <w:top w:val="single" w:sz="8" w:color="CFF0FC"/>
            </w:tcBorders>
            <w:shd w:val="clear" w:color="auto" w:fill="CFF0FC"/>
          </w:tcPr>
          <w:p>
            <w:pPr>
              <w:spacing w:after="0"/>
              <w:rPr>
                <w:sz w:val="3"/>
                <w:szCs w:val="3"/>
                <w:color w:val="auto"/>
              </w:rPr>
            </w:pPr>
          </w:p>
        </w:tc>
        <w:tc>
          <w:tcPr>
            <w:tcW w:w="620" w:type="dxa"/>
            <w:vAlign w:val="bottom"/>
            <w:tcBorders>
              <w:top w:val="single" w:sz="8" w:color="CFF0FC"/>
            </w:tcBorders>
            <w:shd w:val="clear" w:color="auto" w:fill="CFF0FC"/>
          </w:tcPr>
          <w:p>
            <w:pPr>
              <w:spacing w:after="0"/>
              <w:rPr>
                <w:sz w:val="3"/>
                <w:szCs w:val="3"/>
                <w:color w:val="auto"/>
              </w:rPr>
            </w:pPr>
          </w:p>
        </w:tc>
        <w:tc>
          <w:tcPr>
            <w:tcW w:w="240" w:type="dxa"/>
            <w:vAlign w:val="bottom"/>
            <w:tcBorders>
              <w:top w:val="single" w:sz="8" w:color="CFF0FC"/>
            </w:tcBorders>
            <w:shd w:val="clear" w:color="auto" w:fill="CFF0FC"/>
          </w:tcPr>
          <w:p>
            <w:pPr>
              <w:spacing w:after="0"/>
              <w:rPr>
                <w:sz w:val="3"/>
                <w:szCs w:val="3"/>
                <w:color w:val="auto"/>
              </w:rPr>
            </w:pPr>
          </w:p>
        </w:tc>
        <w:tc>
          <w:tcPr>
            <w:tcW w:w="840" w:type="dxa"/>
            <w:vAlign w:val="bottom"/>
            <w:tcBorders>
              <w:top w:val="single" w:sz="8" w:color="CFF0FC"/>
            </w:tcBorders>
            <w:shd w:val="clear" w:color="auto" w:fill="CFF0FC"/>
          </w:tcPr>
          <w:p>
            <w:pPr>
              <w:spacing w:after="0"/>
              <w:rPr>
                <w:sz w:val="3"/>
                <w:szCs w:val="3"/>
                <w:color w:val="auto"/>
              </w:rPr>
            </w:pPr>
          </w:p>
        </w:tc>
        <w:tc>
          <w:tcPr>
            <w:tcW w:w="1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200" w:type="dxa"/>
            <w:vAlign w:val="bottom"/>
            <w:tcBorders>
              <w:top w:val="single" w:sz="8" w:color="CFF0FC"/>
            </w:tcBorders>
            <w:shd w:val="clear" w:color="auto" w:fill="CFF0FC"/>
          </w:tcPr>
          <w:p>
            <w:pPr>
              <w:spacing w:after="0"/>
              <w:rPr>
                <w:sz w:val="3"/>
                <w:szCs w:val="3"/>
                <w:color w:val="auto"/>
              </w:rPr>
            </w:pPr>
          </w:p>
        </w:tc>
        <w:tc>
          <w:tcPr>
            <w:tcW w:w="1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80" w:type="dxa"/>
            <w:vAlign w:val="bottom"/>
            <w:tcBorders>
              <w:top w:val="single" w:sz="8" w:color="CFF0FC"/>
            </w:tcBorders>
            <w:shd w:val="clear" w:color="auto" w:fill="CFF0FC"/>
          </w:tcPr>
          <w:p>
            <w:pPr>
              <w:spacing w:after="0"/>
              <w:rPr>
                <w:sz w:val="3"/>
                <w:szCs w:val="3"/>
                <w:color w:val="auto"/>
              </w:rPr>
            </w:pPr>
          </w:p>
        </w:tc>
        <w:tc>
          <w:tcPr>
            <w:tcW w:w="10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760" w:type="dxa"/>
            <w:vAlign w:val="bottom"/>
            <w:tcBorders>
              <w:top w:val="single" w:sz="8" w:color="CFF0FC"/>
            </w:tcBorders>
            <w:shd w:val="clear" w:color="auto" w:fill="CFF0FC"/>
          </w:tcPr>
          <w:p>
            <w:pPr>
              <w:spacing w:after="0"/>
              <w:rPr>
                <w:sz w:val="3"/>
                <w:szCs w:val="3"/>
                <w:color w:val="auto"/>
              </w:rPr>
            </w:pPr>
          </w:p>
        </w:tc>
        <w:tc>
          <w:tcPr>
            <w:tcW w:w="620" w:type="dxa"/>
            <w:vAlign w:val="bottom"/>
            <w:tcBorders>
              <w:top w:val="single" w:sz="8" w:color="CFF0FC"/>
            </w:tcBorders>
            <w:shd w:val="clear" w:color="auto" w:fill="CFF0FC"/>
          </w:tcPr>
          <w:p>
            <w:pPr>
              <w:spacing w:after="0"/>
              <w:rPr>
                <w:sz w:val="3"/>
                <w:szCs w:val="3"/>
                <w:color w:val="auto"/>
              </w:rPr>
            </w:pPr>
          </w:p>
        </w:tc>
        <w:tc>
          <w:tcPr>
            <w:tcW w:w="1760" w:type="dxa"/>
            <w:vAlign w:val="bottom"/>
            <w:tcBorders>
              <w:top w:val="single" w:sz="8" w:color="CFF0FC"/>
            </w:tcBorders>
            <w:shd w:val="clear" w:color="auto" w:fill="CFF0FC"/>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5860" w:type="dxa"/>
            <w:vAlign w:val="bottom"/>
            <w:gridSpan w:val="17"/>
          </w:tcPr>
          <w:p>
            <w:pPr>
              <w:ind w:left="20"/>
              <w:spacing w:after="0"/>
              <w:rPr>
                <w:rFonts w:ascii="Arial" w:cs="Arial" w:eastAsia="Arial" w:hAnsi="Arial"/>
                <w:sz w:val="20"/>
                <w:szCs w:val="20"/>
                <w:color w:val="auto"/>
                <w:w w:val="98"/>
              </w:rPr>
            </w:pPr>
            <w:r>
              <w:rPr>
                <w:rFonts w:ascii="Arial" w:cs="Arial" w:eastAsia="Arial" w:hAnsi="Arial"/>
                <w:sz w:val="20"/>
                <w:szCs w:val="20"/>
                <w:color w:val="auto"/>
                <w:w w:val="98"/>
              </w:rPr>
              <w:t xml:space="preserve">10.30† </w:t>
            </w:r>
            <w:hyperlink r:id="rId711">
              <w:r>
                <w:rPr>
                  <w:rFonts w:ascii="Arial" w:cs="Arial" w:eastAsia="Arial" w:hAnsi="Arial"/>
                  <w:sz w:val="20"/>
                  <w:szCs w:val="20"/>
                  <w:color w:val="0000FF"/>
                  <w:w w:val="98"/>
                </w:rPr>
                <w:t>Trust Deed and Rules of the Towers Watson Limited Share</w:t>
              </w:r>
            </w:hyperlink>
          </w:p>
        </w:tc>
        <w:tc>
          <w:tcPr>
            <w:tcW w:w="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10-K</w:t>
            </w:r>
          </w:p>
        </w:tc>
        <w:tc>
          <w:tcPr>
            <w:tcW w:w="620" w:type="dxa"/>
            <w:vAlign w:val="bottom"/>
          </w:tcPr>
          <w:p>
            <w:pPr>
              <w:jc w:val="center"/>
              <w:spacing w:after="0"/>
              <w:rPr>
                <w:sz w:val="20"/>
                <w:szCs w:val="20"/>
                <w:color w:val="auto"/>
              </w:rPr>
            </w:pPr>
            <w:r>
              <w:rPr>
                <w:rFonts w:ascii="Arial" w:cs="Arial" w:eastAsia="Arial" w:hAnsi="Arial"/>
                <w:sz w:val="20"/>
                <w:szCs w:val="20"/>
                <w:color w:val="auto"/>
                <w:w w:val="87"/>
              </w:rPr>
              <w:t>10.21</w:t>
            </w:r>
          </w:p>
        </w:tc>
        <w:tc>
          <w:tcPr>
            <w:tcW w:w="1960" w:type="dxa"/>
            <w:vAlign w:val="bottom"/>
            <w:gridSpan w:val="2"/>
          </w:tcPr>
          <w:p>
            <w:pPr>
              <w:ind w:left="60"/>
              <w:spacing w:after="0"/>
              <w:rPr>
                <w:sz w:val="20"/>
                <w:szCs w:val="20"/>
                <w:color w:val="auto"/>
              </w:rPr>
            </w:pPr>
            <w:r>
              <w:rPr>
                <w:rFonts w:ascii="Arial" w:cs="Arial" w:eastAsia="Arial" w:hAnsi="Arial"/>
                <w:sz w:val="20"/>
                <w:szCs w:val="20"/>
                <w:color w:val="auto"/>
              </w:rPr>
              <w:t>September</w:t>
            </w: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tcBorders>
              <w:top w:val="single" w:sz="8" w:color="0000FF"/>
            </w:tcBorders>
            <w:gridSpan w:val="10"/>
          </w:tcPr>
          <w:p>
            <w:pPr>
              <w:spacing w:after="0"/>
              <w:rPr>
                <w:rFonts w:ascii="Arial" w:cs="Arial" w:eastAsia="Arial" w:hAnsi="Arial"/>
                <w:sz w:val="20"/>
                <w:szCs w:val="20"/>
                <w:color w:val="0000FF"/>
              </w:rPr>
            </w:pPr>
            <w:hyperlink r:id="rId711">
              <w:r>
                <w:rPr>
                  <w:rFonts w:ascii="Arial" w:cs="Arial" w:eastAsia="Arial" w:hAnsi="Arial"/>
                  <w:sz w:val="20"/>
                  <w:szCs w:val="20"/>
                  <w:color w:val="0000FF"/>
                </w:rPr>
                <w:t>Incentive Plan 2005 (U.K.)</w:t>
              </w:r>
            </w:hyperlink>
          </w:p>
        </w:tc>
        <w:tc>
          <w:tcPr>
            <w:tcW w:w="40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Arial" w:cs="Arial" w:eastAsia="Arial" w:hAnsi="Arial"/>
                <w:sz w:val="20"/>
                <w:szCs w:val="20"/>
                <w:color w:val="auto"/>
              </w:rPr>
              <w:t>1, 2006</w:t>
            </w: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5860" w:type="dxa"/>
            <w:vAlign w:val="bottom"/>
            <w:gridSpan w:val="17"/>
            <w:shd w:val="clear" w:color="auto" w:fill="CFF0FC"/>
          </w:tcPr>
          <w:p>
            <w:pPr>
              <w:ind w:left="20"/>
              <w:spacing w:after="0"/>
              <w:rPr>
                <w:rFonts w:ascii="Arial" w:cs="Arial" w:eastAsia="Arial" w:hAnsi="Arial"/>
                <w:sz w:val="20"/>
                <w:szCs w:val="20"/>
                <w:color w:val="auto"/>
                <w:w w:val="98"/>
              </w:rPr>
            </w:pPr>
            <w:r>
              <w:rPr>
                <w:rFonts w:ascii="Arial" w:cs="Arial" w:eastAsia="Arial" w:hAnsi="Arial"/>
                <w:sz w:val="20"/>
                <w:szCs w:val="20"/>
                <w:color w:val="auto"/>
                <w:w w:val="98"/>
              </w:rPr>
              <w:t xml:space="preserve">10.31† </w:t>
            </w:r>
            <w:hyperlink r:id="rId712">
              <w:r>
                <w:rPr>
                  <w:rFonts w:ascii="Arial" w:cs="Arial" w:eastAsia="Arial" w:hAnsi="Arial"/>
                  <w:sz w:val="20"/>
                  <w:szCs w:val="20"/>
                  <w:color w:val="0000FF"/>
                  <w:w w:val="98"/>
                </w:rPr>
                <w:t>Towers Watson Limited Share Incentive Plan 2005 Deed of</w:t>
              </w:r>
            </w:hyperlink>
          </w:p>
        </w:tc>
        <w:tc>
          <w:tcPr>
            <w:tcW w:w="20" w:type="dxa"/>
            <w:vAlign w:val="bottom"/>
            <w:shd w:val="clear" w:color="auto" w:fill="CFF0FC"/>
          </w:tcPr>
          <w:p>
            <w:pPr>
              <w:spacing w:after="0"/>
              <w:rPr>
                <w:sz w:val="20"/>
                <w:szCs w:val="20"/>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9"/>
              </w:rPr>
              <w:t>10-K</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10.22</w:t>
            </w:r>
          </w:p>
        </w:tc>
        <w:tc>
          <w:tcPr>
            <w:tcW w:w="1760" w:type="dxa"/>
            <w:vAlign w:val="bottom"/>
            <w:shd w:val="clear" w:color="auto" w:fill="CFF0FC"/>
          </w:tcPr>
          <w:p>
            <w:pPr>
              <w:ind w:left="60"/>
              <w:spacing w:after="0"/>
              <w:rPr>
                <w:sz w:val="20"/>
                <w:szCs w:val="20"/>
                <w:color w:val="auto"/>
              </w:rPr>
            </w:pPr>
            <w:r>
              <w:rPr>
                <w:rFonts w:ascii="Arial" w:cs="Arial" w:eastAsia="Arial" w:hAnsi="Arial"/>
                <w:sz w:val="20"/>
                <w:szCs w:val="20"/>
                <w:color w:val="auto"/>
              </w:rPr>
              <w:t>September</w:t>
            </w:r>
          </w:p>
        </w:tc>
        <w:tc>
          <w:tcPr>
            <w:tcW w:w="200" w:type="dxa"/>
            <w:vAlign w:val="bottom"/>
          </w:tcPr>
          <w:p>
            <w:pPr>
              <w:spacing w:after="0"/>
              <w:rPr>
                <w:sz w:val="20"/>
                <w:szCs w:val="20"/>
                <w:color w:val="auto"/>
              </w:rPr>
            </w:pPr>
          </w:p>
        </w:tc>
      </w:tr>
      <w:tr>
        <w:trPr>
          <w:trHeight w:val="280"/>
        </w:trPr>
        <w:tc>
          <w:tcPr>
            <w:tcW w:w="180" w:type="dxa"/>
            <w:vAlign w:val="bottom"/>
          </w:tcPr>
          <w:p>
            <w:pPr>
              <w:spacing w:after="0"/>
              <w:rPr>
                <w:sz w:val="24"/>
                <w:szCs w:val="24"/>
                <w:color w:val="auto"/>
              </w:rPr>
            </w:pPr>
          </w:p>
        </w:tc>
        <w:tc>
          <w:tcPr>
            <w:tcW w:w="660" w:type="dxa"/>
            <w:vAlign w:val="bottom"/>
            <w:tcBorders>
              <w:top w:val="single" w:sz="8" w:color="CFF0FC"/>
            </w:tcBorders>
            <w:shd w:val="clear" w:color="auto" w:fill="CFF0FC"/>
          </w:tcPr>
          <w:p>
            <w:pPr>
              <w:spacing w:after="0"/>
              <w:rPr>
                <w:sz w:val="24"/>
                <w:szCs w:val="24"/>
                <w:color w:val="auto"/>
              </w:rPr>
            </w:pPr>
          </w:p>
        </w:tc>
        <w:tc>
          <w:tcPr>
            <w:tcW w:w="4840" w:type="dxa"/>
            <w:vAlign w:val="bottom"/>
            <w:tcBorders>
              <w:top w:val="single" w:sz="8" w:color="0000FF"/>
            </w:tcBorders>
            <w:gridSpan w:val="12"/>
            <w:shd w:val="clear" w:color="auto" w:fill="CFF0FC"/>
          </w:tcPr>
          <w:p>
            <w:pPr>
              <w:spacing w:after="0"/>
              <w:rPr>
                <w:rFonts w:ascii="Arial" w:cs="Arial" w:eastAsia="Arial" w:hAnsi="Arial"/>
                <w:sz w:val="20"/>
                <w:szCs w:val="20"/>
                <w:color w:val="0000FF"/>
              </w:rPr>
            </w:pPr>
            <w:hyperlink r:id="rId712">
              <w:r>
                <w:rPr>
                  <w:rFonts w:ascii="Arial" w:cs="Arial" w:eastAsia="Arial" w:hAnsi="Arial"/>
                  <w:sz w:val="20"/>
                  <w:szCs w:val="20"/>
                  <w:color w:val="0000FF"/>
                </w:rPr>
                <w:t>Amendment (U.K.)</w:t>
              </w:r>
            </w:hyperlink>
          </w:p>
        </w:tc>
        <w:tc>
          <w:tcPr>
            <w:tcW w:w="360" w:type="dxa"/>
            <w:vAlign w:val="bottom"/>
            <w:tcBorders>
              <w:top w:val="single" w:sz="8" w:color="CFF0FC"/>
            </w:tcBorders>
            <w:gridSpan w:val="4"/>
            <w:shd w:val="clear" w:color="auto" w:fill="CFF0FC"/>
          </w:tcPr>
          <w:p>
            <w:pPr>
              <w:spacing w:after="0"/>
              <w:rPr>
                <w:sz w:val="24"/>
                <w:szCs w:val="24"/>
                <w:color w:val="auto"/>
              </w:rPr>
            </w:pPr>
          </w:p>
        </w:tc>
        <w:tc>
          <w:tcPr>
            <w:tcW w:w="20" w:type="dxa"/>
            <w:vAlign w:val="bottom"/>
            <w:tcBorders>
              <w:top w:val="single" w:sz="8" w:color="CFF0FC"/>
            </w:tcBorders>
            <w:shd w:val="clear" w:color="auto" w:fill="CFF0FC"/>
          </w:tcPr>
          <w:p>
            <w:pPr>
              <w:spacing w:after="0"/>
              <w:rPr>
                <w:sz w:val="24"/>
                <w:szCs w:val="24"/>
                <w:color w:val="auto"/>
              </w:rPr>
            </w:pPr>
          </w:p>
        </w:tc>
        <w:tc>
          <w:tcPr>
            <w:tcW w:w="760" w:type="dxa"/>
            <w:vAlign w:val="bottom"/>
            <w:tcBorders>
              <w:top w:val="single" w:sz="8" w:color="CFF0FC"/>
            </w:tcBorders>
            <w:shd w:val="clear" w:color="auto" w:fill="CFF0FC"/>
          </w:tcPr>
          <w:p>
            <w:pPr>
              <w:spacing w:after="0"/>
              <w:rPr>
                <w:sz w:val="24"/>
                <w:szCs w:val="24"/>
                <w:color w:val="auto"/>
              </w:rPr>
            </w:pPr>
          </w:p>
        </w:tc>
        <w:tc>
          <w:tcPr>
            <w:tcW w:w="620" w:type="dxa"/>
            <w:vAlign w:val="bottom"/>
            <w:tcBorders>
              <w:top w:val="single" w:sz="8" w:color="CFF0FC"/>
            </w:tcBorders>
            <w:shd w:val="clear" w:color="auto" w:fill="CFF0FC"/>
          </w:tcPr>
          <w:p>
            <w:pPr>
              <w:spacing w:after="0"/>
              <w:rPr>
                <w:sz w:val="24"/>
                <w:szCs w:val="24"/>
                <w:color w:val="auto"/>
              </w:rPr>
            </w:pPr>
          </w:p>
        </w:tc>
        <w:tc>
          <w:tcPr>
            <w:tcW w:w="1760" w:type="dxa"/>
            <w:vAlign w:val="bottom"/>
            <w:tcBorders>
              <w:top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1, 2006</w:t>
            </w: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Borders>
              <w:top w:val="single" w:sz="8" w:color="CFF0FC"/>
            </w:tcBorders>
            <w:shd w:val="clear" w:color="auto" w:fill="CFF0FC"/>
          </w:tcPr>
          <w:p>
            <w:pPr>
              <w:spacing w:after="0"/>
              <w:rPr>
                <w:sz w:val="3"/>
                <w:szCs w:val="3"/>
                <w:color w:val="auto"/>
              </w:rPr>
            </w:pPr>
          </w:p>
        </w:tc>
        <w:tc>
          <w:tcPr>
            <w:tcW w:w="460" w:type="dxa"/>
            <w:vAlign w:val="bottom"/>
            <w:tcBorders>
              <w:top w:val="single" w:sz="8" w:color="0000FF"/>
            </w:tcBorders>
            <w:shd w:val="clear" w:color="auto" w:fill="CFF0FC"/>
          </w:tcPr>
          <w:p>
            <w:pPr>
              <w:spacing w:after="0"/>
              <w:rPr>
                <w:sz w:val="3"/>
                <w:szCs w:val="3"/>
                <w:color w:val="auto"/>
              </w:rPr>
            </w:pPr>
          </w:p>
        </w:tc>
        <w:tc>
          <w:tcPr>
            <w:tcW w:w="680" w:type="dxa"/>
            <w:vAlign w:val="bottom"/>
            <w:tcBorders>
              <w:top w:val="single" w:sz="8" w:color="0000FF"/>
            </w:tcBorders>
            <w:shd w:val="clear" w:color="auto" w:fill="CFF0FC"/>
          </w:tcPr>
          <w:p>
            <w:pPr>
              <w:spacing w:after="0"/>
              <w:rPr>
                <w:sz w:val="3"/>
                <w:szCs w:val="3"/>
                <w:color w:val="auto"/>
              </w:rPr>
            </w:pPr>
          </w:p>
        </w:tc>
        <w:tc>
          <w:tcPr>
            <w:tcW w:w="420" w:type="dxa"/>
            <w:vAlign w:val="bottom"/>
            <w:tcBorders>
              <w:top w:val="single" w:sz="8" w:color="0000FF"/>
            </w:tcBorders>
            <w:shd w:val="clear" w:color="auto" w:fill="CFF0FC"/>
          </w:tcPr>
          <w:p>
            <w:pPr>
              <w:spacing w:after="0"/>
              <w:rPr>
                <w:sz w:val="3"/>
                <w:szCs w:val="3"/>
                <w:color w:val="auto"/>
              </w:rPr>
            </w:pPr>
          </w:p>
        </w:tc>
        <w:tc>
          <w:tcPr>
            <w:tcW w:w="620" w:type="dxa"/>
            <w:vAlign w:val="bottom"/>
            <w:tcBorders>
              <w:top w:val="single" w:sz="8" w:color="CFF0FC"/>
            </w:tcBorders>
            <w:shd w:val="clear" w:color="auto" w:fill="CFF0FC"/>
          </w:tcPr>
          <w:p>
            <w:pPr>
              <w:spacing w:after="0"/>
              <w:rPr>
                <w:sz w:val="3"/>
                <w:szCs w:val="3"/>
                <w:color w:val="auto"/>
              </w:rPr>
            </w:pPr>
          </w:p>
        </w:tc>
        <w:tc>
          <w:tcPr>
            <w:tcW w:w="240" w:type="dxa"/>
            <w:vAlign w:val="bottom"/>
            <w:tcBorders>
              <w:top w:val="single" w:sz="8" w:color="CFF0FC"/>
            </w:tcBorders>
            <w:shd w:val="clear" w:color="auto" w:fill="CFF0FC"/>
          </w:tcPr>
          <w:p>
            <w:pPr>
              <w:spacing w:after="0"/>
              <w:rPr>
                <w:sz w:val="3"/>
                <w:szCs w:val="3"/>
                <w:color w:val="auto"/>
              </w:rPr>
            </w:pPr>
          </w:p>
        </w:tc>
        <w:tc>
          <w:tcPr>
            <w:tcW w:w="840" w:type="dxa"/>
            <w:vAlign w:val="bottom"/>
            <w:tcBorders>
              <w:top w:val="single" w:sz="8" w:color="CFF0FC"/>
            </w:tcBorders>
            <w:shd w:val="clear" w:color="auto" w:fill="CFF0FC"/>
          </w:tcPr>
          <w:p>
            <w:pPr>
              <w:spacing w:after="0"/>
              <w:rPr>
                <w:sz w:val="3"/>
                <w:szCs w:val="3"/>
                <w:color w:val="auto"/>
              </w:rPr>
            </w:pPr>
          </w:p>
        </w:tc>
        <w:tc>
          <w:tcPr>
            <w:tcW w:w="1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200" w:type="dxa"/>
            <w:vAlign w:val="bottom"/>
            <w:tcBorders>
              <w:top w:val="single" w:sz="8" w:color="CFF0FC"/>
            </w:tcBorders>
            <w:shd w:val="clear" w:color="auto" w:fill="CFF0FC"/>
          </w:tcPr>
          <w:p>
            <w:pPr>
              <w:spacing w:after="0"/>
              <w:rPr>
                <w:sz w:val="3"/>
                <w:szCs w:val="3"/>
                <w:color w:val="auto"/>
              </w:rPr>
            </w:pPr>
          </w:p>
        </w:tc>
        <w:tc>
          <w:tcPr>
            <w:tcW w:w="1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80" w:type="dxa"/>
            <w:vAlign w:val="bottom"/>
            <w:tcBorders>
              <w:top w:val="single" w:sz="8" w:color="CFF0FC"/>
            </w:tcBorders>
            <w:shd w:val="clear" w:color="auto" w:fill="CFF0FC"/>
          </w:tcPr>
          <w:p>
            <w:pPr>
              <w:spacing w:after="0"/>
              <w:rPr>
                <w:sz w:val="3"/>
                <w:szCs w:val="3"/>
                <w:color w:val="auto"/>
              </w:rPr>
            </w:pPr>
          </w:p>
        </w:tc>
        <w:tc>
          <w:tcPr>
            <w:tcW w:w="10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760" w:type="dxa"/>
            <w:vAlign w:val="bottom"/>
            <w:tcBorders>
              <w:top w:val="single" w:sz="8" w:color="CFF0FC"/>
            </w:tcBorders>
            <w:shd w:val="clear" w:color="auto" w:fill="CFF0FC"/>
          </w:tcPr>
          <w:p>
            <w:pPr>
              <w:spacing w:after="0"/>
              <w:rPr>
                <w:sz w:val="3"/>
                <w:szCs w:val="3"/>
                <w:color w:val="auto"/>
              </w:rPr>
            </w:pPr>
          </w:p>
        </w:tc>
        <w:tc>
          <w:tcPr>
            <w:tcW w:w="620" w:type="dxa"/>
            <w:vAlign w:val="bottom"/>
            <w:tcBorders>
              <w:top w:val="single" w:sz="8" w:color="CFF0FC"/>
            </w:tcBorders>
            <w:shd w:val="clear" w:color="auto" w:fill="CFF0FC"/>
          </w:tcPr>
          <w:p>
            <w:pPr>
              <w:spacing w:after="0"/>
              <w:rPr>
                <w:sz w:val="3"/>
                <w:szCs w:val="3"/>
                <w:color w:val="auto"/>
              </w:rPr>
            </w:pPr>
          </w:p>
        </w:tc>
        <w:tc>
          <w:tcPr>
            <w:tcW w:w="1760" w:type="dxa"/>
            <w:vAlign w:val="bottom"/>
            <w:tcBorders>
              <w:top w:val="single" w:sz="8" w:color="CFF0FC"/>
            </w:tcBorders>
            <w:shd w:val="clear" w:color="auto" w:fill="CFF0FC"/>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5860" w:type="dxa"/>
            <w:vAlign w:val="bottom"/>
            <w:gridSpan w:val="17"/>
          </w:tcPr>
          <w:p>
            <w:pPr>
              <w:ind w:left="20"/>
              <w:spacing w:after="0"/>
              <w:rPr>
                <w:rFonts w:ascii="Arial" w:cs="Arial" w:eastAsia="Arial" w:hAnsi="Arial"/>
                <w:sz w:val="20"/>
                <w:szCs w:val="20"/>
                <w:color w:val="auto"/>
                <w:w w:val="98"/>
              </w:rPr>
            </w:pPr>
            <w:r>
              <w:rPr>
                <w:rFonts w:ascii="Arial" w:cs="Arial" w:eastAsia="Arial" w:hAnsi="Arial"/>
                <w:sz w:val="20"/>
                <w:szCs w:val="20"/>
                <w:color w:val="auto"/>
                <w:w w:val="98"/>
              </w:rPr>
              <w:t xml:space="preserve">10.32† </w:t>
            </w:r>
            <w:hyperlink r:id="rId713">
              <w:r>
                <w:rPr>
                  <w:rFonts w:ascii="Arial" w:cs="Arial" w:eastAsia="Arial" w:hAnsi="Arial"/>
                  <w:sz w:val="20"/>
                  <w:szCs w:val="20"/>
                  <w:color w:val="0000FF"/>
                  <w:w w:val="98"/>
                </w:rPr>
                <w:t>Towers Watson Limited Share Incentive Plan 2005 Deed to</w:t>
              </w:r>
            </w:hyperlink>
          </w:p>
        </w:tc>
        <w:tc>
          <w:tcPr>
            <w:tcW w:w="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99"/>
              </w:rPr>
              <w:t>10-K</w:t>
            </w:r>
          </w:p>
        </w:tc>
        <w:tc>
          <w:tcPr>
            <w:tcW w:w="620" w:type="dxa"/>
            <w:vAlign w:val="bottom"/>
          </w:tcPr>
          <w:p>
            <w:pPr>
              <w:jc w:val="center"/>
              <w:spacing w:after="0"/>
              <w:rPr>
                <w:sz w:val="20"/>
                <w:szCs w:val="20"/>
                <w:color w:val="auto"/>
              </w:rPr>
            </w:pPr>
            <w:r>
              <w:rPr>
                <w:rFonts w:ascii="Arial" w:cs="Arial" w:eastAsia="Arial" w:hAnsi="Arial"/>
                <w:sz w:val="20"/>
                <w:szCs w:val="20"/>
                <w:color w:val="auto"/>
                <w:w w:val="87"/>
              </w:rPr>
              <w:t>10.10</w:t>
            </w:r>
          </w:p>
        </w:tc>
        <w:tc>
          <w:tcPr>
            <w:tcW w:w="1960" w:type="dxa"/>
            <w:vAlign w:val="bottom"/>
            <w:gridSpan w:val="2"/>
          </w:tcPr>
          <w:p>
            <w:pPr>
              <w:ind w:left="60"/>
              <w:spacing w:after="0"/>
              <w:rPr>
                <w:sz w:val="20"/>
                <w:szCs w:val="20"/>
                <w:color w:val="auto"/>
              </w:rPr>
            </w:pPr>
            <w:r>
              <w:rPr>
                <w:rFonts w:ascii="Arial" w:cs="Arial" w:eastAsia="Arial" w:hAnsi="Arial"/>
                <w:sz w:val="20"/>
                <w:szCs w:val="20"/>
                <w:color w:val="auto"/>
              </w:rPr>
              <w:t>August 29,</w:t>
            </w: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20" w:type="dxa"/>
            <w:vAlign w:val="bottom"/>
            <w:tcBorders>
              <w:top w:val="single" w:sz="8" w:color="0000FF"/>
            </w:tcBorders>
            <w:gridSpan w:val="11"/>
          </w:tcPr>
          <w:p>
            <w:pPr>
              <w:spacing w:after="0"/>
              <w:rPr>
                <w:rFonts w:ascii="Arial" w:cs="Arial" w:eastAsia="Arial" w:hAnsi="Arial"/>
                <w:sz w:val="20"/>
                <w:szCs w:val="20"/>
                <w:color w:val="0000FF"/>
              </w:rPr>
            </w:pPr>
            <w:hyperlink r:id="rId713">
              <w:r>
                <w:rPr>
                  <w:rFonts w:ascii="Arial" w:cs="Arial" w:eastAsia="Arial" w:hAnsi="Arial"/>
                  <w:sz w:val="20"/>
                  <w:szCs w:val="20"/>
                  <w:color w:val="0000FF"/>
                </w:rPr>
                <w:t>Change the Trust Deed and Rules (U.K.)</w:t>
              </w:r>
            </w:hyperlink>
          </w:p>
        </w:tc>
        <w:tc>
          <w:tcPr>
            <w:tcW w:w="3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Arial" w:cs="Arial" w:eastAsia="Arial" w:hAnsi="Arial"/>
                <w:sz w:val="20"/>
                <w:szCs w:val="20"/>
                <w:color w:val="auto"/>
              </w:rPr>
              <w:t>2012</w:t>
            </w: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6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5860" w:type="dxa"/>
            <w:vAlign w:val="bottom"/>
            <w:gridSpan w:val="17"/>
            <w:shd w:val="clear" w:color="auto" w:fill="CFF0FC"/>
          </w:tcPr>
          <w:p>
            <w:pPr>
              <w:ind w:left="20"/>
              <w:spacing w:after="0"/>
              <w:rPr>
                <w:rFonts w:ascii="Arial" w:cs="Arial" w:eastAsia="Arial" w:hAnsi="Arial"/>
                <w:sz w:val="20"/>
                <w:szCs w:val="20"/>
                <w:color w:val="auto"/>
                <w:w w:val="93"/>
              </w:rPr>
            </w:pPr>
            <w:r>
              <w:rPr>
                <w:rFonts w:ascii="Arial" w:cs="Arial" w:eastAsia="Arial" w:hAnsi="Arial"/>
                <w:sz w:val="20"/>
                <w:szCs w:val="20"/>
                <w:color w:val="auto"/>
                <w:w w:val="93"/>
              </w:rPr>
              <w:t xml:space="preserve">10.33† </w:t>
            </w:r>
            <w:hyperlink r:id="rId714">
              <w:r>
                <w:rPr>
                  <w:rFonts w:ascii="Arial" w:cs="Arial" w:eastAsia="Arial" w:hAnsi="Arial"/>
                  <w:sz w:val="20"/>
                  <w:szCs w:val="20"/>
                  <w:color w:val="0000FF"/>
                  <w:w w:val="93"/>
                </w:rPr>
                <w:t>Willis Towers Watson Non-Qualified Deferred Savings Plan for</w:t>
              </w:r>
            </w:hyperlink>
          </w:p>
        </w:tc>
        <w:tc>
          <w:tcPr>
            <w:tcW w:w="20" w:type="dxa"/>
            <w:vAlign w:val="bottom"/>
            <w:shd w:val="clear" w:color="auto" w:fill="CFF0FC"/>
          </w:tcPr>
          <w:p>
            <w:pPr>
              <w:spacing w:after="0"/>
              <w:rPr>
                <w:sz w:val="20"/>
                <w:szCs w:val="20"/>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4"/>
              </w:rPr>
              <w:t>10-Q</w:t>
            </w:r>
          </w:p>
        </w:tc>
        <w:tc>
          <w:tcPr>
            <w:tcW w:w="6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2"/>
              </w:rPr>
              <w:t>10.1</w:t>
            </w:r>
          </w:p>
        </w:tc>
        <w:tc>
          <w:tcPr>
            <w:tcW w:w="1760" w:type="dxa"/>
            <w:vAlign w:val="bottom"/>
            <w:shd w:val="clear" w:color="auto" w:fill="CFF0FC"/>
          </w:tcPr>
          <w:p>
            <w:pPr>
              <w:ind w:left="60"/>
              <w:spacing w:after="0"/>
              <w:rPr>
                <w:sz w:val="20"/>
                <w:szCs w:val="20"/>
                <w:color w:val="auto"/>
              </w:rPr>
            </w:pPr>
            <w:r>
              <w:rPr>
                <w:rFonts w:ascii="Arial" w:cs="Arial" w:eastAsia="Arial" w:hAnsi="Arial"/>
                <w:sz w:val="20"/>
                <w:szCs w:val="20"/>
                <w:color w:val="auto"/>
              </w:rPr>
              <w:t>November</w:t>
            </w:r>
          </w:p>
        </w:tc>
        <w:tc>
          <w:tcPr>
            <w:tcW w:w="200" w:type="dxa"/>
            <w:vAlign w:val="bottom"/>
          </w:tcPr>
          <w:p>
            <w:pPr>
              <w:spacing w:after="0"/>
              <w:rPr>
                <w:sz w:val="20"/>
                <w:szCs w:val="20"/>
                <w:color w:val="auto"/>
              </w:rPr>
            </w:pPr>
          </w:p>
        </w:tc>
      </w:tr>
      <w:tr>
        <w:trPr>
          <w:trHeight w:val="280"/>
        </w:trPr>
        <w:tc>
          <w:tcPr>
            <w:tcW w:w="180" w:type="dxa"/>
            <w:vAlign w:val="bottom"/>
          </w:tcPr>
          <w:p>
            <w:pPr>
              <w:spacing w:after="0"/>
              <w:rPr>
                <w:sz w:val="24"/>
                <w:szCs w:val="24"/>
                <w:color w:val="auto"/>
              </w:rPr>
            </w:pPr>
          </w:p>
        </w:tc>
        <w:tc>
          <w:tcPr>
            <w:tcW w:w="660" w:type="dxa"/>
            <w:vAlign w:val="bottom"/>
            <w:tcBorders>
              <w:top w:val="single" w:sz="8" w:color="CFF0FC"/>
            </w:tcBorders>
            <w:shd w:val="clear" w:color="auto" w:fill="CFF0FC"/>
          </w:tcPr>
          <w:p>
            <w:pPr>
              <w:spacing w:after="0"/>
              <w:rPr>
                <w:sz w:val="24"/>
                <w:szCs w:val="24"/>
                <w:color w:val="auto"/>
              </w:rPr>
            </w:pPr>
          </w:p>
        </w:tc>
        <w:tc>
          <w:tcPr>
            <w:tcW w:w="5200" w:type="dxa"/>
            <w:vAlign w:val="bottom"/>
            <w:tcBorders>
              <w:top w:val="single" w:sz="8" w:color="0000FF"/>
            </w:tcBorders>
            <w:gridSpan w:val="16"/>
            <w:shd w:val="clear" w:color="auto" w:fill="CFF0FC"/>
          </w:tcPr>
          <w:p>
            <w:pPr>
              <w:spacing w:after="0"/>
              <w:rPr>
                <w:rFonts w:ascii="Arial" w:cs="Arial" w:eastAsia="Arial" w:hAnsi="Arial"/>
                <w:sz w:val="20"/>
                <w:szCs w:val="20"/>
                <w:color w:val="0000FF"/>
                <w:w w:val="92"/>
              </w:rPr>
            </w:pPr>
            <w:hyperlink r:id="rId714">
              <w:r>
                <w:rPr>
                  <w:rFonts w:ascii="Arial" w:cs="Arial" w:eastAsia="Arial" w:hAnsi="Arial"/>
                  <w:sz w:val="20"/>
                  <w:szCs w:val="20"/>
                  <w:color w:val="0000FF"/>
                  <w:w w:val="92"/>
                </w:rPr>
                <w:t>U.S. Employees (as amended and restated effective January 1,</w:t>
              </w:r>
            </w:hyperlink>
          </w:p>
        </w:tc>
        <w:tc>
          <w:tcPr>
            <w:tcW w:w="20" w:type="dxa"/>
            <w:vAlign w:val="bottom"/>
            <w:tcBorders>
              <w:top w:val="single" w:sz="8" w:color="CFF0FC"/>
            </w:tcBorders>
            <w:shd w:val="clear" w:color="auto" w:fill="CFF0FC"/>
          </w:tcPr>
          <w:p>
            <w:pPr>
              <w:spacing w:after="0"/>
              <w:rPr>
                <w:sz w:val="24"/>
                <w:szCs w:val="24"/>
                <w:color w:val="auto"/>
              </w:rPr>
            </w:pPr>
          </w:p>
        </w:tc>
        <w:tc>
          <w:tcPr>
            <w:tcW w:w="760" w:type="dxa"/>
            <w:vAlign w:val="bottom"/>
            <w:tcBorders>
              <w:top w:val="single" w:sz="8" w:color="CFF0FC"/>
            </w:tcBorders>
            <w:shd w:val="clear" w:color="auto" w:fill="CFF0FC"/>
          </w:tcPr>
          <w:p>
            <w:pPr>
              <w:spacing w:after="0"/>
              <w:rPr>
                <w:sz w:val="24"/>
                <w:szCs w:val="24"/>
                <w:color w:val="auto"/>
              </w:rPr>
            </w:pPr>
          </w:p>
        </w:tc>
        <w:tc>
          <w:tcPr>
            <w:tcW w:w="620" w:type="dxa"/>
            <w:vAlign w:val="bottom"/>
            <w:tcBorders>
              <w:top w:val="single" w:sz="8" w:color="CFF0FC"/>
            </w:tcBorders>
            <w:shd w:val="clear" w:color="auto" w:fill="CFF0FC"/>
          </w:tcPr>
          <w:p>
            <w:pPr>
              <w:spacing w:after="0"/>
              <w:rPr>
                <w:sz w:val="24"/>
                <w:szCs w:val="24"/>
                <w:color w:val="auto"/>
              </w:rPr>
            </w:pPr>
          </w:p>
        </w:tc>
        <w:tc>
          <w:tcPr>
            <w:tcW w:w="1760" w:type="dxa"/>
            <w:vAlign w:val="bottom"/>
            <w:tcBorders>
              <w:top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7, 2016</w:t>
            </w:r>
          </w:p>
        </w:tc>
        <w:tc>
          <w:tcPr>
            <w:tcW w:w="200" w:type="dxa"/>
            <w:vAlign w:val="bottom"/>
          </w:tcPr>
          <w:p>
            <w:pPr>
              <w:spacing w:after="0"/>
              <w:rPr>
                <w:sz w:val="24"/>
                <w:szCs w:val="24"/>
                <w:color w:val="auto"/>
              </w:rPr>
            </w:pPr>
          </w:p>
        </w:tc>
      </w:tr>
      <w:tr>
        <w:trPr>
          <w:trHeight w:val="326"/>
        </w:trPr>
        <w:tc>
          <w:tcPr>
            <w:tcW w:w="180" w:type="dxa"/>
            <w:vAlign w:val="bottom"/>
          </w:tcPr>
          <w:p>
            <w:pPr>
              <w:spacing w:after="0"/>
              <w:rPr>
                <w:sz w:val="24"/>
                <w:szCs w:val="24"/>
                <w:color w:val="auto"/>
              </w:rPr>
            </w:pPr>
          </w:p>
        </w:tc>
        <w:tc>
          <w:tcPr>
            <w:tcW w:w="660" w:type="dxa"/>
            <w:vAlign w:val="bottom"/>
            <w:tcBorders>
              <w:top w:val="single" w:sz="8" w:color="CFF0FC"/>
              <w:bottom w:val="single" w:sz="8" w:color="CFF0FC"/>
            </w:tcBorders>
            <w:shd w:val="clear" w:color="auto" w:fill="CFF0FC"/>
          </w:tcPr>
          <w:p>
            <w:pPr>
              <w:spacing w:after="0"/>
              <w:rPr>
                <w:sz w:val="24"/>
                <w:szCs w:val="24"/>
                <w:color w:val="auto"/>
              </w:rPr>
            </w:pPr>
          </w:p>
        </w:tc>
        <w:tc>
          <w:tcPr>
            <w:tcW w:w="460" w:type="dxa"/>
            <w:vAlign w:val="bottom"/>
            <w:tcBorders>
              <w:top w:val="single" w:sz="8" w:color="0000FF"/>
              <w:bottom w:val="single" w:sz="8" w:color="0000FF"/>
            </w:tcBorders>
            <w:shd w:val="clear" w:color="auto" w:fill="CFF0FC"/>
          </w:tcPr>
          <w:p>
            <w:pPr>
              <w:spacing w:after="0"/>
              <w:rPr>
                <w:rFonts w:ascii="Arial" w:cs="Arial" w:eastAsia="Arial" w:hAnsi="Arial"/>
                <w:sz w:val="20"/>
                <w:szCs w:val="20"/>
                <w:color w:val="0000FF"/>
                <w:w w:val="85"/>
              </w:rPr>
            </w:pPr>
            <w:hyperlink r:id="rId714">
              <w:r>
                <w:rPr>
                  <w:rFonts w:ascii="Arial" w:cs="Arial" w:eastAsia="Arial" w:hAnsi="Arial"/>
                  <w:sz w:val="20"/>
                  <w:szCs w:val="20"/>
                  <w:color w:val="0000FF"/>
                  <w:w w:val="85"/>
                </w:rPr>
                <w:t>2017)</w:t>
              </w:r>
            </w:hyperlink>
          </w:p>
        </w:tc>
        <w:tc>
          <w:tcPr>
            <w:tcW w:w="680" w:type="dxa"/>
            <w:vAlign w:val="bottom"/>
            <w:tcBorders>
              <w:top w:val="single" w:sz="8" w:color="0000FF"/>
              <w:bottom w:val="single" w:sz="8" w:color="CFF0FC"/>
            </w:tcBorders>
            <w:shd w:val="clear" w:color="auto" w:fill="CFF0FC"/>
          </w:tcPr>
          <w:p>
            <w:pPr>
              <w:spacing w:after="0"/>
              <w:rPr>
                <w:sz w:val="24"/>
                <w:szCs w:val="24"/>
                <w:color w:val="auto"/>
              </w:rPr>
            </w:pPr>
          </w:p>
        </w:tc>
        <w:tc>
          <w:tcPr>
            <w:tcW w:w="420" w:type="dxa"/>
            <w:vAlign w:val="bottom"/>
            <w:tcBorders>
              <w:top w:val="single" w:sz="8" w:color="0000FF"/>
              <w:bottom w:val="single" w:sz="8" w:color="CFF0FC"/>
            </w:tcBorders>
            <w:shd w:val="clear" w:color="auto" w:fill="CFF0FC"/>
          </w:tcPr>
          <w:p>
            <w:pPr>
              <w:spacing w:after="0"/>
              <w:rPr>
                <w:sz w:val="24"/>
                <w:szCs w:val="24"/>
                <w:color w:val="auto"/>
              </w:rPr>
            </w:pPr>
          </w:p>
        </w:tc>
        <w:tc>
          <w:tcPr>
            <w:tcW w:w="620" w:type="dxa"/>
            <w:vAlign w:val="bottom"/>
            <w:tcBorders>
              <w:top w:val="single" w:sz="8" w:color="0000FF"/>
              <w:bottom w:val="single" w:sz="8" w:color="CFF0FC"/>
            </w:tcBorders>
            <w:shd w:val="clear" w:color="auto" w:fill="CFF0FC"/>
          </w:tcPr>
          <w:p>
            <w:pPr>
              <w:spacing w:after="0"/>
              <w:rPr>
                <w:sz w:val="24"/>
                <w:szCs w:val="24"/>
                <w:color w:val="auto"/>
              </w:rPr>
            </w:pPr>
          </w:p>
        </w:tc>
        <w:tc>
          <w:tcPr>
            <w:tcW w:w="240" w:type="dxa"/>
            <w:vAlign w:val="bottom"/>
            <w:tcBorders>
              <w:top w:val="single" w:sz="8" w:color="0000FF"/>
              <w:bottom w:val="single" w:sz="8" w:color="CFF0FC"/>
            </w:tcBorders>
            <w:shd w:val="clear" w:color="auto" w:fill="CFF0FC"/>
          </w:tcPr>
          <w:p>
            <w:pPr>
              <w:spacing w:after="0"/>
              <w:rPr>
                <w:sz w:val="24"/>
                <w:szCs w:val="24"/>
                <w:color w:val="auto"/>
              </w:rPr>
            </w:pPr>
          </w:p>
        </w:tc>
        <w:tc>
          <w:tcPr>
            <w:tcW w:w="840" w:type="dxa"/>
            <w:vAlign w:val="bottom"/>
            <w:tcBorders>
              <w:top w:val="single" w:sz="8" w:color="0000FF"/>
              <w:bottom w:val="single" w:sz="8" w:color="CFF0FC"/>
            </w:tcBorders>
            <w:shd w:val="clear" w:color="auto" w:fill="CFF0FC"/>
          </w:tcPr>
          <w:p>
            <w:pPr>
              <w:spacing w:after="0"/>
              <w:rPr>
                <w:sz w:val="24"/>
                <w:szCs w:val="24"/>
                <w:color w:val="auto"/>
              </w:rPr>
            </w:pPr>
          </w:p>
        </w:tc>
        <w:tc>
          <w:tcPr>
            <w:tcW w:w="140" w:type="dxa"/>
            <w:vAlign w:val="bottom"/>
            <w:tcBorders>
              <w:top w:val="single" w:sz="8" w:color="0000FF"/>
              <w:bottom w:val="single" w:sz="8" w:color="CFF0FC"/>
            </w:tcBorders>
            <w:shd w:val="clear" w:color="auto" w:fill="CFF0FC"/>
          </w:tcPr>
          <w:p>
            <w:pPr>
              <w:spacing w:after="0"/>
              <w:rPr>
                <w:sz w:val="24"/>
                <w:szCs w:val="24"/>
                <w:color w:val="auto"/>
              </w:rPr>
            </w:pPr>
          </w:p>
        </w:tc>
        <w:tc>
          <w:tcPr>
            <w:tcW w:w="20" w:type="dxa"/>
            <w:vAlign w:val="bottom"/>
            <w:tcBorders>
              <w:top w:val="single" w:sz="8" w:color="0000FF"/>
              <w:bottom w:val="single" w:sz="8" w:color="CFF0FC"/>
            </w:tcBorders>
            <w:shd w:val="clear" w:color="auto" w:fill="CFF0FC"/>
          </w:tcPr>
          <w:p>
            <w:pPr>
              <w:spacing w:after="0"/>
              <w:rPr>
                <w:sz w:val="24"/>
                <w:szCs w:val="24"/>
                <w:color w:val="auto"/>
              </w:rPr>
            </w:pPr>
          </w:p>
        </w:tc>
        <w:tc>
          <w:tcPr>
            <w:tcW w:w="1200" w:type="dxa"/>
            <w:vAlign w:val="bottom"/>
            <w:tcBorders>
              <w:top w:val="single" w:sz="8" w:color="0000FF"/>
              <w:bottom w:val="single" w:sz="8" w:color="CFF0FC"/>
            </w:tcBorders>
            <w:shd w:val="clear" w:color="auto" w:fill="CFF0FC"/>
          </w:tcPr>
          <w:p>
            <w:pPr>
              <w:spacing w:after="0"/>
              <w:rPr>
                <w:sz w:val="24"/>
                <w:szCs w:val="24"/>
                <w:color w:val="auto"/>
              </w:rPr>
            </w:pPr>
          </w:p>
        </w:tc>
        <w:tc>
          <w:tcPr>
            <w:tcW w:w="180" w:type="dxa"/>
            <w:vAlign w:val="bottom"/>
            <w:tcBorders>
              <w:top w:val="single" w:sz="8" w:color="0000FF"/>
              <w:bottom w:val="single" w:sz="8" w:color="CFF0FC"/>
            </w:tcBorders>
            <w:shd w:val="clear" w:color="auto" w:fill="CFF0FC"/>
          </w:tcPr>
          <w:p>
            <w:pPr>
              <w:spacing w:after="0"/>
              <w:rPr>
                <w:sz w:val="24"/>
                <w:szCs w:val="24"/>
                <w:color w:val="auto"/>
              </w:rPr>
            </w:pPr>
          </w:p>
        </w:tc>
        <w:tc>
          <w:tcPr>
            <w:tcW w:w="20" w:type="dxa"/>
            <w:vAlign w:val="bottom"/>
            <w:tcBorders>
              <w:top w:val="single" w:sz="8" w:color="0000FF"/>
              <w:bottom w:val="single" w:sz="8" w:color="CFF0FC"/>
            </w:tcBorders>
            <w:shd w:val="clear" w:color="auto" w:fill="CFF0FC"/>
          </w:tcPr>
          <w:p>
            <w:pPr>
              <w:spacing w:after="0"/>
              <w:rPr>
                <w:sz w:val="24"/>
                <w:szCs w:val="24"/>
                <w:color w:val="auto"/>
              </w:rPr>
            </w:pPr>
          </w:p>
        </w:tc>
        <w:tc>
          <w:tcPr>
            <w:tcW w:w="20" w:type="dxa"/>
            <w:vAlign w:val="bottom"/>
            <w:tcBorders>
              <w:top w:val="single" w:sz="8" w:color="0000FF"/>
              <w:bottom w:val="single" w:sz="8" w:color="CFF0FC"/>
            </w:tcBorders>
            <w:shd w:val="clear" w:color="auto" w:fill="CFF0FC"/>
          </w:tcPr>
          <w:p>
            <w:pPr>
              <w:spacing w:after="0"/>
              <w:rPr>
                <w:sz w:val="24"/>
                <w:szCs w:val="24"/>
                <w:color w:val="auto"/>
              </w:rPr>
            </w:pPr>
          </w:p>
        </w:tc>
        <w:tc>
          <w:tcPr>
            <w:tcW w:w="20" w:type="dxa"/>
            <w:vAlign w:val="bottom"/>
            <w:tcBorders>
              <w:top w:val="single" w:sz="8" w:color="0000FF"/>
              <w:bottom w:val="single" w:sz="8" w:color="CFF0FC"/>
            </w:tcBorders>
            <w:shd w:val="clear" w:color="auto" w:fill="CFF0FC"/>
          </w:tcPr>
          <w:p>
            <w:pPr>
              <w:spacing w:after="0"/>
              <w:rPr>
                <w:sz w:val="24"/>
                <w:szCs w:val="24"/>
                <w:color w:val="auto"/>
              </w:rPr>
            </w:pPr>
          </w:p>
        </w:tc>
        <w:tc>
          <w:tcPr>
            <w:tcW w:w="180" w:type="dxa"/>
            <w:vAlign w:val="bottom"/>
            <w:tcBorders>
              <w:top w:val="single" w:sz="8" w:color="0000FF"/>
              <w:bottom w:val="single" w:sz="8" w:color="CFF0FC"/>
            </w:tcBorders>
            <w:shd w:val="clear" w:color="auto" w:fill="CFF0FC"/>
          </w:tcPr>
          <w:p>
            <w:pPr>
              <w:spacing w:after="0"/>
              <w:rPr>
                <w:sz w:val="24"/>
                <w:szCs w:val="24"/>
                <w:color w:val="auto"/>
              </w:rPr>
            </w:pP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60" w:type="dxa"/>
            <w:vAlign w:val="bottom"/>
            <w:tcBorders>
              <w:top w:val="single" w:sz="8" w:color="CFF0FC"/>
              <w:bottom w:val="single" w:sz="8" w:color="CFF0FC"/>
            </w:tcBorders>
            <w:shd w:val="clear" w:color="auto" w:fill="CFF0FC"/>
          </w:tcPr>
          <w:p>
            <w:pPr>
              <w:spacing w:after="0"/>
              <w:rPr>
                <w:sz w:val="24"/>
                <w:szCs w:val="24"/>
                <w:color w:val="auto"/>
              </w:rPr>
            </w:pPr>
          </w:p>
        </w:tc>
        <w:tc>
          <w:tcPr>
            <w:tcW w:w="20" w:type="dxa"/>
            <w:vAlign w:val="bottom"/>
            <w:tcBorders>
              <w:top w:val="single" w:sz="8" w:color="CFF0FC"/>
              <w:bottom w:val="single" w:sz="8" w:color="CFF0FC"/>
            </w:tcBorders>
            <w:shd w:val="clear" w:color="auto" w:fill="CFF0FC"/>
          </w:tcPr>
          <w:p>
            <w:pPr>
              <w:spacing w:after="0"/>
              <w:rPr>
                <w:sz w:val="24"/>
                <w:szCs w:val="24"/>
                <w:color w:val="auto"/>
              </w:rPr>
            </w:pPr>
          </w:p>
        </w:tc>
        <w:tc>
          <w:tcPr>
            <w:tcW w:w="760" w:type="dxa"/>
            <w:vAlign w:val="bottom"/>
            <w:tcBorders>
              <w:top w:val="single" w:sz="8" w:color="CFF0FC"/>
              <w:bottom w:val="single" w:sz="8" w:color="CFF0FC"/>
            </w:tcBorders>
            <w:shd w:val="clear" w:color="auto" w:fill="CFF0FC"/>
          </w:tcPr>
          <w:p>
            <w:pPr>
              <w:spacing w:after="0"/>
              <w:rPr>
                <w:sz w:val="24"/>
                <w:szCs w:val="24"/>
                <w:color w:val="auto"/>
              </w:rPr>
            </w:pPr>
          </w:p>
        </w:tc>
        <w:tc>
          <w:tcPr>
            <w:tcW w:w="620" w:type="dxa"/>
            <w:vAlign w:val="bottom"/>
            <w:tcBorders>
              <w:top w:val="single" w:sz="8" w:color="CFF0FC"/>
              <w:bottom w:val="single" w:sz="8" w:color="CFF0FC"/>
            </w:tcBorders>
            <w:shd w:val="clear" w:color="auto" w:fill="CFF0FC"/>
          </w:tcPr>
          <w:p>
            <w:pPr>
              <w:spacing w:after="0"/>
              <w:rPr>
                <w:sz w:val="24"/>
                <w:szCs w:val="24"/>
                <w:color w:val="auto"/>
              </w:rPr>
            </w:pPr>
          </w:p>
        </w:tc>
        <w:tc>
          <w:tcPr>
            <w:tcW w:w="176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Pr>
          <w:p>
            <w:pPr>
              <w:spacing w:after="0"/>
              <w:rPr>
                <w:sz w:val="24"/>
                <w:szCs w:val="24"/>
                <w:color w:val="auto"/>
              </w:rPr>
            </w:pPr>
          </w:p>
        </w:tc>
      </w:tr>
      <w:tr>
        <w:trPr>
          <w:trHeight w:val="239"/>
        </w:trPr>
        <w:tc>
          <w:tcPr>
            <w:tcW w:w="180" w:type="dxa"/>
            <w:vAlign w:val="bottom"/>
          </w:tcPr>
          <w:p>
            <w:pPr>
              <w:spacing w:after="0"/>
              <w:rPr>
                <w:sz w:val="20"/>
                <w:szCs w:val="20"/>
                <w:color w:val="auto"/>
              </w:rPr>
            </w:pPr>
          </w:p>
        </w:tc>
        <w:tc>
          <w:tcPr>
            <w:tcW w:w="660" w:type="dxa"/>
            <w:vAlign w:val="bottom"/>
            <w:tcBorders>
              <w:top w:val="single" w:sz="8" w:color="CFF0FC"/>
            </w:tcBorders>
          </w:tcPr>
          <w:p>
            <w:pPr>
              <w:ind w:left="20"/>
              <w:spacing w:after="0"/>
              <w:rPr>
                <w:sz w:val="20"/>
                <w:szCs w:val="20"/>
                <w:color w:val="auto"/>
              </w:rPr>
            </w:pPr>
            <w:r>
              <w:rPr>
                <w:rFonts w:ascii="Arial" w:cs="Arial" w:eastAsia="Arial" w:hAnsi="Arial"/>
                <w:sz w:val="20"/>
                <w:szCs w:val="20"/>
                <w:color w:val="auto"/>
              </w:rPr>
              <w:t>10.34†</w:t>
            </w:r>
          </w:p>
        </w:tc>
        <w:tc>
          <w:tcPr>
            <w:tcW w:w="5200" w:type="dxa"/>
            <w:vAlign w:val="bottom"/>
            <w:tcBorders>
              <w:top w:val="single" w:sz="8" w:color="CFF0FC"/>
              <w:bottom w:val="single" w:sz="8" w:color="0000FF"/>
            </w:tcBorders>
            <w:gridSpan w:val="16"/>
          </w:tcPr>
          <w:p>
            <w:pPr>
              <w:spacing w:after="0"/>
              <w:rPr>
                <w:rFonts w:ascii="Arial" w:cs="Arial" w:eastAsia="Arial" w:hAnsi="Arial"/>
                <w:sz w:val="20"/>
                <w:szCs w:val="20"/>
                <w:color w:val="0000FF"/>
                <w:w w:val="93"/>
              </w:rPr>
            </w:pPr>
            <w:hyperlink r:id="rId715">
              <w:r>
                <w:rPr>
                  <w:rFonts w:ascii="Arial" w:cs="Arial" w:eastAsia="Arial" w:hAnsi="Arial"/>
                  <w:sz w:val="20"/>
                  <w:szCs w:val="20"/>
                  <w:color w:val="0000FF"/>
                  <w:w w:val="93"/>
                </w:rPr>
                <w:t>Amendment 2018-1 to the Willis Towers Watson Non-Qualified</w:t>
              </w:r>
            </w:hyperlink>
          </w:p>
        </w:tc>
        <w:tc>
          <w:tcPr>
            <w:tcW w:w="20" w:type="dxa"/>
            <w:vAlign w:val="bottom"/>
            <w:tcBorders>
              <w:top w:val="single" w:sz="8" w:color="CFF0FC"/>
              <w:bottom w:val="single" w:sz="8" w:color="0000FF"/>
            </w:tcBorders>
          </w:tcPr>
          <w:p>
            <w:pPr>
              <w:spacing w:after="0"/>
              <w:rPr>
                <w:sz w:val="20"/>
                <w:szCs w:val="20"/>
                <w:color w:val="auto"/>
              </w:rPr>
            </w:pPr>
          </w:p>
        </w:tc>
        <w:tc>
          <w:tcPr>
            <w:tcW w:w="760" w:type="dxa"/>
            <w:vAlign w:val="bottom"/>
            <w:tcBorders>
              <w:top w:val="single" w:sz="8" w:color="CFF0FC"/>
            </w:tcBorders>
          </w:tcPr>
          <w:p>
            <w:pPr>
              <w:jc w:val="center"/>
              <w:spacing w:after="0"/>
              <w:rPr>
                <w:sz w:val="20"/>
                <w:szCs w:val="20"/>
                <w:color w:val="auto"/>
              </w:rPr>
            </w:pPr>
            <w:r>
              <w:rPr>
                <w:rFonts w:ascii="Arial" w:cs="Arial" w:eastAsia="Arial" w:hAnsi="Arial"/>
                <w:sz w:val="20"/>
                <w:szCs w:val="20"/>
                <w:color w:val="auto"/>
                <w:w w:val="96"/>
              </w:rPr>
              <w:t>8-K</w:t>
            </w:r>
          </w:p>
        </w:tc>
        <w:tc>
          <w:tcPr>
            <w:tcW w:w="620" w:type="dxa"/>
            <w:vAlign w:val="bottom"/>
            <w:tcBorders>
              <w:top w:val="single" w:sz="8" w:color="CFF0FC"/>
            </w:tcBorders>
          </w:tcPr>
          <w:p>
            <w:pPr>
              <w:jc w:val="center"/>
              <w:spacing w:after="0"/>
              <w:rPr>
                <w:sz w:val="20"/>
                <w:szCs w:val="20"/>
                <w:color w:val="auto"/>
              </w:rPr>
            </w:pPr>
            <w:r>
              <w:rPr>
                <w:rFonts w:ascii="Arial" w:cs="Arial" w:eastAsia="Arial" w:hAnsi="Arial"/>
                <w:sz w:val="20"/>
                <w:szCs w:val="20"/>
                <w:color w:val="auto"/>
                <w:w w:val="92"/>
              </w:rPr>
              <w:t>99.3</w:t>
            </w:r>
          </w:p>
        </w:tc>
        <w:tc>
          <w:tcPr>
            <w:tcW w:w="1760" w:type="dxa"/>
            <w:vAlign w:val="bottom"/>
            <w:tcBorders>
              <w:top w:val="single" w:sz="8" w:color="CFF0FC"/>
            </w:tcBorders>
          </w:tcPr>
          <w:p>
            <w:pPr>
              <w:ind w:left="60"/>
              <w:spacing w:after="0"/>
              <w:rPr>
                <w:sz w:val="20"/>
                <w:szCs w:val="20"/>
                <w:color w:val="auto"/>
              </w:rPr>
            </w:pPr>
            <w:r>
              <w:rPr>
                <w:rFonts w:ascii="Arial" w:cs="Arial" w:eastAsia="Arial" w:hAnsi="Arial"/>
                <w:sz w:val="20"/>
                <w:szCs w:val="20"/>
                <w:color w:val="auto"/>
              </w:rPr>
              <w:t>July 18,</w:t>
            </w:r>
          </w:p>
        </w:tc>
        <w:tc>
          <w:tcPr>
            <w:tcW w:w="200" w:type="dxa"/>
            <w:vAlign w:val="bottom"/>
          </w:tcPr>
          <w:p>
            <w:pPr>
              <w:spacing w:after="0"/>
              <w:rPr>
                <w:sz w:val="20"/>
                <w:szCs w:val="20"/>
                <w:color w:val="auto"/>
              </w:rPr>
            </w:pP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0" w:type="dxa"/>
            <w:vAlign w:val="bottom"/>
            <w:gridSpan w:val="16"/>
          </w:tcPr>
          <w:p>
            <w:pPr>
              <w:spacing w:after="0"/>
              <w:rPr>
                <w:rFonts w:ascii="Arial" w:cs="Arial" w:eastAsia="Arial" w:hAnsi="Arial"/>
                <w:sz w:val="20"/>
                <w:szCs w:val="20"/>
                <w:color w:val="0000FF"/>
                <w:w w:val="96"/>
              </w:rPr>
            </w:pPr>
            <w:hyperlink r:id="rId715">
              <w:r>
                <w:rPr>
                  <w:rFonts w:ascii="Arial" w:cs="Arial" w:eastAsia="Arial" w:hAnsi="Arial"/>
                  <w:sz w:val="20"/>
                  <w:szCs w:val="20"/>
                  <w:color w:val="0000FF"/>
                  <w:w w:val="96"/>
                </w:rPr>
                <w:t xml:space="preserve">Deferred Savings Plan for U.S. Employees </w:t>
              </w:r>
            </w:hyperlink>
            <w:r>
              <w:rPr>
                <w:rFonts w:ascii="Arial" w:cs="Arial" w:eastAsia="Arial" w:hAnsi="Arial"/>
                <w:sz w:val="20"/>
                <w:szCs w:val="20"/>
                <w:color w:val="0000FF"/>
                <w:w w:val="96"/>
              </w:rPr>
              <w:t>(as amended and</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Arial" w:cs="Arial" w:eastAsia="Arial" w:hAnsi="Arial"/>
                <w:sz w:val="20"/>
                <w:szCs w:val="20"/>
                <w:color w:val="auto"/>
              </w:rPr>
              <w:t>2018</w:t>
            </w:r>
          </w:p>
        </w:tc>
        <w:tc>
          <w:tcPr>
            <w:tcW w:w="200" w:type="dxa"/>
            <w:vAlign w:val="bottom"/>
          </w:tcPr>
          <w:p>
            <w:pPr>
              <w:spacing w:after="0"/>
              <w:rPr>
                <w:sz w:val="24"/>
                <w:szCs w:val="24"/>
                <w:color w:val="auto"/>
              </w:rPr>
            </w:pPr>
          </w:p>
        </w:tc>
      </w:tr>
      <w:tr>
        <w:trPr>
          <w:trHeight w:val="30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20" w:type="dxa"/>
            <w:vAlign w:val="bottom"/>
            <w:tcBorders>
              <w:top w:val="single" w:sz="8" w:color="0000FF"/>
            </w:tcBorders>
            <w:gridSpan w:val="8"/>
          </w:tcPr>
          <w:p>
            <w:pPr>
              <w:spacing w:after="0"/>
              <w:rPr>
                <w:sz w:val="20"/>
                <w:szCs w:val="20"/>
                <w:color w:val="auto"/>
              </w:rPr>
            </w:pPr>
            <w:r>
              <w:rPr>
                <w:rFonts w:ascii="Arial" w:cs="Arial" w:eastAsia="Arial" w:hAnsi="Arial"/>
                <w:sz w:val="20"/>
                <w:szCs w:val="20"/>
                <w:color w:val="0000FF"/>
              </w:rPr>
              <w:t>restated effective January 1, 2017)</w:t>
            </w:r>
          </w:p>
        </w:tc>
        <w:tc>
          <w:tcPr>
            <w:tcW w:w="17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84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20" w:type="dxa"/>
            <w:vAlign w:val="bottom"/>
            <w:gridSpan w:val="9"/>
          </w:tcPr>
          <w:p>
            <w:pPr>
              <w:ind w:left="3700"/>
              <w:spacing w:after="0"/>
              <w:rPr>
                <w:sz w:val="20"/>
                <w:szCs w:val="20"/>
                <w:color w:val="auto"/>
              </w:rPr>
            </w:pPr>
            <w:r>
              <w:rPr>
                <w:rFonts w:ascii="Arial" w:cs="Arial" w:eastAsia="Arial" w:hAnsi="Arial"/>
                <w:sz w:val="20"/>
                <w:szCs w:val="20"/>
                <w:color w:val="auto"/>
              </w:rPr>
              <w:t>137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891"/>
        </w:trPr>
        <w:tc>
          <w:tcPr>
            <w:tcW w:w="18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46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17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16">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17">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60</w:t>
      </w:r>
    </w:p>
    <w:p>
      <w:pPr>
        <w:sectPr>
          <w:pgSz w:w="11900" w:h="16838" w:orient="portrait"/>
          <w:cols w:equalWidth="0" w:num="1">
            <w:col w:w="9400"/>
          </w:cols>
          <w:pgMar w:left="1260" w:top="1133" w:right="1246" w:bottom="0" w:gutter="0" w:footer="0" w:header="0"/>
          <w:type w:val="continuous"/>
        </w:sectPr>
      </w:pPr>
    </w:p>
    <w:bookmarkStart w:id="278" w:name="page279"/>
    <w:bookmarkEnd w:id="2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3"/>
          </w:tcPr>
          <w:p>
            <w:pPr>
              <w:ind w:left="360"/>
              <w:spacing w:after="0"/>
              <w:rPr>
                <w:sz w:val="20"/>
                <w:szCs w:val="20"/>
                <w:color w:val="auto"/>
              </w:rPr>
            </w:pPr>
            <w:r>
              <w:rPr>
                <w:rFonts w:ascii="Arial" w:cs="Arial" w:eastAsia="Arial" w:hAnsi="Arial"/>
                <w:sz w:val="16"/>
                <w:szCs w:val="16"/>
                <w:b w:val="1"/>
                <w:bCs w:val="1"/>
                <w:color w:val="auto"/>
              </w:rPr>
              <w:t>Incorporated by Reference</w:t>
            </w:r>
          </w:p>
        </w:tc>
      </w:tr>
      <w:tr>
        <w:trPr>
          <w:trHeight w:val="310"/>
        </w:trPr>
        <w:tc>
          <w:tcPr>
            <w:tcW w:w="660" w:type="dxa"/>
            <w:vAlign w:val="bottom"/>
          </w:tcPr>
          <w:p>
            <w:pPr>
              <w:ind w:left="40"/>
              <w:spacing w:after="0"/>
              <w:rPr>
                <w:sz w:val="20"/>
                <w:szCs w:val="20"/>
                <w:color w:val="auto"/>
              </w:rPr>
            </w:pPr>
            <w:r>
              <w:rPr>
                <w:rFonts w:ascii="Arial" w:cs="Arial" w:eastAsia="Arial" w:hAnsi="Arial"/>
                <w:sz w:val="16"/>
                <w:szCs w:val="16"/>
                <w:b w:val="1"/>
                <w:bCs w:val="1"/>
                <w:color w:val="auto"/>
              </w:rPr>
              <w:t>Exhibit</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ind w:left="4"/>
              <w:spacing w:after="0"/>
              <w:rPr>
                <w:sz w:val="20"/>
                <w:szCs w:val="20"/>
                <w:color w:val="auto"/>
              </w:rPr>
            </w:pPr>
            <w:r>
              <w:rPr>
                <w:rFonts w:ascii="Arial" w:cs="Arial" w:eastAsia="Arial" w:hAnsi="Arial"/>
                <w:sz w:val="16"/>
                <w:szCs w:val="16"/>
                <w:b w:val="1"/>
                <w:bCs w:val="1"/>
                <w:color w:val="auto"/>
                <w:w w:val="87"/>
              </w:rPr>
              <w:t>Schedule/</w:t>
            </w:r>
          </w:p>
        </w:tc>
        <w:tc>
          <w:tcPr>
            <w:tcW w:w="600" w:type="dxa"/>
            <w:vAlign w:val="bottom"/>
          </w:tcPr>
          <w:p>
            <w:pPr>
              <w:spacing w:after="0"/>
              <w:rPr>
                <w:sz w:val="24"/>
                <w:szCs w:val="24"/>
                <w:color w:val="auto"/>
              </w:rPr>
            </w:pPr>
          </w:p>
        </w:tc>
        <w:tc>
          <w:tcPr>
            <w:tcW w:w="1700" w:type="dxa"/>
            <w:vAlign w:val="bottom"/>
          </w:tcPr>
          <w:p>
            <w:pPr>
              <w:ind w:left="1220"/>
              <w:spacing w:after="0"/>
              <w:rPr>
                <w:sz w:val="20"/>
                <w:szCs w:val="20"/>
                <w:color w:val="auto"/>
              </w:rPr>
            </w:pPr>
            <w:r>
              <w:rPr>
                <w:rFonts w:ascii="Arial" w:cs="Arial" w:eastAsia="Arial" w:hAnsi="Arial"/>
                <w:sz w:val="16"/>
                <w:szCs w:val="16"/>
                <w:b w:val="1"/>
                <w:bCs w:val="1"/>
                <w:color w:val="auto"/>
              </w:rPr>
              <w:t>Filed</w:t>
            </w:r>
          </w:p>
        </w:tc>
      </w:tr>
      <w:tr>
        <w:trPr>
          <w:trHeight w:val="240"/>
        </w:trPr>
        <w:tc>
          <w:tcPr>
            <w:tcW w:w="66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360" w:type="dxa"/>
            <w:vAlign w:val="bottom"/>
            <w:gridSpan w:val="9"/>
          </w:tcPr>
          <w:p>
            <w:pPr>
              <w:ind w:left="20"/>
              <w:spacing w:after="0"/>
              <w:rPr>
                <w:sz w:val="20"/>
                <w:szCs w:val="20"/>
                <w:color w:val="auto"/>
              </w:rPr>
            </w:pPr>
            <w:r>
              <w:rPr>
                <w:rFonts w:ascii="Arial" w:cs="Arial" w:eastAsia="Arial" w:hAnsi="Arial"/>
                <w:sz w:val="16"/>
                <w:szCs w:val="16"/>
                <w:b w:val="1"/>
                <w:bCs w:val="1"/>
                <w:color w:val="auto"/>
              </w:rPr>
              <w:t>Description of Exhibit</w:t>
            </w:r>
          </w:p>
        </w:tc>
        <w:tc>
          <w:tcPr>
            <w:tcW w:w="840" w:type="dxa"/>
            <w:vAlign w:val="bottom"/>
          </w:tcPr>
          <w:p>
            <w:pPr>
              <w:jc w:val="center"/>
              <w:ind w:left="4"/>
              <w:spacing w:after="0"/>
              <w:rPr>
                <w:sz w:val="20"/>
                <w:szCs w:val="20"/>
                <w:color w:val="auto"/>
              </w:rPr>
            </w:pPr>
            <w:r>
              <w:rPr>
                <w:rFonts w:ascii="Arial" w:cs="Arial" w:eastAsia="Arial" w:hAnsi="Arial"/>
                <w:sz w:val="16"/>
                <w:szCs w:val="16"/>
                <w:b w:val="1"/>
                <w:bCs w:val="1"/>
                <w:color w:val="auto"/>
                <w:w w:val="94"/>
              </w:rPr>
              <w:t>Form</w:t>
            </w:r>
          </w:p>
        </w:tc>
        <w:tc>
          <w:tcPr>
            <w:tcW w:w="600" w:type="dxa"/>
            <w:vAlign w:val="bottom"/>
          </w:tcPr>
          <w:p>
            <w:pPr>
              <w:ind w:left="60"/>
              <w:spacing w:after="0"/>
              <w:rPr>
                <w:sz w:val="20"/>
                <w:szCs w:val="20"/>
                <w:color w:val="auto"/>
              </w:rPr>
            </w:pPr>
            <w:r>
              <w:rPr>
                <w:rFonts w:ascii="Arial" w:cs="Arial" w:eastAsia="Arial" w:hAnsi="Arial"/>
                <w:sz w:val="16"/>
                <w:szCs w:val="16"/>
                <w:b w:val="1"/>
                <w:bCs w:val="1"/>
                <w:color w:val="auto"/>
                <w:w w:val="97"/>
              </w:rPr>
              <w:t>Exhibit</w:t>
            </w:r>
          </w:p>
        </w:tc>
        <w:tc>
          <w:tcPr>
            <w:tcW w:w="1700" w:type="dxa"/>
            <w:vAlign w:val="bottom"/>
          </w:tcPr>
          <w:p>
            <w:pPr>
              <w:ind w:left="140"/>
              <w:spacing w:after="0"/>
              <w:rPr>
                <w:sz w:val="20"/>
                <w:szCs w:val="20"/>
                <w:color w:val="auto"/>
              </w:rPr>
            </w:pPr>
            <w:r>
              <w:rPr>
                <w:rFonts w:ascii="Arial" w:cs="Arial" w:eastAsia="Arial" w:hAnsi="Arial"/>
                <w:sz w:val="16"/>
                <w:szCs w:val="16"/>
                <w:b w:val="1"/>
                <w:bCs w:val="1"/>
                <w:color w:val="auto"/>
                <w:w w:val="97"/>
              </w:rPr>
              <w:t>Filing Date  Herewith</w:t>
            </w:r>
          </w:p>
        </w:tc>
      </w:tr>
      <w:tr>
        <w:trPr>
          <w:trHeight w:val="52"/>
        </w:trPr>
        <w:tc>
          <w:tcPr>
            <w:tcW w:w="1320" w:type="dxa"/>
            <w:vAlign w:val="bottom"/>
            <w:gridSpan w:val="2"/>
          </w:tcPr>
          <w:p>
            <w:pPr>
              <w:spacing w:after="0"/>
              <w:rPr>
                <w:sz w:val="4"/>
                <w:szCs w:val="4"/>
                <w:color w:val="auto"/>
              </w:rPr>
            </w:pPr>
          </w:p>
        </w:tc>
        <w:tc>
          <w:tcPr>
            <w:tcW w:w="1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39"/>
        </w:trPr>
        <w:tc>
          <w:tcPr>
            <w:tcW w:w="5880" w:type="dxa"/>
            <w:vAlign w:val="bottom"/>
            <w:tcBorders>
              <w:right w:val="single" w:sz="8" w:color="CFF0FC"/>
            </w:tcBorders>
            <w:gridSpan w:val="12"/>
            <w:shd w:val="clear" w:color="auto" w:fill="CFF0FC"/>
          </w:tcPr>
          <w:p>
            <w:pPr>
              <w:ind w:left="20"/>
              <w:spacing w:after="0"/>
              <w:rPr>
                <w:rFonts w:ascii="Arial" w:cs="Arial" w:eastAsia="Arial" w:hAnsi="Arial"/>
                <w:sz w:val="20"/>
                <w:szCs w:val="20"/>
                <w:color w:val="auto"/>
                <w:w w:val="93"/>
              </w:rPr>
            </w:pPr>
            <w:r>
              <w:rPr>
                <w:rFonts w:ascii="Arial" w:cs="Arial" w:eastAsia="Arial" w:hAnsi="Arial"/>
                <w:sz w:val="20"/>
                <w:szCs w:val="20"/>
                <w:color w:val="auto"/>
                <w:w w:val="93"/>
              </w:rPr>
              <w:t xml:space="preserve">10.35† </w:t>
            </w:r>
            <w:hyperlink r:id="rId718">
              <w:r>
                <w:rPr>
                  <w:rFonts w:ascii="Arial" w:cs="Arial" w:eastAsia="Arial" w:hAnsi="Arial"/>
                  <w:sz w:val="20"/>
                  <w:szCs w:val="20"/>
                  <w:color w:val="0000FF"/>
                  <w:w w:val="93"/>
                </w:rPr>
                <w:t>Amendment 2020-1 to the Willis Towers Watson Non-Qualified</w:t>
              </w:r>
            </w:hyperlink>
          </w:p>
        </w:tc>
        <w:tc>
          <w:tcPr>
            <w:tcW w:w="840" w:type="dxa"/>
            <w:vAlign w:val="bottom"/>
            <w:shd w:val="clear" w:color="auto" w:fill="CFF0FC"/>
          </w:tcPr>
          <w:p>
            <w:pPr>
              <w:jc w:val="center"/>
              <w:ind w:left="4"/>
              <w:spacing w:after="0"/>
              <w:rPr>
                <w:sz w:val="20"/>
                <w:szCs w:val="20"/>
                <w:color w:val="auto"/>
              </w:rPr>
            </w:pPr>
            <w:r>
              <w:rPr>
                <w:rFonts w:ascii="Arial" w:cs="Arial" w:eastAsia="Arial" w:hAnsi="Arial"/>
                <w:sz w:val="20"/>
                <w:szCs w:val="20"/>
                <w:color w:val="auto"/>
                <w:w w:val="99"/>
              </w:rPr>
              <w:t>10-K</w:t>
            </w:r>
          </w:p>
        </w:tc>
        <w:tc>
          <w:tcPr>
            <w:tcW w:w="6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10.62</w:t>
            </w:r>
          </w:p>
        </w:tc>
        <w:tc>
          <w:tcPr>
            <w:tcW w:w="1700" w:type="dxa"/>
            <w:vAlign w:val="bottom"/>
            <w:shd w:val="clear" w:color="auto" w:fill="CFF0FC"/>
          </w:tcPr>
          <w:p>
            <w:pPr>
              <w:ind w:left="40"/>
              <w:spacing w:after="0"/>
              <w:rPr>
                <w:sz w:val="20"/>
                <w:szCs w:val="20"/>
                <w:color w:val="auto"/>
              </w:rPr>
            </w:pPr>
            <w:r>
              <w:rPr>
                <w:rFonts w:ascii="Arial" w:cs="Arial" w:eastAsia="Arial" w:hAnsi="Arial"/>
                <w:sz w:val="20"/>
                <w:szCs w:val="20"/>
                <w:color w:val="auto"/>
              </w:rPr>
              <w:t>February</w:t>
            </w:r>
          </w:p>
        </w:tc>
      </w:tr>
      <w:tr>
        <w:trPr>
          <w:trHeight w:val="280"/>
        </w:trPr>
        <w:tc>
          <w:tcPr>
            <w:tcW w:w="660" w:type="dxa"/>
            <w:vAlign w:val="bottom"/>
            <w:tcBorders>
              <w:top w:val="single" w:sz="8" w:color="CFF0FC"/>
              <w:bottom w:val="single" w:sz="8" w:color="CFF0FC"/>
            </w:tcBorders>
            <w:shd w:val="clear" w:color="auto" w:fill="CFF0FC"/>
          </w:tcPr>
          <w:p>
            <w:pPr>
              <w:spacing w:after="0"/>
              <w:rPr>
                <w:sz w:val="24"/>
                <w:szCs w:val="24"/>
                <w:color w:val="auto"/>
              </w:rPr>
            </w:pPr>
          </w:p>
        </w:tc>
        <w:tc>
          <w:tcPr>
            <w:tcW w:w="4880" w:type="dxa"/>
            <w:vAlign w:val="bottom"/>
            <w:tcBorders>
              <w:top w:val="single" w:sz="8" w:color="0000FF"/>
              <w:bottom w:val="single" w:sz="8" w:color="0000FF"/>
            </w:tcBorders>
            <w:gridSpan w:val="7"/>
            <w:shd w:val="clear" w:color="auto" w:fill="CFF0FC"/>
          </w:tcPr>
          <w:p>
            <w:pPr>
              <w:spacing w:after="0"/>
              <w:rPr>
                <w:rFonts w:ascii="Arial" w:cs="Arial" w:eastAsia="Arial" w:hAnsi="Arial"/>
                <w:sz w:val="20"/>
                <w:szCs w:val="20"/>
                <w:color w:val="0000FF"/>
                <w:w w:val="90"/>
              </w:rPr>
            </w:pPr>
            <w:hyperlink r:id="rId718">
              <w:r>
                <w:rPr>
                  <w:rFonts w:ascii="Arial" w:cs="Arial" w:eastAsia="Arial" w:hAnsi="Arial"/>
                  <w:sz w:val="20"/>
                  <w:szCs w:val="20"/>
                  <w:color w:val="0000FF"/>
                  <w:w w:val="90"/>
                </w:rPr>
                <w:t>Deferred Savings Plan for U.S. Employees (as amended and</w:t>
              </w:r>
            </w:hyperlink>
          </w:p>
        </w:tc>
        <w:tc>
          <w:tcPr>
            <w:tcW w:w="340" w:type="dxa"/>
            <w:vAlign w:val="bottom"/>
            <w:tcBorders>
              <w:top w:val="single" w:sz="8" w:color="0000FF"/>
              <w:bottom w:val="single" w:sz="8" w:color="CFF0FC"/>
              <w:right w:val="single" w:sz="8" w:color="CFF0FC"/>
            </w:tcBorders>
            <w:gridSpan w:val="4"/>
            <w:shd w:val="clear" w:color="auto" w:fill="CFF0FC"/>
          </w:tcPr>
          <w:p>
            <w:pPr>
              <w:spacing w:after="0"/>
              <w:rPr>
                <w:sz w:val="24"/>
                <w:szCs w:val="24"/>
                <w:color w:val="auto"/>
              </w:rPr>
            </w:pPr>
          </w:p>
        </w:tc>
        <w:tc>
          <w:tcPr>
            <w:tcW w:w="840" w:type="dxa"/>
            <w:vAlign w:val="bottom"/>
            <w:tcBorders>
              <w:top w:val="single" w:sz="8" w:color="CFF0FC"/>
              <w:bottom w:val="single" w:sz="8" w:color="CFF0FC"/>
            </w:tcBorders>
            <w:shd w:val="clear" w:color="auto" w:fill="CFF0FC"/>
          </w:tcPr>
          <w:p>
            <w:pPr>
              <w:spacing w:after="0"/>
              <w:rPr>
                <w:sz w:val="24"/>
                <w:szCs w:val="24"/>
                <w:color w:val="auto"/>
              </w:rPr>
            </w:pPr>
          </w:p>
        </w:tc>
        <w:tc>
          <w:tcPr>
            <w:tcW w:w="600" w:type="dxa"/>
            <w:vAlign w:val="bottom"/>
            <w:tcBorders>
              <w:top w:val="single" w:sz="8" w:color="CFF0FC"/>
              <w:bottom w:val="single" w:sz="8" w:color="CFF0FC"/>
            </w:tcBorders>
            <w:shd w:val="clear" w:color="auto" w:fill="CFF0FC"/>
          </w:tcPr>
          <w:p>
            <w:pPr>
              <w:spacing w:after="0"/>
              <w:rPr>
                <w:sz w:val="24"/>
                <w:szCs w:val="24"/>
                <w:color w:val="auto"/>
              </w:rPr>
            </w:pPr>
          </w:p>
        </w:tc>
        <w:tc>
          <w:tcPr>
            <w:tcW w:w="170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23, 2021</w:t>
            </w:r>
          </w:p>
        </w:tc>
      </w:tr>
      <w:tr>
        <w:trPr>
          <w:trHeight w:val="280"/>
        </w:trPr>
        <w:tc>
          <w:tcPr>
            <w:tcW w:w="660" w:type="dxa"/>
            <w:vAlign w:val="bottom"/>
            <w:shd w:val="clear" w:color="auto" w:fill="CFF0FC"/>
          </w:tcPr>
          <w:p>
            <w:pPr>
              <w:spacing w:after="0"/>
              <w:rPr>
                <w:sz w:val="24"/>
                <w:szCs w:val="24"/>
                <w:color w:val="auto"/>
              </w:rPr>
            </w:pPr>
          </w:p>
        </w:tc>
        <w:tc>
          <w:tcPr>
            <w:tcW w:w="5220" w:type="dxa"/>
            <w:vAlign w:val="bottom"/>
            <w:tcBorders>
              <w:right w:val="single" w:sz="8" w:color="CFF0FC"/>
            </w:tcBorders>
            <w:gridSpan w:val="11"/>
            <w:shd w:val="clear" w:color="auto" w:fill="CFF0FC"/>
          </w:tcPr>
          <w:p>
            <w:pPr>
              <w:spacing w:after="0"/>
              <w:rPr>
                <w:rFonts w:ascii="Arial" w:cs="Arial" w:eastAsia="Arial" w:hAnsi="Arial"/>
                <w:sz w:val="20"/>
                <w:szCs w:val="20"/>
                <w:color w:val="0000FF"/>
              </w:rPr>
            </w:pPr>
            <w:hyperlink r:id="rId718">
              <w:r>
                <w:rPr>
                  <w:rFonts w:ascii="Arial" w:cs="Arial" w:eastAsia="Arial" w:hAnsi="Arial"/>
                  <w:sz w:val="20"/>
                  <w:szCs w:val="20"/>
                  <w:color w:val="0000FF"/>
                </w:rPr>
                <w:t>restated effective January 1, 2017)</w:t>
              </w:r>
            </w:hyperlink>
          </w:p>
        </w:tc>
        <w:tc>
          <w:tcPr>
            <w:tcW w:w="8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700" w:type="dxa"/>
            <w:vAlign w:val="bottom"/>
            <w:shd w:val="clear" w:color="auto" w:fill="CFF0FC"/>
          </w:tcPr>
          <w:p>
            <w:pPr>
              <w:spacing w:after="0"/>
              <w:rPr>
                <w:sz w:val="24"/>
                <w:szCs w:val="24"/>
                <w:color w:val="auto"/>
              </w:rPr>
            </w:pPr>
          </w:p>
        </w:tc>
      </w:tr>
      <w:tr>
        <w:trPr>
          <w:trHeight w:val="41"/>
        </w:trPr>
        <w:tc>
          <w:tcPr>
            <w:tcW w:w="660" w:type="dxa"/>
            <w:vAlign w:val="bottom"/>
            <w:tcBorders>
              <w:top w:val="single" w:sz="8" w:color="CFF0FC"/>
            </w:tcBorders>
            <w:shd w:val="clear" w:color="auto" w:fill="CFF0FC"/>
          </w:tcPr>
          <w:p>
            <w:pPr>
              <w:spacing w:after="0"/>
              <w:rPr>
                <w:sz w:val="3"/>
                <w:szCs w:val="3"/>
                <w:color w:val="auto"/>
              </w:rPr>
            </w:pPr>
          </w:p>
        </w:tc>
        <w:tc>
          <w:tcPr>
            <w:tcW w:w="660" w:type="dxa"/>
            <w:vAlign w:val="bottom"/>
            <w:tcBorders>
              <w:top w:val="single" w:sz="8" w:color="0000FF"/>
            </w:tcBorders>
            <w:shd w:val="clear" w:color="auto" w:fill="CFF0FC"/>
          </w:tcPr>
          <w:p>
            <w:pPr>
              <w:spacing w:after="0"/>
              <w:rPr>
                <w:sz w:val="3"/>
                <w:szCs w:val="3"/>
                <w:color w:val="auto"/>
              </w:rPr>
            </w:pPr>
          </w:p>
        </w:tc>
        <w:tc>
          <w:tcPr>
            <w:tcW w:w="1200" w:type="dxa"/>
            <w:vAlign w:val="bottom"/>
            <w:tcBorders>
              <w:top w:val="single" w:sz="8" w:color="0000FF"/>
            </w:tcBorders>
            <w:shd w:val="clear" w:color="auto" w:fill="CFF0FC"/>
          </w:tcPr>
          <w:p>
            <w:pPr>
              <w:spacing w:after="0"/>
              <w:rPr>
                <w:sz w:val="3"/>
                <w:szCs w:val="3"/>
                <w:color w:val="auto"/>
              </w:rPr>
            </w:pPr>
          </w:p>
        </w:tc>
        <w:tc>
          <w:tcPr>
            <w:tcW w:w="900" w:type="dxa"/>
            <w:vAlign w:val="bottom"/>
            <w:tcBorders>
              <w:top w:val="single" w:sz="8" w:color="0000FF"/>
            </w:tcBorders>
            <w:shd w:val="clear" w:color="auto" w:fill="CFF0FC"/>
          </w:tcPr>
          <w:p>
            <w:pPr>
              <w:spacing w:after="0"/>
              <w:rPr>
                <w:sz w:val="3"/>
                <w:szCs w:val="3"/>
                <w:color w:val="auto"/>
              </w:rPr>
            </w:pPr>
          </w:p>
        </w:tc>
        <w:tc>
          <w:tcPr>
            <w:tcW w:w="1780" w:type="dxa"/>
            <w:vAlign w:val="bottom"/>
            <w:tcBorders>
              <w:top w:val="single" w:sz="8" w:color="CFF0FC"/>
            </w:tcBorders>
            <w:shd w:val="clear" w:color="auto" w:fill="CFF0FC"/>
          </w:tcPr>
          <w:p>
            <w:pPr>
              <w:spacing w:after="0"/>
              <w:rPr>
                <w:sz w:val="3"/>
                <w:szCs w:val="3"/>
                <w:color w:val="auto"/>
              </w:rPr>
            </w:pPr>
          </w:p>
        </w:tc>
        <w:tc>
          <w:tcPr>
            <w:tcW w:w="20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14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100" w:type="dxa"/>
            <w:vAlign w:val="bottom"/>
            <w:tcBorders>
              <w:top w:val="single" w:sz="8" w:color="CFF0FC"/>
              <w:right w:val="single" w:sz="8" w:color="CFF0FC"/>
            </w:tcBorders>
            <w:shd w:val="clear" w:color="auto" w:fill="CFF0FC"/>
          </w:tcPr>
          <w:p>
            <w:pPr>
              <w:spacing w:after="0"/>
              <w:rPr>
                <w:sz w:val="3"/>
                <w:szCs w:val="3"/>
                <w:color w:val="auto"/>
              </w:rPr>
            </w:pPr>
          </w:p>
        </w:tc>
        <w:tc>
          <w:tcPr>
            <w:tcW w:w="840" w:type="dxa"/>
            <w:vAlign w:val="bottom"/>
            <w:tcBorders>
              <w:top w:val="single" w:sz="8" w:color="CFF0FC"/>
            </w:tcBorders>
            <w:shd w:val="clear" w:color="auto" w:fill="CFF0FC"/>
          </w:tcPr>
          <w:p>
            <w:pPr>
              <w:spacing w:after="0"/>
              <w:rPr>
                <w:sz w:val="3"/>
                <w:szCs w:val="3"/>
                <w:color w:val="auto"/>
              </w:rPr>
            </w:pPr>
          </w:p>
        </w:tc>
        <w:tc>
          <w:tcPr>
            <w:tcW w:w="600" w:type="dxa"/>
            <w:vAlign w:val="bottom"/>
            <w:tcBorders>
              <w:top w:val="single" w:sz="8" w:color="CFF0FC"/>
            </w:tcBorders>
            <w:shd w:val="clear" w:color="auto" w:fill="CFF0FC"/>
          </w:tcPr>
          <w:p>
            <w:pPr>
              <w:spacing w:after="0"/>
              <w:rPr>
                <w:sz w:val="3"/>
                <w:szCs w:val="3"/>
                <w:color w:val="auto"/>
              </w:rPr>
            </w:pPr>
          </w:p>
        </w:tc>
        <w:tc>
          <w:tcPr>
            <w:tcW w:w="1700" w:type="dxa"/>
            <w:vAlign w:val="bottom"/>
            <w:tcBorders>
              <w:top w:val="single" w:sz="8" w:color="CFF0FC"/>
            </w:tcBorders>
            <w:shd w:val="clear" w:color="auto" w:fill="CFF0FC"/>
          </w:tcPr>
          <w:p>
            <w:pPr>
              <w:spacing w:after="0"/>
              <w:rPr>
                <w:sz w:val="3"/>
                <w:szCs w:val="3"/>
                <w:color w:val="auto"/>
              </w:rPr>
            </w:pPr>
          </w:p>
        </w:tc>
      </w:tr>
      <w:tr>
        <w:trPr>
          <w:trHeight w:val="239"/>
        </w:trPr>
        <w:tc>
          <w:tcPr>
            <w:tcW w:w="5880" w:type="dxa"/>
            <w:vAlign w:val="bottom"/>
            <w:gridSpan w:val="12"/>
          </w:tcPr>
          <w:p>
            <w:pPr>
              <w:ind w:left="20"/>
              <w:spacing w:after="0"/>
              <w:rPr>
                <w:rFonts w:ascii="Arial" w:cs="Arial" w:eastAsia="Arial" w:hAnsi="Arial"/>
                <w:sz w:val="20"/>
                <w:szCs w:val="20"/>
                <w:color w:val="auto"/>
                <w:w w:val="98"/>
              </w:rPr>
            </w:pPr>
            <w:r>
              <w:rPr>
                <w:rFonts w:ascii="Arial" w:cs="Arial" w:eastAsia="Arial" w:hAnsi="Arial"/>
                <w:sz w:val="20"/>
                <w:szCs w:val="20"/>
                <w:color w:val="auto"/>
                <w:w w:val="98"/>
              </w:rPr>
              <w:t xml:space="preserve">10.36† </w:t>
            </w:r>
            <w:hyperlink r:id="rId719">
              <w:r>
                <w:rPr>
                  <w:rFonts w:ascii="Arial" w:cs="Arial" w:eastAsia="Arial" w:hAnsi="Arial"/>
                  <w:sz w:val="20"/>
                  <w:szCs w:val="20"/>
                  <w:color w:val="0000FF"/>
                  <w:w w:val="98"/>
                </w:rPr>
                <w:t>Amendment 2024-3 to Willis Towers Watson Non-Qualified</w:t>
              </w:r>
            </w:hyperlink>
          </w:p>
        </w:tc>
        <w:tc>
          <w:tcPr>
            <w:tcW w:w="840" w:type="dxa"/>
            <w:vAlign w:val="bottom"/>
          </w:tcPr>
          <w:p>
            <w:pPr>
              <w:jc w:val="center"/>
              <w:ind w:left="4"/>
              <w:spacing w:after="0"/>
              <w:rPr>
                <w:sz w:val="20"/>
                <w:szCs w:val="20"/>
                <w:color w:val="auto"/>
              </w:rPr>
            </w:pPr>
            <w:r>
              <w:rPr>
                <w:rFonts w:ascii="Arial" w:cs="Arial" w:eastAsia="Arial" w:hAnsi="Arial"/>
                <w:sz w:val="20"/>
                <w:szCs w:val="20"/>
                <w:color w:val="auto"/>
                <w:w w:val="99"/>
              </w:rPr>
              <w:t>10-K</w:t>
            </w:r>
          </w:p>
        </w:tc>
        <w:tc>
          <w:tcPr>
            <w:tcW w:w="600" w:type="dxa"/>
            <w:vAlign w:val="bottom"/>
          </w:tcPr>
          <w:p>
            <w:pPr>
              <w:jc w:val="center"/>
              <w:spacing w:after="0"/>
              <w:rPr>
                <w:sz w:val="20"/>
                <w:szCs w:val="20"/>
                <w:color w:val="auto"/>
              </w:rPr>
            </w:pPr>
            <w:r>
              <w:rPr>
                <w:rFonts w:ascii="Arial" w:cs="Arial" w:eastAsia="Arial" w:hAnsi="Arial"/>
                <w:sz w:val="20"/>
                <w:szCs w:val="20"/>
                <w:color w:val="auto"/>
                <w:w w:val="87"/>
              </w:rPr>
              <w:t>10.33</w:t>
            </w:r>
          </w:p>
        </w:tc>
        <w:tc>
          <w:tcPr>
            <w:tcW w:w="1700" w:type="dxa"/>
            <w:vAlign w:val="bottom"/>
          </w:tcPr>
          <w:p>
            <w:pPr>
              <w:ind w:left="40"/>
              <w:spacing w:after="0"/>
              <w:rPr>
                <w:sz w:val="20"/>
                <w:szCs w:val="20"/>
                <w:color w:val="auto"/>
              </w:rPr>
            </w:pPr>
            <w:r>
              <w:rPr>
                <w:rFonts w:ascii="Arial" w:cs="Arial" w:eastAsia="Arial" w:hAnsi="Arial"/>
                <w:sz w:val="20"/>
                <w:szCs w:val="20"/>
                <w:color w:val="auto"/>
              </w:rPr>
              <w:t>February</w:t>
            </w:r>
          </w:p>
        </w:tc>
      </w:tr>
      <w:tr>
        <w:trPr>
          <w:trHeight w:val="280"/>
        </w:trPr>
        <w:tc>
          <w:tcPr>
            <w:tcW w:w="660" w:type="dxa"/>
            <w:vAlign w:val="bottom"/>
          </w:tcPr>
          <w:p>
            <w:pPr>
              <w:spacing w:after="0"/>
              <w:rPr>
                <w:sz w:val="24"/>
                <w:szCs w:val="24"/>
                <w:color w:val="auto"/>
              </w:rPr>
            </w:pPr>
          </w:p>
        </w:tc>
        <w:tc>
          <w:tcPr>
            <w:tcW w:w="4880" w:type="dxa"/>
            <w:vAlign w:val="bottom"/>
            <w:tcBorders>
              <w:top w:val="single" w:sz="8" w:color="0000FF"/>
              <w:bottom w:val="single" w:sz="8" w:color="0000FF"/>
            </w:tcBorders>
            <w:gridSpan w:val="7"/>
          </w:tcPr>
          <w:p>
            <w:pPr>
              <w:spacing w:after="0"/>
              <w:rPr>
                <w:rFonts w:ascii="Arial" w:cs="Arial" w:eastAsia="Arial" w:hAnsi="Arial"/>
                <w:sz w:val="20"/>
                <w:szCs w:val="20"/>
                <w:color w:val="0000FF"/>
                <w:w w:val="90"/>
              </w:rPr>
            </w:pPr>
            <w:hyperlink r:id="rId719">
              <w:r>
                <w:rPr>
                  <w:rFonts w:ascii="Arial" w:cs="Arial" w:eastAsia="Arial" w:hAnsi="Arial"/>
                  <w:sz w:val="20"/>
                  <w:szCs w:val="20"/>
                  <w:color w:val="0000FF"/>
                  <w:w w:val="90"/>
                </w:rPr>
                <w:t>Deferred Savings Plan for U.S. Employees (as amended and</w:t>
              </w:r>
            </w:hyperlink>
          </w:p>
        </w:tc>
        <w:tc>
          <w:tcPr>
            <w:tcW w:w="40" w:type="dxa"/>
            <w:vAlign w:val="bottom"/>
            <w:tcBorders>
              <w:top w:val="single" w:sz="8" w:color="0000FF"/>
            </w:tcBorders>
          </w:tcPr>
          <w:p>
            <w:pPr>
              <w:spacing w:after="0"/>
              <w:rPr>
                <w:sz w:val="24"/>
                <w:szCs w:val="24"/>
                <w:color w:val="auto"/>
              </w:rPr>
            </w:pPr>
          </w:p>
        </w:tc>
        <w:tc>
          <w:tcPr>
            <w:tcW w:w="30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20"/>
                <w:szCs w:val="20"/>
                <w:color w:val="auto"/>
              </w:rPr>
              <w:t>25, 2025</w:t>
            </w:r>
          </w:p>
        </w:tc>
      </w:tr>
      <w:tr>
        <w:trPr>
          <w:trHeight w:val="280"/>
        </w:trPr>
        <w:tc>
          <w:tcPr>
            <w:tcW w:w="660" w:type="dxa"/>
            <w:vAlign w:val="bottom"/>
          </w:tcPr>
          <w:p>
            <w:pPr>
              <w:spacing w:after="0"/>
              <w:rPr>
                <w:sz w:val="24"/>
                <w:szCs w:val="24"/>
                <w:color w:val="auto"/>
              </w:rPr>
            </w:pPr>
          </w:p>
        </w:tc>
        <w:tc>
          <w:tcPr>
            <w:tcW w:w="5220" w:type="dxa"/>
            <w:vAlign w:val="bottom"/>
            <w:gridSpan w:val="11"/>
          </w:tcPr>
          <w:p>
            <w:pPr>
              <w:spacing w:after="0"/>
              <w:rPr>
                <w:rFonts w:ascii="Arial" w:cs="Arial" w:eastAsia="Arial" w:hAnsi="Arial"/>
                <w:sz w:val="20"/>
                <w:szCs w:val="20"/>
                <w:color w:val="0000FF"/>
              </w:rPr>
            </w:pPr>
            <w:hyperlink r:id="rId719">
              <w:r>
                <w:rPr>
                  <w:rFonts w:ascii="Arial" w:cs="Arial" w:eastAsia="Arial" w:hAnsi="Arial"/>
                  <w:sz w:val="20"/>
                  <w:szCs w:val="20"/>
                  <w:color w:val="0000FF"/>
                </w:rPr>
                <w:t>restated effective January 1, 2017)</w:t>
              </w:r>
            </w:hyperlink>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
        </w:trPr>
        <w:tc>
          <w:tcPr>
            <w:tcW w:w="660" w:type="dxa"/>
            <w:vAlign w:val="bottom"/>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1200" w:type="dxa"/>
            <w:vAlign w:val="bottom"/>
            <w:tcBorders>
              <w:top w:val="single" w:sz="8" w:color="0000FF"/>
            </w:tcBorders>
          </w:tcPr>
          <w:p>
            <w:pPr>
              <w:spacing w:after="0"/>
              <w:rPr>
                <w:sz w:val="3"/>
                <w:szCs w:val="3"/>
                <w:color w:val="auto"/>
              </w:rPr>
            </w:pPr>
          </w:p>
        </w:tc>
        <w:tc>
          <w:tcPr>
            <w:tcW w:w="900" w:type="dxa"/>
            <w:vAlign w:val="bottom"/>
            <w:tcBorders>
              <w:top w:val="single" w:sz="8" w:color="0000FF"/>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9"/>
        </w:trPr>
        <w:tc>
          <w:tcPr>
            <w:tcW w:w="5880" w:type="dxa"/>
            <w:vAlign w:val="bottom"/>
            <w:tcBorders>
              <w:right w:val="single" w:sz="8" w:color="CFF0FC"/>
            </w:tcBorders>
            <w:gridSpan w:val="12"/>
            <w:shd w:val="clear" w:color="auto" w:fill="CFF0FC"/>
          </w:tcPr>
          <w:p>
            <w:pPr>
              <w:ind w:left="20"/>
              <w:spacing w:after="0"/>
              <w:rPr>
                <w:rFonts w:ascii="Arial" w:cs="Arial" w:eastAsia="Arial" w:hAnsi="Arial"/>
                <w:sz w:val="20"/>
                <w:szCs w:val="20"/>
                <w:color w:val="auto"/>
                <w:w w:val="93"/>
              </w:rPr>
            </w:pPr>
            <w:r>
              <w:rPr>
                <w:rFonts w:ascii="Arial" w:cs="Arial" w:eastAsia="Arial" w:hAnsi="Arial"/>
                <w:sz w:val="20"/>
                <w:szCs w:val="20"/>
                <w:color w:val="auto"/>
                <w:w w:val="93"/>
              </w:rPr>
              <w:t xml:space="preserve">10.37† </w:t>
            </w:r>
            <w:hyperlink r:id="rId720">
              <w:r>
                <w:rPr>
                  <w:rFonts w:ascii="Arial" w:cs="Arial" w:eastAsia="Arial" w:hAnsi="Arial"/>
                  <w:sz w:val="20"/>
                  <w:szCs w:val="20"/>
                  <w:color w:val="0000FF"/>
                  <w:w w:val="93"/>
                </w:rPr>
                <w:t>Willis Towers Watson Non-Qualified Stable Value Excess Plan</w:t>
              </w:r>
            </w:hyperlink>
          </w:p>
        </w:tc>
        <w:tc>
          <w:tcPr>
            <w:tcW w:w="840" w:type="dxa"/>
            <w:vAlign w:val="bottom"/>
            <w:shd w:val="clear" w:color="auto" w:fill="CFF0FC"/>
          </w:tcPr>
          <w:p>
            <w:pPr>
              <w:jc w:val="center"/>
              <w:ind w:left="4"/>
              <w:spacing w:after="0"/>
              <w:rPr>
                <w:sz w:val="20"/>
                <w:szCs w:val="20"/>
                <w:color w:val="auto"/>
              </w:rPr>
            </w:pPr>
            <w:r>
              <w:rPr>
                <w:rFonts w:ascii="Arial" w:cs="Arial" w:eastAsia="Arial" w:hAnsi="Arial"/>
                <w:sz w:val="20"/>
                <w:szCs w:val="20"/>
                <w:color w:val="auto"/>
                <w:w w:val="99"/>
              </w:rPr>
              <w:t>10-K</w:t>
            </w:r>
          </w:p>
        </w:tc>
        <w:tc>
          <w:tcPr>
            <w:tcW w:w="6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10.31</w:t>
            </w:r>
          </w:p>
        </w:tc>
        <w:tc>
          <w:tcPr>
            <w:tcW w:w="1700" w:type="dxa"/>
            <w:vAlign w:val="bottom"/>
            <w:shd w:val="clear" w:color="auto" w:fill="CFF0FC"/>
          </w:tcPr>
          <w:p>
            <w:pPr>
              <w:ind w:left="40"/>
              <w:spacing w:after="0"/>
              <w:rPr>
                <w:sz w:val="20"/>
                <w:szCs w:val="20"/>
                <w:color w:val="auto"/>
              </w:rPr>
            </w:pPr>
            <w:r>
              <w:rPr>
                <w:rFonts w:ascii="Arial" w:cs="Arial" w:eastAsia="Arial" w:hAnsi="Arial"/>
                <w:sz w:val="20"/>
                <w:szCs w:val="20"/>
                <w:color w:val="auto"/>
              </w:rPr>
              <w:t>February</w:t>
            </w:r>
          </w:p>
        </w:tc>
      </w:tr>
      <w:tr>
        <w:trPr>
          <w:trHeight w:val="20"/>
        </w:trPr>
        <w:tc>
          <w:tcPr>
            <w:tcW w:w="660" w:type="dxa"/>
            <w:vAlign w:val="bottom"/>
            <w:shd w:val="clear" w:color="auto" w:fill="CFF0FC"/>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220" w:type="dxa"/>
            <w:vAlign w:val="bottom"/>
            <w:tcBorders>
              <w:bottom w:val="single" w:sz="8" w:color="0000FF"/>
              <w:right w:val="single" w:sz="8" w:color="CFF0FC"/>
            </w:tcBorders>
            <w:gridSpan w:val="11"/>
            <w:shd w:val="clear" w:color="auto" w:fill="CFF0FC"/>
          </w:tcPr>
          <w:p>
            <w:pPr>
              <w:spacing w:after="0"/>
              <w:rPr>
                <w:rFonts w:ascii="Arial" w:cs="Arial" w:eastAsia="Arial" w:hAnsi="Arial"/>
                <w:sz w:val="20"/>
                <w:szCs w:val="20"/>
                <w:color w:val="0000FF"/>
                <w:w w:val="89"/>
              </w:rPr>
            </w:pPr>
            <w:hyperlink r:id="rId720">
              <w:r>
                <w:rPr>
                  <w:rFonts w:ascii="Arial" w:cs="Arial" w:eastAsia="Arial" w:hAnsi="Arial"/>
                  <w:sz w:val="20"/>
                  <w:szCs w:val="20"/>
                  <w:color w:val="0000FF"/>
                  <w:w w:val="89"/>
                </w:rPr>
                <w:t>for U.S. Employees, (as amended and restated, effective January</w:t>
              </w:r>
            </w:hyperlink>
          </w:p>
        </w:tc>
        <w:tc>
          <w:tcPr>
            <w:tcW w:w="8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22, 2024</w:t>
            </w:r>
          </w:p>
        </w:tc>
      </w:tr>
      <w:tr>
        <w:trPr>
          <w:trHeight w:val="280"/>
        </w:trPr>
        <w:tc>
          <w:tcPr>
            <w:tcW w:w="660" w:type="dxa"/>
            <w:vAlign w:val="bottom"/>
            <w:shd w:val="clear" w:color="auto" w:fill="CFF0FC"/>
          </w:tcPr>
          <w:p>
            <w:pPr>
              <w:spacing w:after="0"/>
              <w:rPr>
                <w:sz w:val="24"/>
                <w:szCs w:val="24"/>
                <w:color w:val="auto"/>
              </w:rPr>
            </w:pPr>
          </w:p>
        </w:tc>
        <w:tc>
          <w:tcPr>
            <w:tcW w:w="1860" w:type="dxa"/>
            <w:vAlign w:val="bottom"/>
            <w:gridSpan w:val="2"/>
            <w:shd w:val="clear" w:color="auto" w:fill="CFF0FC"/>
          </w:tcPr>
          <w:p>
            <w:pPr>
              <w:spacing w:after="0"/>
              <w:rPr>
                <w:rFonts w:ascii="Arial" w:cs="Arial" w:eastAsia="Arial" w:hAnsi="Arial"/>
                <w:sz w:val="20"/>
                <w:szCs w:val="20"/>
                <w:color w:val="0000FF"/>
              </w:rPr>
            </w:pPr>
            <w:hyperlink r:id="rId720">
              <w:r>
                <w:rPr>
                  <w:rFonts w:ascii="Arial" w:cs="Arial" w:eastAsia="Arial" w:hAnsi="Arial"/>
                  <w:sz w:val="20"/>
                  <w:szCs w:val="20"/>
                  <w:color w:val="0000FF"/>
                </w:rPr>
                <w:t>1, 2024)</w:t>
              </w:r>
            </w:hyperlink>
          </w:p>
        </w:tc>
        <w:tc>
          <w:tcPr>
            <w:tcW w:w="900" w:type="dxa"/>
            <w:vAlign w:val="bottom"/>
            <w:shd w:val="clear" w:color="auto" w:fill="CFF0FC"/>
          </w:tcPr>
          <w:p>
            <w:pPr>
              <w:spacing w:after="0"/>
              <w:rPr>
                <w:sz w:val="24"/>
                <w:szCs w:val="24"/>
                <w:color w:val="auto"/>
              </w:rPr>
            </w:pPr>
          </w:p>
        </w:tc>
        <w:tc>
          <w:tcPr>
            <w:tcW w:w="17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00" w:type="dxa"/>
            <w:vAlign w:val="bottom"/>
            <w:tcBorders>
              <w:right w:val="single" w:sz="8" w:color="CFF0FC"/>
            </w:tcBorders>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700" w:type="dxa"/>
            <w:vAlign w:val="bottom"/>
            <w:shd w:val="clear" w:color="auto" w:fill="CFF0FC"/>
          </w:tcPr>
          <w:p>
            <w:pPr>
              <w:spacing w:after="0"/>
              <w:rPr>
                <w:sz w:val="24"/>
                <w:szCs w:val="24"/>
                <w:color w:val="auto"/>
              </w:rPr>
            </w:pPr>
          </w:p>
        </w:tc>
      </w:tr>
      <w:tr>
        <w:trPr>
          <w:trHeight w:val="41"/>
        </w:trPr>
        <w:tc>
          <w:tcPr>
            <w:tcW w:w="660" w:type="dxa"/>
            <w:vAlign w:val="bottom"/>
            <w:tcBorders>
              <w:top w:val="single" w:sz="8" w:color="CFF0FC"/>
            </w:tcBorders>
            <w:shd w:val="clear" w:color="auto" w:fill="CFF0FC"/>
          </w:tcPr>
          <w:p>
            <w:pPr>
              <w:spacing w:after="0"/>
              <w:rPr>
                <w:sz w:val="3"/>
                <w:szCs w:val="3"/>
                <w:color w:val="auto"/>
              </w:rPr>
            </w:pPr>
          </w:p>
        </w:tc>
        <w:tc>
          <w:tcPr>
            <w:tcW w:w="660" w:type="dxa"/>
            <w:vAlign w:val="bottom"/>
            <w:tcBorders>
              <w:top w:val="single" w:sz="8" w:color="0000FF"/>
            </w:tcBorders>
            <w:shd w:val="clear" w:color="auto" w:fill="CFF0FC"/>
          </w:tcPr>
          <w:p>
            <w:pPr>
              <w:spacing w:after="0"/>
              <w:rPr>
                <w:sz w:val="3"/>
                <w:szCs w:val="3"/>
                <w:color w:val="auto"/>
              </w:rPr>
            </w:pPr>
          </w:p>
        </w:tc>
        <w:tc>
          <w:tcPr>
            <w:tcW w:w="1200" w:type="dxa"/>
            <w:vAlign w:val="bottom"/>
            <w:tcBorders>
              <w:top w:val="single" w:sz="8" w:color="CFF0FC"/>
            </w:tcBorders>
            <w:shd w:val="clear" w:color="auto" w:fill="CFF0FC"/>
          </w:tcPr>
          <w:p>
            <w:pPr>
              <w:spacing w:after="0"/>
              <w:rPr>
                <w:sz w:val="3"/>
                <w:szCs w:val="3"/>
                <w:color w:val="auto"/>
              </w:rPr>
            </w:pPr>
          </w:p>
        </w:tc>
        <w:tc>
          <w:tcPr>
            <w:tcW w:w="900" w:type="dxa"/>
            <w:vAlign w:val="bottom"/>
            <w:tcBorders>
              <w:top w:val="single" w:sz="8" w:color="CFF0FC"/>
            </w:tcBorders>
            <w:shd w:val="clear" w:color="auto" w:fill="CFF0FC"/>
          </w:tcPr>
          <w:p>
            <w:pPr>
              <w:spacing w:after="0"/>
              <w:rPr>
                <w:sz w:val="3"/>
                <w:szCs w:val="3"/>
                <w:color w:val="auto"/>
              </w:rPr>
            </w:pPr>
          </w:p>
        </w:tc>
        <w:tc>
          <w:tcPr>
            <w:tcW w:w="1780" w:type="dxa"/>
            <w:vAlign w:val="bottom"/>
            <w:tcBorders>
              <w:top w:val="single" w:sz="8" w:color="CFF0FC"/>
            </w:tcBorders>
            <w:shd w:val="clear" w:color="auto" w:fill="CFF0FC"/>
          </w:tcPr>
          <w:p>
            <w:pPr>
              <w:spacing w:after="0"/>
              <w:rPr>
                <w:sz w:val="3"/>
                <w:szCs w:val="3"/>
                <w:color w:val="auto"/>
              </w:rPr>
            </w:pPr>
          </w:p>
        </w:tc>
        <w:tc>
          <w:tcPr>
            <w:tcW w:w="20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14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100" w:type="dxa"/>
            <w:vAlign w:val="bottom"/>
            <w:tcBorders>
              <w:top w:val="single" w:sz="8" w:color="CFF0FC"/>
              <w:right w:val="single" w:sz="8" w:color="CFF0FC"/>
            </w:tcBorders>
            <w:shd w:val="clear" w:color="auto" w:fill="CFF0FC"/>
          </w:tcPr>
          <w:p>
            <w:pPr>
              <w:spacing w:after="0"/>
              <w:rPr>
                <w:sz w:val="3"/>
                <w:szCs w:val="3"/>
                <w:color w:val="auto"/>
              </w:rPr>
            </w:pPr>
          </w:p>
        </w:tc>
        <w:tc>
          <w:tcPr>
            <w:tcW w:w="840" w:type="dxa"/>
            <w:vAlign w:val="bottom"/>
            <w:tcBorders>
              <w:top w:val="single" w:sz="8" w:color="CFF0FC"/>
            </w:tcBorders>
            <w:shd w:val="clear" w:color="auto" w:fill="CFF0FC"/>
          </w:tcPr>
          <w:p>
            <w:pPr>
              <w:spacing w:after="0"/>
              <w:rPr>
                <w:sz w:val="3"/>
                <w:szCs w:val="3"/>
                <w:color w:val="auto"/>
              </w:rPr>
            </w:pPr>
          </w:p>
        </w:tc>
        <w:tc>
          <w:tcPr>
            <w:tcW w:w="600" w:type="dxa"/>
            <w:vAlign w:val="bottom"/>
            <w:tcBorders>
              <w:top w:val="single" w:sz="8" w:color="CFF0FC"/>
            </w:tcBorders>
            <w:shd w:val="clear" w:color="auto" w:fill="CFF0FC"/>
          </w:tcPr>
          <w:p>
            <w:pPr>
              <w:spacing w:after="0"/>
              <w:rPr>
                <w:sz w:val="3"/>
                <w:szCs w:val="3"/>
                <w:color w:val="auto"/>
              </w:rPr>
            </w:pPr>
          </w:p>
        </w:tc>
        <w:tc>
          <w:tcPr>
            <w:tcW w:w="1700" w:type="dxa"/>
            <w:vAlign w:val="bottom"/>
            <w:tcBorders>
              <w:top w:val="single" w:sz="8" w:color="CFF0FC"/>
            </w:tcBorders>
            <w:shd w:val="clear" w:color="auto" w:fill="CFF0FC"/>
          </w:tcPr>
          <w:p>
            <w:pPr>
              <w:spacing w:after="0"/>
              <w:rPr>
                <w:sz w:val="3"/>
                <w:szCs w:val="3"/>
                <w:color w:val="auto"/>
              </w:rPr>
            </w:pPr>
          </w:p>
        </w:tc>
      </w:tr>
      <w:tr>
        <w:trPr>
          <w:trHeight w:val="239"/>
        </w:trPr>
        <w:tc>
          <w:tcPr>
            <w:tcW w:w="5880" w:type="dxa"/>
            <w:vAlign w:val="bottom"/>
            <w:gridSpan w:val="12"/>
          </w:tcPr>
          <w:p>
            <w:pPr>
              <w:ind w:left="20"/>
              <w:spacing w:after="0"/>
              <w:rPr>
                <w:rFonts w:ascii="Arial" w:cs="Arial" w:eastAsia="Arial" w:hAnsi="Arial"/>
                <w:sz w:val="20"/>
                <w:szCs w:val="20"/>
                <w:color w:val="auto"/>
                <w:w w:val="98"/>
              </w:rPr>
            </w:pPr>
            <w:r>
              <w:rPr>
                <w:rFonts w:ascii="Arial" w:cs="Arial" w:eastAsia="Arial" w:hAnsi="Arial"/>
                <w:sz w:val="20"/>
                <w:szCs w:val="20"/>
                <w:color w:val="auto"/>
                <w:w w:val="98"/>
              </w:rPr>
              <w:t xml:space="preserve">10.38† </w:t>
            </w:r>
            <w:hyperlink r:id="rId721">
              <w:r>
                <w:rPr>
                  <w:rFonts w:ascii="Arial" w:cs="Arial" w:eastAsia="Arial" w:hAnsi="Arial"/>
                  <w:sz w:val="20"/>
                  <w:szCs w:val="20"/>
                  <w:color w:val="0000FF"/>
                  <w:w w:val="98"/>
                </w:rPr>
                <w:t>Amendment 2024-1 to Willis Towers Watson Non-Qualified</w:t>
              </w:r>
            </w:hyperlink>
          </w:p>
        </w:tc>
        <w:tc>
          <w:tcPr>
            <w:tcW w:w="840" w:type="dxa"/>
            <w:vAlign w:val="bottom"/>
          </w:tcPr>
          <w:p>
            <w:pPr>
              <w:jc w:val="center"/>
              <w:ind w:left="4"/>
              <w:spacing w:after="0"/>
              <w:rPr>
                <w:sz w:val="20"/>
                <w:szCs w:val="20"/>
                <w:color w:val="auto"/>
              </w:rPr>
            </w:pPr>
            <w:r>
              <w:rPr>
                <w:rFonts w:ascii="Arial" w:cs="Arial" w:eastAsia="Arial" w:hAnsi="Arial"/>
                <w:sz w:val="20"/>
                <w:szCs w:val="20"/>
                <w:color w:val="auto"/>
                <w:w w:val="99"/>
              </w:rPr>
              <w:t>10-K</w:t>
            </w:r>
          </w:p>
        </w:tc>
        <w:tc>
          <w:tcPr>
            <w:tcW w:w="600" w:type="dxa"/>
            <w:vAlign w:val="bottom"/>
          </w:tcPr>
          <w:p>
            <w:pPr>
              <w:jc w:val="center"/>
              <w:spacing w:after="0"/>
              <w:rPr>
                <w:sz w:val="20"/>
                <w:szCs w:val="20"/>
                <w:color w:val="auto"/>
              </w:rPr>
            </w:pPr>
            <w:r>
              <w:rPr>
                <w:rFonts w:ascii="Arial" w:cs="Arial" w:eastAsia="Arial" w:hAnsi="Arial"/>
                <w:sz w:val="20"/>
                <w:szCs w:val="20"/>
                <w:color w:val="auto"/>
                <w:w w:val="87"/>
              </w:rPr>
              <w:t>10.35</w:t>
            </w:r>
          </w:p>
        </w:tc>
        <w:tc>
          <w:tcPr>
            <w:tcW w:w="1700" w:type="dxa"/>
            <w:vAlign w:val="bottom"/>
          </w:tcPr>
          <w:p>
            <w:pPr>
              <w:ind w:left="40"/>
              <w:spacing w:after="0"/>
              <w:rPr>
                <w:sz w:val="20"/>
                <w:szCs w:val="20"/>
                <w:color w:val="auto"/>
              </w:rPr>
            </w:pPr>
            <w:r>
              <w:rPr>
                <w:rFonts w:ascii="Arial" w:cs="Arial" w:eastAsia="Arial" w:hAnsi="Arial"/>
                <w:sz w:val="20"/>
                <w:szCs w:val="20"/>
                <w:color w:val="auto"/>
              </w:rPr>
              <w:t>February</w:t>
            </w:r>
          </w:p>
        </w:tc>
      </w:tr>
      <w:tr>
        <w:trPr>
          <w:trHeight w:val="20"/>
        </w:trPr>
        <w:tc>
          <w:tcPr>
            <w:tcW w:w="660" w:type="dxa"/>
            <w:vAlign w:val="bottom"/>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80"/>
        </w:trPr>
        <w:tc>
          <w:tcPr>
            <w:tcW w:w="660" w:type="dxa"/>
            <w:vAlign w:val="bottom"/>
          </w:tcPr>
          <w:p>
            <w:pPr>
              <w:spacing w:after="0"/>
              <w:rPr>
                <w:sz w:val="24"/>
                <w:szCs w:val="24"/>
                <w:color w:val="auto"/>
              </w:rPr>
            </w:pPr>
          </w:p>
        </w:tc>
        <w:tc>
          <w:tcPr>
            <w:tcW w:w="5120" w:type="dxa"/>
            <w:vAlign w:val="bottom"/>
            <w:tcBorders>
              <w:bottom w:val="single" w:sz="8" w:color="0000FF"/>
            </w:tcBorders>
            <w:gridSpan w:val="10"/>
          </w:tcPr>
          <w:p>
            <w:pPr>
              <w:spacing w:after="0"/>
              <w:rPr>
                <w:rFonts w:ascii="Arial" w:cs="Arial" w:eastAsia="Arial" w:hAnsi="Arial"/>
                <w:sz w:val="20"/>
                <w:szCs w:val="20"/>
                <w:color w:val="0000FF"/>
                <w:w w:val="89"/>
              </w:rPr>
            </w:pPr>
            <w:hyperlink r:id="rId721">
              <w:r>
                <w:rPr>
                  <w:rFonts w:ascii="Arial" w:cs="Arial" w:eastAsia="Arial" w:hAnsi="Arial"/>
                  <w:sz w:val="20"/>
                  <w:szCs w:val="20"/>
                  <w:color w:val="0000FF"/>
                  <w:w w:val="89"/>
                </w:rPr>
                <w:t>Stable Value Excess Plan for U.S. Employees (as amended and</w:t>
              </w:r>
            </w:hyperlink>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20"/>
                <w:szCs w:val="20"/>
                <w:color w:val="auto"/>
              </w:rPr>
              <w:t>25, 2025</w:t>
            </w:r>
          </w:p>
        </w:tc>
      </w:tr>
      <w:tr>
        <w:trPr>
          <w:trHeight w:val="280"/>
        </w:trPr>
        <w:tc>
          <w:tcPr>
            <w:tcW w:w="660" w:type="dxa"/>
            <w:vAlign w:val="bottom"/>
          </w:tcPr>
          <w:p>
            <w:pPr>
              <w:spacing w:after="0"/>
              <w:rPr>
                <w:sz w:val="24"/>
                <w:szCs w:val="24"/>
                <w:color w:val="auto"/>
              </w:rPr>
            </w:pPr>
          </w:p>
        </w:tc>
        <w:tc>
          <w:tcPr>
            <w:tcW w:w="5220" w:type="dxa"/>
            <w:vAlign w:val="bottom"/>
            <w:gridSpan w:val="11"/>
          </w:tcPr>
          <w:p>
            <w:pPr>
              <w:spacing w:after="0"/>
              <w:rPr>
                <w:rFonts w:ascii="Arial" w:cs="Arial" w:eastAsia="Arial" w:hAnsi="Arial"/>
                <w:sz w:val="20"/>
                <w:szCs w:val="20"/>
                <w:color w:val="0000FF"/>
              </w:rPr>
            </w:pPr>
            <w:hyperlink r:id="rId721">
              <w:r>
                <w:rPr>
                  <w:rFonts w:ascii="Arial" w:cs="Arial" w:eastAsia="Arial" w:hAnsi="Arial"/>
                  <w:sz w:val="20"/>
                  <w:szCs w:val="20"/>
                  <w:color w:val="0000FF"/>
                </w:rPr>
                <w:t>restated effective January 1, 2024)</w:t>
              </w:r>
            </w:hyperlink>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
        </w:trPr>
        <w:tc>
          <w:tcPr>
            <w:tcW w:w="660" w:type="dxa"/>
            <w:vAlign w:val="bottom"/>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1200" w:type="dxa"/>
            <w:vAlign w:val="bottom"/>
            <w:tcBorders>
              <w:top w:val="single" w:sz="8" w:color="0000FF"/>
            </w:tcBorders>
          </w:tcPr>
          <w:p>
            <w:pPr>
              <w:spacing w:after="0"/>
              <w:rPr>
                <w:sz w:val="3"/>
                <w:szCs w:val="3"/>
                <w:color w:val="auto"/>
              </w:rPr>
            </w:pPr>
          </w:p>
        </w:tc>
        <w:tc>
          <w:tcPr>
            <w:tcW w:w="900" w:type="dxa"/>
            <w:vAlign w:val="bottom"/>
            <w:tcBorders>
              <w:top w:val="single" w:sz="8" w:color="0000FF"/>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9"/>
        </w:trPr>
        <w:tc>
          <w:tcPr>
            <w:tcW w:w="5880" w:type="dxa"/>
            <w:vAlign w:val="bottom"/>
            <w:tcBorders>
              <w:right w:val="single" w:sz="8" w:color="CFF0FC"/>
            </w:tcBorders>
            <w:gridSpan w:val="12"/>
            <w:shd w:val="clear" w:color="auto" w:fill="CFF0FC"/>
          </w:tcPr>
          <w:p>
            <w:pPr>
              <w:ind w:left="20"/>
              <w:spacing w:after="0"/>
              <w:rPr>
                <w:rFonts w:ascii="Arial" w:cs="Arial" w:eastAsia="Arial" w:hAnsi="Arial"/>
                <w:sz w:val="20"/>
                <w:szCs w:val="20"/>
                <w:color w:val="auto"/>
              </w:rPr>
            </w:pPr>
            <w:r>
              <w:rPr>
                <w:rFonts w:ascii="Arial" w:cs="Arial" w:eastAsia="Arial" w:hAnsi="Arial"/>
                <w:sz w:val="20"/>
                <w:szCs w:val="20"/>
                <w:color w:val="auto"/>
              </w:rPr>
              <w:t xml:space="preserve">10.39† </w:t>
            </w:r>
            <w:hyperlink r:id="rId722">
              <w:r>
                <w:rPr>
                  <w:rFonts w:ascii="Arial" w:cs="Arial" w:eastAsia="Arial" w:hAnsi="Arial"/>
                  <w:sz w:val="20"/>
                  <w:szCs w:val="20"/>
                  <w:color w:val="0000FF"/>
                </w:rPr>
                <w:t>Form of 2022 Time-Based Restricted Share Unit Award</w:t>
              </w:r>
            </w:hyperlink>
          </w:p>
        </w:tc>
        <w:tc>
          <w:tcPr>
            <w:tcW w:w="840" w:type="dxa"/>
            <w:vAlign w:val="bottom"/>
            <w:shd w:val="clear" w:color="auto" w:fill="CFF0FC"/>
          </w:tcPr>
          <w:p>
            <w:pPr>
              <w:jc w:val="center"/>
              <w:ind w:left="4"/>
              <w:spacing w:after="0"/>
              <w:rPr>
                <w:sz w:val="20"/>
                <w:szCs w:val="20"/>
                <w:color w:val="auto"/>
              </w:rPr>
            </w:pPr>
            <w:r>
              <w:rPr>
                <w:rFonts w:ascii="Arial" w:cs="Arial" w:eastAsia="Arial" w:hAnsi="Arial"/>
                <w:sz w:val="20"/>
                <w:szCs w:val="20"/>
                <w:color w:val="auto"/>
                <w:w w:val="96"/>
              </w:rPr>
              <w:t>8-K</w:t>
            </w:r>
          </w:p>
        </w:tc>
        <w:tc>
          <w:tcPr>
            <w:tcW w:w="6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2"/>
              </w:rPr>
              <w:t>10.1</w:t>
            </w:r>
          </w:p>
        </w:tc>
        <w:tc>
          <w:tcPr>
            <w:tcW w:w="1700" w:type="dxa"/>
            <w:vAlign w:val="bottom"/>
            <w:shd w:val="clear" w:color="auto" w:fill="CFF0FC"/>
          </w:tcPr>
          <w:p>
            <w:pPr>
              <w:ind w:left="40"/>
              <w:spacing w:after="0"/>
              <w:rPr>
                <w:sz w:val="20"/>
                <w:szCs w:val="20"/>
                <w:color w:val="auto"/>
              </w:rPr>
            </w:pPr>
            <w:r>
              <w:rPr>
                <w:rFonts w:ascii="Arial" w:cs="Arial" w:eastAsia="Arial" w:hAnsi="Arial"/>
                <w:sz w:val="20"/>
                <w:szCs w:val="20"/>
                <w:color w:val="auto"/>
              </w:rPr>
              <w:t>February</w:t>
            </w:r>
          </w:p>
        </w:tc>
      </w:tr>
      <w:tr>
        <w:trPr>
          <w:trHeight w:val="20"/>
        </w:trPr>
        <w:tc>
          <w:tcPr>
            <w:tcW w:w="660" w:type="dxa"/>
            <w:vAlign w:val="bottom"/>
            <w:shd w:val="clear" w:color="auto" w:fill="CFF0FC"/>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00" w:type="dxa"/>
            <w:vAlign w:val="bottom"/>
            <w:gridSpan w:val="3"/>
            <w:shd w:val="clear" w:color="auto" w:fill="CFF0FC"/>
          </w:tcPr>
          <w:p>
            <w:pPr>
              <w:spacing w:after="0" w:line="20" w:lineRule="exact"/>
              <w:rPr>
                <w:sz w:val="1"/>
                <w:szCs w:val="1"/>
                <w:color w:val="auto"/>
              </w:rPr>
            </w:pPr>
          </w:p>
        </w:tc>
        <w:tc>
          <w:tcPr>
            <w:tcW w:w="160" w:type="dxa"/>
            <w:vAlign w:val="bottom"/>
            <w:tcBorders>
              <w:right w:val="single" w:sz="8" w:color="CFF0FC"/>
            </w:tcBorders>
            <w:gridSpan w:val="2"/>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4760" w:type="dxa"/>
            <w:vAlign w:val="bottom"/>
            <w:tcBorders>
              <w:bottom w:val="single" w:sz="8" w:color="0000FF"/>
            </w:tcBorders>
            <w:gridSpan w:val="6"/>
            <w:shd w:val="clear" w:color="auto" w:fill="CFF0FC"/>
          </w:tcPr>
          <w:p>
            <w:pPr>
              <w:spacing w:after="0"/>
              <w:rPr>
                <w:rFonts w:ascii="Arial" w:cs="Arial" w:eastAsia="Arial" w:hAnsi="Arial"/>
                <w:sz w:val="20"/>
                <w:szCs w:val="20"/>
                <w:color w:val="0000FF"/>
                <w:w w:val="93"/>
              </w:rPr>
            </w:pPr>
            <w:hyperlink r:id="rId722">
              <w:r>
                <w:rPr>
                  <w:rFonts w:ascii="Arial" w:cs="Arial" w:eastAsia="Arial" w:hAnsi="Arial"/>
                  <w:sz w:val="20"/>
                  <w:szCs w:val="20"/>
                  <w:color w:val="0000FF"/>
                  <w:w w:val="93"/>
                </w:rPr>
                <w:t>Agreement for Executive Officers under the Willis Towers</w:t>
              </w:r>
            </w:hyperlink>
          </w:p>
        </w:tc>
        <w:tc>
          <w:tcPr>
            <w:tcW w:w="460" w:type="dxa"/>
            <w:vAlign w:val="bottom"/>
            <w:tcBorders>
              <w:bottom w:val="single" w:sz="8" w:color="CFF0FC"/>
              <w:right w:val="single" w:sz="8" w:color="CFF0FC"/>
            </w:tcBorders>
            <w:gridSpan w:val="5"/>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28, 2022</w:t>
            </w:r>
          </w:p>
        </w:tc>
      </w:tr>
      <w:tr>
        <w:trPr>
          <w:trHeight w:val="280"/>
        </w:trPr>
        <w:tc>
          <w:tcPr>
            <w:tcW w:w="660" w:type="dxa"/>
            <w:vAlign w:val="bottom"/>
            <w:shd w:val="clear" w:color="auto" w:fill="CFF0FC"/>
          </w:tcPr>
          <w:p>
            <w:pPr>
              <w:spacing w:after="0"/>
              <w:rPr>
                <w:sz w:val="24"/>
                <w:szCs w:val="24"/>
                <w:color w:val="auto"/>
              </w:rPr>
            </w:pPr>
          </w:p>
        </w:tc>
        <w:tc>
          <w:tcPr>
            <w:tcW w:w="5220" w:type="dxa"/>
            <w:vAlign w:val="bottom"/>
            <w:tcBorders>
              <w:right w:val="single" w:sz="8" w:color="CFF0FC"/>
            </w:tcBorders>
            <w:gridSpan w:val="11"/>
            <w:shd w:val="clear" w:color="auto" w:fill="CFF0FC"/>
          </w:tcPr>
          <w:p>
            <w:pPr>
              <w:spacing w:after="0"/>
              <w:rPr>
                <w:rFonts w:ascii="Arial" w:cs="Arial" w:eastAsia="Arial" w:hAnsi="Arial"/>
                <w:sz w:val="20"/>
                <w:szCs w:val="20"/>
                <w:color w:val="0000FF"/>
                <w:w w:val="98"/>
              </w:rPr>
            </w:pPr>
            <w:hyperlink r:id="rId722">
              <w:r>
                <w:rPr>
                  <w:rFonts w:ascii="Arial" w:cs="Arial" w:eastAsia="Arial" w:hAnsi="Arial"/>
                  <w:sz w:val="20"/>
                  <w:szCs w:val="20"/>
                  <w:color w:val="0000FF"/>
                  <w:w w:val="98"/>
                </w:rPr>
                <w:t>Watson Amended and Restated 2012 Equity Incentive Plan</w:t>
              </w:r>
            </w:hyperlink>
          </w:p>
        </w:tc>
        <w:tc>
          <w:tcPr>
            <w:tcW w:w="8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700" w:type="dxa"/>
            <w:vAlign w:val="bottom"/>
            <w:shd w:val="clear" w:color="auto" w:fill="CFF0FC"/>
          </w:tcPr>
          <w:p>
            <w:pPr>
              <w:spacing w:after="0"/>
              <w:rPr>
                <w:sz w:val="24"/>
                <w:szCs w:val="24"/>
                <w:color w:val="auto"/>
              </w:rPr>
            </w:pPr>
          </w:p>
        </w:tc>
      </w:tr>
      <w:tr>
        <w:trPr>
          <w:trHeight w:val="41"/>
        </w:trPr>
        <w:tc>
          <w:tcPr>
            <w:tcW w:w="660" w:type="dxa"/>
            <w:vAlign w:val="bottom"/>
            <w:tcBorders>
              <w:top w:val="single" w:sz="8" w:color="CFF0FC"/>
            </w:tcBorders>
            <w:shd w:val="clear" w:color="auto" w:fill="CFF0FC"/>
          </w:tcPr>
          <w:p>
            <w:pPr>
              <w:spacing w:after="0"/>
              <w:rPr>
                <w:sz w:val="3"/>
                <w:szCs w:val="3"/>
                <w:color w:val="auto"/>
              </w:rPr>
            </w:pPr>
          </w:p>
        </w:tc>
        <w:tc>
          <w:tcPr>
            <w:tcW w:w="660" w:type="dxa"/>
            <w:vAlign w:val="bottom"/>
            <w:tcBorders>
              <w:top w:val="single" w:sz="8" w:color="0000FF"/>
            </w:tcBorders>
            <w:shd w:val="clear" w:color="auto" w:fill="CFF0FC"/>
          </w:tcPr>
          <w:p>
            <w:pPr>
              <w:spacing w:after="0"/>
              <w:rPr>
                <w:sz w:val="3"/>
                <w:szCs w:val="3"/>
                <w:color w:val="auto"/>
              </w:rPr>
            </w:pPr>
          </w:p>
        </w:tc>
        <w:tc>
          <w:tcPr>
            <w:tcW w:w="1200" w:type="dxa"/>
            <w:vAlign w:val="bottom"/>
            <w:tcBorders>
              <w:top w:val="single" w:sz="8" w:color="0000FF"/>
            </w:tcBorders>
            <w:shd w:val="clear" w:color="auto" w:fill="CFF0FC"/>
          </w:tcPr>
          <w:p>
            <w:pPr>
              <w:spacing w:after="0"/>
              <w:rPr>
                <w:sz w:val="3"/>
                <w:szCs w:val="3"/>
                <w:color w:val="auto"/>
              </w:rPr>
            </w:pPr>
          </w:p>
        </w:tc>
        <w:tc>
          <w:tcPr>
            <w:tcW w:w="900" w:type="dxa"/>
            <w:vAlign w:val="bottom"/>
            <w:tcBorders>
              <w:top w:val="single" w:sz="8" w:color="0000FF"/>
            </w:tcBorders>
            <w:shd w:val="clear" w:color="auto" w:fill="CFF0FC"/>
          </w:tcPr>
          <w:p>
            <w:pPr>
              <w:spacing w:after="0"/>
              <w:rPr>
                <w:sz w:val="3"/>
                <w:szCs w:val="3"/>
                <w:color w:val="auto"/>
              </w:rPr>
            </w:pPr>
          </w:p>
        </w:tc>
        <w:tc>
          <w:tcPr>
            <w:tcW w:w="1780" w:type="dxa"/>
            <w:vAlign w:val="bottom"/>
            <w:tcBorders>
              <w:top w:val="single" w:sz="8" w:color="0000FF"/>
            </w:tcBorders>
            <w:shd w:val="clear" w:color="auto" w:fill="CFF0FC"/>
          </w:tcPr>
          <w:p>
            <w:pPr>
              <w:spacing w:after="0"/>
              <w:rPr>
                <w:sz w:val="3"/>
                <w:szCs w:val="3"/>
                <w:color w:val="auto"/>
              </w:rPr>
            </w:pPr>
          </w:p>
        </w:tc>
        <w:tc>
          <w:tcPr>
            <w:tcW w:w="200" w:type="dxa"/>
            <w:vAlign w:val="bottom"/>
            <w:tcBorders>
              <w:top w:val="single" w:sz="8" w:color="0000FF"/>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14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100" w:type="dxa"/>
            <w:vAlign w:val="bottom"/>
            <w:tcBorders>
              <w:top w:val="single" w:sz="8" w:color="CFF0FC"/>
              <w:right w:val="single" w:sz="8" w:color="CFF0FC"/>
            </w:tcBorders>
            <w:shd w:val="clear" w:color="auto" w:fill="CFF0FC"/>
          </w:tcPr>
          <w:p>
            <w:pPr>
              <w:spacing w:after="0"/>
              <w:rPr>
                <w:sz w:val="3"/>
                <w:szCs w:val="3"/>
                <w:color w:val="auto"/>
              </w:rPr>
            </w:pPr>
          </w:p>
        </w:tc>
        <w:tc>
          <w:tcPr>
            <w:tcW w:w="840" w:type="dxa"/>
            <w:vAlign w:val="bottom"/>
            <w:tcBorders>
              <w:top w:val="single" w:sz="8" w:color="CFF0FC"/>
            </w:tcBorders>
            <w:shd w:val="clear" w:color="auto" w:fill="CFF0FC"/>
          </w:tcPr>
          <w:p>
            <w:pPr>
              <w:spacing w:after="0"/>
              <w:rPr>
                <w:sz w:val="3"/>
                <w:szCs w:val="3"/>
                <w:color w:val="auto"/>
              </w:rPr>
            </w:pPr>
          </w:p>
        </w:tc>
        <w:tc>
          <w:tcPr>
            <w:tcW w:w="600" w:type="dxa"/>
            <w:vAlign w:val="bottom"/>
            <w:tcBorders>
              <w:top w:val="single" w:sz="8" w:color="CFF0FC"/>
            </w:tcBorders>
            <w:shd w:val="clear" w:color="auto" w:fill="CFF0FC"/>
          </w:tcPr>
          <w:p>
            <w:pPr>
              <w:spacing w:after="0"/>
              <w:rPr>
                <w:sz w:val="3"/>
                <w:szCs w:val="3"/>
                <w:color w:val="auto"/>
              </w:rPr>
            </w:pPr>
          </w:p>
        </w:tc>
        <w:tc>
          <w:tcPr>
            <w:tcW w:w="1700" w:type="dxa"/>
            <w:vAlign w:val="bottom"/>
            <w:tcBorders>
              <w:top w:val="single" w:sz="8" w:color="CFF0FC"/>
            </w:tcBorders>
            <w:shd w:val="clear" w:color="auto" w:fill="CFF0FC"/>
          </w:tcPr>
          <w:p>
            <w:pPr>
              <w:spacing w:after="0"/>
              <w:rPr>
                <w:sz w:val="3"/>
                <w:szCs w:val="3"/>
                <w:color w:val="auto"/>
              </w:rPr>
            </w:pPr>
          </w:p>
        </w:tc>
      </w:tr>
      <w:tr>
        <w:trPr>
          <w:trHeight w:val="239"/>
        </w:trPr>
        <w:tc>
          <w:tcPr>
            <w:tcW w:w="5880" w:type="dxa"/>
            <w:vAlign w:val="bottom"/>
            <w:gridSpan w:val="12"/>
          </w:tcPr>
          <w:p>
            <w:pPr>
              <w:ind w:left="20"/>
              <w:spacing w:after="0"/>
              <w:rPr>
                <w:rFonts w:ascii="Arial" w:cs="Arial" w:eastAsia="Arial" w:hAnsi="Arial"/>
                <w:sz w:val="20"/>
                <w:szCs w:val="20"/>
                <w:color w:val="auto"/>
                <w:w w:val="92"/>
              </w:rPr>
            </w:pPr>
            <w:r>
              <w:rPr>
                <w:rFonts w:ascii="Arial" w:cs="Arial" w:eastAsia="Arial" w:hAnsi="Arial"/>
                <w:sz w:val="20"/>
                <w:szCs w:val="20"/>
                <w:color w:val="auto"/>
                <w:w w:val="92"/>
              </w:rPr>
              <w:t xml:space="preserve">10.40† </w:t>
            </w:r>
            <w:hyperlink r:id="rId723">
              <w:r>
                <w:rPr>
                  <w:rFonts w:ascii="Arial" w:cs="Arial" w:eastAsia="Arial" w:hAnsi="Arial"/>
                  <w:sz w:val="20"/>
                  <w:szCs w:val="20"/>
                  <w:color w:val="0000FF"/>
                  <w:w w:val="92"/>
                </w:rPr>
                <w:t>Form of 2022 Performance-Based Restricted Share Unit Award</w:t>
              </w:r>
            </w:hyperlink>
          </w:p>
        </w:tc>
        <w:tc>
          <w:tcPr>
            <w:tcW w:w="840" w:type="dxa"/>
            <w:vAlign w:val="bottom"/>
          </w:tcPr>
          <w:p>
            <w:pPr>
              <w:jc w:val="center"/>
              <w:ind w:left="4"/>
              <w:spacing w:after="0"/>
              <w:rPr>
                <w:sz w:val="20"/>
                <w:szCs w:val="20"/>
                <w:color w:val="auto"/>
              </w:rPr>
            </w:pPr>
            <w:r>
              <w:rPr>
                <w:rFonts w:ascii="Arial" w:cs="Arial" w:eastAsia="Arial" w:hAnsi="Arial"/>
                <w:sz w:val="20"/>
                <w:szCs w:val="20"/>
                <w:color w:val="auto"/>
                <w:w w:val="96"/>
              </w:rPr>
              <w:t>8-K</w:t>
            </w:r>
          </w:p>
        </w:tc>
        <w:tc>
          <w:tcPr>
            <w:tcW w:w="600" w:type="dxa"/>
            <w:vAlign w:val="bottom"/>
          </w:tcPr>
          <w:p>
            <w:pPr>
              <w:jc w:val="center"/>
              <w:spacing w:after="0"/>
              <w:rPr>
                <w:sz w:val="20"/>
                <w:szCs w:val="20"/>
                <w:color w:val="auto"/>
              </w:rPr>
            </w:pPr>
            <w:r>
              <w:rPr>
                <w:rFonts w:ascii="Arial" w:cs="Arial" w:eastAsia="Arial" w:hAnsi="Arial"/>
                <w:sz w:val="20"/>
                <w:szCs w:val="20"/>
                <w:color w:val="auto"/>
                <w:w w:val="92"/>
              </w:rPr>
              <w:t>10.2</w:t>
            </w:r>
          </w:p>
        </w:tc>
        <w:tc>
          <w:tcPr>
            <w:tcW w:w="1700" w:type="dxa"/>
            <w:vAlign w:val="bottom"/>
          </w:tcPr>
          <w:p>
            <w:pPr>
              <w:ind w:left="40"/>
              <w:spacing w:after="0"/>
              <w:rPr>
                <w:sz w:val="20"/>
                <w:szCs w:val="20"/>
                <w:color w:val="auto"/>
              </w:rPr>
            </w:pPr>
            <w:r>
              <w:rPr>
                <w:rFonts w:ascii="Arial" w:cs="Arial" w:eastAsia="Arial" w:hAnsi="Arial"/>
                <w:sz w:val="20"/>
                <w:szCs w:val="20"/>
                <w:color w:val="auto"/>
              </w:rPr>
              <w:t>February</w:t>
            </w:r>
          </w:p>
        </w:tc>
      </w:tr>
      <w:tr>
        <w:trPr>
          <w:trHeight w:val="280"/>
        </w:trPr>
        <w:tc>
          <w:tcPr>
            <w:tcW w:w="660" w:type="dxa"/>
            <w:vAlign w:val="bottom"/>
          </w:tcPr>
          <w:p>
            <w:pPr>
              <w:spacing w:after="0"/>
              <w:rPr>
                <w:sz w:val="24"/>
                <w:szCs w:val="24"/>
                <w:color w:val="auto"/>
              </w:rPr>
            </w:pPr>
          </w:p>
        </w:tc>
        <w:tc>
          <w:tcPr>
            <w:tcW w:w="4760" w:type="dxa"/>
            <w:vAlign w:val="bottom"/>
            <w:tcBorders>
              <w:top w:val="single" w:sz="8" w:color="0000FF"/>
              <w:bottom w:val="single" w:sz="8" w:color="0000FF"/>
            </w:tcBorders>
            <w:gridSpan w:val="6"/>
          </w:tcPr>
          <w:p>
            <w:pPr>
              <w:spacing w:after="0"/>
              <w:rPr>
                <w:rFonts w:ascii="Arial" w:cs="Arial" w:eastAsia="Arial" w:hAnsi="Arial"/>
                <w:sz w:val="20"/>
                <w:szCs w:val="20"/>
                <w:color w:val="0000FF"/>
                <w:w w:val="93"/>
              </w:rPr>
            </w:pPr>
            <w:hyperlink r:id="rId723">
              <w:r>
                <w:rPr>
                  <w:rFonts w:ascii="Arial" w:cs="Arial" w:eastAsia="Arial" w:hAnsi="Arial"/>
                  <w:sz w:val="20"/>
                  <w:szCs w:val="20"/>
                  <w:color w:val="0000FF"/>
                  <w:w w:val="93"/>
                </w:rPr>
                <w:t>Agreement for Executive Officers under the Willis Towers</w:t>
              </w:r>
            </w:hyperlink>
          </w:p>
        </w:tc>
        <w:tc>
          <w:tcPr>
            <w:tcW w:w="460" w:type="dxa"/>
            <w:vAlign w:val="bottom"/>
            <w:tcBorders>
              <w:top w:val="single" w:sz="8" w:color="0000FF"/>
            </w:tcBorders>
            <w:gridSpan w:val="5"/>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20"/>
                <w:szCs w:val="20"/>
                <w:color w:val="auto"/>
              </w:rPr>
              <w:t>28, 2022</w:t>
            </w:r>
          </w:p>
        </w:tc>
      </w:tr>
      <w:tr>
        <w:trPr>
          <w:trHeight w:val="280"/>
        </w:trPr>
        <w:tc>
          <w:tcPr>
            <w:tcW w:w="660" w:type="dxa"/>
            <w:vAlign w:val="bottom"/>
          </w:tcPr>
          <w:p>
            <w:pPr>
              <w:spacing w:after="0"/>
              <w:rPr>
                <w:sz w:val="24"/>
                <w:szCs w:val="24"/>
                <w:color w:val="auto"/>
              </w:rPr>
            </w:pPr>
          </w:p>
        </w:tc>
        <w:tc>
          <w:tcPr>
            <w:tcW w:w="5220" w:type="dxa"/>
            <w:vAlign w:val="bottom"/>
            <w:gridSpan w:val="11"/>
          </w:tcPr>
          <w:p>
            <w:pPr>
              <w:spacing w:after="0"/>
              <w:rPr>
                <w:rFonts w:ascii="Arial" w:cs="Arial" w:eastAsia="Arial" w:hAnsi="Arial"/>
                <w:sz w:val="20"/>
                <w:szCs w:val="20"/>
                <w:color w:val="0000FF"/>
                <w:w w:val="98"/>
              </w:rPr>
            </w:pPr>
            <w:hyperlink r:id="rId723">
              <w:r>
                <w:rPr>
                  <w:rFonts w:ascii="Arial" w:cs="Arial" w:eastAsia="Arial" w:hAnsi="Arial"/>
                  <w:sz w:val="20"/>
                  <w:szCs w:val="20"/>
                  <w:color w:val="0000FF"/>
                  <w:w w:val="98"/>
                </w:rPr>
                <w:t>Watson Amended and Restated 2012 Equity Incentive Plan</w:t>
              </w:r>
            </w:hyperlink>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
        </w:trPr>
        <w:tc>
          <w:tcPr>
            <w:tcW w:w="660" w:type="dxa"/>
            <w:vAlign w:val="bottom"/>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1200" w:type="dxa"/>
            <w:vAlign w:val="bottom"/>
            <w:tcBorders>
              <w:top w:val="single" w:sz="8" w:color="0000FF"/>
            </w:tcBorders>
          </w:tcPr>
          <w:p>
            <w:pPr>
              <w:spacing w:after="0"/>
              <w:rPr>
                <w:sz w:val="3"/>
                <w:szCs w:val="3"/>
                <w:color w:val="auto"/>
              </w:rPr>
            </w:pPr>
          </w:p>
        </w:tc>
        <w:tc>
          <w:tcPr>
            <w:tcW w:w="90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9"/>
        </w:trPr>
        <w:tc>
          <w:tcPr>
            <w:tcW w:w="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10.41†</w:t>
            </w:r>
          </w:p>
        </w:tc>
        <w:tc>
          <w:tcPr>
            <w:tcW w:w="4540" w:type="dxa"/>
            <w:vAlign w:val="bottom"/>
            <w:tcBorders>
              <w:bottom w:val="single" w:sz="8" w:color="0000FF"/>
            </w:tcBorders>
            <w:gridSpan w:val="4"/>
            <w:shd w:val="clear" w:color="auto" w:fill="CFF0FC"/>
          </w:tcPr>
          <w:p>
            <w:pPr>
              <w:spacing w:after="0"/>
              <w:rPr>
                <w:rFonts w:ascii="Arial" w:cs="Arial" w:eastAsia="Arial" w:hAnsi="Arial"/>
                <w:sz w:val="20"/>
                <w:szCs w:val="20"/>
                <w:color w:val="0000FF"/>
                <w:w w:val="92"/>
              </w:rPr>
            </w:pPr>
            <w:hyperlink r:id="rId724">
              <w:r>
                <w:rPr>
                  <w:rFonts w:ascii="Arial" w:cs="Arial" w:eastAsia="Arial" w:hAnsi="Arial"/>
                  <w:sz w:val="20"/>
                  <w:szCs w:val="20"/>
                  <w:color w:val="0000FF"/>
                  <w:w w:val="92"/>
                </w:rPr>
                <w:t>Form of 2023 Time-Based Restricted Share Unit Award</w:t>
              </w:r>
            </w:hyperlink>
          </w:p>
        </w:tc>
        <w:tc>
          <w:tcPr>
            <w:tcW w:w="680" w:type="dxa"/>
            <w:vAlign w:val="bottom"/>
            <w:tcBorders>
              <w:bottom w:val="single" w:sz="8" w:color="CFF0FC"/>
              <w:right w:val="single" w:sz="8" w:color="CFF0FC"/>
            </w:tcBorders>
            <w:gridSpan w:val="7"/>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center"/>
              <w:ind w:left="4"/>
              <w:spacing w:after="0"/>
              <w:rPr>
                <w:sz w:val="20"/>
                <w:szCs w:val="20"/>
                <w:color w:val="auto"/>
              </w:rPr>
            </w:pPr>
            <w:r>
              <w:rPr>
                <w:rFonts w:ascii="Arial" w:cs="Arial" w:eastAsia="Arial" w:hAnsi="Arial"/>
                <w:sz w:val="20"/>
                <w:szCs w:val="20"/>
                <w:color w:val="auto"/>
                <w:w w:val="94"/>
              </w:rPr>
              <w:t>10-Q</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10.1</w:t>
            </w: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April 27,</w:t>
            </w: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4760" w:type="dxa"/>
            <w:vAlign w:val="bottom"/>
            <w:tcBorders>
              <w:bottom w:val="single" w:sz="8" w:color="0000FF"/>
            </w:tcBorders>
            <w:gridSpan w:val="6"/>
            <w:shd w:val="clear" w:color="auto" w:fill="CFF0FC"/>
          </w:tcPr>
          <w:p>
            <w:pPr>
              <w:spacing w:after="0"/>
              <w:rPr>
                <w:rFonts w:ascii="Arial" w:cs="Arial" w:eastAsia="Arial" w:hAnsi="Arial"/>
                <w:sz w:val="20"/>
                <w:szCs w:val="20"/>
                <w:color w:val="0000FF"/>
                <w:w w:val="93"/>
              </w:rPr>
            </w:pPr>
            <w:hyperlink r:id="rId724">
              <w:r>
                <w:rPr>
                  <w:rFonts w:ascii="Arial" w:cs="Arial" w:eastAsia="Arial" w:hAnsi="Arial"/>
                  <w:sz w:val="20"/>
                  <w:szCs w:val="20"/>
                  <w:color w:val="0000FF"/>
                  <w:w w:val="93"/>
                </w:rPr>
                <w:t>Agreement for Executive Officers under the Willis Towers</w:t>
              </w:r>
            </w:hyperlink>
          </w:p>
        </w:tc>
        <w:tc>
          <w:tcPr>
            <w:tcW w:w="460" w:type="dxa"/>
            <w:vAlign w:val="bottom"/>
            <w:tcBorders>
              <w:bottom w:val="single" w:sz="8" w:color="CFF0FC"/>
              <w:right w:val="single" w:sz="8" w:color="CFF0FC"/>
            </w:tcBorders>
            <w:gridSpan w:val="5"/>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2023</w:t>
            </w:r>
          </w:p>
        </w:tc>
      </w:tr>
      <w:tr>
        <w:trPr>
          <w:trHeight w:val="280"/>
        </w:trPr>
        <w:tc>
          <w:tcPr>
            <w:tcW w:w="660" w:type="dxa"/>
            <w:vAlign w:val="bottom"/>
            <w:shd w:val="clear" w:color="auto" w:fill="CFF0FC"/>
          </w:tcPr>
          <w:p>
            <w:pPr>
              <w:spacing w:after="0"/>
              <w:rPr>
                <w:sz w:val="24"/>
                <w:szCs w:val="24"/>
                <w:color w:val="auto"/>
              </w:rPr>
            </w:pPr>
          </w:p>
        </w:tc>
        <w:tc>
          <w:tcPr>
            <w:tcW w:w="5220" w:type="dxa"/>
            <w:vAlign w:val="bottom"/>
            <w:tcBorders>
              <w:right w:val="single" w:sz="8" w:color="CFF0FC"/>
            </w:tcBorders>
            <w:gridSpan w:val="11"/>
            <w:shd w:val="clear" w:color="auto" w:fill="CFF0FC"/>
          </w:tcPr>
          <w:p>
            <w:pPr>
              <w:spacing w:after="0"/>
              <w:rPr>
                <w:rFonts w:ascii="Arial" w:cs="Arial" w:eastAsia="Arial" w:hAnsi="Arial"/>
                <w:sz w:val="20"/>
                <w:szCs w:val="20"/>
                <w:color w:val="0000FF"/>
                <w:w w:val="98"/>
              </w:rPr>
            </w:pPr>
            <w:hyperlink r:id="rId724">
              <w:r>
                <w:rPr>
                  <w:rFonts w:ascii="Arial" w:cs="Arial" w:eastAsia="Arial" w:hAnsi="Arial"/>
                  <w:sz w:val="20"/>
                  <w:szCs w:val="20"/>
                  <w:color w:val="0000FF"/>
                  <w:w w:val="98"/>
                </w:rPr>
                <w:t>Watson Amended and Restated 2012 Equity Incentive Plan</w:t>
              </w:r>
            </w:hyperlink>
          </w:p>
        </w:tc>
        <w:tc>
          <w:tcPr>
            <w:tcW w:w="8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700" w:type="dxa"/>
            <w:vAlign w:val="bottom"/>
            <w:shd w:val="clear" w:color="auto" w:fill="CFF0FC"/>
          </w:tcPr>
          <w:p>
            <w:pPr>
              <w:spacing w:after="0"/>
              <w:rPr>
                <w:sz w:val="24"/>
                <w:szCs w:val="24"/>
                <w:color w:val="auto"/>
              </w:rPr>
            </w:pPr>
          </w:p>
        </w:tc>
      </w:tr>
      <w:tr>
        <w:trPr>
          <w:trHeight w:val="41"/>
        </w:trPr>
        <w:tc>
          <w:tcPr>
            <w:tcW w:w="660" w:type="dxa"/>
            <w:vAlign w:val="bottom"/>
            <w:tcBorders>
              <w:top w:val="single" w:sz="8" w:color="CFF0FC"/>
            </w:tcBorders>
            <w:shd w:val="clear" w:color="auto" w:fill="CFF0FC"/>
          </w:tcPr>
          <w:p>
            <w:pPr>
              <w:spacing w:after="0"/>
              <w:rPr>
                <w:sz w:val="3"/>
                <w:szCs w:val="3"/>
                <w:color w:val="auto"/>
              </w:rPr>
            </w:pPr>
          </w:p>
        </w:tc>
        <w:tc>
          <w:tcPr>
            <w:tcW w:w="660" w:type="dxa"/>
            <w:vAlign w:val="bottom"/>
            <w:tcBorders>
              <w:top w:val="single" w:sz="8" w:color="0000FF"/>
            </w:tcBorders>
            <w:shd w:val="clear" w:color="auto" w:fill="CFF0FC"/>
          </w:tcPr>
          <w:p>
            <w:pPr>
              <w:spacing w:after="0"/>
              <w:rPr>
                <w:sz w:val="3"/>
                <w:szCs w:val="3"/>
                <w:color w:val="auto"/>
              </w:rPr>
            </w:pPr>
          </w:p>
        </w:tc>
        <w:tc>
          <w:tcPr>
            <w:tcW w:w="1200" w:type="dxa"/>
            <w:vAlign w:val="bottom"/>
            <w:tcBorders>
              <w:top w:val="single" w:sz="8" w:color="0000FF"/>
            </w:tcBorders>
            <w:shd w:val="clear" w:color="auto" w:fill="CFF0FC"/>
          </w:tcPr>
          <w:p>
            <w:pPr>
              <w:spacing w:after="0"/>
              <w:rPr>
                <w:sz w:val="3"/>
                <w:szCs w:val="3"/>
                <w:color w:val="auto"/>
              </w:rPr>
            </w:pPr>
          </w:p>
        </w:tc>
        <w:tc>
          <w:tcPr>
            <w:tcW w:w="900" w:type="dxa"/>
            <w:vAlign w:val="bottom"/>
            <w:tcBorders>
              <w:top w:val="single" w:sz="8" w:color="0000FF"/>
            </w:tcBorders>
            <w:shd w:val="clear" w:color="auto" w:fill="CFF0FC"/>
          </w:tcPr>
          <w:p>
            <w:pPr>
              <w:spacing w:after="0"/>
              <w:rPr>
                <w:sz w:val="3"/>
                <w:szCs w:val="3"/>
                <w:color w:val="auto"/>
              </w:rPr>
            </w:pPr>
          </w:p>
        </w:tc>
        <w:tc>
          <w:tcPr>
            <w:tcW w:w="1780" w:type="dxa"/>
            <w:vAlign w:val="bottom"/>
            <w:tcBorders>
              <w:top w:val="single" w:sz="8" w:color="0000FF"/>
            </w:tcBorders>
            <w:shd w:val="clear" w:color="auto" w:fill="CFF0FC"/>
          </w:tcPr>
          <w:p>
            <w:pPr>
              <w:spacing w:after="0"/>
              <w:rPr>
                <w:sz w:val="3"/>
                <w:szCs w:val="3"/>
                <w:color w:val="auto"/>
              </w:rPr>
            </w:pPr>
          </w:p>
        </w:tc>
        <w:tc>
          <w:tcPr>
            <w:tcW w:w="200" w:type="dxa"/>
            <w:vAlign w:val="bottom"/>
            <w:tcBorders>
              <w:top w:val="single" w:sz="8" w:color="0000FF"/>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14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100" w:type="dxa"/>
            <w:vAlign w:val="bottom"/>
            <w:tcBorders>
              <w:top w:val="single" w:sz="8" w:color="CFF0FC"/>
              <w:right w:val="single" w:sz="8" w:color="CFF0FC"/>
            </w:tcBorders>
            <w:shd w:val="clear" w:color="auto" w:fill="CFF0FC"/>
          </w:tcPr>
          <w:p>
            <w:pPr>
              <w:spacing w:after="0"/>
              <w:rPr>
                <w:sz w:val="3"/>
                <w:szCs w:val="3"/>
                <w:color w:val="auto"/>
              </w:rPr>
            </w:pPr>
          </w:p>
        </w:tc>
        <w:tc>
          <w:tcPr>
            <w:tcW w:w="840" w:type="dxa"/>
            <w:vAlign w:val="bottom"/>
            <w:tcBorders>
              <w:top w:val="single" w:sz="8" w:color="CFF0FC"/>
            </w:tcBorders>
            <w:shd w:val="clear" w:color="auto" w:fill="CFF0FC"/>
          </w:tcPr>
          <w:p>
            <w:pPr>
              <w:spacing w:after="0"/>
              <w:rPr>
                <w:sz w:val="3"/>
                <w:szCs w:val="3"/>
                <w:color w:val="auto"/>
              </w:rPr>
            </w:pPr>
          </w:p>
        </w:tc>
        <w:tc>
          <w:tcPr>
            <w:tcW w:w="600" w:type="dxa"/>
            <w:vAlign w:val="bottom"/>
            <w:tcBorders>
              <w:top w:val="single" w:sz="8" w:color="CFF0FC"/>
            </w:tcBorders>
            <w:shd w:val="clear" w:color="auto" w:fill="CFF0FC"/>
          </w:tcPr>
          <w:p>
            <w:pPr>
              <w:spacing w:after="0"/>
              <w:rPr>
                <w:sz w:val="3"/>
                <w:szCs w:val="3"/>
                <w:color w:val="auto"/>
              </w:rPr>
            </w:pPr>
          </w:p>
        </w:tc>
        <w:tc>
          <w:tcPr>
            <w:tcW w:w="1700" w:type="dxa"/>
            <w:vAlign w:val="bottom"/>
            <w:tcBorders>
              <w:top w:val="single" w:sz="8" w:color="CFF0FC"/>
            </w:tcBorders>
            <w:shd w:val="clear" w:color="auto" w:fill="CFF0FC"/>
          </w:tcPr>
          <w:p>
            <w:pPr>
              <w:spacing w:after="0"/>
              <w:rPr>
                <w:sz w:val="3"/>
                <w:szCs w:val="3"/>
                <w:color w:val="auto"/>
              </w:rPr>
            </w:pPr>
          </w:p>
        </w:tc>
      </w:tr>
      <w:tr>
        <w:trPr>
          <w:trHeight w:val="239"/>
        </w:trPr>
        <w:tc>
          <w:tcPr>
            <w:tcW w:w="660" w:type="dxa"/>
            <w:vAlign w:val="bottom"/>
          </w:tcPr>
          <w:p>
            <w:pPr>
              <w:ind w:left="20"/>
              <w:spacing w:after="0"/>
              <w:rPr>
                <w:sz w:val="20"/>
                <w:szCs w:val="20"/>
                <w:color w:val="auto"/>
              </w:rPr>
            </w:pPr>
            <w:r>
              <w:rPr>
                <w:rFonts w:ascii="Arial" w:cs="Arial" w:eastAsia="Arial" w:hAnsi="Arial"/>
                <w:sz w:val="20"/>
                <w:szCs w:val="20"/>
                <w:color w:val="auto"/>
              </w:rPr>
              <w:t>10.42†</w:t>
            </w:r>
          </w:p>
        </w:tc>
        <w:tc>
          <w:tcPr>
            <w:tcW w:w="5220" w:type="dxa"/>
            <w:vAlign w:val="bottom"/>
            <w:tcBorders>
              <w:bottom w:val="single" w:sz="8" w:color="0000FF"/>
            </w:tcBorders>
            <w:gridSpan w:val="11"/>
          </w:tcPr>
          <w:p>
            <w:pPr>
              <w:spacing w:after="0"/>
              <w:rPr>
                <w:rFonts w:ascii="Arial" w:cs="Arial" w:eastAsia="Arial" w:hAnsi="Arial"/>
                <w:sz w:val="20"/>
                <w:szCs w:val="20"/>
                <w:color w:val="0000FF"/>
                <w:w w:val="92"/>
              </w:rPr>
            </w:pPr>
            <w:hyperlink r:id="rId725">
              <w:r>
                <w:rPr>
                  <w:rFonts w:ascii="Arial" w:cs="Arial" w:eastAsia="Arial" w:hAnsi="Arial"/>
                  <w:sz w:val="20"/>
                  <w:szCs w:val="20"/>
                  <w:color w:val="0000FF"/>
                  <w:w w:val="92"/>
                </w:rPr>
                <w:t>Form of 2023 Performance-Based Restricted Share Unit Award</w:t>
              </w:r>
            </w:hyperlink>
          </w:p>
        </w:tc>
        <w:tc>
          <w:tcPr>
            <w:tcW w:w="840" w:type="dxa"/>
            <w:vAlign w:val="bottom"/>
          </w:tcPr>
          <w:p>
            <w:pPr>
              <w:jc w:val="center"/>
              <w:ind w:left="4"/>
              <w:spacing w:after="0"/>
              <w:rPr>
                <w:sz w:val="20"/>
                <w:szCs w:val="20"/>
                <w:color w:val="auto"/>
              </w:rPr>
            </w:pPr>
            <w:r>
              <w:rPr>
                <w:rFonts w:ascii="Arial" w:cs="Arial" w:eastAsia="Arial" w:hAnsi="Arial"/>
                <w:sz w:val="20"/>
                <w:szCs w:val="20"/>
                <w:color w:val="auto"/>
                <w:w w:val="94"/>
              </w:rPr>
              <w:t>10-Q</w:t>
            </w:r>
          </w:p>
        </w:tc>
        <w:tc>
          <w:tcPr>
            <w:tcW w:w="600" w:type="dxa"/>
            <w:vAlign w:val="bottom"/>
          </w:tcPr>
          <w:p>
            <w:pPr>
              <w:jc w:val="center"/>
              <w:spacing w:after="0"/>
              <w:rPr>
                <w:sz w:val="20"/>
                <w:szCs w:val="20"/>
                <w:color w:val="auto"/>
              </w:rPr>
            </w:pPr>
            <w:r>
              <w:rPr>
                <w:rFonts w:ascii="Arial" w:cs="Arial" w:eastAsia="Arial" w:hAnsi="Arial"/>
                <w:sz w:val="20"/>
                <w:szCs w:val="20"/>
                <w:color w:val="auto"/>
                <w:w w:val="92"/>
              </w:rPr>
              <w:t>10.2</w:t>
            </w:r>
          </w:p>
        </w:tc>
        <w:tc>
          <w:tcPr>
            <w:tcW w:w="1700" w:type="dxa"/>
            <w:vAlign w:val="bottom"/>
          </w:tcPr>
          <w:p>
            <w:pPr>
              <w:ind w:left="40"/>
              <w:spacing w:after="0"/>
              <w:rPr>
                <w:sz w:val="20"/>
                <w:szCs w:val="20"/>
                <w:color w:val="auto"/>
              </w:rPr>
            </w:pPr>
            <w:r>
              <w:rPr>
                <w:rFonts w:ascii="Arial" w:cs="Arial" w:eastAsia="Arial" w:hAnsi="Arial"/>
                <w:sz w:val="20"/>
                <w:szCs w:val="20"/>
                <w:color w:val="auto"/>
              </w:rPr>
              <w:t>April 27,</w:t>
            </w:r>
          </w:p>
        </w:tc>
      </w:tr>
      <w:tr>
        <w:trPr>
          <w:trHeight w:val="280"/>
        </w:trPr>
        <w:tc>
          <w:tcPr>
            <w:tcW w:w="660" w:type="dxa"/>
            <w:vAlign w:val="bottom"/>
          </w:tcPr>
          <w:p>
            <w:pPr>
              <w:spacing w:after="0"/>
              <w:rPr>
                <w:sz w:val="24"/>
                <w:szCs w:val="24"/>
                <w:color w:val="auto"/>
              </w:rPr>
            </w:pPr>
          </w:p>
        </w:tc>
        <w:tc>
          <w:tcPr>
            <w:tcW w:w="4760" w:type="dxa"/>
            <w:vAlign w:val="bottom"/>
            <w:tcBorders>
              <w:bottom w:val="single" w:sz="8" w:color="0000FF"/>
            </w:tcBorders>
            <w:gridSpan w:val="6"/>
          </w:tcPr>
          <w:p>
            <w:pPr>
              <w:spacing w:after="0"/>
              <w:rPr>
                <w:rFonts w:ascii="Arial" w:cs="Arial" w:eastAsia="Arial" w:hAnsi="Arial"/>
                <w:sz w:val="20"/>
                <w:szCs w:val="20"/>
                <w:color w:val="0000FF"/>
                <w:w w:val="93"/>
              </w:rPr>
            </w:pPr>
            <w:hyperlink r:id="rId725">
              <w:r>
                <w:rPr>
                  <w:rFonts w:ascii="Arial" w:cs="Arial" w:eastAsia="Arial" w:hAnsi="Arial"/>
                  <w:sz w:val="20"/>
                  <w:szCs w:val="20"/>
                  <w:color w:val="0000FF"/>
                  <w:w w:val="93"/>
                </w:rPr>
                <w:t>Agreement for Executive Officers under the Willis Towers</w:t>
              </w:r>
            </w:hyperlink>
          </w:p>
        </w:tc>
        <w:tc>
          <w:tcPr>
            <w:tcW w:w="46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20"/>
                <w:szCs w:val="20"/>
                <w:color w:val="auto"/>
              </w:rPr>
              <w:t>2023</w:t>
            </w:r>
          </w:p>
        </w:tc>
      </w:tr>
      <w:tr>
        <w:trPr>
          <w:trHeight w:val="280"/>
        </w:trPr>
        <w:tc>
          <w:tcPr>
            <w:tcW w:w="660" w:type="dxa"/>
            <w:vAlign w:val="bottom"/>
          </w:tcPr>
          <w:p>
            <w:pPr>
              <w:spacing w:after="0"/>
              <w:rPr>
                <w:sz w:val="24"/>
                <w:szCs w:val="24"/>
                <w:color w:val="auto"/>
              </w:rPr>
            </w:pPr>
          </w:p>
        </w:tc>
        <w:tc>
          <w:tcPr>
            <w:tcW w:w="5220" w:type="dxa"/>
            <w:vAlign w:val="bottom"/>
            <w:gridSpan w:val="11"/>
          </w:tcPr>
          <w:p>
            <w:pPr>
              <w:spacing w:after="0"/>
              <w:rPr>
                <w:rFonts w:ascii="Arial" w:cs="Arial" w:eastAsia="Arial" w:hAnsi="Arial"/>
                <w:sz w:val="20"/>
                <w:szCs w:val="20"/>
                <w:color w:val="0000FF"/>
                <w:w w:val="98"/>
              </w:rPr>
            </w:pPr>
            <w:hyperlink r:id="rId725">
              <w:r>
                <w:rPr>
                  <w:rFonts w:ascii="Arial" w:cs="Arial" w:eastAsia="Arial" w:hAnsi="Arial"/>
                  <w:sz w:val="20"/>
                  <w:szCs w:val="20"/>
                  <w:color w:val="0000FF"/>
                  <w:w w:val="98"/>
                </w:rPr>
                <w:t>Watson Amended and Restated 2012 Equity Incentive Plan</w:t>
              </w:r>
            </w:hyperlink>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
        </w:trPr>
        <w:tc>
          <w:tcPr>
            <w:tcW w:w="660" w:type="dxa"/>
            <w:vAlign w:val="bottom"/>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1200" w:type="dxa"/>
            <w:vAlign w:val="bottom"/>
            <w:tcBorders>
              <w:top w:val="single" w:sz="8" w:color="0000FF"/>
            </w:tcBorders>
          </w:tcPr>
          <w:p>
            <w:pPr>
              <w:spacing w:after="0"/>
              <w:rPr>
                <w:sz w:val="3"/>
                <w:szCs w:val="3"/>
                <w:color w:val="auto"/>
              </w:rPr>
            </w:pPr>
          </w:p>
        </w:tc>
        <w:tc>
          <w:tcPr>
            <w:tcW w:w="90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9"/>
        </w:trPr>
        <w:tc>
          <w:tcPr>
            <w:tcW w:w="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10.43†</w:t>
            </w:r>
          </w:p>
        </w:tc>
        <w:tc>
          <w:tcPr>
            <w:tcW w:w="4540" w:type="dxa"/>
            <w:vAlign w:val="bottom"/>
            <w:tcBorders>
              <w:bottom w:val="single" w:sz="8" w:color="0000FF"/>
            </w:tcBorders>
            <w:gridSpan w:val="4"/>
            <w:shd w:val="clear" w:color="auto" w:fill="CFF0FC"/>
          </w:tcPr>
          <w:p>
            <w:pPr>
              <w:spacing w:after="0"/>
              <w:rPr>
                <w:rFonts w:ascii="Arial" w:cs="Arial" w:eastAsia="Arial" w:hAnsi="Arial"/>
                <w:sz w:val="20"/>
                <w:szCs w:val="20"/>
                <w:color w:val="0000FF"/>
                <w:w w:val="92"/>
              </w:rPr>
            </w:pPr>
            <w:hyperlink r:id="rId726">
              <w:r>
                <w:rPr>
                  <w:rFonts w:ascii="Arial" w:cs="Arial" w:eastAsia="Arial" w:hAnsi="Arial"/>
                  <w:sz w:val="20"/>
                  <w:szCs w:val="20"/>
                  <w:color w:val="0000FF"/>
                  <w:w w:val="92"/>
                </w:rPr>
                <w:t>Form of 2024 Time-Based Restricted Share Unit Award</w:t>
              </w:r>
            </w:hyperlink>
          </w:p>
        </w:tc>
        <w:tc>
          <w:tcPr>
            <w:tcW w:w="680" w:type="dxa"/>
            <w:vAlign w:val="bottom"/>
            <w:tcBorders>
              <w:bottom w:val="single" w:sz="8" w:color="CFF0FC"/>
              <w:right w:val="single" w:sz="8" w:color="CFF0FC"/>
            </w:tcBorders>
            <w:gridSpan w:val="7"/>
            <w:shd w:val="clear" w:color="auto" w:fill="CFF0FC"/>
          </w:tcPr>
          <w:p>
            <w:pPr>
              <w:spacing w:after="0"/>
              <w:rPr>
                <w:sz w:val="20"/>
                <w:szCs w:val="20"/>
                <w:color w:val="auto"/>
              </w:rPr>
            </w:pPr>
          </w:p>
        </w:tc>
        <w:tc>
          <w:tcPr>
            <w:tcW w:w="840" w:type="dxa"/>
            <w:vAlign w:val="bottom"/>
            <w:tcBorders>
              <w:bottom w:val="single" w:sz="8" w:color="CFF0FC"/>
            </w:tcBorders>
            <w:shd w:val="clear" w:color="auto" w:fill="CFF0FC"/>
          </w:tcPr>
          <w:p>
            <w:pPr>
              <w:jc w:val="center"/>
              <w:ind w:left="4"/>
              <w:spacing w:after="0"/>
              <w:rPr>
                <w:sz w:val="20"/>
                <w:szCs w:val="20"/>
                <w:color w:val="auto"/>
              </w:rPr>
            </w:pPr>
            <w:r>
              <w:rPr>
                <w:rFonts w:ascii="Arial" w:cs="Arial" w:eastAsia="Arial" w:hAnsi="Arial"/>
                <w:sz w:val="20"/>
                <w:szCs w:val="20"/>
                <w:color w:val="auto"/>
                <w:w w:val="94"/>
              </w:rPr>
              <w:t>10-Q</w:t>
            </w:r>
          </w:p>
        </w:tc>
        <w:tc>
          <w:tcPr>
            <w:tcW w:w="6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10.1</w:t>
            </w: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April 25,</w:t>
            </w: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4760" w:type="dxa"/>
            <w:vAlign w:val="bottom"/>
            <w:tcBorders>
              <w:bottom w:val="single" w:sz="8" w:color="0000FF"/>
            </w:tcBorders>
            <w:gridSpan w:val="6"/>
            <w:shd w:val="clear" w:color="auto" w:fill="CFF0FC"/>
          </w:tcPr>
          <w:p>
            <w:pPr>
              <w:spacing w:after="0"/>
              <w:rPr>
                <w:rFonts w:ascii="Arial" w:cs="Arial" w:eastAsia="Arial" w:hAnsi="Arial"/>
                <w:sz w:val="20"/>
                <w:szCs w:val="20"/>
                <w:color w:val="0000FF"/>
                <w:w w:val="93"/>
              </w:rPr>
            </w:pPr>
            <w:hyperlink r:id="rId726">
              <w:r>
                <w:rPr>
                  <w:rFonts w:ascii="Arial" w:cs="Arial" w:eastAsia="Arial" w:hAnsi="Arial"/>
                  <w:sz w:val="20"/>
                  <w:szCs w:val="20"/>
                  <w:color w:val="0000FF"/>
                  <w:w w:val="93"/>
                </w:rPr>
                <w:t>Agreement for Executive Officers under the Willis Towers</w:t>
              </w:r>
            </w:hyperlink>
          </w:p>
        </w:tc>
        <w:tc>
          <w:tcPr>
            <w:tcW w:w="460" w:type="dxa"/>
            <w:vAlign w:val="bottom"/>
            <w:tcBorders>
              <w:bottom w:val="single" w:sz="8" w:color="CFF0FC"/>
              <w:right w:val="single" w:sz="8" w:color="CFF0FC"/>
            </w:tcBorders>
            <w:gridSpan w:val="5"/>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2024</w:t>
            </w:r>
          </w:p>
        </w:tc>
      </w:tr>
      <w:tr>
        <w:trPr>
          <w:trHeight w:val="280"/>
        </w:trPr>
        <w:tc>
          <w:tcPr>
            <w:tcW w:w="660" w:type="dxa"/>
            <w:vAlign w:val="bottom"/>
            <w:shd w:val="clear" w:color="auto" w:fill="CFF0FC"/>
          </w:tcPr>
          <w:p>
            <w:pPr>
              <w:spacing w:after="0"/>
              <w:rPr>
                <w:sz w:val="24"/>
                <w:szCs w:val="24"/>
                <w:color w:val="auto"/>
              </w:rPr>
            </w:pPr>
          </w:p>
        </w:tc>
        <w:tc>
          <w:tcPr>
            <w:tcW w:w="5220" w:type="dxa"/>
            <w:vAlign w:val="bottom"/>
            <w:tcBorders>
              <w:right w:val="single" w:sz="8" w:color="CFF0FC"/>
            </w:tcBorders>
            <w:gridSpan w:val="11"/>
            <w:shd w:val="clear" w:color="auto" w:fill="CFF0FC"/>
          </w:tcPr>
          <w:p>
            <w:pPr>
              <w:spacing w:after="0"/>
              <w:rPr>
                <w:rFonts w:ascii="Arial" w:cs="Arial" w:eastAsia="Arial" w:hAnsi="Arial"/>
                <w:sz w:val="20"/>
                <w:szCs w:val="20"/>
                <w:color w:val="0000FF"/>
                <w:w w:val="98"/>
              </w:rPr>
            </w:pPr>
            <w:hyperlink r:id="rId726">
              <w:r>
                <w:rPr>
                  <w:rFonts w:ascii="Arial" w:cs="Arial" w:eastAsia="Arial" w:hAnsi="Arial"/>
                  <w:sz w:val="20"/>
                  <w:szCs w:val="20"/>
                  <w:color w:val="0000FF"/>
                  <w:w w:val="98"/>
                </w:rPr>
                <w:t>Watson Amended and Restated 2012 Equity Incentive Plan</w:t>
              </w:r>
            </w:hyperlink>
          </w:p>
        </w:tc>
        <w:tc>
          <w:tcPr>
            <w:tcW w:w="84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700" w:type="dxa"/>
            <w:vAlign w:val="bottom"/>
            <w:shd w:val="clear" w:color="auto" w:fill="CFF0FC"/>
          </w:tcPr>
          <w:p>
            <w:pPr>
              <w:spacing w:after="0"/>
              <w:rPr>
                <w:sz w:val="24"/>
                <w:szCs w:val="24"/>
                <w:color w:val="auto"/>
              </w:rPr>
            </w:pPr>
          </w:p>
        </w:tc>
      </w:tr>
      <w:tr>
        <w:trPr>
          <w:trHeight w:val="41"/>
        </w:trPr>
        <w:tc>
          <w:tcPr>
            <w:tcW w:w="660" w:type="dxa"/>
            <w:vAlign w:val="bottom"/>
            <w:tcBorders>
              <w:top w:val="single" w:sz="8" w:color="CFF0FC"/>
            </w:tcBorders>
            <w:shd w:val="clear" w:color="auto" w:fill="CFF0FC"/>
          </w:tcPr>
          <w:p>
            <w:pPr>
              <w:spacing w:after="0"/>
              <w:rPr>
                <w:sz w:val="3"/>
                <w:szCs w:val="3"/>
                <w:color w:val="auto"/>
              </w:rPr>
            </w:pPr>
          </w:p>
        </w:tc>
        <w:tc>
          <w:tcPr>
            <w:tcW w:w="660" w:type="dxa"/>
            <w:vAlign w:val="bottom"/>
            <w:tcBorders>
              <w:top w:val="single" w:sz="8" w:color="0000FF"/>
            </w:tcBorders>
            <w:shd w:val="clear" w:color="auto" w:fill="CFF0FC"/>
          </w:tcPr>
          <w:p>
            <w:pPr>
              <w:spacing w:after="0"/>
              <w:rPr>
                <w:sz w:val="3"/>
                <w:szCs w:val="3"/>
                <w:color w:val="auto"/>
              </w:rPr>
            </w:pPr>
          </w:p>
        </w:tc>
        <w:tc>
          <w:tcPr>
            <w:tcW w:w="1200" w:type="dxa"/>
            <w:vAlign w:val="bottom"/>
            <w:tcBorders>
              <w:top w:val="single" w:sz="8" w:color="0000FF"/>
            </w:tcBorders>
            <w:shd w:val="clear" w:color="auto" w:fill="CFF0FC"/>
          </w:tcPr>
          <w:p>
            <w:pPr>
              <w:spacing w:after="0"/>
              <w:rPr>
                <w:sz w:val="3"/>
                <w:szCs w:val="3"/>
                <w:color w:val="auto"/>
              </w:rPr>
            </w:pPr>
          </w:p>
        </w:tc>
        <w:tc>
          <w:tcPr>
            <w:tcW w:w="900" w:type="dxa"/>
            <w:vAlign w:val="bottom"/>
            <w:tcBorders>
              <w:top w:val="single" w:sz="8" w:color="0000FF"/>
            </w:tcBorders>
            <w:shd w:val="clear" w:color="auto" w:fill="CFF0FC"/>
          </w:tcPr>
          <w:p>
            <w:pPr>
              <w:spacing w:after="0"/>
              <w:rPr>
                <w:sz w:val="3"/>
                <w:szCs w:val="3"/>
                <w:color w:val="auto"/>
              </w:rPr>
            </w:pPr>
          </w:p>
        </w:tc>
        <w:tc>
          <w:tcPr>
            <w:tcW w:w="1780" w:type="dxa"/>
            <w:vAlign w:val="bottom"/>
            <w:tcBorders>
              <w:top w:val="single" w:sz="8" w:color="0000FF"/>
            </w:tcBorders>
            <w:shd w:val="clear" w:color="auto" w:fill="CFF0FC"/>
          </w:tcPr>
          <w:p>
            <w:pPr>
              <w:spacing w:after="0"/>
              <w:rPr>
                <w:sz w:val="3"/>
                <w:szCs w:val="3"/>
                <w:color w:val="auto"/>
              </w:rPr>
            </w:pPr>
          </w:p>
        </w:tc>
        <w:tc>
          <w:tcPr>
            <w:tcW w:w="200" w:type="dxa"/>
            <w:vAlign w:val="bottom"/>
            <w:tcBorders>
              <w:top w:val="single" w:sz="8" w:color="0000FF"/>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2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14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100" w:type="dxa"/>
            <w:vAlign w:val="bottom"/>
            <w:tcBorders>
              <w:top w:val="single" w:sz="8" w:color="CFF0FC"/>
              <w:right w:val="single" w:sz="8" w:color="CFF0FC"/>
            </w:tcBorders>
            <w:shd w:val="clear" w:color="auto" w:fill="CFF0FC"/>
          </w:tcPr>
          <w:p>
            <w:pPr>
              <w:spacing w:after="0"/>
              <w:rPr>
                <w:sz w:val="3"/>
                <w:szCs w:val="3"/>
                <w:color w:val="auto"/>
              </w:rPr>
            </w:pPr>
          </w:p>
        </w:tc>
        <w:tc>
          <w:tcPr>
            <w:tcW w:w="840" w:type="dxa"/>
            <w:vAlign w:val="bottom"/>
            <w:tcBorders>
              <w:top w:val="single" w:sz="8" w:color="CFF0FC"/>
            </w:tcBorders>
            <w:shd w:val="clear" w:color="auto" w:fill="CFF0FC"/>
          </w:tcPr>
          <w:p>
            <w:pPr>
              <w:spacing w:after="0"/>
              <w:rPr>
                <w:sz w:val="3"/>
                <w:szCs w:val="3"/>
                <w:color w:val="auto"/>
              </w:rPr>
            </w:pPr>
          </w:p>
        </w:tc>
        <w:tc>
          <w:tcPr>
            <w:tcW w:w="600" w:type="dxa"/>
            <w:vAlign w:val="bottom"/>
            <w:tcBorders>
              <w:top w:val="single" w:sz="8" w:color="CFF0FC"/>
            </w:tcBorders>
            <w:shd w:val="clear" w:color="auto" w:fill="CFF0FC"/>
          </w:tcPr>
          <w:p>
            <w:pPr>
              <w:spacing w:after="0"/>
              <w:rPr>
                <w:sz w:val="3"/>
                <w:szCs w:val="3"/>
                <w:color w:val="auto"/>
              </w:rPr>
            </w:pPr>
          </w:p>
        </w:tc>
        <w:tc>
          <w:tcPr>
            <w:tcW w:w="1700" w:type="dxa"/>
            <w:vAlign w:val="bottom"/>
            <w:tcBorders>
              <w:top w:val="single" w:sz="8" w:color="CFF0FC"/>
            </w:tcBorders>
            <w:shd w:val="clear" w:color="auto" w:fill="CFF0FC"/>
          </w:tcPr>
          <w:p>
            <w:pPr>
              <w:spacing w:after="0"/>
              <w:rPr>
                <w:sz w:val="3"/>
                <w:szCs w:val="3"/>
                <w:color w:val="auto"/>
              </w:rPr>
            </w:pPr>
          </w:p>
        </w:tc>
      </w:tr>
      <w:tr>
        <w:trPr>
          <w:trHeight w:val="239"/>
        </w:trPr>
        <w:tc>
          <w:tcPr>
            <w:tcW w:w="660" w:type="dxa"/>
            <w:vAlign w:val="bottom"/>
          </w:tcPr>
          <w:p>
            <w:pPr>
              <w:ind w:left="20"/>
              <w:spacing w:after="0"/>
              <w:rPr>
                <w:sz w:val="20"/>
                <w:szCs w:val="20"/>
                <w:color w:val="auto"/>
              </w:rPr>
            </w:pPr>
            <w:r>
              <w:rPr>
                <w:rFonts w:ascii="Arial" w:cs="Arial" w:eastAsia="Arial" w:hAnsi="Arial"/>
                <w:sz w:val="20"/>
                <w:szCs w:val="20"/>
                <w:color w:val="auto"/>
              </w:rPr>
              <w:t>10.44†</w:t>
            </w:r>
          </w:p>
        </w:tc>
        <w:tc>
          <w:tcPr>
            <w:tcW w:w="5220" w:type="dxa"/>
            <w:vAlign w:val="bottom"/>
            <w:tcBorders>
              <w:bottom w:val="single" w:sz="8" w:color="0000FF"/>
            </w:tcBorders>
            <w:gridSpan w:val="11"/>
          </w:tcPr>
          <w:p>
            <w:pPr>
              <w:spacing w:after="0"/>
              <w:rPr>
                <w:rFonts w:ascii="Arial" w:cs="Arial" w:eastAsia="Arial" w:hAnsi="Arial"/>
                <w:sz w:val="20"/>
                <w:szCs w:val="20"/>
                <w:color w:val="0000FF"/>
                <w:w w:val="92"/>
              </w:rPr>
            </w:pPr>
            <w:hyperlink r:id="rId727">
              <w:r>
                <w:rPr>
                  <w:rFonts w:ascii="Arial" w:cs="Arial" w:eastAsia="Arial" w:hAnsi="Arial"/>
                  <w:sz w:val="20"/>
                  <w:szCs w:val="20"/>
                  <w:color w:val="0000FF"/>
                  <w:w w:val="92"/>
                </w:rPr>
                <w:t>Form of 2024 Performance-Based Restricted Share Unit Award</w:t>
              </w:r>
            </w:hyperlink>
          </w:p>
        </w:tc>
        <w:tc>
          <w:tcPr>
            <w:tcW w:w="840" w:type="dxa"/>
            <w:vAlign w:val="bottom"/>
          </w:tcPr>
          <w:p>
            <w:pPr>
              <w:jc w:val="center"/>
              <w:ind w:left="4"/>
              <w:spacing w:after="0"/>
              <w:rPr>
                <w:sz w:val="20"/>
                <w:szCs w:val="20"/>
                <w:color w:val="auto"/>
              </w:rPr>
            </w:pPr>
            <w:r>
              <w:rPr>
                <w:rFonts w:ascii="Arial" w:cs="Arial" w:eastAsia="Arial" w:hAnsi="Arial"/>
                <w:sz w:val="20"/>
                <w:szCs w:val="20"/>
                <w:color w:val="auto"/>
                <w:w w:val="94"/>
              </w:rPr>
              <w:t>10-Q</w:t>
            </w:r>
          </w:p>
        </w:tc>
        <w:tc>
          <w:tcPr>
            <w:tcW w:w="600" w:type="dxa"/>
            <w:vAlign w:val="bottom"/>
          </w:tcPr>
          <w:p>
            <w:pPr>
              <w:jc w:val="center"/>
              <w:spacing w:after="0"/>
              <w:rPr>
                <w:sz w:val="20"/>
                <w:szCs w:val="20"/>
                <w:color w:val="auto"/>
              </w:rPr>
            </w:pPr>
            <w:r>
              <w:rPr>
                <w:rFonts w:ascii="Arial" w:cs="Arial" w:eastAsia="Arial" w:hAnsi="Arial"/>
                <w:sz w:val="20"/>
                <w:szCs w:val="20"/>
                <w:color w:val="auto"/>
                <w:w w:val="92"/>
              </w:rPr>
              <w:t>10.2</w:t>
            </w:r>
          </w:p>
        </w:tc>
        <w:tc>
          <w:tcPr>
            <w:tcW w:w="1700" w:type="dxa"/>
            <w:vAlign w:val="bottom"/>
          </w:tcPr>
          <w:p>
            <w:pPr>
              <w:ind w:left="40"/>
              <w:spacing w:after="0"/>
              <w:rPr>
                <w:sz w:val="20"/>
                <w:szCs w:val="20"/>
                <w:color w:val="auto"/>
              </w:rPr>
            </w:pPr>
            <w:r>
              <w:rPr>
                <w:rFonts w:ascii="Arial" w:cs="Arial" w:eastAsia="Arial" w:hAnsi="Arial"/>
                <w:sz w:val="20"/>
                <w:szCs w:val="20"/>
                <w:color w:val="auto"/>
              </w:rPr>
              <w:t>April 25,</w:t>
            </w:r>
          </w:p>
        </w:tc>
      </w:tr>
      <w:tr>
        <w:trPr>
          <w:trHeight w:val="280"/>
        </w:trPr>
        <w:tc>
          <w:tcPr>
            <w:tcW w:w="660" w:type="dxa"/>
            <w:vAlign w:val="bottom"/>
          </w:tcPr>
          <w:p>
            <w:pPr>
              <w:spacing w:after="0"/>
              <w:rPr>
                <w:sz w:val="24"/>
                <w:szCs w:val="24"/>
                <w:color w:val="auto"/>
              </w:rPr>
            </w:pPr>
          </w:p>
        </w:tc>
        <w:tc>
          <w:tcPr>
            <w:tcW w:w="4760" w:type="dxa"/>
            <w:vAlign w:val="bottom"/>
            <w:tcBorders>
              <w:bottom w:val="single" w:sz="8" w:color="0000FF"/>
            </w:tcBorders>
            <w:gridSpan w:val="6"/>
          </w:tcPr>
          <w:p>
            <w:pPr>
              <w:spacing w:after="0"/>
              <w:rPr>
                <w:rFonts w:ascii="Arial" w:cs="Arial" w:eastAsia="Arial" w:hAnsi="Arial"/>
                <w:sz w:val="20"/>
                <w:szCs w:val="20"/>
                <w:color w:val="0000FF"/>
                <w:w w:val="93"/>
              </w:rPr>
            </w:pPr>
            <w:hyperlink r:id="rId727">
              <w:r>
                <w:rPr>
                  <w:rFonts w:ascii="Arial" w:cs="Arial" w:eastAsia="Arial" w:hAnsi="Arial"/>
                  <w:sz w:val="20"/>
                  <w:szCs w:val="20"/>
                  <w:color w:val="0000FF"/>
                  <w:w w:val="93"/>
                </w:rPr>
                <w:t>Agreement for Executive Officers under the Willis Towers</w:t>
              </w:r>
            </w:hyperlink>
          </w:p>
        </w:tc>
        <w:tc>
          <w:tcPr>
            <w:tcW w:w="46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20"/>
                <w:szCs w:val="20"/>
                <w:color w:val="auto"/>
              </w:rPr>
              <w:t>2024</w:t>
            </w:r>
          </w:p>
        </w:tc>
      </w:tr>
      <w:tr>
        <w:trPr>
          <w:trHeight w:val="280"/>
        </w:trPr>
        <w:tc>
          <w:tcPr>
            <w:tcW w:w="660" w:type="dxa"/>
            <w:vAlign w:val="bottom"/>
          </w:tcPr>
          <w:p>
            <w:pPr>
              <w:spacing w:after="0"/>
              <w:rPr>
                <w:sz w:val="24"/>
                <w:szCs w:val="24"/>
                <w:color w:val="auto"/>
              </w:rPr>
            </w:pPr>
          </w:p>
        </w:tc>
        <w:tc>
          <w:tcPr>
            <w:tcW w:w="5220" w:type="dxa"/>
            <w:vAlign w:val="bottom"/>
            <w:gridSpan w:val="11"/>
          </w:tcPr>
          <w:p>
            <w:pPr>
              <w:spacing w:after="0"/>
              <w:rPr>
                <w:rFonts w:ascii="Arial" w:cs="Arial" w:eastAsia="Arial" w:hAnsi="Arial"/>
                <w:sz w:val="20"/>
                <w:szCs w:val="20"/>
                <w:color w:val="0000FF"/>
                <w:w w:val="98"/>
              </w:rPr>
            </w:pPr>
            <w:hyperlink r:id="rId727">
              <w:r>
                <w:rPr>
                  <w:rFonts w:ascii="Arial" w:cs="Arial" w:eastAsia="Arial" w:hAnsi="Arial"/>
                  <w:sz w:val="20"/>
                  <w:szCs w:val="20"/>
                  <w:color w:val="0000FF"/>
                  <w:w w:val="98"/>
                </w:rPr>
                <w:t>Watson Amended and Restated 2012 Equity Incentive Plan</w:t>
              </w:r>
            </w:hyperlink>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1"/>
        </w:trPr>
        <w:tc>
          <w:tcPr>
            <w:tcW w:w="660" w:type="dxa"/>
            <w:vAlign w:val="bottom"/>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1200" w:type="dxa"/>
            <w:vAlign w:val="bottom"/>
            <w:tcBorders>
              <w:top w:val="single" w:sz="8" w:color="0000FF"/>
            </w:tcBorders>
          </w:tcPr>
          <w:p>
            <w:pPr>
              <w:spacing w:after="0"/>
              <w:rPr>
                <w:sz w:val="3"/>
                <w:szCs w:val="3"/>
                <w:color w:val="auto"/>
              </w:rPr>
            </w:pPr>
          </w:p>
        </w:tc>
        <w:tc>
          <w:tcPr>
            <w:tcW w:w="90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39"/>
        </w:trPr>
        <w:tc>
          <w:tcPr>
            <w:tcW w:w="5880" w:type="dxa"/>
            <w:vAlign w:val="bottom"/>
            <w:tcBorders>
              <w:right w:val="single" w:sz="8" w:color="CFF0FC"/>
            </w:tcBorders>
            <w:gridSpan w:val="12"/>
            <w:shd w:val="clear" w:color="auto" w:fill="CFF0FC"/>
          </w:tcPr>
          <w:p>
            <w:pPr>
              <w:ind w:left="20"/>
              <w:spacing w:after="0"/>
              <w:rPr>
                <w:rFonts w:ascii="Arial" w:cs="Arial" w:eastAsia="Arial" w:hAnsi="Arial"/>
                <w:sz w:val="20"/>
                <w:szCs w:val="20"/>
                <w:color w:val="auto"/>
              </w:rPr>
            </w:pPr>
            <w:r>
              <w:rPr>
                <w:rFonts w:ascii="Arial" w:cs="Arial" w:eastAsia="Arial" w:hAnsi="Arial"/>
                <w:sz w:val="20"/>
                <w:szCs w:val="20"/>
                <w:color w:val="auto"/>
              </w:rPr>
              <w:t xml:space="preserve">10.45† </w:t>
            </w:r>
            <w:hyperlink r:id="rId728">
              <w:r>
                <w:rPr>
                  <w:rFonts w:ascii="Arial" w:cs="Arial" w:eastAsia="Arial" w:hAnsi="Arial"/>
                  <w:sz w:val="20"/>
                  <w:szCs w:val="20"/>
                  <w:color w:val="0000FF"/>
                </w:rPr>
                <w:t>Form of 2025 Time-Based Restricted Share Unit Award</w:t>
              </w:r>
            </w:hyperlink>
          </w:p>
        </w:tc>
        <w:tc>
          <w:tcPr>
            <w:tcW w:w="840" w:type="dxa"/>
            <w:vAlign w:val="bottom"/>
            <w:shd w:val="clear" w:color="auto" w:fill="CFF0FC"/>
          </w:tcPr>
          <w:p>
            <w:pPr>
              <w:jc w:val="center"/>
              <w:ind w:left="4"/>
              <w:spacing w:after="0"/>
              <w:rPr>
                <w:sz w:val="20"/>
                <w:szCs w:val="20"/>
                <w:color w:val="auto"/>
              </w:rPr>
            </w:pPr>
            <w:r>
              <w:rPr>
                <w:rFonts w:ascii="Arial" w:cs="Arial" w:eastAsia="Arial" w:hAnsi="Arial"/>
                <w:sz w:val="20"/>
                <w:szCs w:val="20"/>
                <w:color w:val="auto"/>
                <w:w w:val="94"/>
              </w:rPr>
              <w:t>10-Q</w:t>
            </w:r>
          </w:p>
        </w:tc>
        <w:tc>
          <w:tcPr>
            <w:tcW w:w="6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92"/>
              </w:rPr>
              <w:t>10.1</w:t>
            </w:r>
          </w:p>
        </w:tc>
        <w:tc>
          <w:tcPr>
            <w:tcW w:w="1700" w:type="dxa"/>
            <w:vAlign w:val="bottom"/>
            <w:shd w:val="clear" w:color="auto" w:fill="CFF0FC"/>
          </w:tcPr>
          <w:p>
            <w:pPr>
              <w:ind w:left="40"/>
              <w:spacing w:after="0"/>
              <w:rPr>
                <w:sz w:val="20"/>
                <w:szCs w:val="20"/>
                <w:color w:val="auto"/>
              </w:rPr>
            </w:pPr>
            <w:r>
              <w:rPr>
                <w:rFonts w:ascii="Arial" w:cs="Arial" w:eastAsia="Arial" w:hAnsi="Arial"/>
                <w:sz w:val="20"/>
                <w:szCs w:val="20"/>
                <w:color w:val="auto"/>
              </w:rPr>
              <w:t>August 1,</w:t>
            </w:r>
          </w:p>
        </w:tc>
      </w:tr>
      <w:tr>
        <w:trPr>
          <w:trHeight w:val="20"/>
        </w:trPr>
        <w:tc>
          <w:tcPr>
            <w:tcW w:w="660" w:type="dxa"/>
            <w:vAlign w:val="bottom"/>
            <w:shd w:val="clear" w:color="auto" w:fill="CFF0FC"/>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520" w:type="dxa"/>
            <w:vAlign w:val="bottom"/>
            <w:gridSpan w:val="5"/>
            <w:shd w:val="clear" w:color="auto" w:fill="CFF0FC"/>
          </w:tcPr>
          <w:p>
            <w:pPr>
              <w:spacing w:after="0" w:line="20" w:lineRule="exact"/>
              <w:rPr>
                <w:sz w:val="1"/>
                <w:szCs w:val="1"/>
                <w:color w:val="auto"/>
              </w:rPr>
            </w:pPr>
          </w:p>
        </w:tc>
        <w:tc>
          <w:tcPr>
            <w:tcW w:w="160" w:type="dxa"/>
            <w:vAlign w:val="bottom"/>
            <w:tcBorders>
              <w:right w:val="single" w:sz="8" w:color="CFF0FC"/>
            </w:tcBorders>
            <w:gridSpan w:val="2"/>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4760" w:type="dxa"/>
            <w:vAlign w:val="bottom"/>
            <w:tcBorders>
              <w:bottom w:val="single" w:sz="8" w:color="0000FF"/>
            </w:tcBorders>
            <w:gridSpan w:val="6"/>
            <w:shd w:val="clear" w:color="auto" w:fill="CFF0FC"/>
          </w:tcPr>
          <w:p>
            <w:pPr>
              <w:spacing w:after="0"/>
              <w:rPr>
                <w:rFonts w:ascii="Arial" w:cs="Arial" w:eastAsia="Arial" w:hAnsi="Arial"/>
                <w:sz w:val="20"/>
                <w:szCs w:val="20"/>
                <w:color w:val="0000FF"/>
                <w:w w:val="93"/>
              </w:rPr>
            </w:pPr>
            <w:hyperlink r:id="rId728">
              <w:r>
                <w:rPr>
                  <w:rFonts w:ascii="Arial" w:cs="Arial" w:eastAsia="Arial" w:hAnsi="Arial"/>
                  <w:sz w:val="20"/>
                  <w:szCs w:val="20"/>
                  <w:color w:val="0000FF"/>
                  <w:w w:val="93"/>
                </w:rPr>
                <w:t>Agreement for Executive Officers under the Willis Towers</w:t>
              </w:r>
            </w:hyperlink>
          </w:p>
        </w:tc>
        <w:tc>
          <w:tcPr>
            <w:tcW w:w="460" w:type="dxa"/>
            <w:vAlign w:val="bottom"/>
            <w:tcBorders>
              <w:bottom w:val="single" w:sz="8" w:color="CFF0FC"/>
              <w:right w:val="single" w:sz="8" w:color="CFF0FC"/>
            </w:tcBorders>
            <w:gridSpan w:val="5"/>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2025</w:t>
            </w:r>
          </w:p>
        </w:tc>
      </w:tr>
      <w:tr>
        <w:trPr>
          <w:trHeight w:val="280"/>
        </w:trPr>
        <w:tc>
          <w:tcPr>
            <w:tcW w:w="660" w:type="dxa"/>
            <w:vAlign w:val="bottom"/>
            <w:tcBorders>
              <w:bottom w:val="single" w:sz="8" w:color="CFF0FC"/>
            </w:tcBorders>
            <w:shd w:val="clear" w:color="auto" w:fill="CFF0FC"/>
          </w:tcPr>
          <w:p>
            <w:pPr>
              <w:spacing w:after="0"/>
              <w:rPr>
                <w:sz w:val="24"/>
                <w:szCs w:val="24"/>
                <w:color w:val="auto"/>
              </w:rPr>
            </w:pPr>
          </w:p>
        </w:tc>
        <w:tc>
          <w:tcPr>
            <w:tcW w:w="5060" w:type="dxa"/>
            <w:vAlign w:val="bottom"/>
            <w:tcBorders>
              <w:bottom w:val="single" w:sz="8" w:color="0000FF"/>
            </w:tcBorders>
            <w:gridSpan w:val="9"/>
            <w:shd w:val="clear" w:color="auto" w:fill="CFF0FC"/>
          </w:tcPr>
          <w:p>
            <w:pPr>
              <w:spacing w:after="0"/>
              <w:rPr>
                <w:rFonts w:ascii="Arial" w:cs="Arial" w:eastAsia="Arial" w:hAnsi="Arial"/>
                <w:sz w:val="20"/>
                <w:szCs w:val="20"/>
                <w:color w:val="0000FF"/>
                <w:w w:val="90"/>
              </w:rPr>
            </w:pPr>
            <w:hyperlink r:id="rId728">
              <w:r>
                <w:rPr>
                  <w:rFonts w:ascii="Arial" w:cs="Arial" w:eastAsia="Arial" w:hAnsi="Arial"/>
                  <w:sz w:val="20"/>
                  <w:szCs w:val="20"/>
                  <w:color w:val="0000FF"/>
                  <w:w w:val="90"/>
                </w:rPr>
                <w:t>Watson Amended and Restated 2012 Equity Incentive Plan, as</w:t>
              </w:r>
            </w:hyperlink>
          </w:p>
        </w:tc>
        <w:tc>
          <w:tcPr>
            <w:tcW w:w="160" w:type="dxa"/>
            <w:vAlign w:val="bottom"/>
            <w:tcBorders>
              <w:bottom w:val="single" w:sz="8" w:color="CFF0FC"/>
              <w:right w:val="single" w:sz="8" w:color="CFF0FC"/>
            </w:tcBorders>
            <w:gridSpan w:val="2"/>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321"/>
        </w:trPr>
        <w:tc>
          <w:tcPr>
            <w:tcW w:w="660" w:type="dxa"/>
            <w:vAlign w:val="bottom"/>
            <w:tcBorders>
              <w:bottom w:val="single" w:sz="8" w:color="CFF0FC"/>
            </w:tcBorders>
            <w:shd w:val="clear" w:color="auto" w:fill="CFF0FC"/>
          </w:tcPr>
          <w:p>
            <w:pPr>
              <w:spacing w:after="0"/>
              <w:rPr>
                <w:sz w:val="24"/>
                <w:szCs w:val="24"/>
                <w:color w:val="auto"/>
              </w:rPr>
            </w:pPr>
          </w:p>
        </w:tc>
        <w:tc>
          <w:tcPr>
            <w:tcW w:w="1860" w:type="dxa"/>
            <w:vAlign w:val="bottom"/>
            <w:tcBorders>
              <w:bottom w:val="single" w:sz="8" w:color="0000FF"/>
            </w:tcBorders>
            <w:gridSpan w:val="2"/>
            <w:shd w:val="clear" w:color="auto" w:fill="CFF0FC"/>
          </w:tcPr>
          <w:p>
            <w:pPr>
              <w:spacing w:after="0"/>
              <w:rPr>
                <w:rFonts w:ascii="Arial" w:cs="Arial" w:eastAsia="Arial" w:hAnsi="Arial"/>
                <w:sz w:val="20"/>
                <w:szCs w:val="20"/>
                <w:color w:val="0000FF"/>
                <w:w w:val="87"/>
              </w:rPr>
            </w:pPr>
            <w:hyperlink r:id="rId728">
              <w:r>
                <w:rPr>
                  <w:rFonts w:ascii="Arial" w:cs="Arial" w:eastAsia="Arial" w:hAnsi="Arial"/>
                  <w:sz w:val="20"/>
                  <w:szCs w:val="20"/>
                  <w:color w:val="0000FF"/>
                  <w:w w:val="87"/>
                </w:rPr>
                <w:t>Amended and Restated</w:t>
              </w:r>
            </w:hyperlink>
          </w:p>
        </w:tc>
        <w:tc>
          <w:tcPr>
            <w:tcW w:w="3360" w:type="dxa"/>
            <w:vAlign w:val="bottom"/>
            <w:tcBorders>
              <w:bottom w:val="single" w:sz="8" w:color="CFF0FC"/>
              <w:right w:val="single" w:sz="8" w:color="CFF0FC"/>
            </w:tcBorders>
            <w:gridSpan w:val="9"/>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CFF0FC"/>
            </w:tcBorders>
            <w:shd w:val="clear" w:color="auto" w:fill="CFF0FC"/>
          </w:tcPr>
          <w:p>
            <w:pPr>
              <w:spacing w:after="0"/>
              <w:rPr>
                <w:sz w:val="24"/>
                <w:szCs w:val="24"/>
                <w:color w:val="auto"/>
              </w:rPr>
            </w:pPr>
          </w:p>
        </w:tc>
      </w:tr>
      <w:tr>
        <w:trPr>
          <w:trHeight w:val="239"/>
        </w:trPr>
        <w:tc>
          <w:tcPr>
            <w:tcW w:w="5880" w:type="dxa"/>
            <w:vAlign w:val="bottom"/>
            <w:gridSpan w:val="12"/>
          </w:tcPr>
          <w:p>
            <w:pPr>
              <w:ind w:left="20"/>
              <w:spacing w:after="0"/>
              <w:rPr>
                <w:rFonts w:ascii="Arial" w:cs="Arial" w:eastAsia="Arial" w:hAnsi="Arial"/>
                <w:sz w:val="20"/>
                <w:szCs w:val="20"/>
                <w:color w:val="auto"/>
                <w:w w:val="92"/>
              </w:rPr>
            </w:pPr>
            <w:r>
              <w:rPr>
                <w:rFonts w:ascii="Arial" w:cs="Arial" w:eastAsia="Arial" w:hAnsi="Arial"/>
                <w:sz w:val="20"/>
                <w:szCs w:val="20"/>
                <w:color w:val="auto"/>
                <w:w w:val="92"/>
              </w:rPr>
              <w:t xml:space="preserve">10.46† </w:t>
            </w:r>
            <w:hyperlink r:id="rId729">
              <w:r>
                <w:rPr>
                  <w:rFonts w:ascii="Arial" w:cs="Arial" w:eastAsia="Arial" w:hAnsi="Arial"/>
                  <w:sz w:val="20"/>
                  <w:szCs w:val="20"/>
                  <w:color w:val="0000FF"/>
                  <w:w w:val="92"/>
                </w:rPr>
                <w:t>Form of 2025 Performance-Based Restricted Share Unit Award</w:t>
              </w:r>
            </w:hyperlink>
          </w:p>
        </w:tc>
        <w:tc>
          <w:tcPr>
            <w:tcW w:w="840" w:type="dxa"/>
            <w:vAlign w:val="bottom"/>
          </w:tcPr>
          <w:p>
            <w:pPr>
              <w:jc w:val="center"/>
              <w:ind w:left="4"/>
              <w:spacing w:after="0"/>
              <w:rPr>
                <w:sz w:val="20"/>
                <w:szCs w:val="20"/>
                <w:color w:val="auto"/>
              </w:rPr>
            </w:pPr>
            <w:r>
              <w:rPr>
                <w:rFonts w:ascii="Arial" w:cs="Arial" w:eastAsia="Arial" w:hAnsi="Arial"/>
                <w:sz w:val="20"/>
                <w:szCs w:val="20"/>
                <w:color w:val="auto"/>
                <w:w w:val="94"/>
              </w:rPr>
              <w:t>10-Q</w:t>
            </w:r>
          </w:p>
        </w:tc>
        <w:tc>
          <w:tcPr>
            <w:tcW w:w="600" w:type="dxa"/>
            <w:vAlign w:val="bottom"/>
          </w:tcPr>
          <w:p>
            <w:pPr>
              <w:jc w:val="center"/>
              <w:spacing w:after="0"/>
              <w:rPr>
                <w:sz w:val="20"/>
                <w:szCs w:val="20"/>
                <w:color w:val="auto"/>
              </w:rPr>
            </w:pPr>
            <w:r>
              <w:rPr>
                <w:rFonts w:ascii="Arial" w:cs="Arial" w:eastAsia="Arial" w:hAnsi="Arial"/>
                <w:sz w:val="20"/>
                <w:szCs w:val="20"/>
                <w:color w:val="auto"/>
                <w:w w:val="92"/>
              </w:rPr>
              <w:t>10.2</w:t>
            </w:r>
          </w:p>
        </w:tc>
        <w:tc>
          <w:tcPr>
            <w:tcW w:w="1700" w:type="dxa"/>
            <w:vAlign w:val="bottom"/>
          </w:tcPr>
          <w:p>
            <w:pPr>
              <w:ind w:left="40"/>
              <w:spacing w:after="0"/>
              <w:rPr>
                <w:sz w:val="20"/>
                <w:szCs w:val="20"/>
                <w:color w:val="auto"/>
              </w:rPr>
            </w:pPr>
            <w:r>
              <w:rPr>
                <w:rFonts w:ascii="Arial" w:cs="Arial" w:eastAsia="Arial" w:hAnsi="Arial"/>
                <w:sz w:val="20"/>
                <w:szCs w:val="20"/>
                <w:color w:val="auto"/>
              </w:rPr>
              <w:t>August 1,</w:t>
            </w:r>
          </w:p>
        </w:tc>
      </w:tr>
      <w:tr>
        <w:trPr>
          <w:trHeight w:val="280"/>
        </w:trPr>
        <w:tc>
          <w:tcPr>
            <w:tcW w:w="660" w:type="dxa"/>
            <w:vAlign w:val="bottom"/>
          </w:tcPr>
          <w:p>
            <w:pPr>
              <w:spacing w:after="0"/>
              <w:rPr>
                <w:sz w:val="24"/>
                <w:szCs w:val="24"/>
                <w:color w:val="auto"/>
              </w:rPr>
            </w:pPr>
          </w:p>
        </w:tc>
        <w:tc>
          <w:tcPr>
            <w:tcW w:w="4760" w:type="dxa"/>
            <w:vAlign w:val="bottom"/>
            <w:tcBorders>
              <w:top w:val="single" w:sz="8" w:color="0000FF"/>
              <w:bottom w:val="single" w:sz="8" w:color="0000FF"/>
            </w:tcBorders>
            <w:gridSpan w:val="6"/>
          </w:tcPr>
          <w:p>
            <w:pPr>
              <w:spacing w:after="0"/>
              <w:rPr>
                <w:rFonts w:ascii="Arial" w:cs="Arial" w:eastAsia="Arial" w:hAnsi="Arial"/>
                <w:sz w:val="20"/>
                <w:szCs w:val="20"/>
                <w:color w:val="0000FF"/>
                <w:w w:val="93"/>
              </w:rPr>
            </w:pPr>
            <w:hyperlink r:id="rId729">
              <w:r>
                <w:rPr>
                  <w:rFonts w:ascii="Arial" w:cs="Arial" w:eastAsia="Arial" w:hAnsi="Arial"/>
                  <w:sz w:val="20"/>
                  <w:szCs w:val="20"/>
                  <w:color w:val="0000FF"/>
                  <w:w w:val="93"/>
                </w:rPr>
                <w:t>Agreement for Executive Officers under the Willis Towers</w:t>
              </w:r>
            </w:hyperlink>
          </w:p>
        </w:tc>
        <w:tc>
          <w:tcPr>
            <w:tcW w:w="460" w:type="dxa"/>
            <w:vAlign w:val="bottom"/>
            <w:tcBorders>
              <w:top w:val="single" w:sz="8" w:color="0000FF"/>
            </w:tcBorders>
            <w:gridSpan w:val="5"/>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20"/>
                <w:szCs w:val="20"/>
                <w:color w:val="auto"/>
              </w:rPr>
              <w:t>2025</w:t>
            </w:r>
          </w:p>
        </w:tc>
      </w:tr>
      <w:tr>
        <w:trPr>
          <w:trHeight w:val="280"/>
        </w:trPr>
        <w:tc>
          <w:tcPr>
            <w:tcW w:w="660" w:type="dxa"/>
            <w:vAlign w:val="bottom"/>
          </w:tcPr>
          <w:p>
            <w:pPr>
              <w:spacing w:after="0"/>
              <w:rPr>
                <w:sz w:val="24"/>
                <w:szCs w:val="24"/>
                <w:color w:val="auto"/>
              </w:rPr>
            </w:pPr>
          </w:p>
        </w:tc>
        <w:tc>
          <w:tcPr>
            <w:tcW w:w="5060" w:type="dxa"/>
            <w:vAlign w:val="bottom"/>
            <w:tcBorders>
              <w:bottom w:val="single" w:sz="8" w:color="0000FF"/>
            </w:tcBorders>
            <w:gridSpan w:val="9"/>
          </w:tcPr>
          <w:p>
            <w:pPr>
              <w:spacing w:after="0"/>
              <w:rPr>
                <w:rFonts w:ascii="Arial" w:cs="Arial" w:eastAsia="Arial" w:hAnsi="Arial"/>
                <w:sz w:val="20"/>
                <w:szCs w:val="20"/>
                <w:color w:val="0000FF"/>
                <w:w w:val="90"/>
              </w:rPr>
            </w:pPr>
            <w:hyperlink r:id="rId729">
              <w:r>
                <w:rPr>
                  <w:rFonts w:ascii="Arial" w:cs="Arial" w:eastAsia="Arial" w:hAnsi="Arial"/>
                  <w:sz w:val="20"/>
                  <w:szCs w:val="20"/>
                  <w:color w:val="0000FF"/>
                  <w:w w:val="90"/>
                </w:rPr>
                <w:t>Watson Amended and Restated 2012 Equity Incentive Plan, as</w:t>
              </w:r>
            </w:hyperlink>
          </w:p>
        </w:tc>
        <w:tc>
          <w:tcPr>
            <w:tcW w:w="16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0"/>
        </w:trPr>
        <w:tc>
          <w:tcPr>
            <w:tcW w:w="660" w:type="dxa"/>
            <w:vAlign w:val="bottom"/>
          </w:tcPr>
          <w:p>
            <w:pPr>
              <w:spacing w:after="0"/>
              <w:rPr>
                <w:sz w:val="24"/>
                <w:szCs w:val="24"/>
                <w:color w:val="auto"/>
              </w:rPr>
            </w:pPr>
          </w:p>
        </w:tc>
        <w:tc>
          <w:tcPr>
            <w:tcW w:w="1860" w:type="dxa"/>
            <w:vAlign w:val="bottom"/>
            <w:tcBorders>
              <w:bottom w:val="single" w:sz="8" w:color="0000FF"/>
            </w:tcBorders>
            <w:gridSpan w:val="2"/>
          </w:tcPr>
          <w:p>
            <w:pPr>
              <w:spacing w:after="0"/>
              <w:rPr>
                <w:rFonts w:ascii="Arial" w:cs="Arial" w:eastAsia="Arial" w:hAnsi="Arial"/>
                <w:sz w:val="20"/>
                <w:szCs w:val="20"/>
                <w:color w:val="0000FF"/>
                <w:w w:val="87"/>
              </w:rPr>
            </w:pPr>
            <w:hyperlink r:id="rId729">
              <w:r>
                <w:rPr>
                  <w:rFonts w:ascii="Arial" w:cs="Arial" w:eastAsia="Arial" w:hAnsi="Arial"/>
                  <w:sz w:val="20"/>
                  <w:szCs w:val="20"/>
                  <w:color w:val="0000FF"/>
                  <w:w w:val="87"/>
                </w:rPr>
                <w:t>Amended and Restated</w:t>
              </w:r>
            </w:hyperlink>
          </w:p>
        </w:tc>
        <w:tc>
          <w:tcPr>
            <w:tcW w:w="3360" w:type="dxa"/>
            <w:vAlign w:val="bottom"/>
            <w:gridSpan w:val="9"/>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-7529830</wp:posOffset>
            </wp:positionV>
            <wp:extent cx="1442085" cy="63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30">
                      <a:extLst>
                        <a:ext uri="{28A0092B-C50C-407E-A947-70E740481C1C}"/>
                      </a:extLst>
                    </a:blip>
                    <a:srcRect/>
                    <a:stretch>
                      <a:fillRect/>
                    </a:stretch>
                  </pic:blipFill>
                  <pic:spPr bwMode="auto">
                    <a:xfrm>
                      <a:off x="0" y="0"/>
                      <a:ext cx="144208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-7218680</wp:posOffset>
            </wp:positionV>
            <wp:extent cx="5728970" cy="127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31">
                      <a:extLst>
                        <a:ext uri="{28A0092B-C50C-407E-A947-70E740481C1C}"/>
                      </a:extLst>
                    </a:blip>
                    <a:srcRect/>
                    <a:stretch>
                      <a:fillRect/>
                    </a:stretch>
                  </pic:blipFill>
                  <pic:spPr bwMode="auto">
                    <a:xfrm>
                      <a:off x="0" y="0"/>
                      <a:ext cx="5728970" cy="1270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19 / 60</w:t>
      </w:r>
    </w:p>
    <w:p>
      <w:pPr>
        <w:sectPr>
          <w:pgSz w:w="11900" w:h="16838" w:orient="portrait"/>
          <w:cols w:equalWidth="0" w:num="1">
            <w:col w:w="9026"/>
          </w:cols>
          <w:pgMar w:left="1440" w:top="1440" w:right="1440" w:bottom="0" w:gutter="0" w:footer="0" w:header="0"/>
          <w:type w:val="continuous"/>
        </w:sectPr>
      </w:pPr>
    </w:p>
    <w:bookmarkStart w:id="279" w:name="page280"/>
    <w:bookmarkEnd w:id="279"/>
    <w:tbl>
      <w:tblPr>
        <w:tblLayout w:type="fixed"/>
        <w:tblInd w:w="0" w:type="dxa"/>
        <w:tblCellMar>
          <w:top w:w="0" w:type="dxa"/>
          <w:left w:w="0" w:type="dxa"/>
          <w:bottom w:w="0" w:type="dxa"/>
          <w:right w:w="0" w:type="dxa"/>
        </w:tblCellMar>
      </w:tblPr>
      <w:tr>
        <w:trPr>
          <w:trHeight w:val="239"/>
        </w:trPr>
        <w:tc>
          <w:tcPr>
            <w:tcW w:w="180" w:type="dxa"/>
            <w:vAlign w:val="bottom"/>
          </w:tcPr>
          <w:p>
            <w:pPr>
              <w:spacing w:after="0"/>
              <w:rPr>
                <w:sz w:val="20"/>
                <w:szCs w:val="20"/>
                <w:color w:val="auto"/>
              </w:rPr>
            </w:pP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8"/>
              </w:rPr>
              <w:t>10.47†</w:t>
            </w:r>
          </w:p>
        </w:tc>
        <w:tc>
          <w:tcPr>
            <w:tcW w:w="5160" w:type="dxa"/>
            <w:vAlign w:val="bottom"/>
            <w:tcBorders>
              <w:bottom w:val="single" w:sz="8" w:color="0000FF"/>
            </w:tcBorders>
            <w:gridSpan w:val="18"/>
            <w:shd w:val="clear" w:color="auto" w:fill="CFF0FC"/>
          </w:tcPr>
          <w:p>
            <w:pPr>
              <w:spacing w:after="0"/>
              <w:rPr>
                <w:rFonts w:ascii="Arial" w:cs="Arial" w:eastAsia="Arial" w:hAnsi="Arial"/>
                <w:sz w:val="20"/>
                <w:szCs w:val="20"/>
                <w:color w:val="0000FF"/>
                <w:w w:val="93"/>
              </w:rPr>
            </w:pPr>
            <w:hyperlink r:id="rId732">
              <w:r>
                <w:rPr>
                  <w:rFonts w:ascii="Arial" w:cs="Arial" w:eastAsia="Arial" w:hAnsi="Arial"/>
                  <w:sz w:val="20"/>
                  <w:szCs w:val="20"/>
                  <w:color w:val="0000FF"/>
                  <w:w w:val="93"/>
                </w:rPr>
                <w:t>Willis Towers Watson Public Limited Company Severance and</w:t>
              </w:r>
            </w:hyperlink>
          </w:p>
        </w:tc>
        <w:tc>
          <w:tcPr>
            <w:tcW w:w="140" w:type="dxa"/>
            <w:vAlign w:val="bottom"/>
            <w:tcBorders>
              <w:bottom w:val="single" w:sz="8" w:color="CFF0FC"/>
            </w:tcBorders>
            <w:gridSpan w:val="2"/>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6"/>
              </w:rPr>
              <w:t>8-K</w:t>
            </w:r>
          </w:p>
        </w:tc>
        <w:tc>
          <w:tcPr>
            <w:tcW w:w="6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10.3</w:t>
            </w:r>
          </w:p>
        </w:tc>
        <w:tc>
          <w:tcPr>
            <w:tcW w:w="17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February</w:t>
            </w:r>
          </w:p>
        </w:tc>
        <w:tc>
          <w:tcPr>
            <w:tcW w:w="200" w:type="dxa"/>
            <w:vAlign w:val="bottom"/>
          </w:tcPr>
          <w:p>
            <w:pPr>
              <w:spacing w:after="0"/>
              <w:rPr>
                <w:sz w:val="20"/>
                <w:szCs w:val="20"/>
                <w:color w:val="auto"/>
              </w:rPr>
            </w:pPr>
          </w:p>
        </w:tc>
      </w:tr>
      <w:tr>
        <w:trPr>
          <w:trHeight w:val="280"/>
        </w:trPr>
        <w:tc>
          <w:tcPr>
            <w:tcW w:w="180" w:type="dxa"/>
            <w:vAlign w:val="bottom"/>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5300" w:type="dxa"/>
            <w:vAlign w:val="bottom"/>
            <w:tcBorders>
              <w:bottom w:val="single" w:sz="8" w:color="0000FF"/>
            </w:tcBorders>
            <w:gridSpan w:val="20"/>
            <w:shd w:val="clear" w:color="auto" w:fill="CFF0FC"/>
          </w:tcPr>
          <w:p>
            <w:pPr>
              <w:spacing w:after="0"/>
              <w:rPr>
                <w:rFonts w:ascii="Arial" w:cs="Arial" w:eastAsia="Arial" w:hAnsi="Arial"/>
                <w:sz w:val="20"/>
                <w:szCs w:val="20"/>
                <w:color w:val="0000FF"/>
                <w:w w:val="91"/>
              </w:rPr>
            </w:pPr>
            <w:hyperlink r:id="rId732">
              <w:r>
                <w:rPr>
                  <w:rFonts w:ascii="Arial" w:cs="Arial" w:eastAsia="Arial" w:hAnsi="Arial"/>
                  <w:sz w:val="20"/>
                  <w:szCs w:val="20"/>
                  <w:color w:val="0000FF"/>
                  <w:w w:val="91"/>
                </w:rPr>
                <w:t>Change in Control Pay Plan for US Executives, adopted March 8,</w:t>
              </w:r>
            </w:hyperlink>
          </w:p>
        </w:tc>
        <w:tc>
          <w:tcPr>
            <w:tcW w:w="7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28, 2022</w:t>
            </w:r>
          </w:p>
        </w:tc>
        <w:tc>
          <w:tcPr>
            <w:tcW w:w="200" w:type="dxa"/>
            <w:vAlign w:val="bottom"/>
          </w:tcPr>
          <w:p>
            <w:pPr>
              <w:spacing w:after="0"/>
              <w:rPr>
                <w:sz w:val="24"/>
                <w:szCs w:val="24"/>
                <w:color w:val="auto"/>
              </w:rPr>
            </w:pPr>
          </w:p>
        </w:tc>
      </w:tr>
      <w:tr>
        <w:trPr>
          <w:trHeight w:val="321"/>
        </w:trPr>
        <w:tc>
          <w:tcPr>
            <w:tcW w:w="180" w:type="dxa"/>
            <w:vAlign w:val="bottom"/>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4660" w:type="dxa"/>
            <w:vAlign w:val="bottom"/>
            <w:tcBorders>
              <w:bottom w:val="single" w:sz="8" w:color="0000FF"/>
            </w:tcBorders>
            <w:gridSpan w:val="10"/>
            <w:shd w:val="clear" w:color="auto" w:fill="CFF0FC"/>
          </w:tcPr>
          <w:p>
            <w:pPr>
              <w:spacing w:after="0"/>
              <w:rPr>
                <w:rFonts w:ascii="Arial" w:cs="Arial" w:eastAsia="Arial" w:hAnsi="Arial"/>
                <w:sz w:val="20"/>
                <w:szCs w:val="20"/>
                <w:color w:val="0000FF"/>
                <w:w w:val="87"/>
              </w:rPr>
            </w:pPr>
            <w:hyperlink r:id="rId732">
              <w:r>
                <w:rPr>
                  <w:rFonts w:ascii="Arial" w:cs="Arial" w:eastAsia="Arial" w:hAnsi="Arial"/>
                  <w:sz w:val="20"/>
                  <w:szCs w:val="20"/>
                  <w:color w:val="0000FF"/>
                  <w:w w:val="87"/>
                </w:rPr>
                <w:t>2020 and as amended June 5, 2020 and February 22, 2022</w:t>
              </w:r>
            </w:hyperlink>
          </w:p>
        </w:tc>
        <w:tc>
          <w:tcPr>
            <w:tcW w:w="640" w:type="dxa"/>
            <w:vAlign w:val="bottom"/>
            <w:tcBorders>
              <w:bottom w:val="single" w:sz="8" w:color="CFF0FC"/>
            </w:tcBorders>
            <w:gridSpan w:val="10"/>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spacing w:after="0"/>
              <w:rPr>
                <w:sz w:val="24"/>
                <w:szCs w:val="24"/>
                <w:color w:val="auto"/>
              </w:rPr>
            </w:pPr>
          </w:p>
        </w:tc>
        <w:tc>
          <w:tcPr>
            <w:tcW w:w="200" w:type="dxa"/>
            <w:vAlign w:val="bottom"/>
          </w:tcPr>
          <w:p>
            <w:pPr>
              <w:spacing w:after="0"/>
              <w:rPr>
                <w:sz w:val="24"/>
                <w:szCs w:val="24"/>
                <w:color w:val="auto"/>
              </w:rPr>
            </w:pPr>
          </w:p>
        </w:tc>
      </w:tr>
      <w:tr>
        <w:trPr>
          <w:trHeight w:val="239"/>
        </w:trPr>
        <w:tc>
          <w:tcPr>
            <w:tcW w:w="1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20"/>
                <w:szCs w:val="20"/>
                <w:color w:val="auto"/>
                <w:w w:val="88"/>
              </w:rPr>
              <w:t>10.48†</w:t>
            </w:r>
          </w:p>
        </w:tc>
        <w:tc>
          <w:tcPr>
            <w:tcW w:w="5160" w:type="dxa"/>
            <w:vAlign w:val="bottom"/>
            <w:tcBorders>
              <w:bottom w:val="single" w:sz="8" w:color="0000FF"/>
            </w:tcBorders>
            <w:gridSpan w:val="18"/>
          </w:tcPr>
          <w:p>
            <w:pPr>
              <w:spacing w:after="0"/>
              <w:rPr>
                <w:rFonts w:ascii="Arial" w:cs="Arial" w:eastAsia="Arial" w:hAnsi="Arial"/>
                <w:sz w:val="20"/>
                <w:szCs w:val="20"/>
                <w:color w:val="0000FF"/>
                <w:w w:val="93"/>
              </w:rPr>
            </w:pPr>
            <w:hyperlink r:id="rId733">
              <w:r>
                <w:rPr>
                  <w:rFonts w:ascii="Arial" w:cs="Arial" w:eastAsia="Arial" w:hAnsi="Arial"/>
                  <w:sz w:val="20"/>
                  <w:szCs w:val="20"/>
                  <w:color w:val="0000FF"/>
                  <w:w w:val="93"/>
                </w:rPr>
                <w:t>Willis Towers Watson Public Limited Company Severance and</w:t>
              </w:r>
            </w:hyperlink>
          </w:p>
        </w:tc>
        <w:tc>
          <w:tcPr>
            <w:tcW w:w="140" w:type="dxa"/>
            <w:vAlign w:val="bottom"/>
            <w:gridSpan w:val="2"/>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w w:val="96"/>
              </w:rPr>
              <w:t>8-K</w:t>
            </w:r>
          </w:p>
        </w:tc>
        <w:tc>
          <w:tcPr>
            <w:tcW w:w="620" w:type="dxa"/>
            <w:vAlign w:val="bottom"/>
          </w:tcPr>
          <w:p>
            <w:pPr>
              <w:jc w:val="center"/>
              <w:spacing w:after="0"/>
              <w:rPr>
                <w:sz w:val="20"/>
                <w:szCs w:val="20"/>
                <w:color w:val="auto"/>
              </w:rPr>
            </w:pPr>
            <w:r>
              <w:rPr>
                <w:rFonts w:ascii="Arial" w:cs="Arial" w:eastAsia="Arial" w:hAnsi="Arial"/>
                <w:sz w:val="20"/>
                <w:szCs w:val="20"/>
                <w:color w:val="auto"/>
                <w:w w:val="92"/>
              </w:rPr>
              <w:t>10.4</w:t>
            </w:r>
          </w:p>
        </w:tc>
        <w:tc>
          <w:tcPr>
            <w:tcW w:w="1920" w:type="dxa"/>
            <w:vAlign w:val="bottom"/>
            <w:gridSpan w:val="2"/>
          </w:tcPr>
          <w:p>
            <w:pPr>
              <w:ind w:left="60"/>
              <w:spacing w:after="0"/>
              <w:rPr>
                <w:sz w:val="20"/>
                <w:szCs w:val="20"/>
                <w:color w:val="auto"/>
              </w:rPr>
            </w:pPr>
            <w:r>
              <w:rPr>
                <w:rFonts w:ascii="Arial" w:cs="Arial" w:eastAsia="Arial" w:hAnsi="Arial"/>
                <w:sz w:val="20"/>
                <w:szCs w:val="20"/>
                <w:color w:val="auto"/>
              </w:rPr>
              <w:t>February</w:t>
            </w: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40" w:type="dxa"/>
            <w:vAlign w:val="bottom"/>
            <w:tcBorders>
              <w:bottom w:val="single" w:sz="8" w:color="0000FF"/>
            </w:tcBorders>
            <w:gridSpan w:val="13"/>
          </w:tcPr>
          <w:p>
            <w:pPr>
              <w:spacing w:after="0"/>
              <w:rPr>
                <w:rFonts w:ascii="Arial" w:cs="Arial" w:eastAsia="Arial" w:hAnsi="Arial"/>
                <w:sz w:val="20"/>
                <w:szCs w:val="20"/>
                <w:color w:val="0000FF"/>
                <w:w w:val="91"/>
              </w:rPr>
            </w:pPr>
            <w:hyperlink r:id="rId733">
              <w:r>
                <w:rPr>
                  <w:rFonts w:ascii="Arial" w:cs="Arial" w:eastAsia="Arial" w:hAnsi="Arial"/>
                  <w:sz w:val="20"/>
                  <w:szCs w:val="20"/>
                  <w:color w:val="0000FF"/>
                  <w:w w:val="91"/>
                </w:rPr>
                <w:t>Change in Control Pay Plan for Non-US Executives, adopted</w:t>
              </w:r>
            </w:hyperlink>
          </w:p>
        </w:tc>
        <w:tc>
          <w:tcPr>
            <w:tcW w:w="36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Pr>
          <w:p>
            <w:pPr>
              <w:ind w:left="60"/>
              <w:spacing w:after="0"/>
              <w:rPr>
                <w:sz w:val="20"/>
                <w:szCs w:val="20"/>
                <w:color w:val="auto"/>
              </w:rPr>
            </w:pPr>
            <w:r>
              <w:rPr>
                <w:rFonts w:ascii="Arial" w:cs="Arial" w:eastAsia="Arial" w:hAnsi="Arial"/>
                <w:sz w:val="20"/>
                <w:szCs w:val="20"/>
                <w:color w:val="auto"/>
              </w:rPr>
              <w:t>28, 2022</w:t>
            </w:r>
          </w:p>
        </w:tc>
        <w:tc>
          <w:tcPr>
            <w:tcW w:w="200" w:type="dxa"/>
            <w:vAlign w:val="bottom"/>
          </w:tcPr>
          <w:p>
            <w:pPr>
              <w:spacing w:after="0"/>
              <w:rPr>
                <w:sz w:val="24"/>
                <w:szCs w:val="24"/>
                <w:color w:val="auto"/>
              </w:rPr>
            </w:pP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00" w:type="dxa"/>
            <w:vAlign w:val="bottom"/>
            <w:gridSpan w:val="20"/>
          </w:tcPr>
          <w:p>
            <w:pPr>
              <w:spacing w:after="0"/>
              <w:rPr>
                <w:rFonts w:ascii="Arial" w:cs="Arial" w:eastAsia="Arial" w:hAnsi="Arial"/>
                <w:sz w:val="20"/>
                <w:szCs w:val="20"/>
                <w:color w:val="0000FF"/>
                <w:w w:val="94"/>
              </w:rPr>
            </w:pPr>
            <w:hyperlink r:id="rId733">
              <w:r>
                <w:rPr>
                  <w:rFonts w:ascii="Arial" w:cs="Arial" w:eastAsia="Arial" w:hAnsi="Arial"/>
                  <w:sz w:val="20"/>
                  <w:szCs w:val="20"/>
                  <w:color w:val="0000FF"/>
                  <w:w w:val="94"/>
                </w:rPr>
                <w:t>March 8, 2020 and as amended June 5, 2020 and February 22,</w:t>
              </w:r>
            </w:hyperlink>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Borders>
              <w:top w:val="single" w:sz="8" w:color="0000FF"/>
            </w:tcBorders>
            <w:gridSpan w:val="2"/>
          </w:tcPr>
          <w:p>
            <w:pPr>
              <w:spacing w:after="0"/>
              <w:rPr>
                <w:rFonts w:ascii="Arial" w:cs="Arial" w:eastAsia="Arial" w:hAnsi="Arial"/>
                <w:sz w:val="20"/>
                <w:szCs w:val="20"/>
                <w:color w:val="0000FF"/>
              </w:rPr>
            </w:pPr>
            <w:hyperlink r:id="rId733">
              <w:r>
                <w:rPr>
                  <w:rFonts w:ascii="Arial" w:cs="Arial" w:eastAsia="Arial" w:hAnsi="Arial"/>
                  <w:sz w:val="20"/>
                  <w:szCs w:val="20"/>
                  <w:color w:val="0000FF"/>
                </w:rPr>
                <w:t>2022</w:t>
              </w:r>
            </w:hyperlink>
          </w:p>
        </w:tc>
        <w:tc>
          <w:tcPr>
            <w:tcW w:w="3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8"/>
              </w:rPr>
              <w:t>10.49†</w:t>
            </w:r>
          </w:p>
        </w:tc>
        <w:tc>
          <w:tcPr>
            <w:tcW w:w="5140" w:type="dxa"/>
            <w:vAlign w:val="bottom"/>
            <w:tcBorders>
              <w:bottom w:val="single" w:sz="8" w:color="0000FF"/>
            </w:tcBorders>
            <w:gridSpan w:val="17"/>
            <w:shd w:val="clear" w:color="auto" w:fill="CFF0FC"/>
          </w:tcPr>
          <w:p>
            <w:pPr>
              <w:spacing w:after="0"/>
              <w:rPr>
                <w:rFonts w:ascii="Arial" w:cs="Arial" w:eastAsia="Arial" w:hAnsi="Arial"/>
                <w:sz w:val="20"/>
                <w:szCs w:val="20"/>
                <w:color w:val="0000FF"/>
                <w:w w:val="93"/>
              </w:rPr>
            </w:pPr>
            <w:hyperlink r:id="rId734">
              <w:r>
                <w:rPr>
                  <w:rFonts w:ascii="Arial" w:cs="Arial" w:eastAsia="Arial" w:hAnsi="Arial"/>
                  <w:sz w:val="20"/>
                  <w:szCs w:val="20"/>
                  <w:color w:val="0000FF"/>
                  <w:w w:val="93"/>
                </w:rPr>
                <w:t>Willis Towers Watson Public Limited Company Compensation</w:t>
              </w:r>
            </w:hyperlink>
          </w:p>
        </w:tc>
        <w:tc>
          <w:tcPr>
            <w:tcW w:w="160" w:type="dxa"/>
            <w:vAlign w:val="bottom"/>
            <w:tcBorders>
              <w:bottom w:val="single" w:sz="8" w:color="CFF0FC"/>
            </w:tcBorders>
            <w:gridSpan w:val="3"/>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9"/>
              </w:rPr>
              <w:t>10-K</w:t>
            </w:r>
          </w:p>
        </w:tc>
        <w:tc>
          <w:tcPr>
            <w:tcW w:w="6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7"/>
              </w:rPr>
              <w:t>10.46</w:t>
            </w:r>
          </w:p>
        </w:tc>
        <w:tc>
          <w:tcPr>
            <w:tcW w:w="17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February</w:t>
            </w:r>
          </w:p>
        </w:tc>
        <w:tc>
          <w:tcPr>
            <w:tcW w:w="200" w:type="dxa"/>
            <w:vAlign w:val="bottom"/>
          </w:tcPr>
          <w:p>
            <w:pPr>
              <w:spacing w:after="0"/>
              <w:rPr>
                <w:sz w:val="20"/>
                <w:szCs w:val="20"/>
                <w:color w:val="auto"/>
              </w:rPr>
            </w:pPr>
          </w:p>
        </w:tc>
      </w:tr>
      <w:tr>
        <w:trPr>
          <w:trHeight w:val="280"/>
        </w:trPr>
        <w:tc>
          <w:tcPr>
            <w:tcW w:w="180" w:type="dxa"/>
            <w:vAlign w:val="bottom"/>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4800" w:type="dxa"/>
            <w:vAlign w:val="bottom"/>
            <w:tcBorders>
              <w:bottom w:val="single" w:sz="8" w:color="0000FF"/>
            </w:tcBorders>
            <w:gridSpan w:val="12"/>
            <w:shd w:val="clear" w:color="auto" w:fill="CFF0FC"/>
          </w:tcPr>
          <w:p>
            <w:pPr>
              <w:spacing w:after="0"/>
              <w:rPr>
                <w:rFonts w:ascii="Arial" w:cs="Arial" w:eastAsia="Arial" w:hAnsi="Arial"/>
                <w:sz w:val="20"/>
                <w:szCs w:val="20"/>
                <w:color w:val="0000FF"/>
                <w:w w:val="92"/>
              </w:rPr>
            </w:pPr>
            <w:hyperlink r:id="rId734">
              <w:r>
                <w:rPr>
                  <w:rFonts w:ascii="Arial" w:cs="Arial" w:eastAsia="Arial" w:hAnsi="Arial"/>
                  <w:sz w:val="20"/>
                  <w:szCs w:val="20"/>
                  <w:color w:val="0000FF"/>
                  <w:w w:val="92"/>
                </w:rPr>
                <w:t>Policy and Share Ownership Guidelines for Non-Employee</w:t>
              </w:r>
            </w:hyperlink>
          </w:p>
        </w:tc>
        <w:tc>
          <w:tcPr>
            <w:tcW w:w="500" w:type="dxa"/>
            <w:vAlign w:val="bottom"/>
            <w:tcBorders>
              <w:bottom w:val="single" w:sz="8" w:color="CFF0FC"/>
            </w:tcBorders>
            <w:gridSpan w:val="8"/>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25, 2025</w:t>
            </w:r>
          </w:p>
        </w:tc>
        <w:tc>
          <w:tcPr>
            <w:tcW w:w="200" w:type="dxa"/>
            <w:vAlign w:val="bottom"/>
          </w:tcPr>
          <w:p>
            <w:pPr>
              <w:spacing w:after="0"/>
              <w:rPr>
                <w:sz w:val="24"/>
                <w:szCs w:val="24"/>
                <w:color w:val="auto"/>
              </w:rPr>
            </w:pPr>
          </w:p>
        </w:tc>
      </w:tr>
      <w:tr>
        <w:trPr>
          <w:trHeight w:val="280"/>
        </w:trPr>
        <w:tc>
          <w:tcPr>
            <w:tcW w:w="180" w:type="dxa"/>
            <w:vAlign w:val="bottom"/>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5300" w:type="dxa"/>
            <w:vAlign w:val="bottom"/>
            <w:gridSpan w:val="20"/>
            <w:shd w:val="clear" w:color="auto" w:fill="CFF0FC"/>
          </w:tcPr>
          <w:p>
            <w:pPr>
              <w:spacing w:after="0"/>
              <w:rPr>
                <w:rFonts w:ascii="Arial" w:cs="Arial" w:eastAsia="Arial" w:hAnsi="Arial"/>
                <w:sz w:val="20"/>
                <w:szCs w:val="20"/>
                <w:color w:val="0000FF"/>
              </w:rPr>
            </w:pPr>
            <w:hyperlink r:id="rId734">
              <w:r>
                <w:rPr>
                  <w:rFonts w:ascii="Arial" w:cs="Arial" w:eastAsia="Arial" w:hAnsi="Arial"/>
                  <w:sz w:val="20"/>
                  <w:szCs w:val="20"/>
                  <w:color w:val="0000FF"/>
                </w:rPr>
                <w:t>Directors (dated January 1, 2025)</w:t>
              </w:r>
            </w:hyperlink>
          </w:p>
        </w:tc>
        <w:tc>
          <w:tcPr>
            <w:tcW w:w="72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1720" w:type="dxa"/>
            <w:vAlign w:val="bottom"/>
            <w:shd w:val="clear" w:color="auto" w:fill="CFF0FC"/>
          </w:tcPr>
          <w:p>
            <w:pPr>
              <w:spacing w:after="0"/>
              <w:rPr>
                <w:sz w:val="24"/>
                <w:szCs w:val="24"/>
                <w:color w:val="auto"/>
              </w:rPr>
            </w:pP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Borders>
              <w:top w:val="single" w:sz="8" w:color="CFF0FC"/>
            </w:tcBorders>
            <w:shd w:val="clear" w:color="auto" w:fill="CFF0FC"/>
          </w:tcPr>
          <w:p>
            <w:pPr>
              <w:spacing w:after="0"/>
              <w:rPr>
                <w:sz w:val="3"/>
                <w:szCs w:val="3"/>
                <w:color w:val="auto"/>
              </w:rPr>
            </w:pPr>
          </w:p>
        </w:tc>
        <w:tc>
          <w:tcPr>
            <w:tcW w:w="400" w:type="dxa"/>
            <w:vAlign w:val="bottom"/>
            <w:tcBorders>
              <w:top w:val="single" w:sz="8" w:color="0000FF"/>
            </w:tcBorders>
            <w:shd w:val="clear" w:color="auto" w:fill="CFF0FC"/>
          </w:tcPr>
          <w:p>
            <w:pPr>
              <w:spacing w:after="0"/>
              <w:rPr>
                <w:sz w:val="3"/>
                <w:szCs w:val="3"/>
                <w:color w:val="auto"/>
              </w:rPr>
            </w:pPr>
          </w:p>
        </w:tc>
        <w:tc>
          <w:tcPr>
            <w:tcW w:w="1160" w:type="dxa"/>
            <w:vAlign w:val="bottom"/>
            <w:tcBorders>
              <w:top w:val="single" w:sz="8" w:color="0000FF"/>
            </w:tcBorders>
            <w:shd w:val="clear" w:color="auto" w:fill="CFF0FC"/>
          </w:tcPr>
          <w:p>
            <w:pPr>
              <w:spacing w:after="0"/>
              <w:rPr>
                <w:sz w:val="3"/>
                <w:szCs w:val="3"/>
                <w:color w:val="auto"/>
              </w:rPr>
            </w:pPr>
          </w:p>
        </w:tc>
        <w:tc>
          <w:tcPr>
            <w:tcW w:w="360" w:type="dxa"/>
            <w:vAlign w:val="bottom"/>
            <w:tcBorders>
              <w:top w:val="single" w:sz="8" w:color="0000FF"/>
            </w:tcBorders>
            <w:shd w:val="clear" w:color="auto" w:fill="CFF0FC"/>
          </w:tcPr>
          <w:p>
            <w:pPr>
              <w:spacing w:after="0"/>
              <w:rPr>
                <w:sz w:val="3"/>
                <w:szCs w:val="3"/>
                <w:color w:val="auto"/>
              </w:rPr>
            </w:pPr>
          </w:p>
        </w:tc>
        <w:tc>
          <w:tcPr>
            <w:tcW w:w="580" w:type="dxa"/>
            <w:vAlign w:val="bottom"/>
            <w:tcBorders>
              <w:top w:val="single" w:sz="8" w:color="0000FF"/>
            </w:tcBorders>
            <w:shd w:val="clear" w:color="auto" w:fill="CFF0FC"/>
          </w:tcPr>
          <w:p>
            <w:pPr>
              <w:spacing w:after="0"/>
              <w:rPr>
                <w:sz w:val="3"/>
                <w:szCs w:val="3"/>
                <w:color w:val="auto"/>
              </w:rPr>
            </w:pPr>
          </w:p>
        </w:tc>
        <w:tc>
          <w:tcPr>
            <w:tcW w:w="180" w:type="dxa"/>
            <w:vAlign w:val="bottom"/>
            <w:tcBorders>
              <w:top w:val="single" w:sz="8" w:color="0000FF"/>
            </w:tcBorders>
            <w:shd w:val="clear" w:color="auto" w:fill="CFF0FC"/>
          </w:tcPr>
          <w:p>
            <w:pPr>
              <w:spacing w:after="0"/>
              <w:rPr>
                <w:sz w:val="3"/>
                <w:szCs w:val="3"/>
                <w:color w:val="auto"/>
              </w:rPr>
            </w:pPr>
          </w:p>
        </w:tc>
        <w:tc>
          <w:tcPr>
            <w:tcW w:w="680" w:type="dxa"/>
            <w:vAlign w:val="bottom"/>
            <w:tcBorders>
              <w:top w:val="single" w:sz="8" w:color="CFF0FC"/>
            </w:tcBorders>
            <w:shd w:val="clear" w:color="auto" w:fill="CFF0FC"/>
          </w:tcPr>
          <w:p>
            <w:pPr>
              <w:spacing w:after="0"/>
              <w:rPr>
                <w:sz w:val="3"/>
                <w:szCs w:val="3"/>
                <w:color w:val="auto"/>
              </w:rPr>
            </w:pPr>
          </w:p>
        </w:tc>
        <w:tc>
          <w:tcPr>
            <w:tcW w:w="400" w:type="dxa"/>
            <w:vAlign w:val="bottom"/>
            <w:tcBorders>
              <w:top w:val="single" w:sz="8" w:color="CFF0FC"/>
            </w:tcBorders>
            <w:shd w:val="clear" w:color="auto" w:fill="CFF0FC"/>
          </w:tcPr>
          <w:p>
            <w:pPr>
              <w:spacing w:after="0"/>
              <w:rPr>
                <w:sz w:val="3"/>
                <w:szCs w:val="3"/>
                <w:color w:val="auto"/>
              </w:rPr>
            </w:pPr>
          </w:p>
        </w:tc>
        <w:tc>
          <w:tcPr>
            <w:tcW w:w="200" w:type="dxa"/>
            <w:vAlign w:val="bottom"/>
            <w:tcBorders>
              <w:top w:val="single" w:sz="8" w:color="CFF0FC"/>
            </w:tcBorders>
            <w:shd w:val="clear" w:color="auto" w:fill="CFF0FC"/>
          </w:tcPr>
          <w:p>
            <w:pPr>
              <w:spacing w:after="0"/>
              <w:rPr>
                <w:sz w:val="3"/>
                <w:szCs w:val="3"/>
                <w:color w:val="auto"/>
              </w:rPr>
            </w:pPr>
          </w:p>
        </w:tc>
        <w:tc>
          <w:tcPr>
            <w:tcW w:w="620" w:type="dxa"/>
            <w:vAlign w:val="bottom"/>
            <w:tcBorders>
              <w:top w:val="single" w:sz="8" w:color="CFF0FC"/>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20" w:type="dxa"/>
            <w:vAlign w:val="bottom"/>
            <w:tcBorders>
              <w:top w:val="single" w:sz="8" w:color="CFF0FC"/>
            </w:tcBorders>
            <w:shd w:val="clear" w:color="auto" w:fill="CFF0FC"/>
          </w:tcPr>
          <w:p>
            <w:pPr>
              <w:spacing w:after="0"/>
              <w:rPr>
                <w:sz w:val="3"/>
                <w:szCs w:val="3"/>
                <w:color w:val="auto"/>
              </w:rPr>
            </w:pPr>
          </w:p>
        </w:tc>
        <w:tc>
          <w:tcPr>
            <w:tcW w:w="140" w:type="dxa"/>
            <w:vAlign w:val="bottom"/>
            <w:tcBorders>
              <w:top w:val="single" w:sz="8" w:color="CFF0FC"/>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00" w:type="dxa"/>
            <w:vAlign w:val="bottom"/>
            <w:tcBorders>
              <w:top w:val="single" w:sz="8" w:color="CFF0FC"/>
            </w:tcBorders>
            <w:shd w:val="clear" w:color="auto" w:fill="CFF0FC"/>
          </w:tcPr>
          <w:p>
            <w:pPr>
              <w:spacing w:after="0"/>
              <w:rPr>
                <w:sz w:val="3"/>
                <w:szCs w:val="3"/>
                <w:color w:val="auto"/>
              </w:rPr>
            </w:pPr>
          </w:p>
        </w:tc>
        <w:tc>
          <w:tcPr>
            <w:tcW w:w="40" w:type="dxa"/>
            <w:vAlign w:val="bottom"/>
            <w:tcBorders>
              <w:top w:val="single" w:sz="8" w:color="CFF0FC"/>
            </w:tcBorders>
            <w:shd w:val="clear" w:color="auto" w:fill="CFF0FC"/>
          </w:tcPr>
          <w:p>
            <w:pPr>
              <w:spacing w:after="0"/>
              <w:rPr>
                <w:sz w:val="3"/>
                <w:szCs w:val="3"/>
                <w:color w:val="auto"/>
              </w:rPr>
            </w:pPr>
          </w:p>
        </w:tc>
        <w:tc>
          <w:tcPr>
            <w:tcW w:w="720" w:type="dxa"/>
            <w:vAlign w:val="bottom"/>
            <w:tcBorders>
              <w:top w:val="single" w:sz="8" w:color="CFF0FC"/>
            </w:tcBorders>
            <w:shd w:val="clear" w:color="auto" w:fill="CFF0FC"/>
          </w:tcPr>
          <w:p>
            <w:pPr>
              <w:spacing w:after="0"/>
              <w:rPr>
                <w:sz w:val="3"/>
                <w:szCs w:val="3"/>
                <w:color w:val="auto"/>
              </w:rPr>
            </w:pPr>
          </w:p>
        </w:tc>
        <w:tc>
          <w:tcPr>
            <w:tcW w:w="620" w:type="dxa"/>
            <w:vAlign w:val="bottom"/>
            <w:tcBorders>
              <w:top w:val="single" w:sz="8" w:color="CFF0FC"/>
            </w:tcBorders>
            <w:shd w:val="clear" w:color="auto" w:fill="CFF0FC"/>
          </w:tcPr>
          <w:p>
            <w:pPr>
              <w:spacing w:after="0"/>
              <w:rPr>
                <w:sz w:val="3"/>
                <w:szCs w:val="3"/>
                <w:color w:val="auto"/>
              </w:rPr>
            </w:pPr>
          </w:p>
        </w:tc>
        <w:tc>
          <w:tcPr>
            <w:tcW w:w="1720" w:type="dxa"/>
            <w:vAlign w:val="bottom"/>
            <w:tcBorders>
              <w:top w:val="single" w:sz="8" w:color="CFF0FC"/>
            </w:tcBorders>
            <w:shd w:val="clear" w:color="auto" w:fill="CFF0FC"/>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20"/>
                <w:szCs w:val="20"/>
                <w:color w:val="auto"/>
                <w:w w:val="88"/>
              </w:rPr>
              <w:t>10.50†</w:t>
            </w:r>
          </w:p>
        </w:tc>
        <w:tc>
          <w:tcPr>
            <w:tcW w:w="5120" w:type="dxa"/>
            <w:vAlign w:val="bottom"/>
            <w:tcBorders>
              <w:bottom w:val="single" w:sz="8" w:color="0000FF"/>
            </w:tcBorders>
            <w:gridSpan w:val="16"/>
          </w:tcPr>
          <w:p>
            <w:pPr>
              <w:spacing w:after="0"/>
              <w:rPr>
                <w:rFonts w:ascii="Arial" w:cs="Arial" w:eastAsia="Arial" w:hAnsi="Arial"/>
                <w:sz w:val="20"/>
                <w:szCs w:val="20"/>
                <w:color w:val="0000FF"/>
                <w:w w:val="93"/>
              </w:rPr>
            </w:pPr>
            <w:hyperlink r:id="rId735">
              <w:r>
                <w:rPr>
                  <w:rFonts w:ascii="Arial" w:cs="Arial" w:eastAsia="Arial" w:hAnsi="Arial"/>
                  <w:sz w:val="20"/>
                  <w:szCs w:val="20"/>
                  <w:color w:val="0000FF"/>
                  <w:w w:val="93"/>
                </w:rPr>
                <w:t>The Willis Towers Watson Public Limited Company Amended</w:t>
              </w:r>
            </w:hyperlink>
          </w:p>
        </w:tc>
        <w:tc>
          <w:tcPr>
            <w:tcW w:w="180" w:type="dxa"/>
            <w:vAlign w:val="bottom"/>
            <w:gridSpan w:val="4"/>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w w:val="94"/>
              </w:rPr>
              <w:t>10-Q</w:t>
            </w:r>
          </w:p>
        </w:tc>
        <w:tc>
          <w:tcPr>
            <w:tcW w:w="620" w:type="dxa"/>
            <w:vAlign w:val="bottom"/>
          </w:tcPr>
          <w:p>
            <w:pPr>
              <w:jc w:val="center"/>
              <w:spacing w:after="0"/>
              <w:rPr>
                <w:sz w:val="20"/>
                <w:szCs w:val="20"/>
                <w:color w:val="auto"/>
              </w:rPr>
            </w:pPr>
            <w:r>
              <w:rPr>
                <w:rFonts w:ascii="Arial" w:cs="Arial" w:eastAsia="Arial" w:hAnsi="Arial"/>
                <w:sz w:val="20"/>
                <w:szCs w:val="20"/>
                <w:color w:val="auto"/>
                <w:w w:val="92"/>
              </w:rPr>
              <w:t>10.3</w:t>
            </w:r>
          </w:p>
        </w:tc>
        <w:tc>
          <w:tcPr>
            <w:tcW w:w="1920" w:type="dxa"/>
            <w:vAlign w:val="bottom"/>
            <w:gridSpan w:val="2"/>
          </w:tcPr>
          <w:p>
            <w:pPr>
              <w:ind w:left="60"/>
              <w:spacing w:after="0"/>
              <w:rPr>
                <w:sz w:val="20"/>
                <w:szCs w:val="20"/>
                <w:color w:val="auto"/>
              </w:rPr>
            </w:pPr>
            <w:r>
              <w:rPr>
                <w:rFonts w:ascii="Arial" w:cs="Arial" w:eastAsia="Arial" w:hAnsi="Arial"/>
                <w:sz w:val="20"/>
                <w:szCs w:val="20"/>
                <w:color w:val="auto"/>
              </w:rPr>
              <w:t>April 25,</w:t>
            </w: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80" w:type="dxa"/>
            <w:vAlign w:val="bottom"/>
            <w:tcBorders>
              <w:bottom w:val="single" w:sz="8" w:color="0000FF"/>
            </w:tcBorders>
            <w:gridSpan w:val="11"/>
          </w:tcPr>
          <w:p>
            <w:pPr>
              <w:spacing w:after="0"/>
              <w:rPr>
                <w:rFonts w:ascii="Arial" w:cs="Arial" w:eastAsia="Arial" w:hAnsi="Arial"/>
                <w:sz w:val="20"/>
                <w:szCs w:val="20"/>
                <w:color w:val="0000FF"/>
                <w:w w:val="88"/>
              </w:rPr>
            </w:pPr>
            <w:hyperlink r:id="rId735">
              <w:r>
                <w:rPr>
                  <w:rFonts w:ascii="Arial" w:cs="Arial" w:eastAsia="Arial" w:hAnsi="Arial"/>
                  <w:sz w:val="20"/>
                  <w:szCs w:val="20"/>
                  <w:color w:val="0000FF"/>
                  <w:w w:val="88"/>
                </w:rPr>
                <w:t>and Restated 2010 Employee Share Purchase Plan (as last</w:t>
              </w:r>
            </w:hyperlink>
          </w:p>
        </w:tc>
        <w:tc>
          <w:tcPr>
            <w:tcW w:w="62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Pr>
          <w:p>
            <w:pPr>
              <w:ind w:left="60"/>
              <w:spacing w:after="0"/>
              <w:rPr>
                <w:sz w:val="20"/>
                <w:szCs w:val="20"/>
                <w:color w:val="auto"/>
              </w:rPr>
            </w:pPr>
            <w:r>
              <w:rPr>
                <w:rFonts w:ascii="Arial" w:cs="Arial" w:eastAsia="Arial" w:hAnsi="Arial"/>
                <w:sz w:val="20"/>
                <w:szCs w:val="20"/>
                <w:color w:val="auto"/>
              </w:rPr>
              <w:t>2024</w:t>
            </w:r>
          </w:p>
        </w:tc>
        <w:tc>
          <w:tcPr>
            <w:tcW w:w="200" w:type="dxa"/>
            <w:vAlign w:val="bottom"/>
          </w:tcPr>
          <w:p>
            <w:pPr>
              <w:spacing w:after="0"/>
              <w:rPr>
                <w:sz w:val="24"/>
                <w:szCs w:val="24"/>
                <w:color w:val="auto"/>
              </w:rPr>
            </w:pP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00" w:type="dxa"/>
            <w:vAlign w:val="bottom"/>
            <w:gridSpan w:val="20"/>
          </w:tcPr>
          <w:p>
            <w:pPr>
              <w:spacing w:after="0"/>
              <w:rPr>
                <w:rFonts w:ascii="Arial" w:cs="Arial" w:eastAsia="Arial" w:hAnsi="Arial"/>
                <w:sz w:val="20"/>
                <w:szCs w:val="20"/>
                <w:color w:val="0000FF"/>
              </w:rPr>
            </w:pPr>
            <w:hyperlink r:id="rId735">
              <w:r>
                <w:rPr>
                  <w:rFonts w:ascii="Arial" w:cs="Arial" w:eastAsia="Arial" w:hAnsi="Arial"/>
                  <w:sz w:val="20"/>
                  <w:szCs w:val="20"/>
                  <w:color w:val="0000FF"/>
                </w:rPr>
                <w:t>amended and restated as of February 28, 2024)</w:t>
              </w:r>
            </w:hyperlink>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6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7"/>
              </w:rPr>
              <w:t>19.1</w:t>
            </w:r>
          </w:p>
        </w:tc>
        <w:tc>
          <w:tcPr>
            <w:tcW w:w="4580" w:type="dxa"/>
            <w:vAlign w:val="bottom"/>
            <w:tcBorders>
              <w:bottom w:val="single" w:sz="8" w:color="0000FF"/>
            </w:tcBorders>
            <w:gridSpan w:val="9"/>
            <w:shd w:val="clear" w:color="auto" w:fill="CFF0FC"/>
          </w:tcPr>
          <w:p>
            <w:pPr>
              <w:spacing w:after="0"/>
              <w:rPr>
                <w:sz w:val="20"/>
                <w:szCs w:val="20"/>
                <w:color w:val="auto"/>
              </w:rPr>
            </w:pPr>
            <w:r>
              <w:rPr>
                <w:rFonts w:ascii="Arial" w:cs="Arial" w:eastAsia="Arial" w:hAnsi="Arial"/>
                <w:sz w:val="20"/>
                <w:szCs w:val="20"/>
                <w:color w:val="0000FF"/>
                <w:w w:val="93"/>
              </w:rPr>
              <w:t>Willis Towers Watson Global Insider Trading Policy (as</w:t>
            </w:r>
          </w:p>
        </w:tc>
        <w:tc>
          <w:tcPr>
            <w:tcW w:w="720" w:type="dxa"/>
            <w:vAlign w:val="bottom"/>
            <w:tcBorders>
              <w:bottom w:val="single" w:sz="8" w:color="CFF0FC"/>
            </w:tcBorders>
            <w:gridSpan w:val="11"/>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CFF0FC"/>
            </w:tcBorders>
            <w:shd w:val="clear" w:color="auto" w:fill="CFF0FC"/>
          </w:tcPr>
          <w:p>
            <w:pPr>
              <w:ind w:left="1340"/>
              <w:spacing w:after="0"/>
              <w:rPr>
                <w:sz w:val="20"/>
                <w:szCs w:val="20"/>
                <w:color w:val="auto"/>
              </w:rPr>
            </w:pPr>
            <w:r>
              <w:rPr>
                <w:rFonts w:ascii="Arial" w:cs="Arial" w:eastAsia="Arial" w:hAnsi="Arial"/>
                <w:sz w:val="20"/>
                <w:szCs w:val="20"/>
                <w:color w:val="auto"/>
              </w:rPr>
              <w:t>X</w:t>
            </w:r>
          </w:p>
        </w:tc>
        <w:tc>
          <w:tcPr>
            <w:tcW w:w="200" w:type="dxa"/>
            <w:vAlign w:val="bottom"/>
          </w:tcPr>
          <w:p>
            <w:pPr>
              <w:spacing w:after="0"/>
              <w:rPr>
                <w:sz w:val="20"/>
                <w:szCs w:val="20"/>
                <w:color w:val="auto"/>
              </w:rPr>
            </w:pPr>
          </w:p>
        </w:tc>
      </w:tr>
      <w:tr>
        <w:trPr>
          <w:trHeight w:val="321"/>
        </w:trPr>
        <w:tc>
          <w:tcPr>
            <w:tcW w:w="180" w:type="dxa"/>
            <w:vAlign w:val="bottom"/>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1920" w:type="dxa"/>
            <w:vAlign w:val="bottom"/>
            <w:tcBorders>
              <w:bottom w:val="single" w:sz="8" w:color="0000FF"/>
            </w:tcBorders>
            <w:gridSpan w:val="3"/>
            <w:shd w:val="clear" w:color="auto" w:fill="CFF0FC"/>
          </w:tcPr>
          <w:p>
            <w:pPr>
              <w:spacing w:after="0"/>
              <w:rPr>
                <w:sz w:val="20"/>
                <w:szCs w:val="20"/>
                <w:color w:val="auto"/>
              </w:rPr>
            </w:pPr>
            <w:r>
              <w:rPr>
                <w:rFonts w:ascii="Arial" w:cs="Arial" w:eastAsia="Arial" w:hAnsi="Arial"/>
                <w:sz w:val="20"/>
                <w:szCs w:val="20"/>
                <w:color w:val="0000FF"/>
                <w:w w:val="87"/>
              </w:rPr>
              <w:t>amended January 2026)</w:t>
            </w:r>
          </w:p>
        </w:tc>
        <w:tc>
          <w:tcPr>
            <w:tcW w:w="3380" w:type="dxa"/>
            <w:vAlign w:val="bottom"/>
            <w:tcBorders>
              <w:bottom w:val="single" w:sz="8" w:color="CFF0FC"/>
            </w:tcBorders>
            <w:gridSpan w:val="17"/>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1720" w:type="dxa"/>
            <w:vAlign w:val="bottom"/>
            <w:tcBorders>
              <w:bottom w:val="single" w:sz="8" w:color="CFF0FC"/>
            </w:tcBorders>
            <w:shd w:val="clear" w:color="auto" w:fill="CFF0FC"/>
          </w:tcPr>
          <w:p>
            <w:pPr>
              <w:spacing w:after="0"/>
              <w:rPr>
                <w:sz w:val="24"/>
                <w:szCs w:val="24"/>
                <w:color w:val="auto"/>
              </w:rPr>
            </w:pPr>
          </w:p>
        </w:tc>
        <w:tc>
          <w:tcPr>
            <w:tcW w:w="200" w:type="dxa"/>
            <w:vAlign w:val="bottom"/>
          </w:tcPr>
          <w:p>
            <w:pPr>
              <w:spacing w:after="0"/>
              <w:rPr>
                <w:sz w:val="24"/>
                <w:szCs w:val="24"/>
                <w:color w:val="auto"/>
              </w:rPr>
            </w:pPr>
          </w:p>
        </w:tc>
      </w:tr>
      <w:tr>
        <w:trPr>
          <w:trHeight w:val="239"/>
        </w:trPr>
        <w:tc>
          <w:tcPr>
            <w:tcW w:w="840" w:type="dxa"/>
            <w:vAlign w:val="bottom"/>
            <w:gridSpan w:val="2"/>
          </w:tcPr>
          <w:p>
            <w:pPr>
              <w:jc w:val="center"/>
              <w:spacing w:after="0"/>
              <w:rPr>
                <w:sz w:val="20"/>
                <w:szCs w:val="20"/>
                <w:color w:val="auto"/>
              </w:rPr>
            </w:pPr>
            <w:r>
              <w:rPr>
                <w:rFonts w:ascii="Arial" w:cs="Arial" w:eastAsia="Arial" w:hAnsi="Arial"/>
                <w:sz w:val="20"/>
                <w:szCs w:val="20"/>
                <w:color w:val="auto"/>
                <w:w w:val="87"/>
              </w:rPr>
              <w:t>19.2</w:t>
            </w:r>
          </w:p>
        </w:tc>
        <w:tc>
          <w:tcPr>
            <w:tcW w:w="5040" w:type="dxa"/>
            <w:vAlign w:val="bottom"/>
            <w:tcBorders>
              <w:bottom w:val="single" w:sz="8" w:color="0000FF"/>
            </w:tcBorders>
            <w:gridSpan w:val="15"/>
          </w:tcPr>
          <w:p>
            <w:pPr>
              <w:spacing w:after="0"/>
              <w:rPr>
                <w:rFonts w:ascii="Arial" w:cs="Arial" w:eastAsia="Arial" w:hAnsi="Arial"/>
                <w:sz w:val="20"/>
                <w:szCs w:val="20"/>
                <w:color w:val="0000FF"/>
                <w:w w:val="93"/>
              </w:rPr>
            </w:pPr>
            <w:hyperlink r:id="rId736">
              <w:r>
                <w:rPr>
                  <w:rFonts w:ascii="Arial" w:cs="Arial" w:eastAsia="Arial" w:hAnsi="Arial"/>
                  <w:sz w:val="20"/>
                  <w:szCs w:val="20"/>
                  <w:color w:val="0000FF"/>
                  <w:w w:val="93"/>
                </w:rPr>
                <w:t>Willis Towers Watson plc Guidelines on Rule 10b5-1 Trading</w:t>
              </w:r>
            </w:hyperlink>
          </w:p>
        </w:tc>
        <w:tc>
          <w:tcPr>
            <w:tcW w:w="260" w:type="dxa"/>
            <w:vAlign w:val="bottom"/>
            <w:gridSpan w:val="5"/>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w w:val="99"/>
              </w:rPr>
              <w:t>10-K</w:t>
            </w:r>
          </w:p>
        </w:tc>
        <w:tc>
          <w:tcPr>
            <w:tcW w:w="620" w:type="dxa"/>
            <w:vAlign w:val="bottom"/>
          </w:tcPr>
          <w:p>
            <w:pPr>
              <w:jc w:val="center"/>
              <w:spacing w:after="0"/>
              <w:rPr>
                <w:sz w:val="20"/>
                <w:szCs w:val="20"/>
                <w:color w:val="auto"/>
              </w:rPr>
            </w:pPr>
            <w:r>
              <w:rPr>
                <w:rFonts w:ascii="Arial" w:cs="Arial" w:eastAsia="Arial" w:hAnsi="Arial"/>
                <w:sz w:val="20"/>
                <w:szCs w:val="20"/>
                <w:color w:val="auto"/>
                <w:w w:val="92"/>
              </w:rPr>
              <w:t>19.2</w:t>
            </w:r>
          </w:p>
        </w:tc>
        <w:tc>
          <w:tcPr>
            <w:tcW w:w="1920" w:type="dxa"/>
            <w:vAlign w:val="bottom"/>
            <w:gridSpan w:val="2"/>
          </w:tcPr>
          <w:p>
            <w:pPr>
              <w:ind w:left="60"/>
              <w:spacing w:after="0"/>
              <w:rPr>
                <w:sz w:val="20"/>
                <w:szCs w:val="20"/>
                <w:color w:val="auto"/>
              </w:rPr>
            </w:pPr>
            <w:r>
              <w:rPr>
                <w:rFonts w:ascii="Arial" w:cs="Arial" w:eastAsia="Arial" w:hAnsi="Arial"/>
                <w:sz w:val="20"/>
                <w:szCs w:val="20"/>
                <w:color w:val="auto"/>
              </w:rPr>
              <w:t>February</w:t>
            </w:r>
          </w:p>
        </w:tc>
      </w:tr>
      <w:tr>
        <w:trPr>
          <w:trHeight w:val="280"/>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00" w:type="dxa"/>
            <w:vAlign w:val="bottom"/>
            <w:gridSpan w:val="20"/>
          </w:tcPr>
          <w:p>
            <w:pPr>
              <w:spacing w:after="0"/>
              <w:rPr>
                <w:rFonts w:ascii="Arial" w:cs="Arial" w:eastAsia="Arial" w:hAnsi="Arial"/>
                <w:sz w:val="20"/>
                <w:szCs w:val="20"/>
                <w:color w:val="0000FF"/>
              </w:rPr>
            </w:pPr>
            <w:hyperlink r:id="rId736">
              <w:r>
                <w:rPr>
                  <w:rFonts w:ascii="Arial" w:cs="Arial" w:eastAsia="Arial" w:hAnsi="Arial"/>
                  <w:sz w:val="20"/>
                  <w:szCs w:val="20"/>
                  <w:color w:val="0000FF"/>
                </w:rPr>
                <w:t>Plans in effect from April 2023</w:t>
              </w:r>
            </w:hyperlink>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Pr>
          <w:p>
            <w:pPr>
              <w:ind w:left="60"/>
              <w:spacing w:after="0"/>
              <w:rPr>
                <w:sz w:val="20"/>
                <w:szCs w:val="20"/>
                <w:color w:val="auto"/>
              </w:rPr>
            </w:pPr>
            <w:r>
              <w:rPr>
                <w:rFonts w:ascii="Arial" w:cs="Arial" w:eastAsia="Arial" w:hAnsi="Arial"/>
                <w:sz w:val="20"/>
                <w:szCs w:val="20"/>
                <w:color w:val="auto"/>
              </w:rPr>
              <w:t>25, 2025</w:t>
            </w:r>
          </w:p>
        </w:tc>
        <w:tc>
          <w:tcPr>
            <w:tcW w:w="200" w:type="dxa"/>
            <w:vAlign w:val="bottom"/>
          </w:tcPr>
          <w:p>
            <w:pPr>
              <w:spacing w:after="0"/>
              <w:rPr>
                <w:sz w:val="24"/>
                <w:szCs w:val="24"/>
                <w:color w:val="auto"/>
              </w:rPr>
            </w:pPr>
          </w:p>
        </w:tc>
      </w:tr>
      <w:tr>
        <w:trPr>
          <w:trHeight w:val="41"/>
        </w:trPr>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9"/>
        </w:trPr>
        <w:tc>
          <w:tcPr>
            <w:tcW w:w="180" w:type="dxa"/>
            <w:vAlign w:val="bottom"/>
          </w:tcPr>
          <w:p>
            <w:pPr>
              <w:spacing w:after="0"/>
              <w:rPr>
                <w:sz w:val="20"/>
                <w:szCs w:val="20"/>
                <w:color w:val="auto"/>
              </w:rPr>
            </w:pPr>
          </w:p>
        </w:tc>
        <w:tc>
          <w:tcPr>
            <w:tcW w:w="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19.3†</w:t>
            </w:r>
          </w:p>
        </w:tc>
        <w:tc>
          <w:tcPr>
            <w:tcW w:w="5260" w:type="dxa"/>
            <w:vAlign w:val="bottom"/>
            <w:tcBorders>
              <w:bottom w:val="single" w:sz="8" w:color="0000FF"/>
            </w:tcBorders>
            <w:gridSpan w:val="19"/>
            <w:shd w:val="clear" w:color="auto" w:fill="CFF0FC"/>
          </w:tcPr>
          <w:p>
            <w:pPr>
              <w:spacing w:after="0"/>
              <w:rPr>
                <w:rFonts w:ascii="Arial" w:cs="Arial" w:eastAsia="Arial" w:hAnsi="Arial"/>
                <w:sz w:val="20"/>
                <w:szCs w:val="20"/>
                <w:color w:val="0000FF"/>
                <w:w w:val="93"/>
              </w:rPr>
            </w:pPr>
            <w:hyperlink r:id="rId737">
              <w:r>
                <w:rPr>
                  <w:rFonts w:ascii="Arial" w:cs="Arial" w:eastAsia="Arial" w:hAnsi="Arial"/>
                  <w:sz w:val="20"/>
                  <w:szCs w:val="20"/>
                  <w:color w:val="0000FF"/>
                  <w:w w:val="93"/>
                </w:rPr>
                <w:t>Willis Towers Watson Public Limited Company Amended Share</w:t>
              </w:r>
            </w:hyperlink>
          </w:p>
        </w:tc>
        <w:tc>
          <w:tcPr>
            <w:tcW w:w="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9"/>
              </w:rPr>
              <w:t>10-K</w:t>
            </w:r>
          </w:p>
        </w:tc>
        <w:tc>
          <w:tcPr>
            <w:tcW w:w="6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2"/>
              </w:rPr>
              <w:t>19.3</w:t>
            </w:r>
          </w:p>
        </w:tc>
        <w:tc>
          <w:tcPr>
            <w:tcW w:w="17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February</w:t>
            </w:r>
          </w:p>
        </w:tc>
        <w:tc>
          <w:tcPr>
            <w:tcW w:w="200" w:type="dxa"/>
            <w:vAlign w:val="bottom"/>
          </w:tcPr>
          <w:p>
            <w:pPr>
              <w:spacing w:after="0"/>
              <w:rPr>
                <w:sz w:val="20"/>
                <w:szCs w:val="20"/>
                <w:color w:val="auto"/>
              </w:rPr>
            </w:pPr>
          </w:p>
        </w:tc>
      </w:tr>
      <w:tr>
        <w:trPr>
          <w:trHeight w:val="321"/>
        </w:trPr>
        <w:tc>
          <w:tcPr>
            <w:tcW w:w="180" w:type="dxa"/>
            <w:vAlign w:val="bottom"/>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5300" w:type="dxa"/>
            <w:vAlign w:val="bottom"/>
            <w:gridSpan w:val="20"/>
            <w:shd w:val="clear" w:color="auto" w:fill="CFF0FC"/>
          </w:tcPr>
          <w:p>
            <w:pPr>
              <w:spacing w:after="0"/>
              <w:rPr>
                <w:rFonts w:ascii="Arial" w:cs="Arial" w:eastAsia="Arial" w:hAnsi="Arial"/>
                <w:sz w:val="20"/>
                <w:szCs w:val="20"/>
                <w:color w:val="0000FF"/>
              </w:rPr>
            </w:pPr>
            <w:hyperlink r:id="rId737">
              <w:r>
                <w:rPr>
                  <w:rFonts w:ascii="Arial" w:cs="Arial" w:eastAsia="Arial" w:hAnsi="Arial"/>
                  <w:sz w:val="20"/>
                  <w:szCs w:val="20"/>
                  <w:color w:val="0000FF"/>
                </w:rPr>
                <w:t>Repurchase Policy in effect from December 2024</w:t>
              </w:r>
            </w:hyperlink>
          </w:p>
        </w:tc>
        <w:tc>
          <w:tcPr>
            <w:tcW w:w="72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1720" w:type="dxa"/>
            <w:vAlign w:val="bottom"/>
            <w:shd w:val="clear" w:color="auto" w:fill="CFF0FC"/>
          </w:tcPr>
          <w:p>
            <w:pPr>
              <w:ind w:left="60"/>
              <w:spacing w:after="0"/>
              <w:rPr>
                <w:sz w:val="20"/>
                <w:szCs w:val="20"/>
                <w:color w:val="auto"/>
              </w:rPr>
            </w:pPr>
            <w:r>
              <w:rPr>
                <w:rFonts w:ascii="Arial" w:cs="Arial" w:eastAsia="Arial" w:hAnsi="Arial"/>
                <w:sz w:val="20"/>
                <w:szCs w:val="20"/>
                <w:color w:val="auto"/>
              </w:rPr>
              <w:t>25, 2025</w:t>
            </w:r>
          </w:p>
        </w:tc>
        <w:tc>
          <w:tcPr>
            <w:tcW w:w="200" w:type="dxa"/>
            <w:vAlign w:val="bottom"/>
          </w:tcPr>
          <w:p>
            <w:pPr>
              <w:spacing w:after="0"/>
              <w:rPr>
                <w:sz w:val="24"/>
                <w:szCs w:val="24"/>
                <w:color w:val="auto"/>
              </w:rPr>
            </w:pPr>
          </w:p>
        </w:tc>
      </w:tr>
      <w:tr>
        <w:trPr>
          <w:trHeight w:val="239"/>
        </w:trPr>
        <w:tc>
          <w:tcPr>
            <w:tcW w:w="180" w:type="dxa"/>
            <w:vAlign w:val="bottom"/>
          </w:tcPr>
          <w:p>
            <w:pPr>
              <w:spacing w:after="0"/>
              <w:rPr>
                <w:sz w:val="20"/>
                <w:szCs w:val="20"/>
                <w:color w:val="auto"/>
              </w:rPr>
            </w:pPr>
          </w:p>
        </w:tc>
        <w:tc>
          <w:tcPr>
            <w:tcW w:w="660" w:type="dxa"/>
            <w:vAlign w:val="bottom"/>
            <w:tcBorders>
              <w:top w:val="single" w:sz="8" w:color="CFF0FC"/>
            </w:tcBorders>
          </w:tcPr>
          <w:p>
            <w:pPr>
              <w:jc w:val="center"/>
              <w:spacing w:after="0"/>
              <w:rPr>
                <w:sz w:val="20"/>
                <w:szCs w:val="20"/>
                <w:color w:val="auto"/>
              </w:rPr>
            </w:pPr>
            <w:r>
              <w:rPr>
                <w:rFonts w:ascii="Arial" w:cs="Arial" w:eastAsia="Arial" w:hAnsi="Arial"/>
                <w:sz w:val="20"/>
                <w:szCs w:val="20"/>
                <w:color w:val="auto"/>
                <w:w w:val="87"/>
              </w:rPr>
              <w:t>21.1</w:t>
            </w:r>
          </w:p>
        </w:tc>
        <w:tc>
          <w:tcPr>
            <w:tcW w:w="3960" w:type="dxa"/>
            <w:vAlign w:val="bottom"/>
            <w:tcBorders>
              <w:top w:val="single" w:sz="8" w:color="0000FF"/>
            </w:tcBorders>
            <w:gridSpan w:val="8"/>
          </w:tcPr>
          <w:p>
            <w:pPr>
              <w:spacing w:after="0"/>
              <w:rPr>
                <w:sz w:val="20"/>
                <w:szCs w:val="20"/>
                <w:color w:val="auto"/>
              </w:rPr>
            </w:pPr>
            <w:r>
              <w:rPr>
                <w:rFonts w:ascii="Arial" w:cs="Arial" w:eastAsia="Arial" w:hAnsi="Arial"/>
                <w:sz w:val="20"/>
                <w:szCs w:val="20"/>
                <w:color w:val="0000FF"/>
              </w:rPr>
              <w:t>List of Subsidiaries</w:t>
            </w:r>
          </w:p>
        </w:tc>
        <w:tc>
          <w:tcPr>
            <w:tcW w:w="1340" w:type="dxa"/>
            <w:vAlign w:val="bottom"/>
            <w:tcBorders>
              <w:top w:val="single" w:sz="8" w:color="CFF0FC"/>
            </w:tcBorders>
            <w:gridSpan w:val="12"/>
          </w:tcPr>
          <w:p>
            <w:pPr>
              <w:spacing w:after="0"/>
              <w:rPr>
                <w:sz w:val="20"/>
                <w:szCs w:val="20"/>
                <w:color w:val="auto"/>
              </w:rPr>
            </w:pPr>
          </w:p>
        </w:tc>
        <w:tc>
          <w:tcPr>
            <w:tcW w:w="720" w:type="dxa"/>
            <w:vAlign w:val="bottom"/>
            <w:tcBorders>
              <w:top w:val="single" w:sz="8" w:color="CFF0FC"/>
            </w:tcBorders>
          </w:tcPr>
          <w:p>
            <w:pPr>
              <w:spacing w:after="0"/>
              <w:rPr>
                <w:sz w:val="20"/>
                <w:szCs w:val="20"/>
                <w:color w:val="auto"/>
              </w:rPr>
            </w:pPr>
          </w:p>
        </w:tc>
        <w:tc>
          <w:tcPr>
            <w:tcW w:w="620" w:type="dxa"/>
            <w:vAlign w:val="bottom"/>
            <w:tcBorders>
              <w:top w:val="single" w:sz="8" w:color="CFF0FC"/>
            </w:tcBorders>
          </w:tcPr>
          <w:p>
            <w:pPr>
              <w:spacing w:after="0"/>
              <w:rPr>
                <w:sz w:val="20"/>
                <w:szCs w:val="20"/>
                <w:color w:val="auto"/>
              </w:rPr>
            </w:pPr>
          </w:p>
        </w:tc>
        <w:tc>
          <w:tcPr>
            <w:tcW w:w="1720" w:type="dxa"/>
            <w:vAlign w:val="bottom"/>
            <w:tcBorders>
              <w:top w:val="single" w:sz="8" w:color="CFF0FC"/>
            </w:tcBorders>
          </w:tcPr>
          <w:p>
            <w:pPr>
              <w:ind w:left="1340"/>
              <w:spacing w:after="0"/>
              <w:rPr>
                <w:sz w:val="20"/>
                <w:szCs w:val="20"/>
                <w:color w:val="auto"/>
              </w:rPr>
            </w:pPr>
            <w:r>
              <w:rPr>
                <w:rFonts w:ascii="Arial" w:cs="Arial" w:eastAsia="Arial" w:hAnsi="Arial"/>
                <w:sz w:val="20"/>
                <w:szCs w:val="20"/>
                <w:color w:val="auto"/>
              </w:rPr>
              <w:t>X</w:t>
            </w:r>
          </w:p>
        </w:tc>
        <w:tc>
          <w:tcPr>
            <w:tcW w:w="200" w:type="dxa"/>
            <w:vAlign w:val="bottom"/>
          </w:tcPr>
          <w:p>
            <w:pPr>
              <w:spacing w:after="0"/>
              <w:rPr>
                <w:sz w:val="20"/>
                <w:szCs w:val="20"/>
                <w:color w:val="auto"/>
              </w:rPr>
            </w:pPr>
          </w:p>
        </w:tc>
      </w:tr>
      <w:tr>
        <w:trPr>
          <w:trHeight w:val="41"/>
        </w:trPr>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116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0"/>
        </w:trPr>
        <w:tc>
          <w:tcPr>
            <w:tcW w:w="180" w:type="dxa"/>
            <w:vAlign w:val="bottom"/>
          </w:tcPr>
          <w:p>
            <w:pPr>
              <w:spacing w:after="0"/>
              <w:rPr>
                <w:sz w:val="24"/>
                <w:szCs w:val="2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7"/>
              </w:rPr>
              <w:t>22.1</w:t>
            </w:r>
          </w:p>
        </w:tc>
        <w:tc>
          <w:tcPr>
            <w:tcW w:w="5300" w:type="dxa"/>
            <w:vAlign w:val="bottom"/>
            <w:gridSpan w:val="20"/>
            <w:shd w:val="clear" w:color="auto" w:fill="CFF0FC"/>
          </w:tcPr>
          <w:p>
            <w:pPr>
              <w:spacing w:after="0"/>
              <w:rPr>
                <w:sz w:val="20"/>
                <w:szCs w:val="20"/>
                <w:color w:val="auto"/>
              </w:rPr>
            </w:pPr>
            <w:r>
              <w:rPr>
                <w:rFonts w:ascii="Arial" w:cs="Arial" w:eastAsia="Arial" w:hAnsi="Arial"/>
                <w:sz w:val="20"/>
                <w:szCs w:val="20"/>
                <w:color w:val="0000FF"/>
              </w:rPr>
              <w:t>List of Issuers and Guarantor Subsidiaries</w:t>
            </w:r>
          </w:p>
        </w:tc>
        <w:tc>
          <w:tcPr>
            <w:tcW w:w="72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1720" w:type="dxa"/>
            <w:vAlign w:val="bottom"/>
            <w:shd w:val="clear" w:color="auto" w:fill="CFF0FC"/>
          </w:tcPr>
          <w:p>
            <w:pPr>
              <w:ind w:left="1300"/>
              <w:spacing w:after="0"/>
              <w:rPr>
                <w:sz w:val="20"/>
                <w:szCs w:val="20"/>
                <w:color w:val="auto"/>
              </w:rPr>
            </w:pPr>
            <w:r>
              <w:rPr>
                <w:rFonts w:ascii="Arial" w:cs="Arial" w:eastAsia="Arial" w:hAnsi="Arial"/>
                <w:sz w:val="20"/>
                <w:szCs w:val="20"/>
                <w:color w:val="auto"/>
              </w:rPr>
              <w:t>X</w:t>
            </w:r>
          </w:p>
        </w:tc>
        <w:tc>
          <w:tcPr>
            <w:tcW w:w="200" w:type="dxa"/>
            <w:vAlign w:val="bottom"/>
          </w:tcPr>
          <w:p>
            <w:pPr>
              <w:spacing w:after="0"/>
              <w:rPr>
                <w:sz w:val="24"/>
                <w:szCs w:val="24"/>
                <w:color w:val="auto"/>
              </w:rPr>
            </w:pPr>
          </w:p>
        </w:tc>
      </w:tr>
      <w:tr>
        <w:trPr>
          <w:trHeight w:val="499"/>
        </w:trPr>
        <w:tc>
          <w:tcPr>
            <w:tcW w:w="180" w:type="dxa"/>
            <w:vAlign w:val="bottom"/>
          </w:tcPr>
          <w:p>
            <w:pPr>
              <w:spacing w:after="0"/>
              <w:rPr>
                <w:sz w:val="24"/>
                <w:szCs w:val="24"/>
                <w:color w:val="auto"/>
              </w:rPr>
            </w:pPr>
          </w:p>
        </w:tc>
        <w:tc>
          <w:tcPr>
            <w:tcW w:w="660" w:type="dxa"/>
            <w:vAlign w:val="bottom"/>
            <w:tcBorders>
              <w:top w:val="single" w:sz="8" w:color="CFF0FC"/>
            </w:tcBorders>
          </w:tcPr>
          <w:p>
            <w:pPr>
              <w:spacing w:after="0"/>
              <w:rPr>
                <w:sz w:val="24"/>
                <w:szCs w:val="24"/>
                <w:color w:val="auto"/>
              </w:rPr>
            </w:pPr>
          </w:p>
        </w:tc>
        <w:tc>
          <w:tcPr>
            <w:tcW w:w="3360" w:type="dxa"/>
            <w:vAlign w:val="bottom"/>
            <w:tcBorders>
              <w:top w:val="single" w:sz="8" w:color="0000FF"/>
            </w:tcBorders>
            <w:gridSpan w:val="6"/>
          </w:tcPr>
          <w:p>
            <w:pPr>
              <w:spacing w:after="0"/>
              <w:rPr>
                <w:sz w:val="24"/>
                <w:szCs w:val="24"/>
                <w:color w:val="auto"/>
              </w:rPr>
            </w:pPr>
          </w:p>
        </w:tc>
        <w:tc>
          <w:tcPr>
            <w:tcW w:w="1220" w:type="dxa"/>
            <w:vAlign w:val="bottom"/>
            <w:tcBorders>
              <w:top w:val="single" w:sz="8" w:color="CFF0FC"/>
            </w:tcBorders>
            <w:gridSpan w:val="3"/>
          </w:tcPr>
          <w:p>
            <w:pPr>
              <w:jc w:val="right"/>
              <w:ind w:right="580"/>
              <w:spacing w:after="0"/>
              <w:rPr>
                <w:sz w:val="20"/>
                <w:szCs w:val="20"/>
                <w:color w:val="auto"/>
              </w:rPr>
            </w:pPr>
            <w:r>
              <w:rPr>
                <w:rFonts w:ascii="Arial" w:cs="Arial" w:eastAsia="Arial" w:hAnsi="Arial"/>
                <w:sz w:val="20"/>
                <w:szCs w:val="20"/>
                <w:color w:val="auto"/>
              </w:rPr>
              <w:t>138</w:t>
            </w: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720" w:type="dxa"/>
            <w:vAlign w:val="bottom"/>
            <w:tcBorders>
              <w:top w:val="single" w:sz="8" w:color="CFF0FC"/>
            </w:tcBorders>
          </w:tcPr>
          <w:p>
            <w:pPr>
              <w:spacing w:after="0"/>
              <w:rPr>
                <w:sz w:val="24"/>
                <w:szCs w:val="24"/>
                <w:color w:val="auto"/>
              </w:rPr>
            </w:pPr>
          </w:p>
        </w:tc>
        <w:tc>
          <w:tcPr>
            <w:tcW w:w="620" w:type="dxa"/>
            <w:vAlign w:val="bottom"/>
            <w:tcBorders>
              <w:top w:val="single" w:sz="8" w:color="CFF0FC"/>
            </w:tcBorders>
          </w:tcPr>
          <w:p>
            <w:pPr>
              <w:spacing w:after="0"/>
              <w:rPr>
                <w:sz w:val="24"/>
                <w:szCs w:val="24"/>
                <w:color w:val="auto"/>
              </w:rPr>
            </w:pPr>
          </w:p>
        </w:tc>
        <w:tc>
          <w:tcPr>
            <w:tcW w:w="1720" w:type="dxa"/>
            <w:vAlign w:val="bottom"/>
            <w:tcBorders>
              <w:top w:val="single" w:sz="8" w:color="CFF0FC"/>
            </w:tcBorders>
          </w:tcPr>
          <w:p>
            <w:pPr>
              <w:spacing w:after="0"/>
              <w:rPr>
                <w:sz w:val="24"/>
                <w:szCs w:val="24"/>
                <w:color w:val="auto"/>
              </w:rPr>
            </w:pPr>
          </w:p>
        </w:tc>
        <w:tc>
          <w:tcPr>
            <w:tcW w:w="200" w:type="dxa"/>
            <w:vAlign w:val="bottom"/>
          </w:tcPr>
          <w:p>
            <w:pPr>
              <w:spacing w:after="0"/>
              <w:rPr>
                <w:sz w:val="24"/>
                <w:szCs w:val="24"/>
                <w:color w:val="auto"/>
              </w:rPr>
            </w:pPr>
          </w:p>
        </w:tc>
      </w:tr>
      <w:tr>
        <w:trPr>
          <w:trHeight w:val="891"/>
        </w:trPr>
        <w:tc>
          <w:tcPr>
            <w:tcW w:w="18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5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17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3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39">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60</w:t>
      </w:r>
    </w:p>
    <w:p>
      <w:pPr>
        <w:sectPr>
          <w:pgSz w:w="11900" w:h="16838" w:orient="portrait"/>
          <w:cols w:equalWidth="0" w:num="1">
            <w:col w:w="9400"/>
          </w:cols>
          <w:pgMar w:left="1260" w:top="1133" w:right="1246" w:bottom="0" w:gutter="0" w:footer="0" w:header="0"/>
          <w:type w:val="continuous"/>
        </w:sectPr>
      </w:pPr>
    </w:p>
    <w:bookmarkStart w:id="280" w:name="page281"/>
    <w:bookmarkEnd w:id="280"/>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86"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3"/>
          </w:tcPr>
          <w:p>
            <w:pPr>
              <w:ind w:left="280"/>
              <w:spacing w:after="0"/>
              <w:rPr>
                <w:sz w:val="20"/>
                <w:szCs w:val="20"/>
                <w:color w:val="auto"/>
              </w:rPr>
            </w:pPr>
            <w:r>
              <w:rPr>
                <w:rFonts w:ascii="Arial" w:cs="Arial" w:eastAsia="Arial" w:hAnsi="Arial"/>
                <w:sz w:val="16"/>
                <w:szCs w:val="16"/>
                <w:b w:val="1"/>
                <w:bCs w:val="1"/>
                <w:color w:val="auto"/>
              </w:rPr>
              <w:t>Incorporated by Reference</w:t>
            </w:r>
          </w:p>
        </w:tc>
      </w:tr>
      <w:tr>
        <w:trPr>
          <w:trHeight w:val="310"/>
        </w:trPr>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7"/>
              </w:rPr>
              <w:t>Schedule/</w:t>
            </w:r>
          </w:p>
        </w:tc>
        <w:tc>
          <w:tcPr>
            <w:tcW w:w="600" w:type="dxa"/>
            <w:vAlign w:val="bottom"/>
          </w:tcPr>
          <w:p>
            <w:pPr>
              <w:spacing w:after="0"/>
              <w:rPr>
                <w:sz w:val="24"/>
                <w:szCs w:val="24"/>
                <w:color w:val="auto"/>
              </w:rPr>
            </w:pPr>
          </w:p>
        </w:tc>
        <w:tc>
          <w:tcPr>
            <w:tcW w:w="1680" w:type="dxa"/>
            <w:vAlign w:val="bottom"/>
          </w:tcPr>
          <w:p>
            <w:pPr>
              <w:jc w:val="center"/>
              <w:ind w:left="964"/>
              <w:spacing w:after="0"/>
              <w:rPr>
                <w:sz w:val="20"/>
                <w:szCs w:val="20"/>
                <w:color w:val="auto"/>
              </w:rPr>
            </w:pPr>
            <w:r>
              <w:rPr>
                <w:rFonts w:ascii="Arial" w:cs="Arial" w:eastAsia="Arial" w:hAnsi="Arial"/>
                <w:sz w:val="16"/>
                <w:szCs w:val="16"/>
                <w:b w:val="1"/>
                <w:bCs w:val="1"/>
                <w:color w:val="auto"/>
                <w:w w:val="90"/>
              </w:rPr>
              <w:t>Filed</w:t>
            </w:r>
          </w:p>
        </w:tc>
      </w:tr>
      <w:tr>
        <w:trPr>
          <w:trHeight w:val="240"/>
        </w:trPr>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5"/>
              </w:rPr>
              <w:t>Number</w:t>
            </w:r>
          </w:p>
        </w:tc>
        <w:tc>
          <w:tcPr>
            <w:tcW w:w="400" w:type="dxa"/>
            <w:vAlign w:val="bottom"/>
          </w:tcPr>
          <w:p>
            <w:pPr>
              <w:spacing w:after="0"/>
              <w:rPr>
                <w:sz w:val="20"/>
                <w:szCs w:val="20"/>
                <w:color w:val="auto"/>
              </w:rPr>
            </w:pPr>
          </w:p>
        </w:tc>
        <w:tc>
          <w:tcPr>
            <w:tcW w:w="4720" w:type="dxa"/>
            <w:vAlign w:val="bottom"/>
            <w:gridSpan w:val="14"/>
          </w:tcPr>
          <w:p>
            <w:pPr>
              <w:ind w:left="1420"/>
              <w:spacing w:after="0"/>
              <w:rPr>
                <w:sz w:val="20"/>
                <w:szCs w:val="20"/>
                <w:color w:val="auto"/>
              </w:rPr>
            </w:pPr>
            <w:r>
              <w:rPr>
                <w:rFonts w:ascii="Arial" w:cs="Arial" w:eastAsia="Arial" w:hAnsi="Arial"/>
                <w:sz w:val="16"/>
                <w:szCs w:val="16"/>
                <w:b w:val="1"/>
                <w:bCs w:val="1"/>
                <w:color w:val="auto"/>
              </w:rPr>
              <w:t>Description of Exhibit</w:t>
            </w:r>
          </w:p>
        </w:tc>
        <w:tc>
          <w:tcPr>
            <w:tcW w:w="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4"/>
              </w:rPr>
              <w:t>Form</w:t>
            </w: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1680" w:type="dxa"/>
            <w:vAlign w:val="bottom"/>
          </w:tcPr>
          <w:p>
            <w:pPr>
              <w:ind w:left="120"/>
              <w:spacing w:after="0"/>
              <w:rPr>
                <w:sz w:val="20"/>
                <w:szCs w:val="20"/>
                <w:color w:val="auto"/>
              </w:rPr>
            </w:pPr>
            <w:r>
              <w:rPr>
                <w:rFonts w:ascii="Arial" w:cs="Arial" w:eastAsia="Arial" w:hAnsi="Arial"/>
                <w:sz w:val="16"/>
                <w:szCs w:val="16"/>
                <w:b w:val="1"/>
                <w:bCs w:val="1"/>
                <w:color w:val="auto"/>
                <w:w w:val="97"/>
              </w:rPr>
              <w:t>Filing Date  Herewith</w:t>
            </w:r>
          </w:p>
        </w:tc>
      </w:tr>
      <w:tr>
        <w:trPr>
          <w:trHeight w:val="291"/>
        </w:trPr>
        <w:tc>
          <w:tcPr>
            <w:tcW w:w="820" w:type="dxa"/>
            <w:vAlign w:val="bottom"/>
          </w:tcPr>
          <w:p>
            <w:pPr>
              <w:jc w:val="center"/>
              <w:spacing w:after="0"/>
              <w:rPr>
                <w:sz w:val="20"/>
                <w:szCs w:val="20"/>
                <w:color w:val="auto"/>
              </w:rPr>
            </w:pPr>
            <w:r>
              <w:rPr>
                <w:rFonts w:ascii="Arial" w:cs="Arial" w:eastAsia="Arial" w:hAnsi="Arial"/>
                <w:sz w:val="20"/>
                <w:szCs w:val="20"/>
                <w:color w:val="auto"/>
                <w:w w:val="87"/>
              </w:rPr>
              <w:t>23.1</w:t>
            </w:r>
          </w:p>
        </w:tc>
        <w:tc>
          <w:tcPr>
            <w:tcW w:w="5120" w:type="dxa"/>
            <w:vAlign w:val="bottom"/>
            <w:gridSpan w:val="15"/>
          </w:tcPr>
          <w:p>
            <w:pPr>
              <w:spacing w:after="0"/>
              <w:rPr>
                <w:sz w:val="20"/>
                <w:szCs w:val="20"/>
                <w:color w:val="auto"/>
              </w:rPr>
            </w:pPr>
            <w:r>
              <w:rPr>
                <w:rFonts w:ascii="Arial" w:cs="Arial" w:eastAsia="Arial" w:hAnsi="Arial"/>
                <w:sz w:val="20"/>
                <w:szCs w:val="20"/>
                <w:color w:val="0000FF"/>
              </w:rPr>
              <w:t>Consent of Deloitte &amp; Touche LLP</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jc w:val="center"/>
              <w:ind w:left="964"/>
              <w:spacing w:after="0"/>
              <w:rPr>
                <w:sz w:val="20"/>
                <w:szCs w:val="20"/>
                <w:color w:val="auto"/>
              </w:rPr>
            </w:pPr>
            <w:r>
              <w:rPr>
                <w:rFonts w:ascii="Arial" w:cs="Arial" w:eastAsia="Arial" w:hAnsi="Arial"/>
                <w:sz w:val="20"/>
                <w:szCs w:val="20"/>
                <w:color w:val="auto"/>
              </w:rPr>
              <w:t>X</w:t>
            </w:r>
          </w:p>
        </w:tc>
      </w:tr>
      <w:tr>
        <w:trPr>
          <w:trHeight w:val="41"/>
        </w:trPr>
        <w:tc>
          <w:tcPr>
            <w:tcW w:w="82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3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39"/>
        </w:trPr>
        <w:tc>
          <w:tcPr>
            <w:tcW w:w="8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87"/>
              </w:rPr>
              <w:t>31.1</w:t>
            </w:r>
          </w:p>
        </w:tc>
        <w:tc>
          <w:tcPr>
            <w:tcW w:w="5020" w:type="dxa"/>
            <w:vAlign w:val="bottom"/>
            <w:tcBorders>
              <w:bottom w:val="single" w:sz="8" w:color="0000FF"/>
            </w:tcBorders>
            <w:gridSpan w:val="13"/>
            <w:shd w:val="clear" w:color="auto" w:fill="CFF0FC"/>
          </w:tcPr>
          <w:p>
            <w:pPr>
              <w:spacing w:after="0"/>
              <w:rPr>
                <w:sz w:val="20"/>
                <w:szCs w:val="20"/>
                <w:color w:val="auto"/>
              </w:rPr>
            </w:pPr>
            <w:r>
              <w:rPr>
                <w:rFonts w:ascii="Arial" w:cs="Arial" w:eastAsia="Arial" w:hAnsi="Arial"/>
                <w:sz w:val="20"/>
                <w:szCs w:val="20"/>
                <w:color w:val="0000FF"/>
                <w:w w:val="94"/>
              </w:rPr>
              <w:t>Certification of the Registrant’s Chief Executive Officer, Carl</w:t>
            </w:r>
          </w:p>
        </w:tc>
        <w:tc>
          <w:tcPr>
            <w:tcW w:w="100" w:type="dxa"/>
            <w:vAlign w:val="bottom"/>
            <w:tcBorders>
              <w:bottom w:val="single" w:sz="8" w:color="CFF0FC"/>
            </w:tcBorders>
            <w:gridSpan w:val="2"/>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bottom w:val="single" w:sz="8" w:color="CFF0FC"/>
            </w:tcBorders>
            <w:shd w:val="clear" w:color="auto" w:fill="CFF0FC"/>
          </w:tcPr>
          <w:p>
            <w:pPr>
              <w:jc w:val="center"/>
              <w:ind w:left="964"/>
              <w:spacing w:after="0"/>
              <w:rPr>
                <w:sz w:val="20"/>
                <w:szCs w:val="20"/>
                <w:color w:val="auto"/>
              </w:rPr>
            </w:pPr>
            <w:r>
              <w:rPr>
                <w:rFonts w:ascii="Arial" w:cs="Arial" w:eastAsia="Arial" w:hAnsi="Arial"/>
                <w:sz w:val="20"/>
                <w:szCs w:val="20"/>
                <w:color w:val="auto"/>
              </w:rPr>
              <w:t>X</w:t>
            </w:r>
          </w:p>
        </w:tc>
      </w:tr>
      <w:tr>
        <w:trPr>
          <w:trHeight w:val="280"/>
        </w:trPr>
        <w:tc>
          <w:tcPr>
            <w:tcW w:w="820" w:type="dxa"/>
            <w:vAlign w:val="bottom"/>
            <w:tcBorders>
              <w:bottom w:val="single" w:sz="8" w:color="CFF0FC"/>
            </w:tcBorders>
            <w:shd w:val="clear" w:color="auto" w:fill="CFF0FC"/>
          </w:tcPr>
          <w:p>
            <w:pPr>
              <w:spacing w:after="0"/>
              <w:rPr>
                <w:sz w:val="24"/>
                <w:szCs w:val="24"/>
                <w:color w:val="auto"/>
              </w:rPr>
            </w:pPr>
          </w:p>
        </w:tc>
        <w:tc>
          <w:tcPr>
            <w:tcW w:w="4840" w:type="dxa"/>
            <w:vAlign w:val="bottom"/>
            <w:tcBorders>
              <w:bottom w:val="single" w:sz="8" w:color="0000FF"/>
            </w:tcBorders>
            <w:gridSpan w:val="12"/>
            <w:shd w:val="clear" w:color="auto" w:fill="CFF0FC"/>
          </w:tcPr>
          <w:p>
            <w:pPr>
              <w:spacing w:after="0"/>
              <w:rPr>
                <w:sz w:val="20"/>
                <w:szCs w:val="20"/>
                <w:color w:val="auto"/>
              </w:rPr>
            </w:pPr>
            <w:r>
              <w:rPr>
                <w:rFonts w:ascii="Arial" w:cs="Arial" w:eastAsia="Arial" w:hAnsi="Arial"/>
                <w:sz w:val="20"/>
                <w:szCs w:val="20"/>
                <w:color w:val="0000FF"/>
                <w:w w:val="90"/>
              </w:rPr>
              <w:t>A. Hess, pursuant to Rules 13a-14(a) and 15(d)-14(a) of the</w:t>
            </w:r>
          </w:p>
        </w:tc>
        <w:tc>
          <w:tcPr>
            <w:tcW w:w="280" w:type="dxa"/>
            <w:vAlign w:val="bottom"/>
            <w:tcBorders>
              <w:bottom w:val="single" w:sz="8" w:color="CFF0FC"/>
            </w:tcBorders>
            <w:gridSpan w:val="3"/>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bottom w:val="single" w:sz="8" w:color="CFF0FC"/>
            </w:tcBorders>
            <w:shd w:val="clear" w:color="auto" w:fill="CFF0FC"/>
          </w:tcPr>
          <w:p>
            <w:pPr>
              <w:spacing w:after="0"/>
              <w:rPr>
                <w:sz w:val="24"/>
                <w:szCs w:val="24"/>
                <w:color w:val="auto"/>
              </w:rPr>
            </w:pPr>
          </w:p>
        </w:tc>
      </w:tr>
      <w:tr>
        <w:trPr>
          <w:trHeight w:val="280"/>
        </w:trPr>
        <w:tc>
          <w:tcPr>
            <w:tcW w:w="820" w:type="dxa"/>
            <w:vAlign w:val="bottom"/>
            <w:tcBorders>
              <w:bottom w:val="single" w:sz="8" w:color="CFF0FC"/>
            </w:tcBorders>
            <w:shd w:val="clear" w:color="auto" w:fill="CFF0FC"/>
          </w:tcPr>
          <w:p>
            <w:pPr>
              <w:spacing w:after="0"/>
              <w:rPr>
                <w:sz w:val="24"/>
                <w:szCs w:val="24"/>
                <w:color w:val="auto"/>
              </w:rPr>
            </w:pPr>
          </w:p>
        </w:tc>
        <w:tc>
          <w:tcPr>
            <w:tcW w:w="4600" w:type="dxa"/>
            <w:vAlign w:val="bottom"/>
            <w:tcBorders>
              <w:bottom w:val="single" w:sz="8" w:color="0000FF"/>
            </w:tcBorders>
            <w:gridSpan w:val="8"/>
            <w:shd w:val="clear" w:color="auto" w:fill="CFF0FC"/>
          </w:tcPr>
          <w:p>
            <w:pPr>
              <w:spacing w:after="0"/>
              <w:rPr>
                <w:sz w:val="20"/>
                <w:szCs w:val="20"/>
                <w:color w:val="auto"/>
              </w:rPr>
            </w:pPr>
            <w:r>
              <w:rPr>
                <w:rFonts w:ascii="Arial" w:cs="Arial" w:eastAsia="Arial" w:hAnsi="Arial"/>
                <w:sz w:val="20"/>
                <w:szCs w:val="20"/>
                <w:color w:val="0000FF"/>
                <w:w w:val="90"/>
              </w:rPr>
              <w:t>Securities Exchange Act of 1934, as adopted pursuant to</w:t>
            </w:r>
          </w:p>
        </w:tc>
        <w:tc>
          <w:tcPr>
            <w:tcW w:w="520" w:type="dxa"/>
            <w:vAlign w:val="bottom"/>
            <w:tcBorders>
              <w:bottom w:val="single" w:sz="8" w:color="CFF0FC"/>
            </w:tcBorders>
            <w:gridSpan w:val="7"/>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bottom w:val="single" w:sz="8" w:color="CFF0FC"/>
            </w:tcBorders>
            <w:shd w:val="clear" w:color="auto" w:fill="CFF0FC"/>
          </w:tcPr>
          <w:p>
            <w:pPr>
              <w:spacing w:after="0"/>
              <w:rPr>
                <w:sz w:val="24"/>
                <w:szCs w:val="24"/>
                <w:color w:val="auto"/>
              </w:rPr>
            </w:pPr>
          </w:p>
        </w:tc>
      </w:tr>
      <w:tr>
        <w:trPr>
          <w:trHeight w:val="280"/>
        </w:trPr>
        <w:tc>
          <w:tcPr>
            <w:tcW w:w="820" w:type="dxa"/>
            <w:vAlign w:val="bottom"/>
            <w:shd w:val="clear" w:color="auto" w:fill="CFF0FC"/>
          </w:tcPr>
          <w:p>
            <w:pPr>
              <w:spacing w:after="0"/>
              <w:rPr>
                <w:sz w:val="24"/>
                <w:szCs w:val="24"/>
                <w:color w:val="auto"/>
              </w:rPr>
            </w:pPr>
          </w:p>
        </w:tc>
        <w:tc>
          <w:tcPr>
            <w:tcW w:w="5120" w:type="dxa"/>
            <w:vAlign w:val="bottom"/>
            <w:gridSpan w:val="15"/>
            <w:shd w:val="clear" w:color="auto" w:fill="CFF0FC"/>
          </w:tcPr>
          <w:p>
            <w:pPr>
              <w:spacing w:after="0"/>
              <w:rPr>
                <w:sz w:val="20"/>
                <w:szCs w:val="20"/>
                <w:color w:val="auto"/>
              </w:rPr>
            </w:pPr>
            <w:r>
              <w:rPr>
                <w:rFonts w:ascii="Arial" w:cs="Arial" w:eastAsia="Arial" w:hAnsi="Arial"/>
                <w:sz w:val="20"/>
                <w:szCs w:val="20"/>
                <w:color w:val="0000FF"/>
              </w:rPr>
              <w:t>Section 302 of the Sarbanes-Oxley Act of 2002</w:t>
            </w:r>
          </w:p>
        </w:tc>
        <w:tc>
          <w:tcPr>
            <w:tcW w:w="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680" w:type="dxa"/>
            <w:vAlign w:val="bottom"/>
            <w:shd w:val="clear" w:color="auto" w:fill="CFF0FC"/>
          </w:tcPr>
          <w:p>
            <w:pPr>
              <w:spacing w:after="0"/>
              <w:rPr>
                <w:sz w:val="24"/>
                <w:szCs w:val="24"/>
                <w:color w:val="auto"/>
              </w:rPr>
            </w:pPr>
          </w:p>
        </w:tc>
      </w:tr>
      <w:tr>
        <w:trPr>
          <w:trHeight w:val="41"/>
        </w:trPr>
        <w:tc>
          <w:tcPr>
            <w:tcW w:w="820" w:type="dxa"/>
            <w:vAlign w:val="bottom"/>
            <w:tcBorders>
              <w:top w:val="single" w:sz="8" w:color="CFF0FC"/>
            </w:tcBorders>
            <w:shd w:val="clear" w:color="auto" w:fill="CFF0FC"/>
          </w:tcPr>
          <w:p>
            <w:pPr>
              <w:spacing w:after="0"/>
              <w:rPr>
                <w:sz w:val="3"/>
                <w:szCs w:val="3"/>
                <w:color w:val="auto"/>
              </w:rPr>
            </w:pPr>
          </w:p>
        </w:tc>
        <w:tc>
          <w:tcPr>
            <w:tcW w:w="400" w:type="dxa"/>
            <w:vAlign w:val="bottom"/>
            <w:tcBorders>
              <w:top w:val="single" w:sz="8" w:color="0000FF"/>
            </w:tcBorders>
            <w:shd w:val="clear" w:color="auto" w:fill="CFF0FC"/>
          </w:tcPr>
          <w:p>
            <w:pPr>
              <w:spacing w:after="0"/>
              <w:rPr>
                <w:sz w:val="3"/>
                <w:szCs w:val="3"/>
                <w:color w:val="auto"/>
              </w:rPr>
            </w:pPr>
          </w:p>
        </w:tc>
        <w:tc>
          <w:tcPr>
            <w:tcW w:w="2380" w:type="dxa"/>
            <w:vAlign w:val="bottom"/>
            <w:tcBorders>
              <w:top w:val="single" w:sz="8" w:color="0000FF"/>
            </w:tcBorders>
            <w:shd w:val="clear" w:color="auto" w:fill="CFF0FC"/>
          </w:tcPr>
          <w:p>
            <w:pPr>
              <w:spacing w:after="0"/>
              <w:rPr>
                <w:sz w:val="3"/>
                <w:szCs w:val="3"/>
                <w:color w:val="auto"/>
              </w:rPr>
            </w:pPr>
          </w:p>
        </w:tc>
        <w:tc>
          <w:tcPr>
            <w:tcW w:w="60" w:type="dxa"/>
            <w:vAlign w:val="bottom"/>
            <w:tcBorders>
              <w:top w:val="single" w:sz="8" w:color="0000FF"/>
            </w:tcBorders>
            <w:shd w:val="clear" w:color="auto" w:fill="CFF0FC"/>
          </w:tcPr>
          <w:p>
            <w:pPr>
              <w:spacing w:after="0"/>
              <w:rPr>
                <w:sz w:val="3"/>
                <w:szCs w:val="3"/>
                <w:color w:val="auto"/>
              </w:rPr>
            </w:pPr>
          </w:p>
        </w:tc>
        <w:tc>
          <w:tcPr>
            <w:tcW w:w="960" w:type="dxa"/>
            <w:vAlign w:val="bottom"/>
            <w:tcBorders>
              <w:top w:val="single" w:sz="8" w:color="0000FF"/>
            </w:tcBorders>
            <w:shd w:val="clear" w:color="auto" w:fill="CFF0FC"/>
          </w:tcPr>
          <w:p>
            <w:pPr>
              <w:spacing w:after="0"/>
              <w:rPr>
                <w:sz w:val="3"/>
                <w:szCs w:val="3"/>
                <w:color w:val="auto"/>
              </w:rPr>
            </w:pPr>
          </w:p>
        </w:tc>
        <w:tc>
          <w:tcPr>
            <w:tcW w:w="440" w:type="dxa"/>
            <w:vAlign w:val="bottom"/>
            <w:tcBorders>
              <w:top w:val="single" w:sz="8" w:color="CFF0FC"/>
            </w:tcBorders>
            <w:shd w:val="clear" w:color="auto" w:fill="CFF0FC"/>
          </w:tcPr>
          <w:p>
            <w:pPr>
              <w:spacing w:after="0"/>
              <w:rPr>
                <w:sz w:val="3"/>
                <w:szCs w:val="3"/>
                <w:color w:val="auto"/>
              </w:rPr>
            </w:pPr>
          </w:p>
        </w:tc>
        <w:tc>
          <w:tcPr>
            <w:tcW w:w="3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1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780" w:type="dxa"/>
            <w:vAlign w:val="bottom"/>
            <w:tcBorders>
              <w:top w:val="single" w:sz="8" w:color="CFF0FC"/>
            </w:tcBorders>
            <w:shd w:val="clear" w:color="auto" w:fill="CFF0FC"/>
          </w:tcPr>
          <w:p>
            <w:pPr>
              <w:spacing w:after="0"/>
              <w:rPr>
                <w:sz w:val="3"/>
                <w:szCs w:val="3"/>
                <w:color w:val="auto"/>
              </w:rPr>
            </w:pPr>
          </w:p>
        </w:tc>
        <w:tc>
          <w:tcPr>
            <w:tcW w:w="600" w:type="dxa"/>
            <w:vAlign w:val="bottom"/>
            <w:tcBorders>
              <w:top w:val="single" w:sz="8" w:color="CFF0FC"/>
            </w:tcBorders>
            <w:shd w:val="clear" w:color="auto" w:fill="CFF0FC"/>
          </w:tcPr>
          <w:p>
            <w:pPr>
              <w:spacing w:after="0"/>
              <w:rPr>
                <w:sz w:val="3"/>
                <w:szCs w:val="3"/>
                <w:color w:val="auto"/>
              </w:rPr>
            </w:pPr>
          </w:p>
        </w:tc>
        <w:tc>
          <w:tcPr>
            <w:tcW w:w="1680" w:type="dxa"/>
            <w:vAlign w:val="bottom"/>
            <w:tcBorders>
              <w:top w:val="single" w:sz="8" w:color="CFF0FC"/>
            </w:tcBorders>
            <w:shd w:val="clear" w:color="auto" w:fill="CFF0FC"/>
          </w:tcPr>
          <w:p>
            <w:pPr>
              <w:spacing w:after="0"/>
              <w:rPr>
                <w:sz w:val="3"/>
                <w:szCs w:val="3"/>
                <w:color w:val="auto"/>
              </w:rPr>
            </w:pPr>
          </w:p>
        </w:tc>
      </w:tr>
      <w:tr>
        <w:trPr>
          <w:trHeight w:val="239"/>
        </w:trPr>
        <w:tc>
          <w:tcPr>
            <w:tcW w:w="820" w:type="dxa"/>
            <w:vAlign w:val="bottom"/>
          </w:tcPr>
          <w:p>
            <w:pPr>
              <w:jc w:val="center"/>
              <w:spacing w:after="0"/>
              <w:rPr>
                <w:sz w:val="20"/>
                <w:szCs w:val="20"/>
                <w:color w:val="auto"/>
              </w:rPr>
            </w:pPr>
            <w:r>
              <w:rPr>
                <w:rFonts w:ascii="Arial" w:cs="Arial" w:eastAsia="Arial" w:hAnsi="Arial"/>
                <w:sz w:val="20"/>
                <w:szCs w:val="20"/>
                <w:color w:val="auto"/>
                <w:w w:val="87"/>
              </w:rPr>
              <w:t>31.2</w:t>
            </w:r>
          </w:p>
        </w:tc>
        <w:tc>
          <w:tcPr>
            <w:tcW w:w="456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color w:val="0000FF"/>
                <w:w w:val="94"/>
              </w:rPr>
              <w:t>Certification of the Registrant’s Chief Financial Officer,</w:t>
            </w:r>
          </w:p>
        </w:tc>
        <w:tc>
          <w:tcPr>
            <w:tcW w:w="560" w:type="dxa"/>
            <w:vAlign w:val="bottom"/>
            <w:gridSpan w:val="9"/>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80" w:type="dxa"/>
            <w:vAlign w:val="bottom"/>
          </w:tcPr>
          <w:p>
            <w:pPr>
              <w:jc w:val="center"/>
              <w:ind w:left="964"/>
              <w:spacing w:after="0"/>
              <w:rPr>
                <w:sz w:val="20"/>
                <w:szCs w:val="20"/>
                <w:color w:val="auto"/>
              </w:rPr>
            </w:pPr>
            <w:r>
              <w:rPr>
                <w:rFonts w:ascii="Arial" w:cs="Arial" w:eastAsia="Arial" w:hAnsi="Arial"/>
                <w:sz w:val="20"/>
                <w:szCs w:val="20"/>
                <w:color w:val="auto"/>
              </w:rPr>
              <w:t>X</w:t>
            </w:r>
          </w:p>
        </w:tc>
      </w:tr>
      <w:tr>
        <w:trPr>
          <w:trHeight w:val="280"/>
        </w:trPr>
        <w:tc>
          <w:tcPr>
            <w:tcW w:w="820" w:type="dxa"/>
            <w:vAlign w:val="bottom"/>
          </w:tcPr>
          <w:p>
            <w:pPr>
              <w:spacing w:after="0"/>
              <w:rPr>
                <w:sz w:val="24"/>
                <w:szCs w:val="24"/>
                <w:color w:val="auto"/>
              </w:rPr>
            </w:pPr>
          </w:p>
        </w:tc>
        <w:tc>
          <w:tcPr>
            <w:tcW w:w="424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color w:val="0000FF"/>
                <w:w w:val="91"/>
              </w:rPr>
              <w:t>Andrew J. Krasner, pursuant to Rules 13a-14(a) and</w:t>
            </w:r>
          </w:p>
        </w:tc>
        <w:tc>
          <w:tcPr>
            <w:tcW w:w="88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80"/>
        </w:trPr>
        <w:tc>
          <w:tcPr>
            <w:tcW w:w="820" w:type="dxa"/>
            <w:vAlign w:val="bottom"/>
          </w:tcPr>
          <w:p>
            <w:pPr>
              <w:spacing w:after="0"/>
              <w:rPr>
                <w:sz w:val="24"/>
                <w:szCs w:val="24"/>
                <w:color w:val="auto"/>
              </w:rPr>
            </w:pPr>
          </w:p>
        </w:tc>
        <w:tc>
          <w:tcPr>
            <w:tcW w:w="5120" w:type="dxa"/>
            <w:vAlign w:val="bottom"/>
            <w:tcBorders>
              <w:bottom w:val="single" w:sz="8" w:color="0000FF"/>
            </w:tcBorders>
            <w:gridSpan w:val="15"/>
          </w:tcPr>
          <w:p>
            <w:pPr>
              <w:spacing w:after="0"/>
              <w:rPr>
                <w:sz w:val="20"/>
                <w:szCs w:val="20"/>
                <w:color w:val="auto"/>
              </w:rPr>
            </w:pPr>
            <w:r>
              <w:rPr>
                <w:rFonts w:ascii="Arial" w:cs="Arial" w:eastAsia="Arial" w:hAnsi="Arial"/>
                <w:sz w:val="20"/>
                <w:szCs w:val="20"/>
                <w:color w:val="0000FF"/>
                <w:w w:val="91"/>
              </w:rPr>
              <w:t>15(d)-14(a) of the Securities Exchange Act of 1934, as adopted</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80"/>
        </w:trPr>
        <w:tc>
          <w:tcPr>
            <w:tcW w:w="820" w:type="dxa"/>
            <w:vAlign w:val="bottom"/>
          </w:tcPr>
          <w:p>
            <w:pPr>
              <w:spacing w:after="0"/>
              <w:rPr>
                <w:sz w:val="24"/>
                <w:szCs w:val="24"/>
                <w:color w:val="auto"/>
              </w:rPr>
            </w:pPr>
          </w:p>
        </w:tc>
        <w:tc>
          <w:tcPr>
            <w:tcW w:w="5120" w:type="dxa"/>
            <w:vAlign w:val="bottom"/>
            <w:gridSpan w:val="15"/>
          </w:tcPr>
          <w:p>
            <w:pPr>
              <w:spacing w:after="0"/>
              <w:rPr>
                <w:sz w:val="20"/>
                <w:szCs w:val="20"/>
                <w:color w:val="auto"/>
              </w:rPr>
            </w:pPr>
            <w:r>
              <w:rPr>
                <w:rFonts w:ascii="Arial" w:cs="Arial" w:eastAsia="Arial" w:hAnsi="Arial"/>
                <w:sz w:val="20"/>
                <w:szCs w:val="20"/>
                <w:color w:val="0000FF"/>
                <w:w w:val="97"/>
              </w:rPr>
              <w:t>pursuant to Section 302 of the Sarbanes-Oxley Act of 2002</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
        </w:trPr>
        <w:tc>
          <w:tcPr>
            <w:tcW w:w="82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38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960" w:type="dxa"/>
            <w:vAlign w:val="bottom"/>
            <w:tcBorders>
              <w:top w:val="single" w:sz="8" w:color="0000FF"/>
            </w:tcBorders>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39"/>
        </w:trPr>
        <w:tc>
          <w:tcPr>
            <w:tcW w:w="8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9"/>
              </w:rPr>
              <w:t>32.1**</w:t>
            </w:r>
          </w:p>
        </w:tc>
        <w:tc>
          <w:tcPr>
            <w:tcW w:w="5020" w:type="dxa"/>
            <w:vAlign w:val="bottom"/>
            <w:tcBorders>
              <w:bottom w:val="single" w:sz="8" w:color="0000FF"/>
            </w:tcBorders>
            <w:gridSpan w:val="13"/>
            <w:shd w:val="clear" w:color="auto" w:fill="CFF0FC"/>
          </w:tcPr>
          <w:p>
            <w:pPr>
              <w:spacing w:after="0"/>
              <w:rPr>
                <w:sz w:val="20"/>
                <w:szCs w:val="20"/>
                <w:color w:val="auto"/>
              </w:rPr>
            </w:pPr>
            <w:r>
              <w:rPr>
                <w:rFonts w:ascii="Arial" w:cs="Arial" w:eastAsia="Arial" w:hAnsi="Arial"/>
                <w:sz w:val="20"/>
                <w:szCs w:val="20"/>
                <w:color w:val="0000FF"/>
                <w:w w:val="94"/>
              </w:rPr>
              <w:t>Certification of the Registrant’s Chief Executive Officer, Carl</w:t>
            </w:r>
          </w:p>
        </w:tc>
        <w:tc>
          <w:tcPr>
            <w:tcW w:w="100" w:type="dxa"/>
            <w:vAlign w:val="bottom"/>
            <w:tcBorders>
              <w:bottom w:val="single" w:sz="8" w:color="CFF0FC"/>
            </w:tcBorders>
            <w:gridSpan w:val="2"/>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bottom w:val="single" w:sz="8" w:color="CFF0FC"/>
            </w:tcBorders>
            <w:shd w:val="clear" w:color="auto" w:fill="CFF0FC"/>
          </w:tcPr>
          <w:p>
            <w:pPr>
              <w:spacing w:after="0"/>
              <w:rPr>
                <w:sz w:val="20"/>
                <w:szCs w:val="20"/>
                <w:color w:val="auto"/>
              </w:rPr>
            </w:pPr>
          </w:p>
        </w:tc>
      </w:tr>
      <w:tr>
        <w:trPr>
          <w:trHeight w:val="280"/>
        </w:trPr>
        <w:tc>
          <w:tcPr>
            <w:tcW w:w="820" w:type="dxa"/>
            <w:vAlign w:val="bottom"/>
            <w:tcBorders>
              <w:bottom w:val="single" w:sz="8" w:color="CFF0FC"/>
            </w:tcBorders>
            <w:shd w:val="clear" w:color="auto" w:fill="CFF0FC"/>
          </w:tcPr>
          <w:p>
            <w:pPr>
              <w:spacing w:after="0"/>
              <w:rPr>
                <w:sz w:val="24"/>
                <w:szCs w:val="24"/>
                <w:color w:val="auto"/>
              </w:rPr>
            </w:pPr>
          </w:p>
        </w:tc>
        <w:tc>
          <w:tcPr>
            <w:tcW w:w="4580" w:type="dxa"/>
            <w:vAlign w:val="bottom"/>
            <w:tcBorders>
              <w:bottom w:val="single" w:sz="8" w:color="0000FF"/>
            </w:tcBorders>
            <w:gridSpan w:val="7"/>
            <w:shd w:val="clear" w:color="auto" w:fill="CFF0FC"/>
          </w:tcPr>
          <w:p>
            <w:pPr>
              <w:spacing w:after="0"/>
              <w:rPr>
                <w:sz w:val="20"/>
                <w:szCs w:val="20"/>
                <w:color w:val="auto"/>
              </w:rPr>
            </w:pPr>
            <w:r>
              <w:rPr>
                <w:rFonts w:ascii="Arial" w:cs="Arial" w:eastAsia="Arial" w:hAnsi="Arial"/>
                <w:sz w:val="20"/>
                <w:szCs w:val="20"/>
                <w:color w:val="0000FF"/>
                <w:w w:val="90"/>
              </w:rPr>
              <w:t>A. Hess, pursuant to 18 U.S.C. Section 1350, as adopted</w:t>
            </w:r>
          </w:p>
        </w:tc>
        <w:tc>
          <w:tcPr>
            <w:tcW w:w="540" w:type="dxa"/>
            <w:vAlign w:val="bottom"/>
            <w:tcBorders>
              <w:bottom w:val="single" w:sz="8" w:color="CFF0FC"/>
            </w:tcBorders>
            <w:gridSpan w:val="8"/>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bottom w:val="single" w:sz="8" w:color="CFF0FC"/>
            </w:tcBorders>
            <w:shd w:val="clear" w:color="auto" w:fill="CFF0FC"/>
          </w:tcPr>
          <w:p>
            <w:pPr>
              <w:spacing w:after="0"/>
              <w:rPr>
                <w:sz w:val="24"/>
                <w:szCs w:val="24"/>
                <w:color w:val="auto"/>
              </w:rPr>
            </w:pPr>
          </w:p>
        </w:tc>
      </w:tr>
      <w:tr>
        <w:trPr>
          <w:trHeight w:val="321"/>
        </w:trPr>
        <w:tc>
          <w:tcPr>
            <w:tcW w:w="820" w:type="dxa"/>
            <w:vAlign w:val="bottom"/>
            <w:shd w:val="clear" w:color="auto" w:fill="CFF0FC"/>
          </w:tcPr>
          <w:p>
            <w:pPr>
              <w:spacing w:after="0"/>
              <w:rPr>
                <w:sz w:val="24"/>
                <w:szCs w:val="24"/>
                <w:color w:val="auto"/>
              </w:rPr>
            </w:pPr>
          </w:p>
        </w:tc>
        <w:tc>
          <w:tcPr>
            <w:tcW w:w="5120" w:type="dxa"/>
            <w:vAlign w:val="bottom"/>
            <w:gridSpan w:val="15"/>
            <w:shd w:val="clear" w:color="auto" w:fill="CFF0FC"/>
          </w:tcPr>
          <w:p>
            <w:pPr>
              <w:spacing w:after="0"/>
              <w:rPr>
                <w:sz w:val="20"/>
                <w:szCs w:val="20"/>
                <w:color w:val="auto"/>
              </w:rPr>
            </w:pPr>
            <w:r>
              <w:rPr>
                <w:rFonts w:ascii="Arial" w:cs="Arial" w:eastAsia="Arial" w:hAnsi="Arial"/>
                <w:sz w:val="20"/>
                <w:szCs w:val="20"/>
                <w:color w:val="0000FF"/>
                <w:w w:val="97"/>
              </w:rPr>
              <w:t>pursuant to Section 906 of the Sarbanes-Oxley Act of 2002</w:t>
            </w:r>
          </w:p>
        </w:tc>
        <w:tc>
          <w:tcPr>
            <w:tcW w:w="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680" w:type="dxa"/>
            <w:vAlign w:val="bottom"/>
            <w:shd w:val="clear" w:color="auto" w:fill="CFF0FC"/>
          </w:tcPr>
          <w:p>
            <w:pPr>
              <w:spacing w:after="0"/>
              <w:rPr>
                <w:sz w:val="24"/>
                <w:szCs w:val="24"/>
                <w:color w:val="auto"/>
              </w:rPr>
            </w:pPr>
          </w:p>
        </w:tc>
      </w:tr>
      <w:tr>
        <w:trPr>
          <w:trHeight w:val="239"/>
        </w:trPr>
        <w:tc>
          <w:tcPr>
            <w:tcW w:w="820" w:type="dxa"/>
            <w:vAlign w:val="bottom"/>
            <w:tcBorders>
              <w:top w:val="single" w:sz="8" w:color="CFF0FC"/>
            </w:tcBorders>
          </w:tcPr>
          <w:p>
            <w:pPr>
              <w:jc w:val="center"/>
              <w:spacing w:after="0"/>
              <w:rPr>
                <w:sz w:val="20"/>
                <w:szCs w:val="20"/>
                <w:color w:val="auto"/>
              </w:rPr>
            </w:pPr>
            <w:r>
              <w:rPr>
                <w:rFonts w:ascii="Arial" w:cs="Arial" w:eastAsia="Arial" w:hAnsi="Arial"/>
                <w:sz w:val="20"/>
                <w:szCs w:val="20"/>
                <w:color w:val="auto"/>
                <w:w w:val="99"/>
              </w:rPr>
              <w:t>32.2**</w:t>
            </w:r>
          </w:p>
        </w:tc>
        <w:tc>
          <w:tcPr>
            <w:tcW w:w="456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20"/>
                <w:szCs w:val="20"/>
                <w:color w:val="0000FF"/>
                <w:w w:val="94"/>
              </w:rPr>
              <w:t>Certification of the Registrant’s Chief Financial Officer,</w:t>
            </w:r>
          </w:p>
        </w:tc>
        <w:tc>
          <w:tcPr>
            <w:tcW w:w="180" w:type="dxa"/>
            <w:vAlign w:val="bottom"/>
            <w:tcBorders>
              <w:top w:val="single" w:sz="8" w:color="0000FF"/>
            </w:tcBorders>
            <w:gridSpan w:val="3"/>
          </w:tcPr>
          <w:p>
            <w:pPr>
              <w:spacing w:after="0"/>
              <w:rPr>
                <w:sz w:val="20"/>
                <w:szCs w:val="20"/>
                <w:color w:val="auto"/>
              </w:rPr>
            </w:pPr>
          </w:p>
        </w:tc>
        <w:tc>
          <w:tcPr>
            <w:tcW w:w="380" w:type="dxa"/>
            <w:vAlign w:val="bottom"/>
            <w:tcBorders>
              <w:top w:val="single" w:sz="8" w:color="CFF0FC"/>
            </w:tcBorders>
            <w:gridSpan w:val="6"/>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780" w:type="dxa"/>
            <w:vAlign w:val="bottom"/>
            <w:tcBorders>
              <w:top w:val="single" w:sz="8" w:color="CFF0FC"/>
            </w:tcBorders>
          </w:tcPr>
          <w:p>
            <w:pPr>
              <w:spacing w:after="0"/>
              <w:rPr>
                <w:sz w:val="20"/>
                <w:szCs w:val="20"/>
                <w:color w:val="auto"/>
              </w:rPr>
            </w:pPr>
          </w:p>
        </w:tc>
        <w:tc>
          <w:tcPr>
            <w:tcW w:w="600" w:type="dxa"/>
            <w:vAlign w:val="bottom"/>
            <w:tcBorders>
              <w:top w:val="single" w:sz="8" w:color="CFF0FC"/>
            </w:tcBorders>
          </w:tcPr>
          <w:p>
            <w:pPr>
              <w:spacing w:after="0"/>
              <w:rPr>
                <w:sz w:val="20"/>
                <w:szCs w:val="20"/>
                <w:color w:val="auto"/>
              </w:rPr>
            </w:pPr>
          </w:p>
        </w:tc>
        <w:tc>
          <w:tcPr>
            <w:tcW w:w="1680" w:type="dxa"/>
            <w:vAlign w:val="bottom"/>
            <w:tcBorders>
              <w:top w:val="single" w:sz="8" w:color="CFF0FC"/>
            </w:tcBorders>
          </w:tcPr>
          <w:p>
            <w:pPr>
              <w:spacing w:after="0"/>
              <w:rPr>
                <w:sz w:val="20"/>
                <w:szCs w:val="20"/>
                <w:color w:val="auto"/>
              </w:rPr>
            </w:pPr>
          </w:p>
        </w:tc>
      </w:tr>
      <w:tr>
        <w:trPr>
          <w:trHeight w:val="280"/>
        </w:trPr>
        <w:tc>
          <w:tcPr>
            <w:tcW w:w="820" w:type="dxa"/>
            <w:vAlign w:val="bottom"/>
          </w:tcPr>
          <w:p>
            <w:pPr>
              <w:spacing w:after="0"/>
              <w:rPr>
                <w:sz w:val="24"/>
                <w:szCs w:val="24"/>
                <w:color w:val="auto"/>
              </w:rPr>
            </w:pPr>
          </w:p>
        </w:tc>
        <w:tc>
          <w:tcPr>
            <w:tcW w:w="478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color w:val="0000FF"/>
                <w:w w:val="91"/>
              </w:rPr>
              <w:t>Andrew J. Krasner, pursuant to 18 U.S.C. Section 1350, as</w:t>
            </w:r>
          </w:p>
        </w:tc>
        <w:tc>
          <w:tcPr>
            <w:tcW w:w="3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80"/>
        </w:trPr>
        <w:tc>
          <w:tcPr>
            <w:tcW w:w="820" w:type="dxa"/>
            <w:vAlign w:val="bottom"/>
          </w:tcPr>
          <w:p>
            <w:pPr>
              <w:spacing w:after="0"/>
              <w:rPr>
                <w:sz w:val="24"/>
                <w:szCs w:val="24"/>
                <w:color w:val="auto"/>
              </w:rPr>
            </w:pPr>
          </w:p>
        </w:tc>
        <w:tc>
          <w:tcPr>
            <w:tcW w:w="5120" w:type="dxa"/>
            <w:vAlign w:val="bottom"/>
            <w:gridSpan w:val="15"/>
          </w:tcPr>
          <w:p>
            <w:pPr>
              <w:spacing w:after="0"/>
              <w:rPr>
                <w:sz w:val="20"/>
                <w:szCs w:val="20"/>
                <w:color w:val="auto"/>
              </w:rPr>
            </w:pPr>
            <w:r>
              <w:rPr>
                <w:rFonts w:ascii="Arial" w:cs="Arial" w:eastAsia="Arial" w:hAnsi="Arial"/>
                <w:sz w:val="20"/>
                <w:szCs w:val="20"/>
                <w:color w:val="0000FF"/>
                <w:w w:val="92"/>
              </w:rPr>
              <w:t>adopted pursuant to Section 906 of the Sarbanes-Oxley Act of</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80"/>
        </w:trPr>
        <w:tc>
          <w:tcPr>
            <w:tcW w:w="820" w:type="dxa"/>
            <w:vAlign w:val="bottom"/>
          </w:tcPr>
          <w:p>
            <w:pPr>
              <w:spacing w:after="0"/>
              <w:rPr>
                <w:sz w:val="24"/>
                <w:szCs w:val="24"/>
                <w:color w:val="auto"/>
              </w:rPr>
            </w:pPr>
          </w:p>
        </w:tc>
        <w:tc>
          <w:tcPr>
            <w:tcW w:w="2780" w:type="dxa"/>
            <w:vAlign w:val="bottom"/>
            <w:tcBorders>
              <w:top w:val="single" w:sz="8" w:color="0000FF"/>
            </w:tcBorders>
            <w:gridSpan w:val="2"/>
          </w:tcPr>
          <w:p>
            <w:pPr>
              <w:spacing w:after="0"/>
              <w:rPr>
                <w:sz w:val="20"/>
                <w:szCs w:val="20"/>
                <w:color w:val="auto"/>
              </w:rPr>
            </w:pPr>
            <w:r>
              <w:rPr>
                <w:rFonts w:ascii="Arial" w:cs="Arial" w:eastAsia="Arial" w:hAnsi="Arial"/>
                <w:sz w:val="20"/>
                <w:szCs w:val="20"/>
                <w:color w:val="0000FF"/>
              </w:rPr>
              <w:t>2002</w:t>
            </w:r>
          </w:p>
        </w:tc>
        <w:tc>
          <w:tcPr>
            <w:tcW w:w="6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
        </w:trPr>
        <w:tc>
          <w:tcPr>
            <w:tcW w:w="820" w:type="dxa"/>
            <w:vAlign w:val="bottom"/>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3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39"/>
        </w:trPr>
        <w:tc>
          <w:tcPr>
            <w:tcW w:w="8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1"/>
              </w:rPr>
              <w:t>97.1†</w:t>
            </w:r>
          </w:p>
        </w:tc>
        <w:tc>
          <w:tcPr>
            <w:tcW w:w="5120" w:type="dxa"/>
            <w:vAlign w:val="bottom"/>
            <w:tcBorders>
              <w:bottom w:val="single" w:sz="8" w:color="0000FF"/>
            </w:tcBorders>
            <w:gridSpan w:val="15"/>
            <w:shd w:val="clear" w:color="auto" w:fill="CFF0FC"/>
          </w:tcPr>
          <w:p>
            <w:pPr>
              <w:spacing w:after="0"/>
              <w:rPr>
                <w:rFonts w:ascii="Arial" w:cs="Arial" w:eastAsia="Arial" w:hAnsi="Arial"/>
                <w:sz w:val="20"/>
                <w:szCs w:val="20"/>
                <w:color w:val="0000FF"/>
                <w:w w:val="93"/>
              </w:rPr>
            </w:pPr>
            <w:hyperlink r:id="rId740">
              <w:r>
                <w:rPr>
                  <w:rFonts w:ascii="Arial" w:cs="Arial" w:eastAsia="Arial" w:hAnsi="Arial"/>
                  <w:sz w:val="20"/>
                  <w:szCs w:val="20"/>
                  <w:color w:val="0000FF"/>
                  <w:w w:val="93"/>
                </w:rPr>
                <w:t>Willis Towers Watson Public Limited Company Compensation</w:t>
              </w:r>
            </w:hyperlink>
          </w:p>
        </w:tc>
        <w:tc>
          <w:tcPr>
            <w:tcW w:w="20" w:type="dxa"/>
            <w:vAlign w:val="bottom"/>
            <w:tcBorders>
              <w:bottom w:val="single" w:sz="8" w:color="0000FF"/>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w w:val="94"/>
              </w:rPr>
              <w:t>10-K</w:t>
            </w:r>
          </w:p>
        </w:tc>
        <w:tc>
          <w:tcPr>
            <w:tcW w:w="60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20"/>
                <w:szCs w:val="20"/>
                <w:color w:val="auto"/>
              </w:rPr>
              <w:t>97.1</w:t>
            </w:r>
          </w:p>
        </w:tc>
        <w:tc>
          <w:tcPr>
            <w:tcW w:w="16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February</w:t>
            </w:r>
          </w:p>
        </w:tc>
      </w:tr>
      <w:tr>
        <w:trPr>
          <w:trHeight w:val="280"/>
        </w:trPr>
        <w:tc>
          <w:tcPr>
            <w:tcW w:w="820" w:type="dxa"/>
            <w:vAlign w:val="bottom"/>
            <w:tcBorders>
              <w:bottom w:val="single" w:sz="8" w:color="CFF0FC"/>
            </w:tcBorders>
            <w:shd w:val="clear" w:color="auto" w:fill="CFF0FC"/>
          </w:tcPr>
          <w:p>
            <w:pPr>
              <w:spacing w:after="0"/>
              <w:rPr>
                <w:sz w:val="24"/>
                <w:szCs w:val="24"/>
                <w:color w:val="auto"/>
              </w:rPr>
            </w:pPr>
          </w:p>
        </w:tc>
        <w:tc>
          <w:tcPr>
            <w:tcW w:w="4760" w:type="dxa"/>
            <w:vAlign w:val="bottom"/>
            <w:tcBorders>
              <w:bottom w:val="single" w:sz="8" w:color="0000FF"/>
            </w:tcBorders>
            <w:gridSpan w:val="10"/>
            <w:shd w:val="clear" w:color="auto" w:fill="CFF0FC"/>
          </w:tcPr>
          <w:p>
            <w:pPr>
              <w:spacing w:after="0"/>
              <w:rPr>
                <w:rFonts w:ascii="Arial" w:cs="Arial" w:eastAsia="Arial" w:hAnsi="Arial"/>
                <w:sz w:val="20"/>
                <w:szCs w:val="20"/>
                <w:color w:val="0000FF"/>
                <w:w w:val="89"/>
              </w:rPr>
            </w:pPr>
            <w:hyperlink r:id="rId740">
              <w:r>
                <w:rPr>
                  <w:rFonts w:ascii="Arial" w:cs="Arial" w:eastAsia="Arial" w:hAnsi="Arial"/>
                  <w:sz w:val="20"/>
                  <w:szCs w:val="20"/>
                  <w:color w:val="0000FF"/>
                  <w:w w:val="89"/>
                </w:rPr>
                <w:t>Recoupment Policy, as amended and restated, adopted and</w:t>
              </w:r>
            </w:hyperlink>
          </w:p>
        </w:tc>
        <w:tc>
          <w:tcPr>
            <w:tcW w:w="360" w:type="dxa"/>
            <w:vAlign w:val="bottom"/>
            <w:tcBorders>
              <w:bottom w:val="single" w:sz="8" w:color="CFF0FC"/>
            </w:tcBorders>
            <w:gridSpan w:val="5"/>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22, 2024</w:t>
            </w:r>
          </w:p>
        </w:tc>
      </w:tr>
      <w:tr>
        <w:trPr>
          <w:trHeight w:val="280"/>
        </w:trPr>
        <w:tc>
          <w:tcPr>
            <w:tcW w:w="820" w:type="dxa"/>
            <w:vAlign w:val="bottom"/>
            <w:shd w:val="clear" w:color="auto" w:fill="CFF0FC"/>
          </w:tcPr>
          <w:p>
            <w:pPr>
              <w:spacing w:after="0"/>
              <w:rPr>
                <w:sz w:val="24"/>
                <w:szCs w:val="24"/>
                <w:color w:val="auto"/>
              </w:rPr>
            </w:pPr>
          </w:p>
        </w:tc>
        <w:tc>
          <w:tcPr>
            <w:tcW w:w="5120" w:type="dxa"/>
            <w:vAlign w:val="bottom"/>
            <w:gridSpan w:val="15"/>
            <w:shd w:val="clear" w:color="auto" w:fill="CFF0FC"/>
          </w:tcPr>
          <w:p>
            <w:pPr>
              <w:spacing w:after="0"/>
              <w:rPr>
                <w:rFonts w:ascii="Arial" w:cs="Arial" w:eastAsia="Arial" w:hAnsi="Arial"/>
                <w:sz w:val="20"/>
                <w:szCs w:val="20"/>
                <w:color w:val="0000FF"/>
              </w:rPr>
            </w:pPr>
            <w:hyperlink r:id="rId740">
              <w:r>
                <w:rPr>
                  <w:rFonts w:ascii="Arial" w:cs="Arial" w:eastAsia="Arial" w:hAnsi="Arial"/>
                  <w:sz w:val="20"/>
                  <w:szCs w:val="20"/>
                  <w:color w:val="0000FF"/>
                </w:rPr>
                <w:t>effective as of November 28, 2023</w:t>
              </w:r>
            </w:hyperlink>
          </w:p>
        </w:tc>
        <w:tc>
          <w:tcPr>
            <w:tcW w:w="2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1680" w:type="dxa"/>
            <w:vAlign w:val="bottom"/>
            <w:shd w:val="clear" w:color="auto" w:fill="CFF0FC"/>
          </w:tcPr>
          <w:p>
            <w:pPr>
              <w:spacing w:after="0"/>
              <w:rPr>
                <w:sz w:val="24"/>
                <w:szCs w:val="24"/>
                <w:color w:val="auto"/>
              </w:rPr>
            </w:pPr>
          </w:p>
        </w:tc>
      </w:tr>
      <w:tr>
        <w:trPr>
          <w:trHeight w:val="41"/>
        </w:trPr>
        <w:tc>
          <w:tcPr>
            <w:tcW w:w="820" w:type="dxa"/>
            <w:vAlign w:val="bottom"/>
            <w:tcBorders>
              <w:top w:val="single" w:sz="8" w:color="CFF0FC"/>
            </w:tcBorders>
            <w:shd w:val="clear" w:color="auto" w:fill="CFF0FC"/>
          </w:tcPr>
          <w:p>
            <w:pPr>
              <w:spacing w:after="0"/>
              <w:rPr>
                <w:sz w:val="3"/>
                <w:szCs w:val="3"/>
                <w:color w:val="auto"/>
              </w:rPr>
            </w:pPr>
          </w:p>
        </w:tc>
        <w:tc>
          <w:tcPr>
            <w:tcW w:w="400" w:type="dxa"/>
            <w:vAlign w:val="bottom"/>
            <w:tcBorders>
              <w:top w:val="single" w:sz="8" w:color="0000FF"/>
            </w:tcBorders>
            <w:shd w:val="clear" w:color="auto" w:fill="CFF0FC"/>
          </w:tcPr>
          <w:p>
            <w:pPr>
              <w:spacing w:after="0"/>
              <w:rPr>
                <w:sz w:val="3"/>
                <w:szCs w:val="3"/>
                <w:color w:val="auto"/>
              </w:rPr>
            </w:pPr>
          </w:p>
        </w:tc>
        <w:tc>
          <w:tcPr>
            <w:tcW w:w="2380" w:type="dxa"/>
            <w:vAlign w:val="bottom"/>
            <w:tcBorders>
              <w:top w:val="single" w:sz="8" w:color="0000FF"/>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960" w:type="dxa"/>
            <w:vAlign w:val="bottom"/>
            <w:tcBorders>
              <w:top w:val="single" w:sz="8" w:color="CFF0FC"/>
            </w:tcBorders>
            <w:shd w:val="clear" w:color="auto" w:fill="CFF0FC"/>
          </w:tcPr>
          <w:p>
            <w:pPr>
              <w:spacing w:after="0"/>
              <w:rPr>
                <w:sz w:val="3"/>
                <w:szCs w:val="3"/>
                <w:color w:val="auto"/>
              </w:rPr>
            </w:pPr>
          </w:p>
        </w:tc>
        <w:tc>
          <w:tcPr>
            <w:tcW w:w="440" w:type="dxa"/>
            <w:vAlign w:val="bottom"/>
            <w:tcBorders>
              <w:top w:val="single" w:sz="8" w:color="CFF0FC"/>
            </w:tcBorders>
            <w:shd w:val="clear" w:color="auto" w:fill="CFF0FC"/>
          </w:tcPr>
          <w:p>
            <w:pPr>
              <w:spacing w:after="0"/>
              <w:rPr>
                <w:sz w:val="3"/>
                <w:szCs w:val="3"/>
                <w:color w:val="auto"/>
              </w:rPr>
            </w:pPr>
          </w:p>
        </w:tc>
        <w:tc>
          <w:tcPr>
            <w:tcW w:w="3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14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60" w:type="dxa"/>
            <w:vAlign w:val="bottom"/>
            <w:tcBorders>
              <w:top w:val="single" w:sz="8" w:color="CFF0FC"/>
            </w:tcBorders>
            <w:shd w:val="clear" w:color="auto" w:fill="CFF0FC"/>
          </w:tcPr>
          <w:p>
            <w:pPr>
              <w:spacing w:after="0"/>
              <w:rPr>
                <w:sz w:val="3"/>
                <w:szCs w:val="3"/>
                <w:color w:val="auto"/>
              </w:rPr>
            </w:pPr>
          </w:p>
        </w:tc>
        <w:tc>
          <w:tcPr>
            <w:tcW w:w="1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80" w:type="dxa"/>
            <w:vAlign w:val="bottom"/>
            <w:tcBorders>
              <w:top w:val="single" w:sz="8" w:color="CFF0FC"/>
            </w:tcBorders>
            <w:shd w:val="clear" w:color="auto" w:fill="CFF0FC"/>
          </w:tcPr>
          <w:p>
            <w:pPr>
              <w:spacing w:after="0"/>
              <w:rPr>
                <w:sz w:val="3"/>
                <w:szCs w:val="3"/>
                <w:color w:val="auto"/>
              </w:rPr>
            </w:pPr>
          </w:p>
        </w:tc>
        <w:tc>
          <w:tcPr>
            <w:tcW w:w="20" w:type="dxa"/>
            <w:vAlign w:val="bottom"/>
            <w:tcBorders>
              <w:top w:val="single" w:sz="8" w:color="CFF0FC"/>
            </w:tcBorders>
            <w:shd w:val="clear" w:color="auto" w:fill="CFF0FC"/>
          </w:tcPr>
          <w:p>
            <w:pPr>
              <w:spacing w:after="0"/>
              <w:rPr>
                <w:sz w:val="3"/>
                <w:szCs w:val="3"/>
                <w:color w:val="auto"/>
              </w:rPr>
            </w:pPr>
          </w:p>
        </w:tc>
        <w:tc>
          <w:tcPr>
            <w:tcW w:w="780" w:type="dxa"/>
            <w:vAlign w:val="bottom"/>
            <w:tcBorders>
              <w:top w:val="single" w:sz="8" w:color="CFF0FC"/>
            </w:tcBorders>
            <w:shd w:val="clear" w:color="auto" w:fill="CFF0FC"/>
          </w:tcPr>
          <w:p>
            <w:pPr>
              <w:spacing w:after="0"/>
              <w:rPr>
                <w:sz w:val="3"/>
                <w:szCs w:val="3"/>
                <w:color w:val="auto"/>
              </w:rPr>
            </w:pPr>
          </w:p>
        </w:tc>
        <w:tc>
          <w:tcPr>
            <w:tcW w:w="600" w:type="dxa"/>
            <w:vAlign w:val="bottom"/>
            <w:tcBorders>
              <w:top w:val="single" w:sz="8" w:color="CFF0FC"/>
            </w:tcBorders>
            <w:shd w:val="clear" w:color="auto" w:fill="CFF0FC"/>
          </w:tcPr>
          <w:p>
            <w:pPr>
              <w:spacing w:after="0"/>
              <w:rPr>
                <w:sz w:val="3"/>
                <w:szCs w:val="3"/>
                <w:color w:val="auto"/>
              </w:rPr>
            </w:pPr>
          </w:p>
        </w:tc>
        <w:tc>
          <w:tcPr>
            <w:tcW w:w="1680" w:type="dxa"/>
            <w:vAlign w:val="bottom"/>
            <w:tcBorders>
              <w:top w:val="single" w:sz="8" w:color="CFF0FC"/>
            </w:tcBorders>
            <w:shd w:val="clear" w:color="auto" w:fill="CFF0FC"/>
          </w:tcPr>
          <w:p>
            <w:pPr>
              <w:spacing w:after="0"/>
              <w:rPr>
                <w:sz w:val="3"/>
                <w:szCs w:val="3"/>
                <w:color w:val="auto"/>
              </w:rPr>
            </w:pPr>
          </w:p>
        </w:tc>
      </w:tr>
      <w:tr>
        <w:trPr>
          <w:trHeight w:val="259"/>
        </w:trPr>
        <w:tc>
          <w:tcPr>
            <w:tcW w:w="820" w:type="dxa"/>
            <w:vAlign w:val="bottom"/>
          </w:tcPr>
          <w:p>
            <w:pPr>
              <w:jc w:val="center"/>
              <w:spacing w:after="0"/>
              <w:rPr>
                <w:sz w:val="20"/>
                <w:szCs w:val="20"/>
                <w:color w:val="auto"/>
              </w:rPr>
            </w:pPr>
            <w:r>
              <w:rPr>
                <w:rFonts w:ascii="Arial" w:cs="Arial" w:eastAsia="Arial" w:hAnsi="Arial"/>
                <w:sz w:val="20"/>
                <w:szCs w:val="20"/>
                <w:color w:val="auto"/>
                <w:w w:val="91"/>
              </w:rPr>
              <w:t>101.INS</w:t>
            </w:r>
          </w:p>
        </w:tc>
        <w:tc>
          <w:tcPr>
            <w:tcW w:w="5120" w:type="dxa"/>
            <w:vAlign w:val="bottom"/>
            <w:gridSpan w:val="15"/>
          </w:tcPr>
          <w:p>
            <w:pPr>
              <w:spacing w:after="0"/>
              <w:rPr>
                <w:sz w:val="20"/>
                <w:szCs w:val="20"/>
                <w:color w:val="auto"/>
              </w:rPr>
            </w:pPr>
            <w:r>
              <w:rPr>
                <w:rFonts w:ascii="Arial" w:cs="Arial" w:eastAsia="Arial" w:hAnsi="Arial"/>
                <w:sz w:val="20"/>
                <w:szCs w:val="20"/>
                <w:color w:val="auto"/>
                <w:w w:val="91"/>
              </w:rPr>
              <w:t>Inline XBRL Instance Document – the instance document does</w:t>
            </w: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80" w:type="dxa"/>
            <w:vAlign w:val="bottom"/>
          </w:tcPr>
          <w:p>
            <w:pPr>
              <w:jc w:val="center"/>
              <w:ind w:left="964"/>
              <w:spacing w:after="0"/>
              <w:rPr>
                <w:sz w:val="20"/>
                <w:szCs w:val="20"/>
                <w:color w:val="auto"/>
              </w:rPr>
            </w:pPr>
            <w:r>
              <w:rPr>
                <w:rFonts w:ascii="Arial" w:cs="Arial" w:eastAsia="Arial" w:hAnsi="Arial"/>
                <w:sz w:val="20"/>
                <w:szCs w:val="20"/>
                <w:color w:val="auto"/>
              </w:rPr>
              <w:t>X</w:t>
            </w:r>
          </w:p>
        </w:tc>
      </w:tr>
      <w:tr>
        <w:trPr>
          <w:trHeight w:val="300"/>
        </w:trPr>
        <w:tc>
          <w:tcPr>
            <w:tcW w:w="820" w:type="dxa"/>
            <w:vAlign w:val="bottom"/>
          </w:tcPr>
          <w:p>
            <w:pPr>
              <w:spacing w:after="0"/>
              <w:rPr>
                <w:sz w:val="24"/>
                <w:szCs w:val="24"/>
                <w:color w:val="auto"/>
              </w:rPr>
            </w:pPr>
          </w:p>
        </w:tc>
        <w:tc>
          <w:tcPr>
            <w:tcW w:w="5120" w:type="dxa"/>
            <w:vAlign w:val="bottom"/>
            <w:gridSpan w:val="15"/>
          </w:tcPr>
          <w:p>
            <w:pPr>
              <w:spacing w:after="0"/>
              <w:rPr>
                <w:sz w:val="20"/>
                <w:szCs w:val="20"/>
                <w:color w:val="auto"/>
              </w:rPr>
            </w:pPr>
            <w:r>
              <w:rPr>
                <w:rFonts w:ascii="Arial" w:cs="Arial" w:eastAsia="Arial" w:hAnsi="Arial"/>
                <w:sz w:val="20"/>
                <w:szCs w:val="20"/>
                <w:color w:val="auto"/>
                <w:w w:val="92"/>
              </w:rPr>
              <w:t>not appear in the Interactive Data File because XBRL tags are</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00"/>
        </w:trPr>
        <w:tc>
          <w:tcPr>
            <w:tcW w:w="820" w:type="dxa"/>
            <w:vAlign w:val="bottom"/>
          </w:tcPr>
          <w:p>
            <w:pPr>
              <w:spacing w:after="0"/>
              <w:rPr>
                <w:sz w:val="24"/>
                <w:szCs w:val="24"/>
                <w:color w:val="auto"/>
              </w:rPr>
            </w:pPr>
          </w:p>
        </w:tc>
        <w:tc>
          <w:tcPr>
            <w:tcW w:w="5120" w:type="dxa"/>
            <w:vAlign w:val="bottom"/>
            <w:gridSpan w:val="15"/>
          </w:tcPr>
          <w:p>
            <w:pPr>
              <w:spacing w:after="0"/>
              <w:rPr>
                <w:sz w:val="20"/>
                <w:szCs w:val="20"/>
                <w:color w:val="auto"/>
              </w:rPr>
            </w:pPr>
            <w:r>
              <w:rPr>
                <w:rFonts w:ascii="Arial" w:cs="Arial" w:eastAsia="Arial" w:hAnsi="Arial"/>
                <w:sz w:val="20"/>
                <w:szCs w:val="20"/>
                <w:color w:val="auto"/>
              </w:rPr>
              <w:t>embedded within the Inline XBRL document</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
        </w:trPr>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59"/>
        </w:trPr>
        <w:tc>
          <w:tcPr>
            <w:tcW w:w="5940" w:type="dxa"/>
            <w:vAlign w:val="bottom"/>
            <w:gridSpan w:val="16"/>
            <w:shd w:val="clear" w:color="auto" w:fill="CFF0FC"/>
          </w:tcPr>
          <w:p>
            <w:pPr>
              <w:spacing w:after="0"/>
              <w:rPr>
                <w:sz w:val="20"/>
                <w:szCs w:val="20"/>
                <w:color w:val="auto"/>
              </w:rPr>
            </w:pPr>
            <w:r>
              <w:rPr>
                <w:rFonts w:ascii="Arial" w:cs="Arial" w:eastAsia="Arial" w:hAnsi="Arial"/>
                <w:sz w:val="20"/>
                <w:szCs w:val="20"/>
                <w:color w:val="auto"/>
                <w:w w:val="96"/>
              </w:rPr>
              <w:t>101.SCH Inline XBRL Taxonomy Extension Schema With Embedded</w:t>
            </w:r>
          </w:p>
        </w:tc>
        <w:tc>
          <w:tcPr>
            <w:tcW w:w="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680" w:type="dxa"/>
            <w:vAlign w:val="bottom"/>
            <w:shd w:val="clear" w:color="auto" w:fill="CFF0FC"/>
          </w:tcPr>
          <w:p>
            <w:pPr>
              <w:jc w:val="center"/>
              <w:ind w:left="964"/>
              <w:spacing w:after="0"/>
              <w:rPr>
                <w:sz w:val="20"/>
                <w:szCs w:val="20"/>
                <w:color w:val="auto"/>
              </w:rPr>
            </w:pPr>
            <w:r>
              <w:rPr>
                <w:rFonts w:ascii="Arial" w:cs="Arial" w:eastAsia="Arial" w:hAnsi="Arial"/>
                <w:sz w:val="20"/>
                <w:szCs w:val="20"/>
                <w:color w:val="auto"/>
              </w:rPr>
              <w:t>X</w:t>
            </w:r>
          </w:p>
        </w:tc>
      </w:tr>
      <w:tr>
        <w:trPr>
          <w:trHeight w:val="321"/>
        </w:trPr>
        <w:tc>
          <w:tcPr>
            <w:tcW w:w="820" w:type="dxa"/>
            <w:vAlign w:val="bottom"/>
            <w:tcBorders>
              <w:bottom w:val="single" w:sz="8" w:color="CFF0FC"/>
            </w:tcBorders>
            <w:shd w:val="clear" w:color="auto" w:fill="CFF0FC"/>
          </w:tcPr>
          <w:p>
            <w:pPr>
              <w:spacing w:after="0"/>
              <w:rPr>
                <w:sz w:val="24"/>
                <w:szCs w:val="24"/>
                <w:color w:val="auto"/>
              </w:rPr>
            </w:pPr>
          </w:p>
        </w:tc>
        <w:tc>
          <w:tcPr>
            <w:tcW w:w="5120" w:type="dxa"/>
            <w:vAlign w:val="bottom"/>
            <w:tcBorders>
              <w:bottom w:val="single" w:sz="8" w:color="CFF0FC"/>
            </w:tcBorders>
            <w:gridSpan w:val="15"/>
            <w:shd w:val="clear" w:color="auto" w:fill="CFF0FC"/>
          </w:tcPr>
          <w:p>
            <w:pPr>
              <w:spacing w:after="0"/>
              <w:rPr>
                <w:sz w:val="20"/>
                <w:szCs w:val="20"/>
                <w:color w:val="auto"/>
              </w:rPr>
            </w:pPr>
            <w:r>
              <w:rPr>
                <w:rFonts w:ascii="Arial" w:cs="Arial" w:eastAsia="Arial" w:hAnsi="Arial"/>
                <w:sz w:val="20"/>
                <w:szCs w:val="20"/>
                <w:color w:val="auto"/>
              </w:rPr>
              <w:t>Linkbase Documents</w:t>
            </w:r>
          </w:p>
        </w:tc>
        <w:tc>
          <w:tcPr>
            <w:tcW w:w="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bottom w:val="single" w:sz="8" w:color="CFF0FC"/>
            </w:tcBorders>
            <w:shd w:val="clear" w:color="auto" w:fill="CFF0FC"/>
          </w:tcPr>
          <w:p>
            <w:pPr>
              <w:spacing w:after="0"/>
              <w:rPr>
                <w:sz w:val="24"/>
                <w:szCs w:val="24"/>
                <w:color w:val="auto"/>
              </w:rPr>
            </w:pPr>
          </w:p>
        </w:tc>
      </w:tr>
      <w:tr>
        <w:trPr>
          <w:trHeight w:val="259"/>
        </w:trPr>
        <w:tc>
          <w:tcPr>
            <w:tcW w:w="820" w:type="dxa"/>
            <w:vAlign w:val="bottom"/>
          </w:tcPr>
          <w:p>
            <w:pPr>
              <w:jc w:val="center"/>
              <w:spacing w:after="0"/>
              <w:rPr>
                <w:sz w:val="20"/>
                <w:szCs w:val="20"/>
                <w:color w:val="auto"/>
              </w:rPr>
            </w:pPr>
            <w:r>
              <w:rPr>
                <w:rFonts w:ascii="Arial" w:cs="Arial" w:eastAsia="Arial" w:hAnsi="Arial"/>
                <w:sz w:val="20"/>
                <w:szCs w:val="20"/>
                <w:color w:val="auto"/>
                <w:w w:val="89"/>
              </w:rPr>
              <w:t>104</w:t>
            </w:r>
          </w:p>
        </w:tc>
        <w:tc>
          <w:tcPr>
            <w:tcW w:w="5120" w:type="dxa"/>
            <w:vAlign w:val="bottom"/>
            <w:gridSpan w:val="15"/>
          </w:tcPr>
          <w:p>
            <w:pPr>
              <w:spacing w:after="0"/>
              <w:rPr>
                <w:sz w:val="20"/>
                <w:szCs w:val="20"/>
                <w:color w:val="auto"/>
              </w:rPr>
            </w:pPr>
            <w:r>
              <w:rPr>
                <w:rFonts w:ascii="Arial" w:cs="Arial" w:eastAsia="Arial" w:hAnsi="Arial"/>
                <w:sz w:val="20"/>
                <w:szCs w:val="20"/>
                <w:color w:val="auto"/>
                <w:w w:val="97"/>
              </w:rPr>
              <w:t>Cover Page Interactive Data File (formatted as inline XBRL</w:t>
            </w: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80" w:type="dxa"/>
            <w:vAlign w:val="bottom"/>
          </w:tcPr>
          <w:p>
            <w:pPr>
              <w:jc w:val="center"/>
              <w:ind w:left="964"/>
              <w:spacing w:after="0"/>
              <w:rPr>
                <w:sz w:val="20"/>
                <w:szCs w:val="20"/>
                <w:color w:val="auto"/>
              </w:rPr>
            </w:pPr>
            <w:r>
              <w:rPr>
                <w:rFonts w:ascii="Arial" w:cs="Arial" w:eastAsia="Arial" w:hAnsi="Arial"/>
                <w:sz w:val="20"/>
                <w:szCs w:val="20"/>
                <w:color w:val="auto"/>
              </w:rPr>
              <w:t>X</w:t>
            </w:r>
          </w:p>
        </w:tc>
      </w:tr>
      <w:tr>
        <w:trPr>
          <w:trHeight w:val="300"/>
        </w:trPr>
        <w:tc>
          <w:tcPr>
            <w:tcW w:w="820" w:type="dxa"/>
            <w:vAlign w:val="bottom"/>
          </w:tcPr>
          <w:p>
            <w:pPr>
              <w:spacing w:after="0"/>
              <w:rPr>
                <w:sz w:val="24"/>
                <w:szCs w:val="24"/>
                <w:color w:val="auto"/>
              </w:rPr>
            </w:pPr>
          </w:p>
        </w:tc>
        <w:tc>
          <w:tcPr>
            <w:tcW w:w="5120" w:type="dxa"/>
            <w:vAlign w:val="bottom"/>
            <w:gridSpan w:val="15"/>
          </w:tcPr>
          <w:p>
            <w:pPr>
              <w:spacing w:after="0"/>
              <w:rPr>
                <w:sz w:val="20"/>
                <w:szCs w:val="20"/>
                <w:color w:val="auto"/>
              </w:rPr>
            </w:pPr>
            <w:r>
              <w:rPr>
                <w:rFonts w:ascii="Arial" w:cs="Arial" w:eastAsia="Arial" w:hAnsi="Arial"/>
                <w:sz w:val="20"/>
                <w:szCs w:val="20"/>
                <w:color w:val="auto"/>
              </w:rPr>
              <w:t>and contained in Exhibit 101)</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-5250180</wp:posOffset>
            </wp:positionV>
            <wp:extent cx="1436370" cy="63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41">
                      <a:extLst>
                        <a:ext uri="{28A0092B-C50C-407E-A947-70E740481C1C}"/>
                      </a:extLst>
                    </a:blip>
                    <a:srcRect/>
                    <a:stretch>
                      <a:fillRect/>
                    </a:stretch>
                  </pic:blipFill>
                  <pic:spPr bwMode="auto">
                    <a:xfrm>
                      <a:off x="0" y="0"/>
                      <a:ext cx="1436370" cy="635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-4939030</wp:posOffset>
            </wp:positionV>
            <wp:extent cx="5728970" cy="127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42">
                      <a:extLst>
                        <a:ext uri="{28A0092B-C50C-407E-A947-70E740481C1C}"/>
                      </a:extLst>
                    </a:blip>
                    <a:srcRect/>
                    <a:stretch>
                      <a:fillRect/>
                    </a:stretch>
                  </pic:blipFill>
                  <pic:spPr bwMode="auto">
                    <a:xfrm>
                      <a:off x="0" y="0"/>
                      <a:ext cx="5728970" cy="127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610235</wp:posOffset>
            </wp:positionV>
            <wp:extent cx="795655" cy="63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43">
                      <a:extLst>
                        <a:ext uri="{28A0092B-C50C-407E-A947-70E740481C1C}"/>
                      </a:extLst>
                    </a:blip>
                    <a:srcRect/>
                    <a:stretch>
                      <a:fillRect/>
                    </a:stretch>
                  </pic:blipFill>
                  <pic:spPr bwMode="auto">
                    <a:xfrm>
                      <a:off x="0" y="0"/>
                      <a:ext cx="7956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66" w:hanging="266"/>
        <w:spacing w:after="0"/>
        <w:tabs>
          <w:tab w:leader="none" w:pos="266" w:val="left"/>
        </w:tabs>
        <w:numPr>
          <w:ilvl w:val="0"/>
          <w:numId w:val="83"/>
        </w:numPr>
        <w:rPr>
          <w:rFonts w:ascii="Arial" w:cs="Arial" w:eastAsia="Arial" w:hAnsi="Arial"/>
          <w:sz w:val="18"/>
          <w:szCs w:val="18"/>
          <w:color w:val="auto"/>
        </w:rPr>
      </w:pPr>
      <w:r>
        <w:rPr>
          <w:rFonts w:ascii="Arial" w:cs="Arial" w:eastAsia="Arial" w:hAnsi="Arial"/>
          <w:sz w:val="18"/>
          <w:szCs w:val="18"/>
          <w:color w:val="auto"/>
        </w:rPr>
        <w:t>Furnished herewith. Any exhibits furnished herewith (including the certifications furnished in Exhibits 32.1 and</w:t>
      </w:r>
    </w:p>
    <w:p>
      <w:pPr>
        <w:spacing w:after="0" w:line="93" w:lineRule="exact"/>
        <w:rPr>
          <w:rFonts w:ascii="Arial" w:cs="Arial" w:eastAsia="Arial" w:hAnsi="Arial"/>
          <w:sz w:val="18"/>
          <w:szCs w:val="18"/>
          <w:color w:val="auto"/>
        </w:rPr>
      </w:pPr>
    </w:p>
    <w:p>
      <w:pPr>
        <w:jc w:val="both"/>
        <w:ind w:left="6" w:right="40"/>
        <w:spacing w:after="0" w:line="307" w:lineRule="auto"/>
        <w:rPr>
          <w:rFonts w:ascii="Arial" w:cs="Arial" w:eastAsia="Arial" w:hAnsi="Arial"/>
          <w:sz w:val="18"/>
          <w:szCs w:val="18"/>
          <w:color w:val="auto"/>
        </w:rPr>
      </w:pPr>
      <w:r>
        <w:rPr>
          <w:rFonts w:ascii="Arial" w:cs="Arial" w:eastAsia="Arial" w:hAnsi="Arial"/>
          <w:sz w:val="20"/>
          <w:szCs w:val="20"/>
          <w:color w:val="auto"/>
        </w:rPr>
        <w:t>32.2) are deemed to accompany this Annual Report on Form 10-K and will not be deemed ‘filed’ for purposes of Section 18 of the Securities Exchange Act of 1934, as amended, or otherwise subject to the liability of that section, except to the extent that the registrant specifically incorporates it by reference.</w:t>
      </w:r>
    </w:p>
    <w:p>
      <w:pPr>
        <w:spacing w:after="0" w:line="7"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20"/>
          <w:szCs w:val="20"/>
          <w:color w:val="auto"/>
        </w:rPr>
        <w:t>† Management contract or compensatory plan or arrangement.</w:t>
      </w:r>
    </w:p>
    <w:p>
      <w:pPr>
        <w:spacing w:after="0" w:line="79" w:lineRule="exact"/>
        <w:rPr>
          <w:rFonts w:ascii="Arial" w:cs="Arial" w:eastAsia="Arial" w:hAnsi="Arial"/>
          <w:sz w:val="18"/>
          <w:szCs w:val="18"/>
          <w:color w:val="auto"/>
        </w:rPr>
      </w:pPr>
    </w:p>
    <w:p>
      <w:pPr>
        <w:ind w:left="6" w:right="320"/>
        <w:spacing w:after="0" w:line="363" w:lineRule="auto"/>
        <w:rPr>
          <w:rFonts w:ascii="Arial" w:cs="Arial" w:eastAsia="Arial" w:hAnsi="Arial"/>
          <w:sz w:val="18"/>
          <w:szCs w:val="18"/>
          <w:color w:val="auto"/>
        </w:rPr>
      </w:pPr>
      <w:r>
        <w:rPr>
          <w:rFonts w:ascii="Arial" w:cs="Arial" w:eastAsia="Arial" w:hAnsi="Arial"/>
          <w:sz w:val="18"/>
          <w:szCs w:val="18"/>
          <w:color w:val="auto"/>
        </w:rPr>
        <w:t>^ Certain of the exhibits and schedules to this Exhibit have been omitted in accordance with Regulation S-K Item 601(a)(5). We agree to furnish a copy of all omitted exhibits and schedules to the SEC upon its request.</w:t>
      </w:r>
    </w:p>
    <w:p>
      <w:pPr>
        <w:spacing w:after="0" w:line="154" w:lineRule="exact"/>
        <w:rPr>
          <w:sz w:val="20"/>
          <w:szCs w:val="20"/>
          <w:color w:val="auto"/>
        </w:rPr>
      </w:pPr>
    </w:p>
    <w:p>
      <w:pPr>
        <w:ind w:left="6"/>
        <w:spacing w:after="0" w:line="352" w:lineRule="auto"/>
        <w:rPr>
          <w:sz w:val="20"/>
          <w:szCs w:val="20"/>
          <w:color w:val="auto"/>
        </w:rPr>
      </w:pPr>
      <w:r>
        <w:rPr>
          <w:rFonts w:ascii="Arial" w:cs="Arial" w:eastAsia="Arial" w:hAnsi="Arial"/>
          <w:sz w:val="18"/>
          <w:szCs w:val="18"/>
          <w:color w:val="auto"/>
        </w:rPr>
        <w:t>All exhibits that are incorporated by reference herein to a filing with the SEC are filed under SEC File No. 001-16503, except for filings made before January 1, 2016 which are filed under: SEC File No. 001-16503, for any filings that were made by Willis Group Holdings or the Company; SEC File No. 001-34594, for any filings that were made by Towers Watson; and SEC File No. 001-16159, for any filings that were made by Watson Wyatt Worldwide.</w:t>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21 / 60</w:t>
      </w:r>
    </w:p>
    <w:p>
      <w:pPr>
        <w:sectPr>
          <w:pgSz w:w="11900" w:h="16838" w:orient="portrait"/>
          <w:cols w:equalWidth="0" w:num="1">
            <w:col w:w="9386"/>
          </w:cols>
          <w:pgMar w:left="1254" w:top="1440" w:right="1266" w:bottom="0" w:gutter="0" w:footer="0" w:header="0"/>
          <w:type w:val="continuous"/>
        </w:sectPr>
      </w:pPr>
    </w:p>
    <w:bookmarkStart w:id="281" w:name="page282"/>
    <w:bookmarkEnd w:id="281"/>
    <w:p>
      <w:pPr>
        <w:jc w:val="center"/>
        <w:ind w:right="6"/>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4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22 / 60</w:t>
      </w:r>
    </w:p>
    <w:p>
      <w:pPr>
        <w:sectPr>
          <w:pgSz w:w="11900" w:h="16838" w:orient="portrait"/>
          <w:cols w:equalWidth="0" w:num="1">
            <w:col w:w="9026"/>
          </w:cols>
          <w:pgMar w:left="1440" w:top="1413" w:right="1440" w:bottom="0" w:gutter="0" w:footer="0" w:header="0"/>
          <w:type w:val="continuous"/>
        </w:sectPr>
      </w:pPr>
    </w:p>
    <w:bookmarkStart w:id="282" w:name="page283"/>
    <w:bookmarkEnd w:id="2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320" w:lineRule="exact"/>
        <w:rPr>
          <w:sz w:val="20"/>
          <w:szCs w:val="20"/>
          <w:color w:val="auto"/>
        </w:rPr>
      </w:pPr>
    </w:p>
    <w:p>
      <w:pPr>
        <w:jc w:val="center"/>
        <w:ind w:right="-173"/>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5967730" cy="190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23 / 60</w:t>
      </w:r>
    </w:p>
    <w:p>
      <w:pPr>
        <w:sectPr>
          <w:pgSz w:w="11900" w:h="16838" w:orient="portrait"/>
          <w:cols w:equalWidth="0" w:num="1">
            <w:col w:w="9206"/>
          </w:cols>
          <w:pgMar w:left="1260" w:top="1440" w:right="1440" w:bottom="0" w:gutter="0" w:footer="0" w:header="0"/>
          <w:type w:val="continuous"/>
        </w:sectPr>
      </w:pPr>
    </w:p>
    <w:bookmarkStart w:id="283" w:name="page284"/>
    <w:bookmarkEnd w:id="283"/>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3"/>
        <w:spacing w:after="0"/>
        <w:rPr>
          <w:sz w:val="20"/>
          <w:szCs w:val="20"/>
          <w:color w:val="auto"/>
        </w:rPr>
      </w:pPr>
      <w:r>
        <w:rPr>
          <w:rFonts w:ascii="Arial" w:cs="Arial" w:eastAsia="Arial" w:hAnsi="Arial"/>
          <w:sz w:val="20"/>
          <w:szCs w:val="20"/>
          <w:b w:val="1"/>
          <w:bCs w:val="1"/>
          <w:color w:val="auto"/>
        </w:rPr>
        <w:t>SIGNATURES</w:t>
      </w:r>
    </w:p>
    <w:p>
      <w:pPr>
        <w:spacing w:after="0" w:line="260" w:lineRule="exact"/>
        <w:rPr>
          <w:sz w:val="20"/>
          <w:szCs w:val="20"/>
          <w:color w:val="auto"/>
        </w:rPr>
      </w:pPr>
    </w:p>
    <w:p>
      <w:pPr>
        <w:ind w:right="26"/>
        <w:spacing w:after="0" w:line="331"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327"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WILLIS TOWERS WATSON PUBLIC LIMITED</w:t>
      </w:r>
    </w:p>
    <w:p>
      <w:pPr>
        <w:spacing w:after="0" w:line="72"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COMPANY</w:t>
      </w:r>
    </w:p>
    <w:p>
      <w:pPr>
        <w:spacing w:after="0" w:line="70"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(REGISTRANT)</w:t>
      </w:r>
    </w:p>
    <w:p>
      <w:pPr>
        <w:spacing w:after="0" w:line="370" w:lineRule="exact"/>
        <w:rPr>
          <w:sz w:val="20"/>
          <w:szCs w:val="20"/>
          <w:color w:val="auto"/>
        </w:rPr>
      </w:pPr>
    </w:p>
    <w:p>
      <w:pPr>
        <w:ind w:left="5040"/>
        <w:spacing w:after="0"/>
        <w:tabs>
          <w:tab w:leader="none" w:pos="6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Carl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26035</wp:posOffset>
            </wp:positionV>
            <wp:extent cx="2536190" cy="952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46">
                      <a:extLst>
                        <a:ext uri="{28A0092B-C50C-407E-A947-70E740481C1C}"/>
                      </a:extLst>
                    </a:blip>
                    <a:srcRect/>
                    <a:stretch>
                      <a:fillRect/>
                    </a:stretch>
                  </pic:blipFill>
                  <pic:spPr bwMode="auto">
                    <a:xfrm>
                      <a:off x="0" y="0"/>
                      <a:ext cx="2536190" cy="9525"/>
                    </a:xfrm>
                    <a:prstGeom prst="rect">
                      <a:avLst/>
                    </a:prstGeom>
                    <a:noFill/>
                  </pic:spPr>
                </pic:pic>
              </a:graphicData>
            </a:graphic>
          </wp:anchor>
        </w:drawing>
      </w:r>
    </w:p>
    <w:p>
      <w:pPr>
        <w:spacing w:after="0" w:line="65" w:lineRule="exact"/>
        <w:rPr>
          <w:sz w:val="20"/>
          <w:szCs w:val="20"/>
          <w:color w:val="auto"/>
        </w:rPr>
      </w:pPr>
    </w:p>
    <w:p>
      <w:pPr>
        <w:jc w:val="center"/>
        <w:ind w:left="5420"/>
        <w:spacing w:after="0"/>
        <w:rPr>
          <w:sz w:val="20"/>
          <w:szCs w:val="20"/>
          <w:color w:val="auto"/>
        </w:rPr>
      </w:pPr>
      <w:r>
        <w:rPr>
          <w:rFonts w:ascii="Arial" w:cs="Arial" w:eastAsia="Arial" w:hAnsi="Arial"/>
          <w:sz w:val="20"/>
          <w:szCs w:val="20"/>
          <w:color w:val="auto"/>
        </w:rPr>
        <w:t>Carl Hess</w:t>
      </w:r>
    </w:p>
    <w:p>
      <w:pPr>
        <w:spacing w:after="0" w:line="70" w:lineRule="exact"/>
        <w:rPr>
          <w:sz w:val="20"/>
          <w:szCs w:val="20"/>
          <w:color w:val="auto"/>
        </w:rPr>
      </w:pPr>
    </w:p>
    <w:p>
      <w:pPr>
        <w:jc w:val="center"/>
        <w:ind w:left="5420"/>
        <w:spacing w:after="0"/>
        <w:rPr>
          <w:sz w:val="20"/>
          <w:szCs w:val="20"/>
          <w:color w:val="auto"/>
        </w:rPr>
      </w:pPr>
      <w:r>
        <w:rPr>
          <w:rFonts w:ascii="Arial" w:cs="Arial" w:eastAsia="Arial" w:hAnsi="Arial"/>
          <w:sz w:val="20"/>
          <w:szCs w:val="20"/>
          <w:i w:val="1"/>
          <w:iCs w:val="1"/>
          <w:color w:val="auto"/>
        </w:rPr>
        <w:t>Chief Executive Officer</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25, 2026</w:t>
      </w:r>
    </w:p>
    <w:p>
      <w:pPr>
        <w:spacing w:after="0" w:line="260" w:lineRule="exact"/>
        <w:rPr>
          <w:sz w:val="20"/>
          <w:szCs w:val="20"/>
          <w:color w:val="auto"/>
        </w:rPr>
      </w:pPr>
    </w:p>
    <w:p>
      <w:pPr>
        <w:ind w:right="406"/>
        <w:spacing w:after="0" w:line="302"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indicated.</w:t>
      </w:r>
    </w:p>
    <w:p>
      <w:pPr>
        <w:spacing w:after="0" w:line="200" w:lineRule="exact"/>
        <w:rPr>
          <w:sz w:val="20"/>
          <w:szCs w:val="20"/>
          <w:color w:val="auto"/>
        </w:rPr>
      </w:pPr>
    </w:p>
    <w:p>
      <w:pPr>
        <w:spacing w:after="0" w:line="336"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4600" w:type="dxa"/>
            <w:vAlign w:val="bottom"/>
          </w:tcPr>
          <w:p>
            <w:pPr>
              <w:jc w:val="center"/>
              <w:ind w:right="920"/>
              <w:spacing w:after="0"/>
              <w:rPr>
                <w:sz w:val="20"/>
                <w:szCs w:val="20"/>
                <w:color w:val="auto"/>
              </w:rPr>
            </w:pPr>
            <w:r>
              <w:rPr>
                <w:rFonts w:ascii="Arial" w:cs="Arial" w:eastAsia="Arial" w:hAnsi="Arial"/>
                <w:sz w:val="20"/>
                <w:szCs w:val="20"/>
                <w:color w:val="auto"/>
                <w:w w:val="89"/>
              </w:rPr>
              <w:t>/s/ Carl Hess</w:t>
            </w:r>
          </w:p>
        </w:tc>
        <w:tc>
          <w:tcPr>
            <w:tcW w:w="2920" w:type="dxa"/>
            <w:vAlign w:val="bottom"/>
          </w:tcPr>
          <w:p>
            <w:pPr>
              <w:jc w:val="center"/>
              <w:ind w:left="940"/>
              <w:spacing w:after="0"/>
              <w:rPr>
                <w:sz w:val="20"/>
                <w:szCs w:val="20"/>
                <w:color w:val="auto"/>
              </w:rPr>
            </w:pPr>
            <w:r>
              <w:rPr>
                <w:rFonts w:ascii="Arial" w:cs="Arial" w:eastAsia="Arial" w:hAnsi="Arial"/>
                <w:sz w:val="20"/>
                <w:szCs w:val="20"/>
                <w:color w:val="auto"/>
                <w:w w:val="91"/>
              </w:rPr>
              <w:t>/s/ Andrew Krasner</w:t>
            </w:r>
          </w:p>
        </w:tc>
      </w:tr>
      <w:tr>
        <w:trPr>
          <w:trHeight w:val="334"/>
        </w:trPr>
        <w:tc>
          <w:tcPr>
            <w:tcW w:w="4600" w:type="dxa"/>
            <w:vAlign w:val="bottom"/>
          </w:tcPr>
          <w:p>
            <w:pPr>
              <w:jc w:val="center"/>
              <w:ind w:right="920"/>
              <w:spacing w:after="0"/>
              <w:rPr>
                <w:sz w:val="20"/>
                <w:szCs w:val="20"/>
                <w:color w:val="auto"/>
              </w:rPr>
            </w:pPr>
            <w:r>
              <w:rPr>
                <w:rFonts w:ascii="Arial" w:cs="Arial" w:eastAsia="Arial" w:hAnsi="Arial"/>
                <w:sz w:val="20"/>
                <w:szCs w:val="20"/>
                <w:color w:val="auto"/>
                <w:w w:val="88"/>
              </w:rPr>
              <w:t>Carl Hess</w:t>
            </w:r>
          </w:p>
        </w:tc>
        <w:tc>
          <w:tcPr>
            <w:tcW w:w="2920" w:type="dxa"/>
            <w:vAlign w:val="bottom"/>
          </w:tcPr>
          <w:p>
            <w:pPr>
              <w:jc w:val="center"/>
              <w:ind w:left="940"/>
              <w:spacing w:after="0"/>
              <w:rPr>
                <w:sz w:val="20"/>
                <w:szCs w:val="20"/>
                <w:color w:val="auto"/>
              </w:rPr>
            </w:pPr>
            <w:r>
              <w:rPr>
                <w:rFonts w:ascii="Arial" w:cs="Arial" w:eastAsia="Arial" w:hAnsi="Arial"/>
                <w:sz w:val="20"/>
                <w:szCs w:val="20"/>
                <w:color w:val="auto"/>
                <w:w w:val="92"/>
              </w:rPr>
              <w:t>Andrew Krasner</w:t>
            </w:r>
          </w:p>
        </w:tc>
      </w:tr>
      <w:tr>
        <w:trPr>
          <w:trHeight w:val="300"/>
        </w:trPr>
        <w:tc>
          <w:tcPr>
            <w:tcW w:w="4600" w:type="dxa"/>
            <w:vAlign w:val="bottom"/>
          </w:tcPr>
          <w:p>
            <w:pPr>
              <w:jc w:val="center"/>
              <w:ind w:right="920"/>
              <w:spacing w:after="0"/>
              <w:rPr>
                <w:sz w:val="20"/>
                <w:szCs w:val="20"/>
                <w:color w:val="auto"/>
              </w:rPr>
            </w:pPr>
            <w:r>
              <w:rPr>
                <w:rFonts w:ascii="Arial" w:cs="Arial" w:eastAsia="Arial" w:hAnsi="Arial"/>
                <w:sz w:val="20"/>
                <w:szCs w:val="20"/>
                <w:i w:val="1"/>
                <w:iCs w:val="1"/>
                <w:color w:val="auto"/>
                <w:w w:val="93"/>
              </w:rPr>
              <w:t>Chief Executive Officer and Director</w:t>
            </w:r>
          </w:p>
        </w:tc>
        <w:tc>
          <w:tcPr>
            <w:tcW w:w="2920" w:type="dxa"/>
            <w:vAlign w:val="bottom"/>
          </w:tcPr>
          <w:p>
            <w:pPr>
              <w:jc w:val="center"/>
              <w:ind w:left="940"/>
              <w:spacing w:after="0"/>
              <w:rPr>
                <w:sz w:val="20"/>
                <w:szCs w:val="20"/>
                <w:color w:val="auto"/>
              </w:rPr>
            </w:pPr>
            <w:r>
              <w:rPr>
                <w:rFonts w:ascii="Arial" w:cs="Arial" w:eastAsia="Arial" w:hAnsi="Arial"/>
                <w:sz w:val="20"/>
                <w:szCs w:val="20"/>
                <w:i w:val="1"/>
                <w:iCs w:val="1"/>
                <w:color w:val="auto"/>
                <w:w w:val="95"/>
              </w:rPr>
              <w:t>Chief Financial Officer</w:t>
            </w:r>
          </w:p>
        </w:tc>
      </w:tr>
      <w:tr>
        <w:trPr>
          <w:trHeight w:val="300"/>
        </w:trPr>
        <w:tc>
          <w:tcPr>
            <w:tcW w:w="4600" w:type="dxa"/>
            <w:vAlign w:val="bottom"/>
          </w:tcPr>
          <w:p>
            <w:pPr>
              <w:jc w:val="center"/>
              <w:ind w:right="920"/>
              <w:spacing w:after="0"/>
              <w:rPr>
                <w:sz w:val="20"/>
                <w:szCs w:val="20"/>
                <w:color w:val="auto"/>
              </w:rPr>
            </w:pPr>
            <w:r>
              <w:rPr>
                <w:rFonts w:ascii="Arial" w:cs="Arial" w:eastAsia="Arial" w:hAnsi="Arial"/>
                <w:sz w:val="20"/>
                <w:szCs w:val="20"/>
                <w:i w:val="1"/>
                <w:iCs w:val="1"/>
                <w:color w:val="auto"/>
                <w:w w:val="94"/>
              </w:rPr>
              <w:t>(Principal Executive Officer)</w:t>
            </w:r>
          </w:p>
        </w:tc>
        <w:tc>
          <w:tcPr>
            <w:tcW w:w="2920" w:type="dxa"/>
            <w:vAlign w:val="bottom"/>
          </w:tcPr>
          <w:p>
            <w:pPr>
              <w:spacing w:after="0"/>
              <w:rPr>
                <w:sz w:val="24"/>
                <w:szCs w:val="24"/>
                <w:color w:val="auto"/>
              </w:rPr>
            </w:pPr>
          </w:p>
        </w:tc>
      </w:tr>
      <w:tr>
        <w:trPr>
          <w:trHeight w:val="599"/>
        </w:trPr>
        <w:tc>
          <w:tcPr>
            <w:tcW w:w="4600" w:type="dxa"/>
            <w:vAlign w:val="bottom"/>
          </w:tcPr>
          <w:p>
            <w:pPr>
              <w:jc w:val="center"/>
              <w:ind w:right="920"/>
              <w:spacing w:after="0"/>
              <w:rPr>
                <w:sz w:val="20"/>
                <w:szCs w:val="20"/>
                <w:color w:val="auto"/>
              </w:rPr>
            </w:pPr>
            <w:r>
              <w:rPr>
                <w:rFonts w:ascii="Arial" w:cs="Arial" w:eastAsia="Arial" w:hAnsi="Arial"/>
                <w:sz w:val="20"/>
                <w:szCs w:val="20"/>
                <w:color w:val="auto"/>
                <w:w w:val="89"/>
              </w:rPr>
              <w:t>/s/ Joseph Kurpis</w:t>
            </w:r>
          </w:p>
        </w:tc>
        <w:tc>
          <w:tcPr>
            <w:tcW w:w="2920" w:type="dxa"/>
            <w:vAlign w:val="bottom"/>
          </w:tcPr>
          <w:p>
            <w:pPr>
              <w:spacing w:after="0"/>
              <w:rPr>
                <w:sz w:val="24"/>
                <w:szCs w:val="24"/>
                <w:color w:val="auto"/>
              </w:rPr>
            </w:pPr>
          </w:p>
        </w:tc>
      </w:tr>
      <w:tr>
        <w:trPr>
          <w:trHeight w:val="334"/>
        </w:trPr>
        <w:tc>
          <w:tcPr>
            <w:tcW w:w="4600" w:type="dxa"/>
            <w:vAlign w:val="bottom"/>
          </w:tcPr>
          <w:p>
            <w:pPr>
              <w:jc w:val="center"/>
              <w:ind w:right="920"/>
              <w:spacing w:after="0"/>
              <w:rPr>
                <w:sz w:val="20"/>
                <w:szCs w:val="20"/>
                <w:color w:val="auto"/>
              </w:rPr>
            </w:pPr>
            <w:r>
              <w:rPr>
                <w:rFonts w:ascii="Arial" w:cs="Arial" w:eastAsia="Arial" w:hAnsi="Arial"/>
                <w:sz w:val="20"/>
                <w:szCs w:val="20"/>
                <w:color w:val="auto"/>
                <w:w w:val="89"/>
              </w:rPr>
              <w:t>Joseph Kurpis</w:t>
            </w:r>
          </w:p>
        </w:tc>
        <w:tc>
          <w:tcPr>
            <w:tcW w:w="2920" w:type="dxa"/>
            <w:vAlign w:val="bottom"/>
          </w:tcPr>
          <w:p>
            <w:pPr>
              <w:spacing w:after="0"/>
              <w:rPr>
                <w:sz w:val="24"/>
                <w:szCs w:val="24"/>
                <w:color w:val="auto"/>
              </w:rPr>
            </w:pPr>
          </w:p>
        </w:tc>
      </w:tr>
      <w:tr>
        <w:trPr>
          <w:trHeight w:val="300"/>
        </w:trPr>
        <w:tc>
          <w:tcPr>
            <w:tcW w:w="4600" w:type="dxa"/>
            <w:vAlign w:val="bottom"/>
          </w:tcPr>
          <w:p>
            <w:pPr>
              <w:jc w:val="center"/>
              <w:ind w:right="920"/>
              <w:spacing w:after="0"/>
              <w:rPr>
                <w:sz w:val="20"/>
                <w:szCs w:val="20"/>
                <w:color w:val="auto"/>
              </w:rPr>
            </w:pPr>
            <w:r>
              <w:rPr>
                <w:rFonts w:ascii="Arial" w:cs="Arial" w:eastAsia="Arial" w:hAnsi="Arial"/>
                <w:sz w:val="20"/>
                <w:szCs w:val="20"/>
                <w:i w:val="1"/>
                <w:iCs w:val="1"/>
                <w:color w:val="auto"/>
                <w:w w:val="94"/>
              </w:rPr>
              <w:t>Principal Accounting Officer and Controller</w:t>
            </w:r>
          </w:p>
        </w:tc>
        <w:tc>
          <w:tcPr>
            <w:tcW w:w="2920" w:type="dxa"/>
            <w:vAlign w:val="bottom"/>
          </w:tcPr>
          <w:p>
            <w:pPr>
              <w:spacing w:after="0"/>
              <w:rPr>
                <w:sz w:val="24"/>
                <w:szCs w:val="24"/>
                <w:color w:val="auto"/>
              </w:rPr>
            </w:pPr>
          </w:p>
        </w:tc>
      </w:tr>
      <w:tr>
        <w:trPr>
          <w:trHeight w:val="599"/>
        </w:trPr>
        <w:tc>
          <w:tcPr>
            <w:tcW w:w="4600" w:type="dxa"/>
            <w:vAlign w:val="bottom"/>
          </w:tcPr>
          <w:p>
            <w:pPr>
              <w:jc w:val="center"/>
              <w:ind w:right="920"/>
              <w:spacing w:after="0"/>
              <w:rPr>
                <w:sz w:val="20"/>
                <w:szCs w:val="20"/>
                <w:color w:val="auto"/>
              </w:rPr>
            </w:pPr>
            <w:r>
              <w:rPr>
                <w:rFonts w:ascii="Arial" w:cs="Arial" w:eastAsia="Arial" w:hAnsi="Arial"/>
                <w:sz w:val="20"/>
                <w:szCs w:val="20"/>
                <w:color w:val="auto"/>
                <w:w w:val="89"/>
              </w:rPr>
              <w:t>/s/ Dame Inga Beale</w:t>
            </w:r>
          </w:p>
        </w:tc>
        <w:tc>
          <w:tcPr>
            <w:tcW w:w="2920" w:type="dxa"/>
            <w:vAlign w:val="bottom"/>
          </w:tcPr>
          <w:p>
            <w:pPr>
              <w:jc w:val="center"/>
              <w:ind w:left="940"/>
              <w:spacing w:after="0"/>
              <w:rPr>
                <w:sz w:val="20"/>
                <w:szCs w:val="20"/>
                <w:color w:val="auto"/>
              </w:rPr>
            </w:pPr>
            <w:r>
              <w:rPr>
                <w:rFonts w:ascii="Arial" w:cs="Arial" w:eastAsia="Arial" w:hAnsi="Arial"/>
                <w:sz w:val="20"/>
                <w:szCs w:val="20"/>
                <w:color w:val="auto"/>
                <w:w w:val="93"/>
              </w:rPr>
              <w:t>/s/ Fumbi Chima</w:t>
            </w:r>
          </w:p>
        </w:tc>
      </w:tr>
      <w:tr>
        <w:trPr>
          <w:trHeight w:val="334"/>
        </w:trPr>
        <w:tc>
          <w:tcPr>
            <w:tcW w:w="4600" w:type="dxa"/>
            <w:vAlign w:val="bottom"/>
          </w:tcPr>
          <w:p>
            <w:pPr>
              <w:jc w:val="center"/>
              <w:ind w:right="920"/>
              <w:spacing w:after="0"/>
              <w:rPr>
                <w:sz w:val="20"/>
                <w:szCs w:val="20"/>
                <w:color w:val="auto"/>
              </w:rPr>
            </w:pPr>
            <w:r>
              <w:rPr>
                <w:rFonts w:ascii="Arial" w:cs="Arial" w:eastAsia="Arial" w:hAnsi="Arial"/>
                <w:sz w:val="20"/>
                <w:szCs w:val="20"/>
                <w:color w:val="auto"/>
                <w:w w:val="89"/>
              </w:rPr>
              <w:t>Dame Inga Beale</w:t>
            </w:r>
          </w:p>
        </w:tc>
        <w:tc>
          <w:tcPr>
            <w:tcW w:w="2920" w:type="dxa"/>
            <w:vAlign w:val="bottom"/>
          </w:tcPr>
          <w:p>
            <w:pPr>
              <w:jc w:val="center"/>
              <w:ind w:left="940"/>
              <w:spacing w:after="0"/>
              <w:rPr>
                <w:sz w:val="20"/>
                <w:szCs w:val="20"/>
                <w:color w:val="auto"/>
              </w:rPr>
            </w:pPr>
            <w:r>
              <w:rPr>
                <w:rFonts w:ascii="Arial" w:cs="Arial" w:eastAsia="Arial" w:hAnsi="Arial"/>
                <w:sz w:val="20"/>
                <w:szCs w:val="20"/>
                <w:color w:val="auto"/>
                <w:w w:val="94"/>
              </w:rPr>
              <w:t>Fumbi Chima</w:t>
            </w:r>
          </w:p>
        </w:tc>
      </w:tr>
      <w:tr>
        <w:trPr>
          <w:trHeight w:val="300"/>
        </w:trPr>
        <w:tc>
          <w:tcPr>
            <w:tcW w:w="4600" w:type="dxa"/>
            <w:vAlign w:val="bottom"/>
          </w:tcPr>
          <w:p>
            <w:pPr>
              <w:jc w:val="center"/>
              <w:ind w:right="920"/>
              <w:spacing w:after="0"/>
              <w:rPr>
                <w:sz w:val="20"/>
                <w:szCs w:val="20"/>
                <w:color w:val="auto"/>
              </w:rPr>
            </w:pPr>
            <w:r>
              <w:rPr>
                <w:rFonts w:ascii="Arial" w:cs="Arial" w:eastAsia="Arial" w:hAnsi="Arial"/>
                <w:sz w:val="20"/>
                <w:szCs w:val="20"/>
                <w:i w:val="1"/>
                <w:iCs w:val="1"/>
                <w:color w:val="auto"/>
                <w:w w:val="99"/>
              </w:rPr>
              <w:t>Director</w:t>
            </w:r>
          </w:p>
        </w:tc>
        <w:tc>
          <w:tcPr>
            <w:tcW w:w="2920" w:type="dxa"/>
            <w:vAlign w:val="bottom"/>
          </w:tcPr>
          <w:p>
            <w:pPr>
              <w:jc w:val="center"/>
              <w:ind w:left="940"/>
              <w:spacing w:after="0"/>
              <w:rPr>
                <w:sz w:val="20"/>
                <w:szCs w:val="20"/>
                <w:color w:val="auto"/>
              </w:rPr>
            </w:pPr>
            <w:r>
              <w:rPr>
                <w:rFonts w:ascii="Arial" w:cs="Arial" w:eastAsia="Arial" w:hAnsi="Arial"/>
                <w:sz w:val="20"/>
                <w:szCs w:val="20"/>
                <w:i w:val="1"/>
                <w:iCs w:val="1"/>
                <w:color w:val="auto"/>
                <w:w w:val="97"/>
              </w:rPr>
              <w:t>Director</w:t>
            </w:r>
          </w:p>
        </w:tc>
      </w:tr>
      <w:tr>
        <w:trPr>
          <w:trHeight w:val="599"/>
        </w:trPr>
        <w:tc>
          <w:tcPr>
            <w:tcW w:w="4600" w:type="dxa"/>
            <w:vAlign w:val="bottom"/>
          </w:tcPr>
          <w:p>
            <w:pPr>
              <w:jc w:val="center"/>
              <w:ind w:right="920"/>
              <w:spacing w:after="0"/>
              <w:rPr>
                <w:sz w:val="20"/>
                <w:szCs w:val="20"/>
                <w:color w:val="auto"/>
              </w:rPr>
            </w:pPr>
            <w:r>
              <w:rPr>
                <w:rFonts w:ascii="Arial" w:cs="Arial" w:eastAsia="Arial" w:hAnsi="Arial"/>
                <w:sz w:val="20"/>
                <w:szCs w:val="20"/>
                <w:color w:val="auto"/>
                <w:w w:val="88"/>
              </w:rPr>
              <w:t>/s/ Stephen Chipman</w:t>
            </w:r>
          </w:p>
        </w:tc>
        <w:tc>
          <w:tcPr>
            <w:tcW w:w="2920" w:type="dxa"/>
            <w:vAlign w:val="bottom"/>
          </w:tcPr>
          <w:p>
            <w:pPr>
              <w:jc w:val="center"/>
              <w:ind w:left="940"/>
              <w:spacing w:after="0"/>
              <w:rPr>
                <w:sz w:val="20"/>
                <w:szCs w:val="20"/>
                <w:color w:val="auto"/>
              </w:rPr>
            </w:pPr>
            <w:r>
              <w:rPr>
                <w:rFonts w:ascii="Arial" w:cs="Arial" w:eastAsia="Arial" w:hAnsi="Arial"/>
                <w:sz w:val="20"/>
                <w:szCs w:val="20"/>
                <w:color w:val="auto"/>
                <w:w w:val="93"/>
              </w:rPr>
              <w:t>/s/ Michael Hammond</w:t>
            </w:r>
          </w:p>
        </w:tc>
      </w:tr>
      <w:tr>
        <w:trPr>
          <w:trHeight w:val="334"/>
        </w:trPr>
        <w:tc>
          <w:tcPr>
            <w:tcW w:w="4600" w:type="dxa"/>
            <w:vAlign w:val="bottom"/>
          </w:tcPr>
          <w:p>
            <w:pPr>
              <w:jc w:val="center"/>
              <w:ind w:right="920"/>
              <w:spacing w:after="0"/>
              <w:rPr>
                <w:sz w:val="20"/>
                <w:szCs w:val="20"/>
                <w:color w:val="auto"/>
              </w:rPr>
            </w:pPr>
            <w:r>
              <w:rPr>
                <w:rFonts w:ascii="Arial" w:cs="Arial" w:eastAsia="Arial" w:hAnsi="Arial"/>
                <w:sz w:val="20"/>
                <w:szCs w:val="20"/>
                <w:color w:val="auto"/>
                <w:w w:val="88"/>
              </w:rPr>
              <w:t>Stephen Chipman</w:t>
            </w:r>
          </w:p>
        </w:tc>
        <w:tc>
          <w:tcPr>
            <w:tcW w:w="2920" w:type="dxa"/>
            <w:vAlign w:val="bottom"/>
          </w:tcPr>
          <w:p>
            <w:pPr>
              <w:jc w:val="center"/>
              <w:ind w:left="940"/>
              <w:spacing w:after="0"/>
              <w:rPr>
                <w:sz w:val="20"/>
                <w:szCs w:val="20"/>
                <w:color w:val="auto"/>
              </w:rPr>
            </w:pPr>
            <w:r>
              <w:rPr>
                <w:rFonts w:ascii="Arial" w:cs="Arial" w:eastAsia="Arial" w:hAnsi="Arial"/>
                <w:sz w:val="20"/>
                <w:szCs w:val="20"/>
                <w:color w:val="auto"/>
                <w:w w:val="93"/>
              </w:rPr>
              <w:t>Michael Hammond</w:t>
            </w:r>
          </w:p>
        </w:tc>
      </w:tr>
      <w:tr>
        <w:trPr>
          <w:trHeight w:val="300"/>
        </w:trPr>
        <w:tc>
          <w:tcPr>
            <w:tcW w:w="4600" w:type="dxa"/>
            <w:vAlign w:val="bottom"/>
          </w:tcPr>
          <w:p>
            <w:pPr>
              <w:jc w:val="center"/>
              <w:ind w:right="920"/>
              <w:spacing w:after="0"/>
              <w:rPr>
                <w:sz w:val="20"/>
                <w:szCs w:val="20"/>
                <w:color w:val="auto"/>
              </w:rPr>
            </w:pPr>
            <w:r>
              <w:rPr>
                <w:rFonts w:ascii="Arial" w:cs="Arial" w:eastAsia="Arial" w:hAnsi="Arial"/>
                <w:sz w:val="20"/>
                <w:szCs w:val="20"/>
                <w:i w:val="1"/>
                <w:iCs w:val="1"/>
                <w:color w:val="auto"/>
                <w:w w:val="99"/>
              </w:rPr>
              <w:t>Director</w:t>
            </w:r>
          </w:p>
        </w:tc>
        <w:tc>
          <w:tcPr>
            <w:tcW w:w="2920" w:type="dxa"/>
            <w:vAlign w:val="bottom"/>
          </w:tcPr>
          <w:p>
            <w:pPr>
              <w:jc w:val="center"/>
              <w:ind w:left="940"/>
              <w:spacing w:after="0"/>
              <w:rPr>
                <w:sz w:val="20"/>
                <w:szCs w:val="20"/>
                <w:color w:val="auto"/>
              </w:rPr>
            </w:pPr>
            <w:r>
              <w:rPr>
                <w:rFonts w:ascii="Arial" w:cs="Arial" w:eastAsia="Arial" w:hAnsi="Arial"/>
                <w:sz w:val="20"/>
                <w:szCs w:val="20"/>
                <w:i w:val="1"/>
                <w:iCs w:val="1"/>
                <w:color w:val="auto"/>
                <w:w w:val="97"/>
              </w:rPr>
              <w:t>Director</w:t>
            </w:r>
          </w:p>
        </w:tc>
      </w:tr>
      <w:tr>
        <w:trPr>
          <w:trHeight w:val="599"/>
        </w:trPr>
        <w:tc>
          <w:tcPr>
            <w:tcW w:w="4600" w:type="dxa"/>
            <w:vAlign w:val="bottom"/>
          </w:tcPr>
          <w:p>
            <w:pPr>
              <w:jc w:val="center"/>
              <w:ind w:right="920"/>
              <w:spacing w:after="0"/>
              <w:rPr>
                <w:sz w:val="20"/>
                <w:szCs w:val="20"/>
                <w:color w:val="auto"/>
              </w:rPr>
            </w:pPr>
            <w:r>
              <w:rPr>
                <w:rFonts w:ascii="Arial" w:cs="Arial" w:eastAsia="Arial" w:hAnsi="Arial"/>
                <w:sz w:val="20"/>
                <w:szCs w:val="20"/>
                <w:color w:val="auto"/>
                <w:w w:val="90"/>
              </w:rPr>
              <w:t>/s/ Jacqueline Hunt</w:t>
            </w:r>
          </w:p>
        </w:tc>
        <w:tc>
          <w:tcPr>
            <w:tcW w:w="2920" w:type="dxa"/>
            <w:vAlign w:val="bottom"/>
          </w:tcPr>
          <w:p>
            <w:pPr>
              <w:jc w:val="center"/>
              <w:ind w:left="940"/>
              <w:spacing w:after="0"/>
              <w:rPr>
                <w:sz w:val="20"/>
                <w:szCs w:val="20"/>
                <w:color w:val="auto"/>
              </w:rPr>
            </w:pPr>
            <w:r>
              <w:rPr>
                <w:rFonts w:ascii="Arial" w:cs="Arial" w:eastAsia="Arial" w:hAnsi="Arial"/>
                <w:sz w:val="20"/>
                <w:szCs w:val="20"/>
                <w:color w:val="auto"/>
                <w:w w:val="92"/>
              </w:rPr>
              <w:t>/s/ Paul Reilly</w:t>
            </w:r>
          </w:p>
        </w:tc>
      </w:tr>
      <w:tr>
        <w:trPr>
          <w:trHeight w:val="334"/>
        </w:trPr>
        <w:tc>
          <w:tcPr>
            <w:tcW w:w="4600" w:type="dxa"/>
            <w:vAlign w:val="bottom"/>
          </w:tcPr>
          <w:p>
            <w:pPr>
              <w:jc w:val="center"/>
              <w:ind w:right="920"/>
              <w:spacing w:after="0"/>
              <w:rPr>
                <w:sz w:val="20"/>
                <w:szCs w:val="20"/>
                <w:color w:val="auto"/>
              </w:rPr>
            </w:pPr>
            <w:r>
              <w:rPr>
                <w:rFonts w:ascii="Arial" w:cs="Arial" w:eastAsia="Arial" w:hAnsi="Arial"/>
                <w:sz w:val="20"/>
                <w:szCs w:val="20"/>
                <w:color w:val="auto"/>
                <w:w w:val="90"/>
              </w:rPr>
              <w:t>Jacqueline Hunt</w:t>
            </w:r>
          </w:p>
        </w:tc>
        <w:tc>
          <w:tcPr>
            <w:tcW w:w="2920" w:type="dxa"/>
            <w:vAlign w:val="bottom"/>
          </w:tcPr>
          <w:p>
            <w:pPr>
              <w:jc w:val="center"/>
              <w:ind w:left="940"/>
              <w:spacing w:after="0"/>
              <w:rPr>
                <w:sz w:val="20"/>
                <w:szCs w:val="20"/>
                <w:color w:val="auto"/>
              </w:rPr>
            </w:pPr>
            <w:r>
              <w:rPr>
                <w:rFonts w:ascii="Arial" w:cs="Arial" w:eastAsia="Arial" w:hAnsi="Arial"/>
                <w:sz w:val="20"/>
                <w:szCs w:val="20"/>
                <w:color w:val="auto"/>
                <w:w w:val="93"/>
              </w:rPr>
              <w:t>Paul Reilly</w:t>
            </w:r>
          </w:p>
        </w:tc>
      </w:tr>
      <w:tr>
        <w:trPr>
          <w:trHeight w:val="300"/>
        </w:trPr>
        <w:tc>
          <w:tcPr>
            <w:tcW w:w="4600" w:type="dxa"/>
            <w:vAlign w:val="bottom"/>
          </w:tcPr>
          <w:p>
            <w:pPr>
              <w:jc w:val="center"/>
              <w:ind w:right="920"/>
              <w:spacing w:after="0"/>
              <w:rPr>
                <w:sz w:val="20"/>
                <w:szCs w:val="20"/>
                <w:color w:val="auto"/>
              </w:rPr>
            </w:pPr>
            <w:r>
              <w:rPr>
                <w:rFonts w:ascii="Arial" w:cs="Arial" w:eastAsia="Arial" w:hAnsi="Arial"/>
                <w:sz w:val="20"/>
                <w:szCs w:val="20"/>
                <w:i w:val="1"/>
                <w:iCs w:val="1"/>
                <w:color w:val="auto"/>
                <w:w w:val="99"/>
              </w:rPr>
              <w:t>Director</w:t>
            </w:r>
          </w:p>
        </w:tc>
        <w:tc>
          <w:tcPr>
            <w:tcW w:w="2920" w:type="dxa"/>
            <w:vAlign w:val="bottom"/>
          </w:tcPr>
          <w:p>
            <w:pPr>
              <w:jc w:val="center"/>
              <w:ind w:left="940"/>
              <w:spacing w:after="0"/>
              <w:rPr>
                <w:sz w:val="20"/>
                <w:szCs w:val="20"/>
                <w:color w:val="auto"/>
              </w:rPr>
            </w:pPr>
            <w:r>
              <w:rPr>
                <w:rFonts w:ascii="Arial" w:cs="Arial" w:eastAsia="Arial" w:hAnsi="Arial"/>
                <w:sz w:val="20"/>
                <w:szCs w:val="20"/>
                <w:i w:val="1"/>
                <w:iCs w:val="1"/>
                <w:color w:val="auto"/>
                <w:w w:val="97"/>
              </w:rPr>
              <w:t>Director</w:t>
            </w:r>
          </w:p>
        </w:tc>
      </w:tr>
      <w:tr>
        <w:trPr>
          <w:trHeight w:val="599"/>
        </w:trPr>
        <w:tc>
          <w:tcPr>
            <w:tcW w:w="4600" w:type="dxa"/>
            <w:vAlign w:val="bottom"/>
          </w:tcPr>
          <w:p>
            <w:pPr>
              <w:jc w:val="center"/>
              <w:ind w:right="920"/>
              <w:spacing w:after="0"/>
              <w:rPr>
                <w:sz w:val="20"/>
                <w:szCs w:val="20"/>
                <w:color w:val="auto"/>
              </w:rPr>
            </w:pPr>
            <w:r>
              <w:rPr>
                <w:rFonts w:ascii="Arial" w:cs="Arial" w:eastAsia="Arial" w:hAnsi="Arial"/>
                <w:sz w:val="20"/>
                <w:szCs w:val="20"/>
                <w:color w:val="auto"/>
                <w:w w:val="91"/>
              </w:rPr>
              <w:t>/s/ Michelle Swanback</w:t>
            </w:r>
          </w:p>
        </w:tc>
        <w:tc>
          <w:tcPr>
            <w:tcW w:w="2920" w:type="dxa"/>
            <w:vAlign w:val="bottom"/>
          </w:tcPr>
          <w:p>
            <w:pPr>
              <w:jc w:val="center"/>
              <w:ind w:left="960"/>
              <w:spacing w:after="0"/>
              <w:rPr>
                <w:sz w:val="20"/>
                <w:szCs w:val="20"/>
                <w:color w:val="auto"/>
              </w:rPr>
            </w:pPr>
            <w:r>
              <w:rPr>
                <w:rFonts w:ascii="Arial" w:cs="Arial" w:eastAsia="Arial" w:hAnsi="Arial"/>
                <w:sz w:val="20"/>
                <w:szCs w:val="20"/>
                <w:color w:val="auto"/>
                <w:w w:val="92"/>
              </w:rPr>
              <w:t>/s/ Fredric Tomczyk</w:t>
            </w:r>
          </w:p>
        </w:tc>
      </w:tr>
      <w:tr>
        <w:trPr>
          <w:trHeight w:val="334"/>
        </w:trPr>
        <w:tc>
          <w:tcPr>
            <w:tcW w:w="4600" w:type="dxa"/>
            <w:vAlign w:val="bottom"/>
          </w:tcPr>
          <w:p>
            <w:pPr>
              <w:jc w:val="center"/>
              <w:ind w:right="920"/>
              <w:spacing w:after="0"/>
              <w:rPr>
                <w:sz w:val="20"/>
                <w:szCs w:val="20"/>
                <w:color w:val="auto"/>
              </w:rPr>
            </w:pPr>
            <w:r>
              <w:rPr>
                <w:rFonts w:ascii="Arial" w:cs="Arial" w:eastAsia="Arial" w:hAnsi="Arial"/>
                <w:sz w:val="20"/>
                <w:szCs w:val="20"/>
                <w:color w:val="auto"/>
                <w:w w:val="92"/>
              </w:rPr>
              <w:t>Michelle Swanback</w:t>
            </w:r>
          </w:p>
        </w:tc>
        <w:tc>
          <w:tcPr>
            <w:tcW w:w="2920" w:type="dxa"/>
            <w:vAlign w:val="bottom"/>
          </w:tcPr>
          <w:p>
            <w:pPr>
              <w:jc w:val="center"/>
              <w:ind w:left="940"/>
              <w:spacing w:after="0"/>
              <w:rPr>
                <w:sz w:val="20"/>
                <w:szCs w:val="20"/>
                <w:color w:val="auto"/>
              </w:rPr>
            </w:pPr>
            <w:r>
              <w:rPr>
                <w:rFonts w:ascii="Arial" w:cs="Arial" w:eastAsia="Arial" w:hAnsi="Arial"/>
                <w:sz w:val="20"/>
                <w:szCs w:val="20"/>
                <w:color w:val="auto"/>
                <w:w w:val="94"/>
              </w:rPr>
              <w:t>Fredric Tomczyk</w:t>
            </w:r>
          </w:p>
        </w:tc>
      </w:tr>
      <w:tr>
        <w:trPr>
          <w:trHeight w:val="300"/>
        </w:trPr>
        <w:tc>
          <w:tcPr>
            <w:tcW w:w="4600" w:type="dxa"/>
            <w:vAlign w:val="bottom"/>
          </w:tcPr>
          <w:p>
            <w:pPr>
              <w:jc w:val="center"/>
              <w:ind w:right="920"/>
              <w:spacing w:after="0"/>
              <w:rPr>
                <w:sz w:val="20"/>
                <w:szCs w:val="20"/>
                <w:color w:val="auto"/>
              </w:rPr>
            </w:pPr>
            <w:r>
              <w:rPr>
                <w:rFonts w:ascii="Arial" w:cs="Arial" w:eastAsia="Arial" w:hAnsi="Arial"/>
                <w:sz w:val="20"/>
                <w:szCs w:val="20"/>
                <w:i w:val="1"/>
                <w:iCs w:val="1"/>
                <w:color w:val="auto"/>
                <w:w w:val="99"/>
              </w:rPr>
              <w:t>Director</w:t>
            </w:r>
          </w:p>
        </w:tc>
        <w:tc>
          <w:tcPr>
            <w:tcW w:w="2920" w:type="dxa"/>
            <w:vAlign w:val="bottom"/>
          </w:tcPr>
          <w:p>
            <w:pPr>
              <w:jc w:val="center"/>
              <w:ind w:left="940"/>
              <w:spacing w:after="0"/>
              <w:rPr>
                <w:sz w:val="20"/>
                <w:szCs w:val="20"/>
                <w:color w:val="auto"/>
              </w:rPr>
            </w:pPr>
            <w:r>
              <w:rPr>
                <w:rFonts w:ascii="Arial" w:cs="Arial" w:eastAsia="Arial" w:hAnsi="Arial"/>
                <w:sz w:val="20"/>
                <w:szCs w:val="20"/>
                <w:i w:val="1"/>
                <w:iCs w:val="1"/>
                <w:color w:val="auto"/>
                <w:w w:val="97"/>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-4482465</wp:posOffset>
            </wp:positionV>
            <wp:extent cx="5967730" cy="127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47">
                      <a:extLst>
                        <a:ext uri="{28A0092B-C50C-407E-A947-70E740481C1C}"/>
                      </a:extLst>
                    </a:blip>
                    <a:srcRect/>
                    <a:stretch>
                      <a:fillRect/>
                    </a:stretch>
                  </pic:blipFill>
                  <pic:spPr bwMode="auto">
                    <a:xfrm>
                      <a:off x="0" y="0"/>
                      <a:ext cx="5967730" cy="127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-3509010</wp:posOffset>
            </wp:positionV>
            <wp:extent cx="2922905" cy="127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48">
                      <a:extLst>
                        <a:ext uri="{28A0092B-C50C-407E-A947-70E740481C1C}"/>
                      </a:extLst>
                    </a:blip>
                    <a:srcRect/>
                    <a:stretch>
                      <a:fillRect/>
                    </a:stretch>
                  </pic:blipFill>
                  <pic:spPr bwMode="auto">
                    <a:xfrm>
                      <a:off x="0" y="0"/>
                      <a:ext cx="2922905" cy="127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-2725420</wp:posOffset>
            </wp:positionV>
            <wp:extent cx="5967730" cy="127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49">
                      <a:extLst>
                        <a:ext uri="{28A0092B-C50C-407E-A947-70E740481C1C}"/>
                      </a:extLst>
                    </a:blip>
                    <a:srcRect/>
                    <a:stretch>
                      <a:fillRect/>
                    </a:stretch>
                  </pic:blipFill>
                  <pic:spPr bwMode="auto">
                    <a:xfrm>
                      <a:off x="0" y="0"/>
                      <a:ext cx="5967730" cy="127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-1942465</wp:posOffset>
            </wp:positionV>
            <wp:extent cx="5967730" cy="127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50">
                      <a:extLst>
                        <a:ext uri="{28A0092B-C50C-407E-A947-70E740481C1C}"/>
                      </a:extLst>
                    </a:blip>
                    <a:srcRect/>
                    <a:stretch>
                      <a:fillRect/>
                    </a:stretch>
                  </pic:blipFill>
                  <pic:spPr bwMode="auto">
                    <a:xfrm>
                      <a:off x="0" y="0"/>
                      <a:ext cx="5967730" cy="127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-1159510</wp:posOffset>
            </wp:positionV>
            <wp:extent cx="5967730" cy="127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51">
                      <a:extLst>
                        <a:ext uri="{28A0092B-C50C-407E-A947-70E740481C1C}"/>
                      </a:extLst>
                    </a:blip>
                    <a:srcRect/>
                    <a:stretch>
                      <a:fillRect/>
                    </a:stretch>
                  </pic:blipFill>
                  <pic:spPr bwMode="auto">
                    <a:xfrm>
                      <a:off x="0" y="0"/>
                      <a:ext cx="5967730" cy="127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-376555</wp:posOffset>
            </wp:positionV>
            <wp:extent cx="5967730" cy="127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52">
                      <a:extLst>
                        <a:ext uri="{28A0092B-C50C-407E-A947-70E740481C1C}"/>
                      </a:extLst>
                    </a:blip>
                    <a:srcRect/>
                    <a:stretch>
                      <a:fillRect/>
                    </a:stretch>
                  </pic:blipFill>
                  <pic:spPr bwMode="auto">
                    <a:xfrm>
                      <a:off x="0" y="0"/>
                      <a:ext cx="5967730" cy="12700"/>
                    </a:xfrm>
                    <a:prstGeom prst="rect">
                      <a:avLst/>
                    </a:prstGeom>
                    <a:noFill/>
                  </pic:spPr>
                </pic:pic>
              </a:graphicData>
            </a:graphic>
          </wp:anchor>
        </w:drawing>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24 / 60</w:t>
      </w:r>
    </w:p>
    <w:p>
      <w:pPr>
        <w:sectPr>
          <w:pgSz w:w="11900" w:h="16838" w:orient="portrait"/>
          <w:cols w:equalWidth="0" w:num="1">
            <w:col w:w="9206"/>
          </w:cols>
          <w:pgMar w:left="1260" w:top="1440" w:right="1440" w:bottom="0" w:gutter="0" w:footer="0" w:header="0"/>
          <w:type w:val="continuous"/>
        </w:sectPr>
      </w:pPr>
    </w:p>
    <w:bookmarkStart w:id="284" w:name="page285"/>
    <w:bookmarkEnd w:id="284"/>
    <w:p>
      <w:pPr>
        <w:jc w:val="center"/>
        <w:ind w:right="6"/>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574675</wp:posOffset>
            </wp:positionV>
            <wp:extent cx="5967730" cy="190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5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25 / 60</w:t>
      </w:r>
    </w:p>
    <w:p>
      <w:pPr>
        <w:sectPr>
          <w:pgSz w:w="11900" w:h="16838" w:orient="portrait"/>
          <w:cols w:equalWidth="0" w:num="1">
            <w:col w:w="9026"/>
          </w:cols>
          <w:pgMar w:left="1440" w:top="1413" w:right="1440" w:bottom="0" w:gutter="0" w:footer="0" w:header="0"/>
          <w:type w:val="continuous"/>
        </w:sectPr>
      </w:pPr>
    </w:p>
    <w:bookmarkStart w:id="285" w:name="page286"/>
    <w:bookmarkEnd w:id="2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26 / 60</w:t>
      </w:r>
    </w:p>
    <w:p>
      <w:pPr>
        <w:sectPr>
          <w:pgSz w:w="11900" w:h="16838" w:orient="portrait"/>
          <w:cols w:equalWidth="0" w:num="1">
            <w:col w:w="9026"/>
          </w:cols>
          <w:pgMar w:left="1440" w:top="1440" w:right="1440" w:bottom="0" w:gutter="0" w:footer="0" w:header="0"/>
        </w:sectPr>
      </w:pPr>
    </w:p>
    <w:bookmarkStart w:id="286" w:name="page287"/>
    <w:bookmarkEnd w:id="2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19.1</w:t>
      </w:r>
    </w:p>
    <w:p>
      <w:pPr>
        <w:spacing w:after="0" w:line="200" w:lineRule="exact"/>
        <w:rPr>
          <w:sz w:val="20"/>
          <w:szCs w:val="20"/>
          <w:color w:val="auto"/>
        </w:rPr>
      </w:pPr>
    </w:p>
    <w:p>
      <w:pPr>
        <w:spacing w:after="0" w:line="268"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WILLIS TOWERS WATSON PUBLIC LIMITED COMPANY</w:t>
      </w:r>
    </w:p>
    <w:p>
      <w:pPr>
        <w:spacing w:after="0" w:line="385"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Insider Trading Policy</w:t>
      </w:r>
    </w:p>
    <w:p>
      <w:pPr>
        <w:spacing w:after="0" w:line="384"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January 2026</w:t>
      </w:r>
    </w:p>
    <w:p>
      <w:pPr>
        <w:spacing w:after="0" w:line="379"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47086E"/>
        </w:rPr>
        <w:t>Introduction</w:t>
      </w:r>
    </w:p>
    <w:p>
      <w:pPr>
        <w:spacing w:after="0" w:line="240" w:lineRule="exact"/>
        <w:rPr>
          <w:sz w:val="20"/>
          <w:szCs w:val="20"/>
          <w:color w:val="auto"/>
        </w:rPr>
      </w:pPr>
    </w:p>
    <w:p>
      <w:pPr>
        <w:jc w:val="both"/>
        <w:ind w:left="540" w:right="460"/>
        <w:spacing w:after="0" w:line="312" w:lineRule="auto"/>
        <w:rPr>
          <w:sz w:val="20"/>
          <w:szCs w:val="20"/>
          <w:color w:val="auto"/>
        </w:rPr>
      </w:pPr>
      <w:r>
        <w:rPr>
          <w:rFonts w:ascii="Arial" w:cs="Arial" w:eastAsia="Arial" w:hAnsi="Arial"/>
          <w:sz w:val="20"/>
          <w:szCs w:val="20"/>
          <w:color w:val="auto"/>
        </w:rPr>
        <w:t>The purpose of this policy is to help Willis Towers Watson Public Limited Company and its subsidiaries and affiliates (collectively, the “</w:t>
      </w:r>
      <w:r>
        <w:rPr>
          <w:rFonts w:ascii="Arial" w:cs="Arial" w:eastAsia="Arial" w:hAnsi="Arial"/>
          <w:sz w:val="20"/>
          <w:szCs w:val="20"/>
          <w:u w:val="single" w:color="auto"/>
          <w:color w:val="auto"/>
        </w:rPr>
        <w:t>Company</w:t>
      </w:r>
      <w:r>
        <w:rPr>
          <w:rFonts w:ascii="Arial" w:cs="Arial" w:eastAsia="Arial" w:hAnsi="Arial"/>
          <w:sz w:val="20"/>
          <w:szCs w:val="20"/>
          <w:color w:val="auto"/>
        </w:rPr>
        <w:t>,” “</w:t>
      </w:r>
      <w:r>
        <w:rPr>
          <w:rFonts w:ascii="Arial" w:cs="Arial" w:eastAsia="Arial" w:hAnsi="Arial"/>
          <w:sz w:val="20"/>
          <w:szCs w:val="20"/>
          <w:u w:val="single" w:color="auto"/>
          <w:color w:val="auto"/>
        </w:rPr>
        <w:t>WTW</w:t>
      </w:r>
      <w:r>
        <w:rPr>
          <w:rFonts w:ascii="Arial" w:cs="Arial" w:eastAsia="Arial" w:hAnsi="Arial"/>
          <w:sz w:val="20"/>
          <w:szCs w:val="20"/>
          <w:color w:val="auto"/>
        </w:rPr>
        <w:t>,” “</w:t>
      </w:r>
      <w:r>
        <w:rPr>
          <w:rFonts w:ascii="Arial" w:cs="Arial" w:eastAsia="Arial" w:hAnsi="Arial"/>
          <w:sz w:val="20"/>
          <w:szCs w:val="20"/>
          <w:u w:val="single" w:color="auto"/>
          <w:color w:val="auto"/>
        </w:rPr>
        <w:t>we</w:t>
      </w:r>
      <w:r>
        <w:rPr>
          <w:rFonts w:ascii="Arial" w:cs="Arial" w:eastAsia="Arial" w:hAnsi="Arial"/>
          <w:sz w:val="20"/>
          <w:szCs w:val="20"/>
          <w:color w:val="auto"/>
        </w:rPr>
        <w:t>” or “</w:t>
      </w:r>
      <w:r>
        <w:rPr>
          <w:rFonts w:ascii="Arial" w:cs="Arial" w:eastAsia="Arial" w:hAnsi="Arial"/>
          <w:sz w:val="20"/>
          <w:szCs w:val="20"/>
          <w:u w:val="single" w:color="auto"/>
          <w:color w:val="auto"/>
        </w:rPr>
        <w:t>us</w:t>
      </w:r>
      <w:r>
        <w:rPr>
          <w:rFonts w:ascii="Arial" w:cs="Arial" w:eastAsia="Arial" w:hAnsi="Arial"/>
          <w:sz w:val="20"/>
          <w:szCs w:val="20"/>
          <w:color w:val="auto"/>
        </w:rPr>
        <w:t>”) comply with applicable securities laws, prevent actual or apparent insider trading, and protect our reputation for integrity and ethical conduct.</w:t>
      </w:r>
    </w:p>
    <w:p>
      <w:pPr>
        <w:spacing w:after="0" w:line="132" w:lineRule="exact"/>
        <w:rPr>
          <w:sz w:val="20"/>
          <w:szCs w:val="20"/>
          <w:color w:val="auto"/>
        </w:rPr>
      </w:pPr>
    </w:p>
    <w:p>
      <w:pPr>
        <w:jc w:val="both"/>
        <w:ind w:left="540" w:right="440"/>
        <w:spacing w:after="0" w:line="313" w:lineRule="auto"/>
        <w:rPr>
          <w:sz w:val="20"/>
          <w:szCs w:val="20"/>
          <w:color w:val="auto"/>
        </w:rPr>
      </w:pPr>
      <w:r>
        <w:rPr>
          <w:rFonts w:ascii="Arial" w:cs="Arial" w:eastAsia="Arial" w:hAnsi="Arial"/>
          <w:sz w:val="20"/>
          <w:szCs w:val="20"/>
          <w:color w:val="auto"/>
        </w:rPr>
        <w:t>Insider trading is illegal and prohibited. Insider trading occurs when a person who is aware of material non-public information about a company buys or sells that company’s securities or provides material non-public information to another person who may trade on the basis of that information. This policy applies to the Company’s directors, officers and other employees (“</w:t>
      </w:r>
      <w:r>
        <w:rPr>
          <w:rFonts w:ascii="Arial" w:cs="Arial" w:eastAsia="Arial" w:hAnsi="Arial"/>
          <w:sz w:val="20"/>
          <w:szCs w:val="20"/>
          <w:u w:val="single" w:color="auto"/>
          <w:color w:val="auto"/>
        </w:rPr>
        <w:t>Associates</w:t>
      </w:r>
      <w:r>
        <w:rPr>
          <w:rFonts w:ascii="Arial" w:cs="Arial" w:eastAsia="Arial" w:hAnsi="Arial"/>
          <w:sz w:val="20"/>
          <w:szCs w:val="20"/>
          <w:color w:val="auto"/>
        </w:rPr>
        <w:t>”) and consultants worldwide, as well as certain of their family members and persons sharing the same household, any other person whose transactions in securities are directed by them or are subject to their influence or control, and any trust, partnership, corporation or other entity over which they have investment control.</w:t>
      </w:r>
    </w:p>
    <w:p>
      <w:pPr>
        <w:spacing w:after="0" w:line="134" w:lineRule="exact"/>
        <w:rPr>
          <w:sz w:val="20"/>
          <w:szCs w:val="20"/>
          <w:color w:val="auto"/>
        </w:rPr>
      </w:pPr>
    </w:p>
    <w:p>
      <w:pPr>
        <w:jc w:val="both"/>
        <w:ind w:left="540" w:right="460"/>
        <w:spacing w:after="0" w:line="311" w:lineRule="auto"/>
        <w:rPr>
          <w:sz w:val="20"/>
          <w:szCs w:val="20"/>
          <w:color w:val="auto"/>
        </w:rPr>
      </w:pPr>
      <w:r>
        <w:rPr>
          <w:rFonts w:ascii="Arial" w:cs="Arial" w:eastAsia="Arial" w:hAnsi="Arial"/>
          <w:sz w:val="20"/>
          <w:szCs w:val="20"/>
          <w:color w:val="auto"/>
        </w:rPr>
        <w:t>Based on your role at the Company, you may at times have information about us or another entity that generally is not available to the public and, accordingly, you have certain responsibilities under the</w:t>
      </w:r>
    </w:p>
    <w:p>
      <w:pPr>
        <w:spacing w:after="0" w:line="12" w:lineRule="exact"/>
        <w:rPr>
          <w:sz w:val="20"/>
          <w:szCs w:val="20"/>
          <w:color w:val="auto"/>
        </w:rPr>
      </w:pPr>
    </w:p>
    <w:p>
      <w:pPr>
        <w:jc w:val="both"/>
        <w:ind w:left="540" w:right="480"/>
        <w:spacing w:after="0" w:line="312" w:lineRule="auto"/>
        <w:rPr>
          <w:sz w:val="20"/>
          <w:szCs w:val="20"/>
          <w:color w:val="auto"/>
        </w:rPr>
      </w:pPr>
      <w:r>
        <w:rPr>
          <w:rFonts w:ascii="Arial" w:cs="Arial" w:eastAsia="Arial" w:hAnsi="Arial"/>
          <w:sz w:val="20"/>
          <w:szCs w:val="20"/>
          <w:color w:val="auto"/>
        </w:rPr>
        <w:t>U.S. federal securities laws and similar laws and regulations globally regarding insider information and the trading of securities. This policy seeks to explain some of your obligations to us and under the law. This policy shall be made available to all Associates and consultants.</w:t>
      </w:r>
    </w:p>
    <w:p>
      <w:pPr>
        <w:spacing w:after="0" w:line="131" w:lineRule="exact"/>
        <w:rPr>
          <w:sz w:val="20"/>
          <w:szCs w:val="20"/>
          <w:color w:val="auto"/>
        </w:rPr>
      </w:pPr>
    </w:p>
    <w:p>
      <w:pPr>
        <w:ind w:left="540" w:right="520"/>
        <w:spacing w:after="0" w:line="307" w:lineRule="auto"/>
        <w:rPr>
          <w:sz w:val="20"/>
          <w:szCs w:val="20"/>
          <w:color w:val="auto"/>
        </w:rPr>
      </w:pPr>
      <w:r>
        <w:rPr>
          <w:rFonts w:ascii="Arial" w:cs="Arial" w:eastAsia="Arial" w:hAnsi="Arial"/>
          <w:sz w:val="20"/>
          <w:szCs w:val="20"/>
          <w:color w:val="auto"/>
        </w:rPr>
        <w:t xml:space="preserve">Additional information about this policy may be found at </w:t>
      </w:r>
      <w:r>
        <w:rPr>
          <w:rFonts w:ascii="Arial" w:cs="Arial" w:eastAsia="Arial" w:hAnsi="Arial"/>
          <w:sz w:val="20"/>
          <w:szCs w:val="20"/>
          <w:u w:val="single" w:color="auto"/>
          <w:color w:val="auto"/>
        </w:rPr>
        <w:t>Appendix 1</w:t>
      </w:r>
      <w:r>
        <w:rPr>
          <w:rFonts w:ascii="Arial" w:cs="Arial" w:eastAsia="Arial" w:hAnsi="Arial"/>
          <w:sz w:val="20"/>
          <w:szCs w:val="20"/>
          <w:color w:val="auto"/>
        </w:rPr>
        <w:t>, which contains questions and answers related to this policy.</w:t>
      </w:r>
    </w:p>
    <w:p>
      <w:pPr>
        <w:spacing w:after="0" w:line="135" w:lineRule="exact"/>
        <w:rPr>
          <w:sz w:val="20"/>
          <w:szCs w:val="20"/>
          <w:color w:val="auto"/>
        </w:rPr>
      </w:pPr>
    </w:p>
    <w:p>
      <w:pPr>
        <w:ind w:left="540" w:right="460" w:firstLine="1"/>
        <w:spacing w:after="0" w:line="314" w:lineRule="auto"/>
        <w:rPr>
          <w:sz w:val="20"/>
          <w:szCs w:val="20"/>
          <w:color w:val="auto"/>
        </w:rPr>
      </w:pPr>
      <w:r>
        <w:rPr>
          <w:rFonts w:ascii="Arial" w:cs="Arial" w:eastAsia="Arial" w:hAnsi="Arial"/>
          <w:sz w:val="20"/>
          <w:szCs w:val="20"/>
          <w:b w:val="1"/>
          <w:bCs w:val="1"/>
          <w:color w:val="auto"/>
        </w:rPr>
        <w:t>Your compliance with this policy is of the highest importance for you and the Company. You are responsible for determining whether you are in possession of material nonpublic information and for making sure that you comply with this policy. If you have any questions about this policy or its application to any proposed transaction, you may obtain additional guidance from the General Counsel or Corporate Secretary (referred to in this policy as the “</w:t>
      </w:r>
      <w:r>
        <w:rPr>
          <w:rFonts w:ascii="Arial" w:cs="Arial" w:eastAsia="Arial" w:hAnsi="Arial"/>
          <w:sz w:val="20"/>
          <w:szCs w:val="20"/>
          <w:b w:val="1"/>
          <w:bCs w:val="1"/>
          <w:u w:val="single" w:color="auto"/>
          <w:color w:val="auto"/>
        </w:rPr>
        <w:t>Policy Compliance Officers</w:t>
      </w:r>
      <w:r>
        <w:rPr>
          <w:rFonts w:ascii="Arial" w:cs="Arial" w:eastAsia="Arial" w:hAnsi="Arial"/>
          <w:sz w:val="20"/>
          <w:szCs w:val="20"/>
          <w:b w:val="1"/>
          <w:bCs w:val="1"/>
          <w:color w:val="auto"/>
        </w:rPr>
        <w:t>”); however, any action on the part of the Company, including the Policy Compliance Officers or their designees, does not in any way insulate an individual from liability under applicable securities laws.</w:t>
      </w:r>
    </w:p>
    <w:p>
      <w:pPr>
        <w:spacing w:after="0" w:line="347" w:lineRule="exact"/>
        <w:rPr>
          <w:sz w:val="20"/>
          <w:szCs w:val="20"/>
          <w:color w:val="auto"/>
        </w:rPr>
      </w:pPr>
    </w:p>
    <w:p>
      <w:pPr>
        <w:ind w:left="1160" w:hanging="620"/>
        <w:spacing w:after="0"/>
        <w:tabs>
          <w:tab w:leader="none" w:pos="116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7E35B1"/>
        </w:rPr>
        <w:t>Trading Restrictions</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27 / 60</w:t>
      </w:r>
    </w:p>
    <w:p>
      <w:pPr>
        <w:sectPr>
          <w:pgSz w:w="11900" w:h="16838" w:orient="portrait"/>
          <w:cols w:equalWidth="0" w:num="1">
            <w:col w:w="9220"/>
          </w:cols>
          <w:pgMar w:left="1440" w:top="1440" w:right="1246" w:bottom="0" w:gutter="0" w:footer="0" w:header="0"/>
          <w:type w:val="continuous"/>
        </w:sectPr>
      </w:pPr>
    </w:p>
    <w:bookmarkStart w:id="287" w:name="page288"/>
    <w:bookmarkEnd w:id="287"/>
    <w:p>
      <w:pPr>
        <w:spacing w:after="0" w:line="129" w:lineRule="exact"/>
        <w:rPr>
          <w:sz w:val="20"/>
          <w:szCs w:val="20"/>
          <w:color w:val="auto"/>
        </w:rPr>
      </w:pPr>
    </w:p>
    <w:p>
      <w:pPr>
        <w:ind w:left="1800" w:hanging="633"/>
        <w:spacing w:after="0"/>
        <w:tabs>
          <w:tab w:leader="none" w:pos="1800" w:val="left"/>
        </w:tabs>
        <w:numPr>
          <w:ilvl w:val="0"/>
          <w:numId w:val="85"/>
        </w:numPr>
        <w:rPr>
          <w:rFonts w:ascii="Arial" w:cs="Arial" w:eastAsia="Arial" w:hAnsi="Arial"/>
          <w:sz w:val="20"/>
          <w:szCs w:val="20"/>
          <w:b w:val="1"/>
          <w:bCs w:val="1"/>
          <w:color w:val="auto"/>
        </w:rPr>
      </w:pPr>
      <w:r>
        <w:rPr>
          <w:rFonts w:ascii="Arial" w:cs="Arial" w:eastAsia="Arial" w:hAnsi="Arial"/>
          <w:sz w:val="20"/>
          <w:szCs w:val="20"/>
          <w:b w:val="1"/>
          <w:bCs w:val="1"/>
          <w:i w:val="1"/>
          <w:iCs w:val="1"/>
          <w:color w:val="7E35B1"/>
        </w:rPr>
        <w:t>No transactions while in possession of material nonpublic information</w:t>
      </w:r>
    </w:p>
    <w:p>
      <w:pPr>
        <w:spacing w:after="0" w:line="200" w:lineRule="exact"/>
        <w:rPr>
          <w:sz w:val="20"/>
          <w:szCs w:val="20"/>
          <w:color w:val="auto"/>
        </w:rPr>
      </w:pPr>
    </w:p>
    <w:p>
      <w:pPr>
        <w:spacing w:after="0" w:line="246" w:lineRule="exact"/>
        <w:rPr>
          <w:sz w:val="20"/>
          <w:szCs w:val="20"/>
          <w:color w:val="auto"/>
        </w:rPr>
      </w:pPr>
    </w:p>
    <w:p>
      <w:pPr>
        <w:jc w:val="both"/>
        <w:ind w:left="540" w:right="186"/>
        <w:spacing w:after="0" w:line="314" w:lineRule="auto"/>
        <w:rPr>
          <w:sz w:val="20"/>
          <w:szCs w:val="20"/>
          <w:color w:val="auto"/>
        </w:rPr>
      </w:pPr>
      <w:r>
        <w:rPr>
          <w:rFonts w:ascii="Arial" w:cs="Arial" w:eastAsia="Arial" w:hAnsi="Arial"/>
          <w:sz w:val="20"/>
          <w:szCs w:val="20"/>
          <w:color w:val="auto"/>
        </w:rPr>
        <w:t xml:space="preserve">You may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buy or sell our securities or the securities of any publicly traded company while in possession of information that is material and nonpublic regardless of the source of such information. Moreover, the prohibition on purchases and sales extends not only to transactions involving our securities, but also to transactions involving securities of other companies with which we have a relationship. You, any family member and any other person who has a relationship with you (legal, personal or otherwise) that might reasonably result in that person’s transactions being attributable to you, may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buy or sell securities or engage in any other action to take advantage of material nonpublic information. For purposes of this policy, your “</w:t>
      </w:r>
      <w:r>
        <w:rPr>
          <w:rFonts w:ascii="Arial" w:cs="Arial" w:eastAsia="Arial" w:hAnsi="Arial"/>
          <w:sz w:val="20"/>
          <w:szCs w:val="20"/>
          <w:u w:val="single" w:color="auto"/>
          <w:color w:val="auto"/>
        </w:rPr>
        <w:t>family members</w:t>
      </w:r>
      <w:r>
        <w:rPr>
          <w:rFonts w:ascii="Arial" w:cs="Arial" w:eastAsia="Arial" w:hAnsi="Arial"/>
          <w:sz w:val="20"/>
          <w:szCs w:val="20"/>
          <w:color w:val="auto"/>
        </w:rPr>
        <w:t>” consist of any spouse, child, stepchild, grandchild, parent, stepparent, grandparent, sibling, mother or father-in-law, son or daughter-in-law, or brother-in-law or sister-in-law (as well as adoptive relationships), whether or not they share the same address as you, and any other family members who are financially dependent on you or rely on you for investment and other financial decisions. You are responsible for the</w:t>
      </w:r>
    </w:p>
    <w:p>
      <w:pPr>
        <w:spacing w:after="0" w:line="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796925</wp:posOffset>
            </wp:positionV>
            <wp:extent cx="5967730" cy="1905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5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28 / 60</w:t>
      </w:r>
    </w:p>
    <w:p>
      <w:pPr>
        <w:sectPr>
          <w:pgSz w:w="11900" w:h="16838" w:orient="portrait"/>
          <w:cols w:equalWidth="0" w:num="1">
            <w:col w:w="9026"/>
          </w:cols>
          <w:pgMar w:left="1440" w:top="1440" w:right="1440" w:bottom="0" w:gutter="0" w:footer="0" w:header="0"/>
          <w:type w:val="continuous"/>
        </w:sectPr>
      </w:pPr>
    </w:p>
    <w:bookmarkStart w:id="288" w:name="page289"/>
    <w:bookmarkEnd w:id="2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40" w:right="286"/>
        <w:spacing w:after="0" w:line="307" w:lineRule="auto"/>
        <w:rPr>
          <w:sz w:val="20"/>
          <w:szCs w:val="20"/>
          <w:color w:val="auto"/>
        </w:rPr>
      </w:pPr>
      <w:r>
        <w:rPr>
          <w:rFonts w:ascii="Arial" w:cs="Arial" w:eastAsia="Arial" w:hAnsi="Arial"/>
          <w:sz w:val="20"/>
          <w:szCs w:val="20"/>
          <w:color w:val="auto"/>
        </w:rPr>
        <w:t>transactions of such persons and therefore should make them aware of the need to confer with you before they trade in any Company securities.</w:t>
      </w:r>
    </w:p>
    <w:p>
      <w:pPr>
        <w:spacing w:after="0" w:line="327" w:lineRule="exact"/>
        <w:rPr>
          <w:sz w:val="20"/>
          <w:szCs w:val="20"/>
          <w:color w:val="auto"/>
        </w:rPr>
      </w:pPr>
    </w:p>
    <w:p>
      <w:pPr>
        <w:jc w:val="both"/>
        <w:ind w:left="540" w:right="706"/>
        <w:spacing w:after="0" w:line="312" w:lineRule="auto"/>
        <w:rPr>
          <w:sz w:val="20"/>
          <w:szCs w:val="20"/>
          <w:color w:val="auto"/>
        </w:rPr>
      </w:pPr>
      <w:r>
        <w:rPr>
          <w:rFonts w:ascii="Arial" w:cs="Arial" w:eastAsia="Arial" w:hAnsi="Arial"/>
          <w:sz w:val="20"/>
          <w:szCs w:val="20"/>
          <w:color w:val="auto"/>
        </w:rPr>
        <w:t xml:space="preserve">You may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communicate or pass material nonpublic information (a practice known as “</w:t>
      </w:r>
      <w:r>
        <w:rPr>
          <w:rFonts w:ascii="Arial" w:cs="Arial" w:eastAsia="Arial" w:hAnsi="Arial"/>
          <w:sz w:val="20"/>
          <w:szCs w:val="20"/>
          <w:u w:val="single" w:color="auto"/>
          <w:color w:val="auto"/>
        </w:rPr>
        <w:t>tipping</w:t>
      </w:r>
      <w:r>
        <w:rPr>
          <w:rFonts w:ascii="Arial" w:cs="Arial" w:eastAsia="Arial" w:hAnsi="Arial"/>
          <w:sz w:val="20"/>
          <w:szCs w:val="20"/>
          <w:color w:val="auto"/>
        </w:rPr>
        <w:t>”) concerning the Company or any other entity to others outside the Company, including family and friends. The U.S. federal securities laws impose liability on any person (the “</w:t>
      </w:r>
      <w:r>
        <w:rPr>
          <w:rFonts w:ascii="Arial" w:cs="Arial" w:eastAsia="Arial" w:hAnsi="Arial"/>
          <w:sz w:val="20"/>
          <w:szCs w:val="20"/>
          <w:u w:val="single" w:color="auto"/>
          <w:color w:val="auto"/>
        </w:rPr>
        <w:t>tipper</w:t>
      </w:r>
      <w:r>
        <w:rPr>
          <w:rFonts w:ascii="Arial" w:cs="Arial" w:eastAsia="Arial" w:hAnsi="Arial"/>
          <w:sz w:val="20"/>
          <w:szCs w:val="20"/>
          <w:color w:val="auto"/>
        </w:rPr>
        <w:t>”) who “tips”</w:t>
      </w:r>
    </w:p>
    <w:p>
      <w:pPr>
        <w:spacing w:after="0" w:line="13" w:lineRule="exact"/>
        <w:rPr>
          <w:sz w:val="20"/>
          <w:szCs w:val="20"/>
          <w:color w:val="auto"/>
        </w:rPr>
      </w:pPr>
    </w:p>
    <w:p>
      <w:pPr>
        <w:jc w:val="both"/>
        <w:ind w:left="540" w:right="226"/>
        <w:spacing w:after="0" w:line="311" w:lineRule="auto"/>
        <w:rPr>
          <w:sz w:val="20"/>
          <w:szCs w:val="20"/>
          <w:color w:val="auto"/>
        </w:rPr>
      </w:pPr>
      <w:r>
        <w:rPr>
          <w:rFonts w:ascii="Arial" w:cs="Arial" w:eastAsia="Arial" w:hAnsi="Arial"/>
          <w:sz w:val="20"/>
          <w:szCs w:val="20"/>
          <w:color w:val="auto"/>
        </w:rPr>
        <w:t>material nonpublic information to another person or entity (the “</w:t>
      </w:r>
      <w:r>
        <w:rPr>
          <w:rFonts w:ascii="Arial" w:cs="Arial" w:eastAsia="Arial" w:hAnsi="Arial"/>
          <w:sz w:val="20"/>
          <w:szCs w:val="20"/>
          <w:u w:val="single" w:color="auto"/>
          <w:color w:val="auto"/>
        </w:rPr>
        <w:t>tippee</w:t>
      </w:r>
      <w:r>
        <w:rPr>
          <w:rFonts w:ascii="Arial" w:cs="Arial" w:eastAsia="Arial" w:hAnsi="Arial"/>
          <w:sz w:val="20"/>
          <w:szCs w:val="20"/>
          <w:color w:val="auto"/>
        </w:rPr>
        <w:t>”), who then trades on the basis of the information. Penalties may apply regardless of whether the tipper derives any benefits from the tippee’s trading activities.</w:t>
      </w:r>
    </w:p>
    <w:p>
      <w:pPr>
        <w:spacing w:after="0" w:line="322" w:lineRule="exact"/>
        <w:rPr>
          <w:sz w:val="20"/>
          <w:szCs w:val="20"/>
          <w:color w:val="auto"/>
        </w:rPr>
      </w:pPr>
    </w:p>
    <w:p>
      <w:pPr>
        <w:jc w:val="both"/>
        <w:ind w:left="540" w:right="286"/>
        <w:spacing w:after="0" w:line="313" w:lineRule="auto"/>
        <w:rPr>
          <w:sz w:val="20"/>
          <w:szCs w:val="20"/>
          <w:color w:val="auto"/>
        </w:rPr>
      </w:pPr>
      <w:r>
        <w:rPr>
          <w:rFonts w:ascii="Arial" w:cs="Arial" w:eastAsia="Arial" w:hAnsi="Arial"/>
          <w:sz w:val="20"/>
          <w:szCs w:val="20"/>
          <w:color w:val="auto"/>
        </w:rPr>
        <w:t>To avoid even the appearance of impropriety, additional restrictions on trading of Company securities and pre-clearance procedures applicable to certain designated Associates are included below. Persons that are not subject to these specified restrictions are nevertheless encouraged to refrain from trading in Company securities during a blackout period (as described below).</w:t>
      </w:r>
    </w:p>
    <w:p>
      <w:pPr>
        <w:spacing w:after="0" w:line="322" w:lineRule="exact"/>
        <w:rPr>
          <w:sz w:val="20"/>
          <w:szCs w:val="20"/>
          <w:color w:val="auto"/>
        </w:rPr>
      </w:pPr>
    </w:p>
    <w:p>
      <w:pPr>
        <w:jc w:val="both"/>
        <w:ind w:left="540" w:right="266"/>
        <w:spacing w:after="0" w:line="313" w:lineRule="auto"/>
        <w:rPr>
          <w:sz w:val="20"/>
          <w:szCs w:val="20"/>
          <w:color w:val="auto"/>
        </w:rPr>
      </w:pPr>
      <w:r>
        <w:rPr>
          <w:rFonts w:ascii="Arial" w:cs="Arial" w:eastAsia="Arial" w:hAnsi="Arial"/>
          <w:sz w:val="20"/>
          <w:szCs w:val="20"/>
          <w:color w:val="auto"/>
        </w:rPr>
        <w:t>If you are a director, an executive officer or another Section 16 reporting person, keep in mind the various restrictions on securities trading imposed under Section 16 of the U.S.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and the applicable reporting requirements of the U.S. Securities and Exchange Commission (“</w:t>
      </w:r>
      <w:r>
        <w:rPr>
          <w:rFonts w:ascii="Arial" w:cs="Arial" w:eastAsia="Arial" w:hAnsi="Arial"/>
          <w:sz w:val="20"/>
          <w:szCs w:val="20"/>
          <w:u w:val="single" w:color="auto"/>
          <w:color w:val="auto"/>
        </w:rPr>
        <w:t>SEC</w:t>
      </w:r>
      <w:r>
        <w:rPr>
          <w:rFonts w:ascii="Arial" w:cs="Arial" w:eastAsia="Arial" w:hAnsi="Arial"/>
          <w:sz w:val="20"/>
          <w:szCs w:val="20"/>
          <w:color w:val="auto"/>
        </w:rPr>
        <w:t>”). If you are unsure whether you are a Section 16 reporting person, please contact a Policy Compliance Officer.</w:t>
      </w:r>
    </w:p>
    <w:p>
      <w:pPr>
        <w:spacing w:after="0" w:line="328" w:lineRule="exact"/>
        <w:rPr>
          <w:sz w:val="20"/>
          <w:szCs w:val="20"/>
          <w:color w:val="auto"/>
        </w:rPr>
      </w:pPr>
    </w:p>
    <w:p>
      <w:pPr>
        <w:jc w:val="both"/>
        <w:ind w:left="540" w:right="286"/>
        <w:spacing w:after="0" w:line="313" w:lineRule="auto"/>
        <w:rPr>
          <w:sz w:val="20"/>
          <w:szCs w:val="20"/>
          <w:color w:val="auto"/>
        </w:rPr>
      </w:pPr>
      <w:r>
        <w:rPr>
          <w:rFonts w:ascii="Arial" w:cs="Arial" w:eastAsia="Arial" w:hAnsi="Arial"/>
          <w:sz w:val="20"/>
          <w:szCs w:val="20"/>
          <w:color w:val="auto"/>
        </w:rPr>
        <w:t>The existence of a personal financial emergency does not excuse you from compliance with this policy. This means that you may have to forgo a proposed transaction in our securities even if you planned to make the transaction before learning the material nonpublic information and even though you believe that waiting may cause you to suffer an economic loss or forgo anticipated profit. If you have any questions or concerns, please contact a Policy Compliance Officer.</w:t>
      </w:r>
    </w:p>
    <w:p>
      <w:pPr>
        <w:spacing w:after="0" w:line="200" w:lineRule="exact"/>
        <w:rPr>
          <w:sz w:val="20"/>
          <w:szCs w:val="20"/>
          <w:color w:val="auto"/>
        </w:rPr>
      </w:pPr>
    </w:p>
    <w:p>
      <w:pPr>
        <w:spacing w:after="0" w:line="217" w:lineRule="exact"/>
        <w:rPr>
          <w:sz w:val="20"/>
          <w:szCs w:val="20"/>
          <w:color w:val="auto"/>
        </w:rPr>
      </w:pPr>
    </w:p>
    <w:p>
      <w:pPr>
        <w:ind w:left="1800" w:hanging="633"/>
        <w:spacing w:after="0"/>
        <w:tabs>
          <w:tab w:leader="none" w:pos="180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i w:val="1"/>
          <w:iCs w:val="1"/>
          <w:color w:val="7E35B1"/>
        </w:rPr>
        <w:t>Blackout periods for Designated Blackout Period Colleagues</w:t>
      </w:r>
    </w:p>
    <w:p>
      <w:pPr>
        <w:spacing w:after="0" w:line="200" w:lineRule="exact"/>
        <w:rPr>
          <w:sz w:val="20"/>
          <w:szCs w:val="20"/>
          <w:color w:val="auto"/>
        </w:rPr>
      </w:pPr>
    </w:p>
    <w:p>
      <w:pPr>
        <w:spacing w:after="0" w:line="208" w:lineRule="exact"/>
        <w:rPr>
          <w:sz w:val="20"/>
          <w:szCs w:val="20"/>
          <w:color w:val="auto"/>
        </w:rPr>
      </w:pPr>
    </w:p>
    <w:p>
      <w:pPr>
        <w:jc w:val="both"/>
        <w:ind w:left="540" w:right="266"/>
        <w:spacing w:after="0" w:line="314" w:lineRule="auto"/>
        <w:rPr>
          <w:sz w:val="20"/>
          <w:szCs w:val="20"/>
          <w:color w:val="auto"/>
        </w:rPr>
      </w:pPr>
      <w:r>
        <w:rPr>
          <w:rFonts w:ascii="Arial" w:cs="Arial" w:eastAsia="Arial" w:hAnsi="Arial"/>
          <w:sz w:val="20"/>
          <w:szCs w:val="20"/>
          <w:color w:val="auto"/>
        </w:rPr>
        <w:t>If you are a director, an executive officer, or a designated employee or consultant identified and contacted through a separate communication (collectively, “</w:t>
      </w:r>
      <w:r>
        <w:rPr>
          <w:rFonts w:ascii="Arial" w:cs="Arial" w:eastAsia="Arial" w:hAnsi="Arial"/>
          <w:sz w:val="20"/>
          <w:szCs w:val="20"/>
          <w:u w:val="single" w:color="auto"/>
          <w:color w:val="auto"/>
        </w:rPr>
        <w:t>Designated Blackout Period</w:t>
      </w:r>
      <w:r>
        <w:rPr>
          <w:rFonts w:ascii="Arial" w:cs="Arial" w:eastAsia="Arial" w:hAnsi="Arial"/>
          <w:sz w:val="20"/>
          <w:szCs w:val="20"/>
          <w:color w:val="auto"/>
        </w:rPr>
        <w:t xml:space="preserve"> </w:t>
      </w:r>
      <w:r>
        <w:rPr>
          <w:rFonts w:ascii="Arial" w:cs="Arial" w:eastAsia="Arial" w:hAnsi="Arial"/>
          <w:sz w:val="20"/>
          <w:szCs w:val="20"/>
          <w:u w:val="single" w:color="auto"/>
          <w:color w:val="auto"/>
        </w:rPr>
        <w:t>Colleagues”</w:t>
      </w:r>
      <w:r>
        <w:rPr>
          <w:rFonts w:ascii="Arial" w:cs="Arial" w:eastAsia="Arial" w:hAnsi="Arial"/>
          <w:sz w:val="20"/>
          <w:szCs w:val="20"/>
          <w:color w:val="auto"/>
        </w:rPr>
        <w:t>), you, or any person acting on your behalf, may not conduct transactions in the Company’s securities, during the Company’s blackout periods. “Transactions” is broadly construed and includes purchases, sales, gifts and charitable donations of the Company’s securities as well as any election to (i) make an investment in, (ii) terminate an investment in or (iii) alter an investment in the Company’s securities. Questions about the scope of the definition of “transactions” limited by the blackout periods can be addressed to the Corporate Secretary or General Counsel.</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29 / 60</w:t>
      </w:r>
    </w:p>
    <w:p>
      <w:pPr>
        <w:sectPr>
          <w:pgSz w:w="11900" w:h="16838" w:orient="portrait"/>
          <w:cols w:equalWidth="0" w:num="1">
            <w:col w:w="9026"/>
          </w:cols>
          <w:pgMar w:left="1440" w:top="1440" w:right="1440" w:bottom="0" w:gutter="0" w:footer="0" w:header="0"/>
          <w:type w:val="continuous"/>
        </w:sectPr>
      </w:pPr>
    </w:p>
    <w:bookmarkStart w:id="289" w:name="page290"/>
    <w:bookmarkEnd w:id="289"/>
    <w:p>
      <w:pPr>
        <w:ind w:left="540"/>
        <w:spacing w:after="0"/>
        <w:rPr>
          <w:sz w:val="20"/>
          <w:szCs w:val="20"/>
          <w:color w:val="auto"/>
        </w:rPr>
      </w:pPr>
      <w:r>
        <w:rPr>
          <w:rFonts w:ascii="Arial" w:cs="Arial" w:eastAsia="Arial" w:hAnsi="Arial"/>
          <w:sz w:val="20"/>
          <w:szCs w:val="20"/>
          <w:color w:val="auto"/>
        </w:rPr>
        <w:t>The following periods are deemed “</w:t>
      </w:r>
      <w:r>
        <w:rPr>
          <w:rFonts w:ascii="Arial" w:cs="Arial" w:eastAsia="Arial" w:hAnsi="Arial"/>
          <w:sz w:val="20"/>
          <w:szCs w:val="20"/>
          <w:u w:val="single" w:color="auto"/>
          <w:color w:val="auto"/>
        </w:rPr>
        <w:t>blackout periods</w:t>
      </w:r>
      <w:r>
        <w:rPr>
          <w:rFonts w:ascii="Arial" w:cs="Arial" w:eastAsia="Arial" w:hAnsi="Arial"/>
          <w:sz w:val="20"/>
          <w:szCs w:val="20"/>
          <w:color w:val="auto"/>
        </w:rPr>
        <w:t>”:</w:t>
      </w:r>
    </w:p>
    <w:p>
      <w:pPr>
        <w:spacing w:after="0" w:line="200" w:lineRule="exact"/>
        <w:rPr>
          <w:sz w:val="20"/>
          <w:szCs w:val="20"/>
          <w:color w:val="auto"/>
        </w:rPr>
      </w:pPr>
    </w:p>
    <w:p>
      <w:pPr>
        <w:spacing w:after="0" w:line="226" w:lineRule="exact"/>
        <w:rPr>
          <w:sz w:val="20"/>
          <w:szCs w:val="20"/>
          <w:color w:val="auto"/>
        </w:rPr>
      </w:pPr>
    </w:p>
    <w:p>
      <w:pPr>
        <w:jc w:val="both"/>
        <w:ind w:left="1160" w:right="206" w:hanging="306"/>
        <w:spacing w:after="0" w:line="372" w:lineRule="auto"/>
        <w:tabs>
          <w:tab w:leader="none" w:pos="11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from the eighth day of the third calendar month of a fiscal quarter, until two full trading days after the public announcement of the Company’s financial results for such quarter or year; or</w:t>
      </w:r>
    </w:p>
    <w:p>
      <w:pPr>
        <w:spacing w:after="0" w:line="329" w:lineRule="exact"/>
        <w:rPr>
          <w:rFonts w:ascii="Arial" w:cs="Arial" w:eastAsia="Arial" w:hAnsi="Arial"/>
          <w:sz w:val="20"/>
          <w:szCs w:val="20"/>
          <w:color w:val="auto"/>
        </w:rPr>
      </w:pPr>
    </w:p>
    <w:p>
      <w:pPr>
        <w:jc w:val="both"/>
        <w:ind w:left="1160" w:right="246" w:hanging="306"/>
        <w:spacing w:after="0" w:line="372" w:lineRule="auto"/>
        <w:tabs>
          <w:tab w:leader="none" w:pos="1160" w:val="left"/>
        </w:tabs>
        <w:numPr>
          <w:ilvl w:val="0"/>
          <w:numId w:val="87"/>
        </w:numPr>
        <w:rPr>
          <w:rFonts w:ascii="Arial" w:cs="Arial" w:eastAsia="Arial" w:hAnsi="Arial"/>
          <w:sz w:val="20"/>
          <w:szCs w:val="20"/>
          <w:color w:val="auto"/>
        </w:rPr>
      </w:pPr>
      <w:r>
        <w:rPr>
          <w:rFonts w:ascii="Arial" w:cs="Arial" w:eastAsia="Arial" w:hAnsi="Arial"/>
          <w:sz w:val="20"/>
          <w:szCs w:val="20"/>
          <w:color w:val="auto"/>
        </w:rPr>
        <w:t>during such other periods as may be established from time to time by the Board, the CEO or the General Counsel in light of particular events or developments affecting the Company.</w:t>
      </w:r>
    </w:p>
    <w:p>
      <w:pPr>
        <w:spacing w:after="0" w:line="289" w:lineRule="exact"/>
        <w:rPr>
          <w:sz w:val="20"/>
          <w:szCs w:val="20"/>
          <w:color w:val="auto"/>
        </w:rPr>
      </w:pPr>
    </w:p>
    <w:p>
      <w:pPr>
        <w:jc w:val="both"/>
        <w:ind w:left="540" w:right="286"/>
        <w:spacing w:after="0" w:line="313" w:lineRule="auto"/>
        <w:rPr>
          <w:sz w:val="20"/>
          <w:szCs w:val="20"/>
          <w:color w:val="auto"/>
        </w:rPr>
      </w:pPr>
      <w:r>
        <w:rPr>
          <w:rFonts w:ascii="Arial" w:cs="Arial" w:eastAsia="Arial" w:hAnsi="Arial"/>
          <w:sz w:val="20"/>
          <w:szCs w:val="20"/>
          <w:color w:val="auto"/>
        </w:rPr>
        <w:t>The Policy Compliance Officers may also issue instructions, from time to time, advising certain or all Designated Blackout Period Colleagues that they may not for certain periods buy or sell our securities, or that our securities may not be traded without prior approval. Due to the confidential nature of the events that may trigger these sorts of blackout periods, the Policy Compliance Officers may find it necessary to inform affected individuals of the blackout period without disclosing the reason for it. The existence of a blackout period may itself be considered material nonpublic information. If you become aware of a blackout period, you may not disclose such information to any other person.</w:t>
      </w:r>
    </w:p>
    <w:p>
      <w:pPr>
        <w:spacing w:after="0" w:line="134" w:lineRule="exact"/>
        <w:rPr>
          <w:sz w:val="20"/>
          <w:szCs w:val="20"/>
          <w:color w:val="auto"/>
        </w:rPr>
      </w:pPr>
    </w:p>
    <w:p>
      <w:pPr>
        <w:jc w:val="both"/>
        <w:ind w:left="540" w:right="266"/>
        <w:spacing w:after="0" w:line="311" w:lineRule="auto"/>
        <w:rPr>
          <w:sz w:val="20"/>
          <w:szCs w:val="20"/>
          <w:color w:val="auto"/>
        </w:rPr>
      </w:pPr>
      <w:r>
        <w:rPr>
          <w:rFonts w:ascii="Arial" w:cs="Arial" w:eastAsia="Arial" w:hAnsi="Arial"/>
          <w:sz w:val="20"/>
          <w:szCs w:val="20"/>
          <w:color w:val="auto"/>
        </w:rPr>
        <w:t>If you are a director or an executive officer, you may also be subject to event-specific blackouts pursuant to the SEC’s Regulation BTR (Blackout Trading Restriction) of which you will be separately</w:t>
      </w:r>
    </w:p>
    <w:p>
      <w:pPr>
        <w:spacing w:after="0" w:line="3"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796925</wp:posOffset>
            </wp:positionV>
            <wp:extent cx="5967730" cy="190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5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30 / 60</w:t>
      </w:r>
    </w:p>
    <w:p>
      <w:pPr>
        <w:sectPr>
          <w:pgSz w:w="11900" w:h="16838" w:orient="portrait"/>
          <w:cols w:equalWidth="0" w:num="1">
            <w:col w:w="9026"/>
          </w:cols>
          <w:pgMar w:left="1440" w:top="1165" w:right="1440" w:bottom="0" w:gutter="0" w:footer="0" w:header="0"/>
          <w:type w:val="continuous"/>
        </w:sectPr>
      </w:pPr>
    </w:p>
    <w:bookmarkStart w:id="290" w:name="page291"/>
    <w:bookmarkEnd w:id="2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40" w:right="286"/>
        <w:spacing w:after="0" w:line="307" w:lineRule="auto"/>
        <w:rPr>
          <w:sz w:val="20"/>
          <w:szCs w:val="20"/>
          <w:color w:val="auto"/>
        </w:rPr>
      </w:pPr>
      <w:r>
        <w:rPr>
          <w:rFonts w:ascii="Arial" w:cs="Arial" w:eastAsia="Arial" w:hAnsi="Arial"/>
          <w:sz w:val="20"/>
          <w:szCs w:val="20"/>
          <w:color w:val="auto"/>
        </w:rPr>
        <w:t>informed in advance. This regulation prohibits certain sales and other transfers by insiders during certain pension plan blackout periods.</w:t>
      </w:r>
    </w:p>
    <w:p>
      <w:pPr>
        <w:spacing w:after="0" w:line="135" w:lineRule="exact"/>
        <w:rPr>
          <w:sz w:val="20"/>
          <w:szCs w:val="20"/>
          <w:color w:val="auto"/>
        </w:rPr>
      </w:pPr>
    </w:p>
    <w:p>
      <w:pPr>
        <w:ind w:left="540" w:right="266"/>
        <w:spacing w:after="0" w:line="307" w:lineRule="auto"/>
        <w:rPr>
          <w:sz w:val="20"/>
          <w:szCs w:val="20"/>
          <w:color w:val="auto"/>
        </w:rPr>
      </w:pPr>
      <w:r>
        <w:rPr>
          <w:rFonts w:ascii="Arial" w:cs="Arial" w:eastAsia="Arial" w:hAnsi="Arial"/>
          <w:sz w:val="20"/>
          <w:szCs w:val="20"/>
          <w:color w:val="auto"/>
        </w:rPr>
        <w:t xml:space="preserve">Even if no blackout period is in effect, keep in mind that you may not trade in our securities if you are aware of material nonpublic information about us. See </w:t>
      </w:r>
      <w:r>
        <w:rPr>
          <w:rFonts w:ascii="Arial" w:cs="Arial" w:eastAsia="Arial" w:hAnsi="Arial"/>
          <w:sz w:val="20"/>
          <w:szCs w:val="20"/>
          <w:u w:val="single" w:color="auto"/>
          <w:color w:val="auto"/>
        </w:rPr>
        <w:t>Paragraph A</w:t>
      </w:r>
      <w:r>
        <w:rPr>
          <w:rFonts w:ascii="Arial" w:cs="Arial" w:eastAsia="Arial" w:hAnsi="Arial"/>
          <w:sz w:val="20"/>
          <w:szCs w:val="20"/>
          <w:color w:val="auto"/>
        </w:rPr>
        <w:t xml:space="preserve"> above.</w:t>
      </w:r>
    </w:p>
    <w:p>
      <w:pPr>
        <w:spacing w:after="0" w:line="292" w:lineRule="exact"/>
        <w:rPr>
          <w:sz w:val="20"/>
          <w:szCs w:val="20"/>
          <w:color w:val="auto"/>
        </w:rPr>
      </w:pPr>
    </w:p>
    <w:p>
      <w:pPr>
        <w:ind w:left="1800" w:hanging="633"/>
        <w:spacing w:after="0"/>
        <w:tabs>
          <w:tab w:leader="none" w:pos="180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i w:val="1"/>
          <w:iCs w:val="1"/>
          <w:color w:val="7E35B1"/>
        </w:rPr>
        <w:t>Pre-clearance procedures for Designated Pre-Clearance Colleagues</w:t>
      </w:r>
    </w:p>
    <w:p>
      <w:pPr>
        <w:spacing w:after="0" w:line="200" w:lineRule="exact"/>
        <w:rPr>
          <w:sz w:val="20"/>
          <w:szCs w:val="20"/>
          <w:color w:val="auto"/>
        </w:rPr>
      </w:pPr>
    </w:p>
    <w:p>
      <w:pPr>
        <w:spacing w:after="0" w:line="258" w:lineRule="exact"/>
        <w:rPr>
          <w:sz w:val="20"/>
          <w:szCs w:val="20"/>
          <w:color w:val="auto"/>
        </w:rPr>
      </w:pPr>
    </w:p>
    <w:p>
      <w:pPr>
        <w:ind w:left="540" w:right="186"/>
        <w:spacing w:after="0" w:line="312" w:lineRule="auto"/>
        <w:rPr>
          <w:sz w:val="20"/>
          <w:szCs w:val="20"/>
          <w:color w:val="auto"/>
        </w:rPr>
      </w:pPr>
      <w:r>
        <w:rPr>
          <w:rFonts w:ascii="Arial" w:cs="Arial" w:eastAsia="Arial" w:hAnsi="Arial"/>
          <w:sz w:val="20"/>
          <w:szCs w:val="20"/>
          <w:color w:val="auto"/>
        </w:rPr>
        <w:t>Willis Towers Watson Public Limited Company director, executive officers and Section 16 officers are further subject to pre-clearance procedures (“</w:t>
      </w:r>
      <w:r>
        <w:rPr>
          <w:rFonts w:ascii="Arial" w:cs="Arial" w:eastAsia="Arial" w:hAnsi="Arial"/>
          <w:sz w:val="20"/>
          <w:szCs w:val="20"/>
          <w:u w:val="single" w:color="auto"/>
          <w:color w:val="auto"/>
        </w:rPr>
        <w:t>Designated Pre-Clearance</w:t>
      </w:r>
      <w:r>
        <w:rPr>
          <w:rFonts w:ascii="Arial" w:cs="Arial" w:eastAsia="Arial" w:hAnsi="Arial"/>
          <w:sz w:val="20"/>
          <w:szCs w:val="20"/>
          <w:color w:val="auto"/>
        </w:rPr>
        <w:t xml:space="preserve"> </w:t>
      </w:r>
      <w:r>
        <w:rPr>
          <w:rFonts w:ascii="Arial" w:cs="Arial" w:eastAsia="Arial" w:hAnsi="Arial"/>
          <w:sz w:val="20"/>
          <w:szCs w:val="20"/>
          <w:u w:val="single" w:color="auto"/>
          <w:color w:val="auto"/>
        </w:rPr>
        <w:t>Colleagues</w:t>
      </w:r>
      <w:r>
        <w:rPr>
          <w:rFonts w:ascii="Arial" w:cs="Arial" w:eastAsia="Arial" w:hAnsi="Arial"/>
          <w:sz w:val="20"/>
          <w:szCs w:val="20"/>
          <w:color w:val="auto"/>
        </w:rPr>
        <w:t>”). Our pre-clearance requirement is designed as a means of enforcing the policies specified above.</w:t>
      </w:r>
    </w:p>
    <w:p>
      <w:pPr>
        <w:spacing w:after="0" w:line="173" w:lineRule="exact"/>
        <w:rPr>
          <w:sz w:val="20"/>
          <w:szCs w:val="20"/>
          <w:color w:val="auto"/>
        </w:rPr>
      </w:pPr>
    </w:p>
    <w:p>
      <w:pPr>
        <w:jc w:val="both"/>
        <w:ind w:left="540" w:right="326"/>
        <w:spacing w:after="0" w:line="314" w:lineRule="auto"/>
        <w:rPr>
          <w:sz w:val="20"/>
          <w:szCs w:val="20"/>
          <w:color w:val="auto"/>
        </w:rPr>
      </w:pPr>
      <w:r>
        <w:rPr>
          <w:rFonts w:ascii="Arial" w:cs="Arial" w:eastAsia="Arial" w:hAnsi="Arial"/>
          <w:sz w:val="20"/>
          <w:szCs w:val="20"/>
          <w:color w:val="auto"/>
        </w:rPr>
        <w:t xml:space="preserve">If you are a Designated Pre-Clearance Colleague, you and your family members and any other person who has a relationship with you (legal, personal or otherwise) that might reasonably result in that person’s transactions being attributable to you, may not buy, sell or engage in any other transaction in our securities (as further described in section B. above) without first obtaining pre-clearance from either the Chair of the Board, CEO and/or the General Counsel, as appropriate. The pre-clearance procedures to transact in our securities are included in </w:t>
      </w:r>
      <w:r>
        <w:rPr>
          <w:rFonts w:ascii="Arial" w:cs="Arial" w:eastAsia="Arial" w:hAnsi="Arial"/>
          <w:sz w:val="20"/>
          <w:szCs w:val="20"/>
          <w:u w:val="single" w:color="auto"/>
          <w:color w:val="auto"/>
        </w:rPr>
        <w:t>Appendix 2</w:t>
      </w:r>
      <w:r>
        <w:rPr>
          <w:rFonts w:ascii="Arial" w:cs="Arial" w:eastAsia="Arial" w:hAnsi="Arial"/>
          <w:sz w:val="20"/>
          <w:szCs w:val="20"/>
          <w:color w:val="auto"/>
        </w:rPr>
        <w:t>, and are subject to change at the discretion of the General Counsel. A Policy Compliance Officer will notify you if additional clearance from other WTW persons is required.</w:t>
      </w:r>
    </w:p>
    <w:p>
      <w:pPr>
        <w:spacing w:after="0" w:line="129" w:lineRule="exact"/>
        <w:rPr>
          <w:sz w:val="20"/>
          <w:szCs w:val="20"/>
          <w:color w:val="auto"/>
        </w:rPr>
      </w:pPr>
    </w:p>
    <w:p>
      <w:pPr>
        <w:jc w:val="both"/>
        <w:ind w:left="540" w:right="286"/>
        <w:spacing w:after="0" w:line="313" w:lineRule="auto"/>
        <w:rPr>
          <w:sz w:val="20"/>
          <w:szCs w:val="20"/>
          <w:color w:val="auto"/>
        </w:rPr>
      </w:pPr>
      <w:r>
        <w:rPr>
          <w:rFonts w:ascii="Arial" w:cs="Arial" w:eastAsia="Arial" w:hAnsi="Arial"/>
          <w:sz w:val="20"/>
          <w:szCs w:val="20"/>
          <w:color w:val="auto"/>
        </w:rPr>
        <w:t>There is no obligation to approve a transaction submitted for pre- clearance, and the above persons may determine not to permit the transaction. If you have not received explicit permission or the permission is specifically denied, you must not trade in the Company’s securities. You should not inform any other person of the status of your pre-clearance requests.</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20"/>
          <w:szCs w:val="20"/>
          <w:color w:val="auto"/>
        </w:rPr>
        <w:t>Pre-clearance requests will not be granted during a blackout period.</w:t>
      </w:r>
    </w:p>
    <w:p>
      <w:pPr>
        <w:spacing w:after="0" w:line="356" w:lineRule="exact"/>
        <w:rPr>
          <w:sz w:val="20"/>
          <w:szCs w:val="20"/>
          <w:color w:val="auto"/>
        </w:rPr>
      </w:pPr>
    </w:p>
    <w:p>
      <w:pPr>
        <w:ind w:left="1800" w:hanging="633"/>
        <w:spacing w:after="0"/>
        <w:tabs>
          <w:tab w:leader="none" w:pos="180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i w:val="1"/>
          <w:iCs w:val="1"/>
          <w:color w:val="7E35B1"/>
        </w:rPr>
        <w:t>Prohibited and limited transactions</w:t>
      </w:r>
    </w:p>
    <w:p>
      <w:pPr>
        <w:spacing w:after="0" w:line="200" w:lineRule="exact"/>
        <w:rPr>
          <w:sz w:val="20"/>
          <w:szCs w:val="20"/>
          <w:color w:val="auto"/>
        </w:rPr>
      </w:pPr>
    </w:p>
    <w:p>
      <w:pPr>
        <w:spacing w:after="0" w:line="258" w:lineRule="exact"/>
        <w:rPr>
          <w:sz w:val="20"/>
          <w:szCs w:val="20"/>
          <w:color w:val="auto"/>
        </w:rPr>
      </w:pPr>
    </w:p>
    <w:p>
      <w:pPr>
        <w:ind w:left="540" w:right="266"/>
        <w:spacing w:after="0" w:line="315" w:lineRule="auto"/>
        <w:rPr>
          <w:sz w:val="20"/>
          <w:szCs w:val="20"/>
          <w:color w:val="auto"/>
        </w:rPr>
      </w:pPr>
      <w:r>
        <w:rPr>
          <w:rFonts w:ascii="Arial" w:cs="Arial" w:eastAsia="Arial" w:hAnsi="Arial"/>
          <w:sz w:val="20"/>
          <w:szCs w:val="20"/>
          <w:color w:val="auto"/>
        </w:rPr>
        <w:t xml:space="preserve">Short sales of our securities, sales of our securities “against the box,” buying or selling puts or calls relating to our securities, engaging in any hedging transactions with respect to ownership in our securities (including prepaid variable forward contracts, equity swaps, collars, and exchange funds) and, for directors and executive officers, holding our securities in margin accounts or pledging them as collateral are always </w:t>
      </w:r>
      <w:r>
        <w:rPr>
          <w:rFonts w:ascii="Arial" w:cs="Arial" w:eastAsia="Arial" w:hAnsi="Arial"/>
          <w:sz w:val="20"/>
          <w:szCs w:val="20"/>
          <w:u w:val="single" w:color="auto"/>
          <w:color w:val="auto"/>
        </w:rPr>
        <w:t>prohibited</w:t>
      </w:r>
      <w:r>
        <w:rPr>
          <w:rFonts w:ascii="Arial" w:cs="Arial" w:eastAsia="Arial" w:hAnsi="Arial"/>
          <w:sz w:val="20"/>
          <w:szCs w:val="20"/>
          <w:color w:val="auto"/>
        </w:rPr>
        <w:t xml:space="preserve"> (even if you are not in the possession of material nonpublic information). The foregoing types of transactions are prohibited because it is also important to avoid the appearance of an improper transaction.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4993005</wp:posOffset>
                </wp:positionH>
                <wp:positionV relativeFrom="paragraph">
                  <wp:posOffset>-441325</wp:posOffset>
                </wp:positionV>
                <wp:extent cx="605155" cy="0"/>
                <wp:wrapNone/>
                <wp:docPr id="674" name="Shape 6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155" cy="4763"/>
                        </a:xfrm>
                        <a:prstGeom prst="line">
                          <a:avLst/>
                        </a:prstGeom>
                        <a:solidFill>
                          <a:srgbClr val="FFFFFF"/>
                        </a:solidFill>
                        <a:ln w="9301">
                          <a:solidFill>
                            <a:srgbClr val="000000"/>
                          </a:solidFill>
                          <a:miter lim="800000"/>
                          <a:headEnd/>
                          <a:tailEnd/>
                        </a:ln>
                      </wps:spPr>
                      <wps:bodyPr/>
                    </wps:wsp>
                  </a:graphicData>
                </a:graphic>
              </wp:anchor>
            </w:drawing>
          </mc:Choice>
          <mc:Fallback>
            <w:pict>
              <v:line id="Shape 674" o:spid="_x0000_s16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15pt,-34.7499pt" to="440.8pt,-34.7499pt" o:allowincell="f" strokecolor="#000000" strokeweight="0.7324pt"/>
            </w:pict>
          </mc:Fallback>
        </mc:AlternateConten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31 / 60</w:t>
      </w:r>
    </w:p>
    <w:p>
      <w:pPr>
        <w:sectPr>
          <w:pgSz w:w="11900" w:h="16838" w:orient="portrait"/>
          <w:cols w:equalWidth="0" w:num="1">
            <w:col w:w="9026"/>
          </w:cols>
          <w:pgMar w:left="1440" w:top="1440" w:right="1440" w:bottom="0" w:gutter="0" w:footer="0" w:header="0"/>
          <w:type w:val="continuous"/>
        </w:sectPr>
      </w:pPr>
    </w:p>
    <w:bookmarkStart w:id="291" w:name="page292"/>
    <w:bookmarkEnd w:id="291"/>
    <w:p>
      <w:pPr>
        <w:jc w:val="both"/>
        <w:ind w:left="1160" w:right="246" w:hanging="306"/>
        <w:spacing w:after="0" w:line="373" w:lineRule="auto"/>
        <w:tabs>
          <w:tab w:leader="none" w:pos="1160" w:val="left"/>
        </w:tabs>
        <w:numPr>
          <w:ilvl w:val="0"/>
          <w:numId w:val="9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Short sales</w:t>
      </w:r>
      <w:r>
        <w:rPr>
          <w:rFonts w:ascii="Arial" w:cs="Arial" w:eastAsia="Arial" w:hAnsi="Arial"/>
          <w:sz w:val="20"/>
          <w:szCs w:val="20"/>
          <w:color w:val="auto"/>
        </w:rPr>
        <w:t>” of stock are transactions where you borrow stock, sell it and then buy stock at a later date to replace the borrowed shares. These also include hedging or monetization transactions (such as zero-cost collars and forward sale contracts) that involve the establishment of a short position.</w:t>
      </w:r>
    </w:p>
    <w:p>
      <w:pPr>
        <w:spacing w:after="0" w:line="327" w:lineRule="exact"/>
        <w:rPr>
          <w:rFonts w:ascii="Arial" w:cs="Arial" w:eastAsia="Arial" w:hAnsi="Arial"/>
          <w:sz w:val="20"/>
          <w:szCs w:val="20"/>
          <w:color w:val="auto"/>
        </w:rPr>
      </w:pPr>
    </w:p>
    <w:p>
      <w:pPr>
        <w:ind w:left="1160" w:right="246" w:hanging="306"/>
        <w:spacing w:after="0" w:line="368" w:lineRule="auto"/>
        <w:tabs>
          <w:tab w:leader="none" w:pos="1160" w:val="left"/>
        </w:tabs>
        <w:numPr>
          <w:ilvl w:val="0"/>
          <w:numId w:val="90"/>
        </w:numPr>
        <w:rPr>
          <w:rFonts w:ascii="Arial" w:cs="Arial" w:eastAsia="Arial" w:hAnsi="Arial"/>
          <w:sz w:val="20"/>
          <w:szCs w:val="20"/>
          <w:color w:val="auto"/>
        </w:rPr>
      </w:pPr>
      <w:r>
        <w:rPr>
          <w:rFonts w:ascii="Arial" w:cs="Arial" w:eastAsia="Arial" w:hAnsi="Arial"/>
          <w:sz w:val="20"/>
          <w:szCs w:val="20"/>
          <w:color w:val="auto"/>
        </w:rPr>
        <w:t>Sales of stock “</w:t>
      </w:r>
      <w:r>
        <w:rPr>
          <w:rFonts w:ascii="Arial" w:cs="Arial" w:eastAsia="Arial" w:hAnsi="Arial"/>
          <w:sz w:val="20"/>
          <w:szCs w:val="20"/>
          <w:u w:val="single" w:color="auto"/>
          <w:color w:val="auto"/>
        </w:rPr>
        <w:t>against the box</w:t>
      </w:r>
      <w:r>
        <w:rPr>
          <w:rFonts w:ascii="Arial" w:cs="Arial" w:eastAsia="Arial" w:hAnsi="Arial"/>
          <w:sz w:val="20"/>
          <w:szCs w:val="20"/>
          <w:color w:val="auto"/>
        </w:rPr>
        <w:t>” are sales in which the stock is not delivered within 20 days or is not deposited in the mail for delivery within five days of the sale.</w:t>
      </w:r>
    </w:p>
    <w:p>
      <w:pPr>
        <w:spacing w:after="0" w:line="333" w:lineRule="exact"/>
        <w:rPr>
          <w:rFonts w:ascii="Arial" w:cs="Arial" w:eastAsia="Arial" w:hAnsi="Arial"/>
          <w:sz w:val="20"/>
          <w:szCs w:val="20"/>
          <w:color w:val="auto"/>
        </w:rPr>
      </w:pPr>
    </w:p>
    <w:p>
      <w:pPr>
        <w:jc w:val="both"/>
        <w:ind w:left="1160" w:right="226" w:hanging="306"/>
        <w:spacing w:after="0" w:line="373" w:lineRule="auto"/>
        <w:tabs>
          <w:tab w:leader="none" w:pos="1160" w:val="left"/>
        </w:tabs>
        <w:numPr>
          <w:ilvl w:val="0"/>
          <w:numId w:val="90"/>
        </w:numPr>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u w:val="single" w:color="auto"/>
          <w:color w:val="auto"/>
        </w:rPr>
        <w:t>put</w:t>
      </w:r>
      <w:r>
        <w:rPr>
          <w:rFonts w:ascii="Arial" w:cs="Arial" w:eastAsia="Arial" w:hAnsi="Arial"/>
          <w:sz w:val="20"/>
          <w:szCs w:val="20"/>
          <w:color w:val="auto"/>
        </w:rPr>
        <w:t>” is an option or right to sell a specific stock at a specific price before a set date, and a “</w:t>
      </w:r>
      <w:r>
        <w:rPr>
          <w:rFonts w:ascii="Arial" w:cs="Arial" w:eastAsia="Arial" w:hAnsi="Arial"/>
          <w:sz w:val="20"/>
          <w:szCs w:val="20"/>
          <w:u w:val="single" w:color="auto"/>
          <w:color w:val="auto"/>
        </w:rPr>
        <w:t>call</w:t>
      </w:r>
      <w:r>
        <w:rPr>
          <w:rFonts w:ascii="Arial" w:cs="Arial" w:eastAsia="Arial" w:hAnsi="Arial"/>
          <w:sz w:val="20"/>
          <w:szCs w:val="20"/>
          <w:color w:val="auto"/>
        </w:rPr>
        <w:t>” is an option or right to buy a specific stock at a specific price before a set date. Generally, call options are purchased when one believes that the price of a stock will rise, whereas put options are purchased when one believes that the price of a stock will fall.</w:t>
      </w:r>
    </w:p>
    <w:p>
      <w:pPr>
        <w:spacing w:after="0" w:line="330" w:lineRule="exact"/>
        <w:rPr>
          <w:rFonts w:ascii="Arial" w:cs="Arial" w:eastAsia="Arial" w:hAnsi="Arial"/>
          <w:sz w:val="20"/>
          <w:szCs w:val="20"/>
          <w:color w:val="auto"/>
        </w:rPr>
      </w:pPr>
    </w:p>
    <w:p>
      <w:pPr>
        <w:jc w:val="both"/>
        <w:ind w:left="1160" w:right="246" w:hanging="306"/>
        <w:spacing w:after="0" w:line="373" w:lineRule="auto"/>
        <w:tabs>
          <w:tab w:leader="none" w:pos="1160"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Certain forms of </w:t>
      </w:r>
      <w:r>
        <w:rPr>
          <w:rFonts w:ascii="Arial" w:cs="Arial" w:eastAsia="Arial" w:hAnsi="Arial"/>
          <w:sz w:val="20"/>
          <w:szCs w:val="20"/>
          <w:u w:val="single" w:color="auto"/>
          <w:color w:val="auto"/>
        </w:rPr>
        <w:t>hedging</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monetization transactions</w:t>
      </w:r>
      <w:r>
        <w:rPr>
          <w:rFonts w:ascii="Arial" w:cs="Arial" w:eastAsia="Arial" w:hAnsi="Arial"/>
          <w:sz w:val="20"/>
          <w:szCs w:val="20"/>
          <w:color w:val="auto"/>
        </w:rPr>
        <w:t>, such as forward sale contracts, allow you to lock in much of the value of your stock holdings, often in exchange for all or part of the potential for upside appreciation in the stock. These transactions allow you to continue to own the covered securities, but without the full risks and rewards of ownership. When that occurs, you may no longer have the same objectives as the</w:t>
      </w:r>
    </w:p>
    <w:p>
      <w:pPr>
        <w:spacing w:after="0" w:line="6"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Company’s other shareholders.</w:t>
      </w:r>
    </w:p>
    <w:p>
      <w:pPr>
        <w:spacing w:after="0" w:line="84"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796925</wp:posOffset>
            </wp:positionV>
            <wp:extent cx="5967730" cy="190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5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32 / 60</w:t>
      </w:r>
    </w:p>
    <w:p>
      <w:pPr>
        <w:sectPr>
          <w:pgSz w:w="11900" w:h="16838" w:orient="portrait"/>
          <w:cols w:equalWidth="0" w:num="1">
            <w:col w:w="9026"/>
          </w:cols>
          <w:pgMar w:left="1440" w:top="1215" w:right="1440" w:bottom="0" w:gutter="0" w:footer="0" w:header="0"/>
          <w:type w:val="continuous"/>
        </w:sectPr>
      </w:pPr>
    </w:p>
    <w:bookmarkStart w:id="292" w:name="page293"/>
    <w:bookmarkEnd w:id="2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60" w:right="300" w:hanging="306"/>
        <w:spacing w:after="0" w:line="374" w:lineRule="auto"/>
        <w:tabs>
          <w:tab w:leader="none" w:pos="11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Securities held in a </w:t>
      </w:r>
      <w:r>
        <w:rPr>
          <w:rFonts w:ascii="Arial" w:cs="Arial" w:eastAsia="Arial" w:hAnsi="Arial"/>
          <w:sz w:val="20"/>
          <w:szCs w:val="20"/>
          <w:u w:val="single" w:color="auto"/>
          <w:color w:val="auto"/>
        </w:rPr>
        <w:t>margin account</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pledged as collateral</w:t>
      </w:r>
      <w:r>
        <w:rPr>
          <w:rFonts w:ascii="Arial" w:cs="Arial" w:eastAsia="Arial" w:hAnsi="Arial"/>
          <w:sz w:val="20"/>
          <w:szCs w:val="20"/>
          <w:color w:val="auto"/>
        </w:rPr>
        <w:t xml:space="preserve"> for loans or other obligations can be sold without your consent in certain circumstances. These transactions are prohibited for directors and executive officers and are </w:t>
      </w:r>
      <w:r>
        <w:rPr>
          <w:rFonts w:ascii="Arial" w:cs="Arial" w:eastAsia="Arial" w:hAnsi="Arial"/>
          <w:sz w:val="20"/>
          <w:szCs w:val="20"/>
          <w:u w:val="single" w:color="auto"/>
          <w:color w:val="auto"/>
        </w:rPr>
        <w:t>severely limited</w:t>
      </w:r>
      <w:r>
        <w:rPr>
          <w:rFonts w:ascii="Arial" w:cs="Arial" w:eastAsia="Arial" w:hAnsi="Arial"/>
          <w:sz w:val="20"/>
          <w:szCs w:val="20"/>
          <w:color w:val="auto"/>
        </w:rPr>
        <w:t xml:space="preserve"> for all other persons. You must not make any arrangements to hold our securities in a margin account or pledge them as collateral unless a Policy Compliance Officer pre-approves the arrangements based on your financial capacity to repay the loan without resort to the pledged securities.</w:t>
      </w:r>
    </w:p>
    <w:p>
      <w:pPr>
        <w:spacing w:after="0" w:line="269" w:lineRule="exact"/>
        <w:rPr>
          <w:rFonts w:ascii="Arial" w:cs="Arial" w:eastAsia="Arial" w:hAnsi="Arial"/>
          <w:sz w:val="20"/>
          <w:szCs w:val="20"/>
          <w:color w:val="auto"/>
        </w:rPr>
      </w:pPr>
    </w:p>
    <w:p>
      <w:pPr>
        <w:ind w:left="1160"/>
        <w:spacing w:after="0"/>
        <w:rPr>
          <w:rFonts w:ascii="Arial" w:cs="Arial" w:eastAsia="Arial" w:hAnsi="Arial"/>
          <w:sz w:val="20"/>
          <w:szCs w:val="20"/>
          <w:color w:val="auto"/>
        </w:rPr>
      </w:pPr>
      <w:r>
        <w:rPr>
          <w:rFonts w:ascii="Arial" w:cs="Arial" w:eastAsia="Arial" w:hAnsi="Arial"/>
          <w:sz w:val="20"/>
          <w:szCs w:val="20"/>
          <w:color w:val="auto"/>
        </w:rPr>
        <w:t xml:space="preserve">Additional types of transactions are </w:t>
      </w:r>
      <w:r>
        <w:rPr>
          <w:rFonts w:ascii="Arial" w:cs="Arial" w:eastAsia="Arial" w:hAnsi="Arial"/>
          <w:sz w:val="20"/>
          <w:szCs w:val="20"/>
          <w:u w:val="single" w:color="auto"/>
          <w:color w:val="auto"/>
        </w:rPr>
        <w:t>severely limited</w:t>
      </w:r>
      <w:r>
        <w:rPr>
          <w:rFonts w:ascii="Arial" w:cs="Arial" w:eastAsia="Arial" w:hAnsi="Arial"/>
          <w:sz w:val="20"/>
          <w:szCs w:val="20"/>
          <w:color w:val="auto"/>
        </w:rPr>
        <w:t xml:space="preserve"> because they can raise similar issues:</w:t>
      </w:r>
    </w:p>
    <w:p>
      <w:pPr>
        <w:spacing w:after="0" w:line="277" w:lineRule="exact"/>
        <w:rPr>
          <w:rFonts w:ascii="Arial" w:cs="Arial" w:eastAsia="Arial" w:hAnsi="Arial"/>
          <w:sz w:val="20"/>
          <w:szCs w:val="20"/>
          <w:color w:val="auto"/>
        </w:rPr>
      </w:pPr>
    </w:p>
    <w:p>
      <w:pPr>
        <w:jc w:val="both"/>
        <w:ind w:left="1160" w:right="320" w:hanging="306"/>
        <w:spacing w:after="0" w:line="373" w:lineRule="auto"/>
        <w:tabs>
          <w:tab w:leader="none" w:pos="1160" w:val="left"/>
        </w:tabs>
        <w:numPr>
          <w:ilvl w:val="0"/>
          <w:numId w:val="91"/>
        </w:numPr>
        <w:rPr>
          <w:rFonts w:ascii="Arial" w:cs="Arial" w:eastAsia="Arial" w:hAnsi="Arial"/>
          <w:sz w:val="20"/>
          <w:szCs w:val="20"/>
          <w:color w:val="auto"/>
        </w:rPr>
      </w:pPr>
      <w:r>
        <w:rPr>
          <w:rFonts w:ascii="Arial" w:cs="Arial" w:eastAsia="Arial" w:hAnsi="Arial"/>
          <w:sz w:val="20"/>
          <w:szCs w:val="20"/>
          <w:color w:val="auto"/>
        </w:rPr>
        <w:t>Standing orders are orders placed with a broker to sell or purchase stock at a specified price. You must not place a standing order to buy or sell our securities if the order might remain open during a period when you are prohibited from trading in our securities.</w:t>
      </w:r>
    </w:p>
    <w:p>
      <w:pPr>
        <w:spacing w:after="0" w:line="283" w:lineRule="exact"/>
        <w:rPr>
          <w:rFonts w:ascii="Arial" w:cs="Arial" w:eastAsia="Arial" w:hAnsi="Arial"/>
          <w:sz w:val="20"/>
          <w:szCs w:val="20"/>
          <w:color w:val="auto"/>
        </w:rPr>
      </w:pPr>
    </w:p>
    <w:p>
      <w:pPr>
        <w:jc w:val="both"/>
        <w:ind w:left="1160" w:right="380"/>
        <w:spacing w:after="0" w:line="313" w:lineRule="auto"/>
        <w:rPr>
          <w:rFonts w:ascii="Arial" w:cs="Arial" w:eastAsia="Arial" w:hAnsi="Arial"/>
          <w:sz w:val="20"/>
          <w:szCs w:val="20"/>
          <w:color w:val="auto"/>
        </w:rPr>
      </w:pPr>
      <w:r>
        <w:rPr>
          <w:rFonts w:ascii="Arial" w:cs="Arial" w:eastAsia="Arial" w:hAnsi="Arial"/>
          <w:sz w:val="20"/>
          <w:szCs w:val="20"/>
          <w:color w:val="auto"/>
        </w:rPr>
        <w:t>If you have a managed account (where another person has been given discretion or authority to trade without your prior approval), you should advise your broker or investment adviser of this policy to ensure compliance for any transaction that may be attributable to you. This policy generally does not apply to investments in publicly available mutual funds.</w:t>
      </w:r>
    </w:p>
    <w:p>
      <w:pPr>
        <w:spacing w:after="0" w:line="286" w:lineRule="exact"/>
        <w:rPr>
          <w:rFonts w:ascii="Arial" w:cs="Arial" w:eastAsia="Arial" w:hAnsi="Arial"/>
          <w:sz w:val="20"/>
          <w:szCs w:val="20"/>
          <w:color w:val="auto"/>
        </w:rPr>
      </w:pPr>
    </w:p>
    <w:p>
      <w:pPr>
        <w:ind w:left="1160"/>
        <w:spacing w:after="0"/>
        <w:rPr>
          <w:rFonts w:ascii="Arial" w:cs="Arial" w:eastAsia="Arial" w:hAnsi="Arial"/>
          <w:sz w:val="20"/>
          <w:szCs w:val="20"/>
          <w:color w:val="auto"/>
        </w:rPr>
      </w:pPr>
      <w:r>
        <w:rPr>
          <w:rFonts w:ascii="Arial" w:cs="Arial" w:eastAsia="Arial" w:hAnsi="Arial"/>
          <w:sz w:val="20"/>
          <w:szCs w:val="20"/>
          <w:b w:val="1"/>
          <w:bCs w:val="1"/>
          <w:color w:val="auto"/>
        </w:rPr>
        <w:t>E.</w:t>
      </w:r>
      <w:r>
        <w:rPr>
          <w:rFonts w:ascii="Arial" w:cs="Arial" w:eastAsia="Arial" w:hAnsi="Arial"/>
          <w:sz w:val="19"/>
          <w:szCs w:val="19"/>
          <w:b w:val="1"/>
          <w:bCs w:val="1"/>
          <w:i w:val="1"/>
          <w:iCs w:val="1"/>
          <w:color w:val="7E35B1"/>
        </w:rPr>
        <w:t>Special types of permitted transactions</w:t>
      </w:r>
    </w:p>
    <w:p>
      <w:pPr>
        <w:spacing w:after="0" w:line="200" w:lineRule="exact"/>
        <w:rPr>
          <w:sz w:val="20"/>
          <w:szCs w:val="20"/>
          <w:color w:val="auto"/>
        </w:rPr>
      </w:pPr>
    </w:p>
    <w:p>
      <w:pPr>
        <w:spacing w:after="0" w:line="253" w:lineRule="exact"/>
        <w:rPr>
          <w:sz w:val="20"/>
          <w:szCs w:val="20"/>
          <w:color w:val="auto"/>
        </w:rPr>
      </w:pPr>
    </w:p>
    <w:p>
      <w:pPr>
        <w:ind w:left="540" w:right="400"/>
        <w:spacing w:after="0" w:line="307" w:lineRule="auto"/>
        <w:rPr>
          <w:sz w:val="20"/>
          <w:szCs w:val="20"/>
          <w:color w:val="auto"/>
        </w:rPr>
      </w:pPr>
      <w:r>
        <w:rPr>
          <w:rFonts w:ascii="Arial" w:cs="Arial" w:eastAsia="Arial" w:hAnsi="Arial"/>
          <w:sz w:val="20"/>
          <w:szCs w:val="20"/>
          <w:color w:val="auto"/>
        </w:rPr>
        <w:t>There are limited situations in which you may buy or sell our securities without restriction under this policy. You may:</w:t>
      </w:r>
    </w:p>
    <w:p>
      <w:pPr>
        <w:spacing w:after="0" w:line="384" w:lineRule="exact"/>
        <w:rPr>
          <w:sz w:val="20"/>
          <w:szCs w:val="20"/>
          <w:color w:val="auto"/>
        </w:rPr>
      </w:pPr>
    </w:p>
    <w:p>
      <w:pPr>
        <w:jc w:val="both"/>
        <w:ind w:left="1160" w:right="340" w:hanging="306"/>
        <w:spacing w:after="0" w:line="372" w:lineRule="auto"/>
        <w:tabs>
          <w:tab w:leader="none" w:pos="1160" w:val="left"/>
        </w:tabs>
        <w:numPr>
          <w:ilvl w:val="0"/>
          <w:numId w:val="92"/>
        </w:numPr>
        <w:rPr>
          <w:rFonts w:ascii="Arial" w:cs="Arial" w:eastAsia="Arial" w:hAnsi="Arial"/>
          <w:sz w:val="20"/>
          <w:szCs w:val="20"/>
          <w:color w:val="auto"/>
        </w:rPr>
      </w:pPr>
      <w:r>
        <w:rPr>
          <w:rFonts w:ascii="Arial" w:cs="Arial" w:eastAsia="Arial" w:hAnsi="Arial"/>
          <w:sz w:val="20"/>
          <w:szCs w:val="20"/>
          <w:color w:val="auto"/>
        </w:rPr>
        <w:t>exercise share options that have been granted to you by our Company or under one of our stock option plans (but this does not include cashless exercises or sales of the purchased shares);</w:t>
      </w:r>
    </w:p>
    <w:p>
      <w:pPr>
        <w:spacing w:after="0" w:line="329" w:lineRule="exact"/>
        <w:rPr>
          <w:rFonts w:ascii="Arial" w:cs="Arial" w:eastAsia="Arial" w:hAnsi="Arial"/>
          <w:sz w:val="20"/>
          <w:szCs w:val="20"/>
          <w:color w:val="auto"/>
        </w:rPr>
      </w:pPr>
    </w:p>
    <w:p>
      <w:pPr>
        <w:ind w:left="1160" w:right="320" w:hanging="306"/>
        <w:spacing w:after="0" w:line="374" w:lineRule="auto"/>
        <w:tabs>
          <w:tab w:leader="none" w:pos="1160" w:val="left"/>
        </w:tabs>
        <w:numPr>
          <w:ilvl w:val="0"/>
          <w:numId w:val="92"/>
        </w:numPr>
        <w:rPr>
          <w:rFonts w:ascii="Arial" w:cs="Arial" w:eastAsia="Arial" w:hAnsi="Arial"/>
          <w:sz w:val="20"/>
          <w:szCs w:val="20"/>
          <w:color w:val="auto"/>
        </w:rPr>
      </w:pPr>
      <w:r>
        <w:rPr>
          <w:rFonts w:ascii="Arial" w:cs="Arial" w:eastAsia="Arial" w:hAnsi="Arial"/>
          <w:sz w:val="20"/>
          <w:szCs w:val="20"/>
          <w:color w:val="auto"/>
        </w:rPr>
        <w:t>exercise a net share tax withholding right in connect with a share-based award, such as a restricted stock unit award, granted to you by our Company pursuant to which you elect to have the Company withhold shares to satisfy tax withholding obligations arising upon a taxable event, such as exercise, vesting or settlement of the award (but this does not include “sell-to-cover” or other transaction involving market sales of shares issuable under the award);</w:t>
      </w:r>
    </w:p>
    <w:p>
      <w:pPr>
        <w:sectPr>
          <w:pgSz w:w="11900" w:h="16838" w:orient="portrait"/>
          <w:cols w:equalWidth="0" w:num="1">
            <w:col w:w="9140"/>
          </w:cols>
          <w:pgMar w:left="144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33 / 60</w:t>
      </w:r>
    </w:p>
    <w:p>
      <w:pPr>
        <w:sectPr>
          <w:pgSz w:w="11900" w:h="16838" w:orient="portrait"/>
          <w:cols w:equalWidth="0" w:num="1">
            <w:col w:w="9140"/>
          </w:cols>
          <w:pgMar w:left="1440" w:top="1440" w:right="1326" w:bottom="0" w:gutter="0" w:footer="0" w:header="0"/>
          <w:type w:val="continuous"/>
        </w:sectPr>
      </w:pPr>
    </w:p>
    <w:bookmarkStart w:id="293" w:name="page294"/>
    <w:bookmarkEnd w:id="293"/>
    <w:p>
      <w:pPr>
        <w:ind w:left="1160" w:right="246" w:hanging="306"/>
        <w:spacing w:after="0" w:line="368" w:lineRule="auto"/>
        <w:tabs>
          <w:tab w:leader="none" w:pos="1160" w:val="left"/>
        </w:tabs>
        <w:numPr>
          <w:ilvl w:val="0"/>
          <w:numId w:val="93"/>
        </w:numPr>
        <w:rPr>
          <w:rFonts w:ascii="Arial" w:cs="Arial" w:eastAsia="Arial" w:hAnsi="Arial"/>
          <w:sz w:val="20"/>
          <w:szCs w:val="20"/>
          <w:color w:val="auto"/>
        </w:rPr>
      </w:pPr>
      <w:r>
        <w:rPr>
          <w:rFonts w:ascii="Arial" w:cs="Arial" w:eastAsia="Arial" w:hAnsi="Arial"/>
          <w:sz w:val="20"/>
          <w:szCs w:val="20"/>
          <w:color w:val="auto"/>
        </w:rPr>
        <w:t>buy or sell our securities under our 401(k) plan (if the transaction is made pursuant to standing instructions not entered into or modified during a blackout period); and</w:t>
      </w:r>
    </w:p>
    <w:p>
      <w:pPr>
        <w:spacing w:after="0" w:line="333" w:lineRule="exact"/>
        <w:rPr>
          <w:rFonts w:ascii="Arial" w:cs="Arial" w:eastAsia="Arial" w:hAnsi="Arial"/>
          <w:sz w:val="20"/>
          <w:szCs w:val="20"/>
          <w:color w:val="auto"/>
        </w:rPr>
      </w:pPr>
    </w:p>
    <w:p>
      <w:pPr>
        <w:jc w:val="both"/>
        <w:ind w:left="1160" w:right="246" w:hanging="306"/>
        <w:spacing w:after="0" w:line="368" w:lineRule="auto"/>
        <w:tabs>
          <w:tab w:leader="none" w:pos="1160" w:val="left"/>
        </w:tabs>
        <w:numPr>
          <w:ilvl w:val="0"/>
          <w:numId w:val="93"/>
        </w:numPr>
        <w:rPr>
          <w:rFonts w:ascii="Arial" w:cs="Arial" w:eastAsia="Arial" w:hAnsi="Arial"/>
          <w:sz w:val="20"/>
          <w:szCs w:val="20"/>
          <w:color w:val="auto"/>
        </w:rPr>
      </w:pPr>
      <w:r>
        <w:rPr>
          <w:rFonts w:ascii="Arial" w:cs="Arial" w:eastAsia="Arial" w:hAnsi="Arial"/>
          <w:sz w:val="20"/>
          <w:szCs w:val="20"/>
          <w:color w:val="auto"/>
        </w:rPr>
        <w:t>buy or sell our securities under our Employee Stock Purchase Plan (if the election to participate and any modifications to the original election to increase the rate of</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contributions were not made during the blackout period).</w:t>
      </w:r>
    </w:p>
    <w:p>
      <w:pPr>
        <w:spacing w:after="0" w:line="84"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796925</wp:posOffset>
            </wp:positionV>
            <wp:extent cx="5967730" cy="190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5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34 / 60</w:t>
      </w:r>
    </w:p>
    <w:p>
      <w:pPr>
        <w:sectPr>
          <w:pgSz w:w="11900" w:h="16838" w:orient="portrait"/>
          <w:cols w:equalWidth="0" w:num="1">
            <w:col w:w="9026"/>
          </w:cols>
          <w:pgMar w:left="1440" w:top="1215" w:right="1440" w:bottom="0" w:gutter="0" w:footer="0" w:header="0"/>
          <w:type w:val="continuous"/>
        </w:sectPr>
      </w:pPr>
    </w:p>
    <w:bookmarkStart w:id="294" w:name="page295"/>
    <w:bookmarkEnd w:id="2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60" w:hanging="620"/>
        <w:spacing w:after="0"/>
        <w:tabs>
          <w:tab w:leader="none" w:pos="116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7E35B1"/>
        </w:rPr>
        <w:t>Reporting of Purchases and Sales</w:t>
      </w:r>
    </w:p>
    <w:p>
      <w:pPr>
        <w:spacing w:after="0" w:line="200" w:lineRule="exact"/>
        <w:rPr>
          <w:sz w:val="20"/>
          <w:szCs w:val="20"/>
          <w:color w:val="auto"/>
        </w:rPr>
      </w:pPr>
    </w:p>
    <w:p>
      <w:pPr>
        <w:spacing w:after="0" w:line="240" w:lineRule="exact"/>
        <w:rPr>
          <w:sz w:val="20"/>
          <w:szCs w:val="20"/>
          <w:color w:val="auto"/>
        </w:rPr>
      </w:pPr>
    </w:p>
    <w:p>
      <w:pPr>
        <w:jc w:val="both"/>
        <w:ind w:left="540" w:right="266"/>
        <w:spacing w:after="0" w:line="314" w:lineRule="auto"/>
        <w:rPr>
          <w:sz w:val="20"/>
          <w:szCs w:val="20"/>
          <w:color w:val="auto"/>
        </w:rPr>
      </w:pPr>
      <w:r>
        <w:rPr>
          <w:rFonts w:ascii="Arial" w:cs="Arial" w:eastAsia="Arial" w:hAnsi="Arial"/>
          <w:sz w:val="20"/>
          <w:szCs w:val="20"/>
          <w:color w:val="auto"/>
        </w:rPr>
        <w:t>If you are a director or an executive officer or another reporting person subject to Section 16 of the Exchange Act, you must immediately report to a Policy Compliance Officer (and their designees) all transactions in our securities completed by you, any family members and any entities that you control or in which you have an ownership interest. The Policy Compliance Officers or their designees can answer any questions you may have about these reporting obligations, including whether you are subject to Section 16, and will assist you with satisfying your reporting obligations. We require prompt reporting due to SEC requirements that certain insider reports be filed with the SEC by the second day after the date on which a reportable transaction occurs.</w:t>
      </w:r>
    </w:p>
    <w:p>
      <w:pPr>
        <w:spacing w:after="0" w:line="128" w:lineRule="exact"/>
        <w:rPr>
          <w:sz w:val="20"/>
          <w:szCs w:val="20"/>
          <w:color w:val="auto"/>
        </w:rPr>
      </w:pPr>
    </w:p>
    <w:p>
      <w:pPr>
        <w:ind w:left="540" w:right="426"/>
        <w:spacing w:after="0" w:line="311" w:lineRule="auto"/>
        <w:rPr>
          <w:sz w:val="20"/>
          <w:szCs w:val="20"/>
          <w:color w:val="auto"/>
        </w:rPr>
      </w:pPr>
      <w:r>
        <w:rPr>
          <w:rFonts w:ascii="Arial" w:cs="Arial" w:eastAsia="Arial" w:hAnsi="Arial"/>
          <w:sz w:val="20"/>
          <w:szCs w:val="20"/>
          <w:color w:val="auto"/>
        </w:rPr>
        <w:t>Again, if you are a director, an executive officer or another Section 16 reporting person, please keep in mind the various restrictions on securities trading imposed under Section 16 of the Exchange Act and the applicable reporting requirements.</w:t>
      </w:r>
    </w:p>
    <w:p>
      <w:pPr>
        <w:spacing w:after="0" w:line="200" w:lineRule="exact"/>
        <w:rPr>
          <w:sz w:val="20"/>
          <w:szCs w:val="20"/>
          <w:color w:val="auto"/>
        </w:rPr>
      </w:pPr>
    </w:p>
    <w:p>
      <w:pPr>
        <w:spacing w:after="0" w:line="271" w:lineRule="exact"/>
        <w:rPr>
          <w:sz w:val="20"/>
          <w:szCs w:val="20"/>
          <w:color w:val="auto"/>
        </w:rPr>
      </w:pPr>
    </w:p>
    <w:p>
      <w:pPr>
        <w:ind w:left="1160" w:hanging="620"/>
        <w:spacing w:after="0"/>
        <w:tabs>
          <w:tab w:leader="none" w:pos="116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7E35B1"/>
        </w:rPr>
        <w:t>Disclosure Restrictions</w:t>
      </w:r>
    </w:p>
    <w:p>
      <w:pPr>
        <w:spacing w:after="0" w:line="200" w:lineRule="exact"/>
        <w:rPr>
          <w:sz w:val="20"/>
          <w:szCs w:val="20"/>
          <w:color w:val="auto"/>
        </w:rPr>
      </w:pPr>
    </w:p>
    <w:p>
      <w:pPr>
        <w:spacing w:after="0" w:line="238" w:lineRule="exact"/>
        <w:rPr>
          <w:sz w:val="20"/>
          <w:szCs w:val="20"/>
          <w:color w:val="auto"/>
        </w:rPr>
      </w:pPr>
    </w:p>
    <w:p>
      <w:pPr>
        <w:jc w:val="both"/>
        <w:ind w:left="540" w:right="206"/>
        <w:spacing w:after="0" w:line="314" w:lineRule="auto"/>
        <w:rPr>
          <w:sz w:val="20"/>
          <w:szCs w:val="20"/>
          <w:color w:val="auto"/>
        </w:rPr>
      </w:pPr>
      <w:r>
        <w:rPr>
          <w:rFonts w:ascii="Arial" w:cs="Arial" w:eastAsia="Arial" w:hAnsi="Arial"/>
          <w:sz w:val="20"/>
          <w:szCs w:val="20"/>
          <w:color w:val="auto"/>
        </w:rPr>
        <w:t>As noted above, you must not communicate (or tip) material nonpublic information to other persons before its public disclosure and dissemination. Therefore, you should exercise care when speaking with other personnel who do not have a “need to know” and when communicating with family, friends and others who are not associated with us. To avoid even the appearance of impropriety, please refrain from discussing our business or prospects or making recommendations about buying or selling our securities or the securities of other entities with which we have any relationship. The concept of unlawful tipping includes passing on information to friends, family members or acquaintances especially under circumstances that suggest that you were trying to help them make a profit or avoid a loss.</w:t>
      </w:r>
    </w:p>
    <w:p>
      <w:pPr>
        <w:spacing w:after="0" w:line="200" w:lineRule="exact"/>
        <w:rPr>
          <w:sz w:val="20"/>
          <w:szCs w:val="20"/>
          <w:color w:val="auto"/>
        </w:rPr>
      </w:pPr>
    </w:p>
    <w:p>
      <w:pPr>
        <w:spacing w:after="0" w:line="267" w:lineRule="exact"/>
        <w:rPr>
          <w:sz w:val="20"/>
          <w:szCs w:val="20"/>
          <w:color w:val="auto"/>
        </w:rPr>
      </w:pPr>
    </w:p>
    <w:p>
      <w:pPr>
        <w:ind w:left="540"/>
        <w:spacing w:after="0"/>
        <w:tabs>
          <w:tab w:leader="none" w:pos="114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color w:val="7E35B1"/>
        </w:rPr>
        <w:t>Market sensitive information relating to clients and counterparties</w:t>
      </w:r>
    </w:p>
    <w:p>
      <w:pPr>
        <w:spacing w:after="0" w:line="200" w:lineRule="exact"/>
        <w:rPr>
          <w:sz w:val="20"/>
          <w:szCs w:val="20"/>
          <w:color w:val="auto"/>
        </w:rPr>
      </w:pPr>
    </w:p>
    <w:p>
      <w:pPr>
        <w:spacing w:after="0" w:line="241" w:lineRule="exact"/>
        <w:rPr>
          <w:sz w:val="20"/>
          <w:szCs w:val="20"/>
          <w:color w:val="auto"/>
        </w:rPr>
      </w:pPr>
    </w:p>
    <w:p>
      <w:pPr>
        <w:jc w:val="both"/>
        <w:ind w:left="540" w:right="206"/>
        <w:spacing w:after="0" w:line="313" w:lineRule="auto"/>
        <w:rPr>
          <w:sz w:val="20"/>
          <w:szCs w:val="20"/>
          <w:color w:val="auto"/>
        </w:rPr>
      </w:pPr>
      <w:r>
        <w:rPr>
          <w:rFonts w:ascii="Arial" w:cs="Arial" w:eastAsia="Arial" w:hAnsi="Arial"/>
          <w:sz w:val="20"/>
          <w:szCs w:val="20"/>
          <w:color w:val="auto"/>
        </w:rPr>
        <w:t>Due to the nature of WTW business activities, you may become aware of market sensitive information during their interactions with clients, and other counterparties. You must not buy or sell publicly traded securities while in possession of material non-public information or disclose such information to anyone other than as reasonably necessary in the normal course of employment.</w:t>
      </w:r>
    </w:p>
    <w:p>
      <w:pPr>
        <w:spacing w:after="0" w:line="128" w:lineRule="exact"/>
        <w:rPr>
          <w:sz w:val="20"/>
          <w:szCs w:val="20"/>
          <w:color w:val="auto"/>
        </w:rPr>
      </w:pPr>
    </w:p>
    <w:p>
      <w:pPr>
        <w:ind w:left="540" w:right="286"/>
        <w:spacing w:after="0" w:line="307" w:lineRule="auto"/>
        <w:rPr>
          <w:sz w:val="20"/>
          <w:szCs w:val="20"/>
          <w:color w:val="auto"/>
        </w:rPr>
      </w:pPr>
      <w:r>
        <w:rPr>
          <w:rFonts w:ascii="Arial" w:cs="Arial" w:eastAsia="Arial" w:hAnsi="Arial"/>
          <w:sz w:val="20"/>
          <w:szCs w:val="20"/>
          <w:color w:val="auto"/>
        </w:rPr>
        <w:t>In addition, you must not engage (or attempt to engage) in illegal manipulation of a financial market. This includes:</w:t>
      </w:r>
    </w:p>
    <w:p>
      <w:pPr>
        <w:spacing w:after="0" w:line="177" w:lineRule="exact"/>
        <w:rPr>
          <w:sz w:val="20"/>
          <w:szCs w:val="20"/>
          <w:color w:val="auto"/>
        </w:rPr>
      </w:pPr>
    </w:p>
    <w:p>
      <w:pPr>
        <w:ind w:left="1160" w:right="246" w:hanging="306"/>
        <w:spacing w:after="0" w:line="368" w:lineRule="auto"/>
        <w:tabs>
          <w:tab w:leader="none" w:pos="1160" w:val="left"/>
        </w:tabs>
        <w:numPr>
          <w:ilvl w:val="0"/>
          <w:numId w:val="96"/>
        </w:numPr>
        <w:rPr>
          <w:rFonts w:ascii="Arial" w:cs="Arial" w:eastAsia="Arial" w:hAnsi="Arial"/>
          <w:sz w:val="20"/>
          <w:szCs w:val="20"/>
          <w:color w:val="auto"/>
        </w:rPr>
      </w:pPr>
      <w:r>
        <w:rPr>
          <w:rFonts w:ascii="Arial" w:cs="Arial" w:eastAsia="Arial" w:hAnsi="Arial"/>
          <w:sz w:val="20"/>
          <w:szCs w:val="20"/>
          <w:color w:val="auto"/>
        </w:rPr>
        <w:t>manipulating transactions or devices to give a false impression of supply or demand for an investment; or</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35 / 60</w:t>
      </w:r>
    </w:p>
    <w:p>
      <w:pPr>
        <w:sectPr>
          <w:pgSz w:w="11900" w:h="16838" w:orient="portrait"/>
          <w:cols w:equalWidth="0" w:num="1">
            <w:col w:w="9026"/>
          </w:cols>
          <w:pgMar w:left="1440" w:top="1440" w:right="1440" w:bottom="0" w:gutter="0" w:footer="0" w:header="0"/>
          <w:type w:val="continuous"/>
        </w:sectPr>
      </w:pPr>
    </w:p>
    <w:bookmarkStart w:id="295" w:name="page296"/>
    <w:bookmarkEnd w:id="295"/>
    <w:p>
      <w:pPr>
        <w:ind w:left="1160" w:right="266" w:hanging="306"/>
        <w:spacing w:after="0" w:line="368" w:lineRule="auto"/>
        <w:tabs>
          <w:tab w:leader="none" w:pos="1160" w:val="left"/>
        </w:tabs>
        <w:numPr>
          <w:ilvl w:val="0"/>
          <w:numId w:val="97"/>
        </w:numPr>
        <w:rPr>
          <w:rFonts w:ascii="Arial" w:cs="Arial" w:eastAsia="Arial" w:hAnsi="Arial"/>
          <w:sz w:val="20"/>
          <w:szCs w:val="20"/>
          <w:color w:val="auto"/>
        </w:rPr>
      </w:pPr>
      <w:r>
        <w:rPr>
          <w:rFonts w:ascii="Arial" w:cs="Arial" w:eastAsia="Arial" w:hAnsi="Arial"/>
          <w:sz w:val="20"/>
          <w:szCs w:val="20"/>
          <w:color w:val="auto"/>
        </w:rPr>
        <w:t>disseminating information that may result in the misleading impression of the supply or, or demand for, an investment, through the media or otherwise.</w:t>
      </w:r>
    </w:p>
    <w:p>
      <w:pPr>
        <w:spacing w:after="0" w:line="290" w:lineRule="exact"/>
        <w:rPr>
          <w:sz w:val="20"/>
          <w:szCs w:val="20"/>
          <w:color w:val="auto"/>
        </w:rPr>
      </w:pPr>
    </w:p>
    <w:p>
      <w:pPr>
        <w:ind w:left="540" w:right="286"/>
        <w:spacing w:after="0" w:line="311" w:lineRule="auto"/>
        <w:rPr>
          <w:sz w:val="20"/>
          <w:szCs w:val="20"/>
          <w:color w:val="auto"/>
        </w:rPr>
      </w:pPr>
      <w:r>
        <w:rPr>
          <w:rFonts w:ascii="Arial" w:cs="Arial" w:eastAsia="Arial" w:hAnsi="Arial"/>
          <w:sz w:val="20"/>
          <w:szCs w:val="20"/>
          <w:color w:val="auto"/>
        </w:rPr>
        <w:t>Some Associates will be subject to additional market abuse policies. Please contact ta Policy Compliance Officer or the Company’s Chief Compliance Officer should you have any questions in relation to this section.</w:t>
      </w:r>
    </w:p>
    <w:p>
      <w:pPr>
        <w:spacing w:after="0" w:line="200" w:lineRule="exact"/>
        <w:rPr>
          <w:sz w:val="20"/>
          <w:szCs w:val="20"/>
          <w:color w:val="auto"/>
        </w:rPr>
      </w:pPr>
    </w:p>
    <w:p>
      <w:pPr>
        <w:spacing w:after="0" w:line="268" w:lineRule="exact"/>
        <w:rPr>
          <w:sz w:val="20"/>
          <w:szCs w:val="20"/>
          <w:color w:val="auto"/>
        </w:rPr>
      </w:pPr>
    </w:p>
    <w:p>
      <w:pPr>
        <w:ind w:left="1160" w:hanging="620"/>
        <w:spacing w:after="0"/>
        <w:tabs>
          <w:tab w:leader="none" w:pos="1160" w:val="left"/>
        </w:tabs>
        <w:numPr>
          <w:ilvl w:val="0"/>
          <w:numId w:val="98"/>
        </w:numPr>
        <w:rPr>
          <w:rFonts w:ascii="Arial" w:cs="Arial" w:eastAsia="Arial" w:hAnsi="Arial"/>
          <w:sz w:val="20"/>
          <w:szCs w:val="20"/>
          <w:b w:val="1"/>
          <w:bCs w:val="1"/>
          <w:color w:val="auto"/>
        </w:rPr>
      </w:pPr>
      <w:r>
        <w:rPr>
          <w:rFonts w:ascii="Arial" w:cs="Arial" w:eastAsia="Arial" w:hAnsi="Arial"/>
          <w:sz w:val="20"/>
          <w:szCs w:val="20"/>
          <w:b w:val="1"/>
          <w:bCs w:val="1"/>
          <w:color w:val="7E35B1"/>
        </w:rPr>
        <w:t>Application to Former, Temporary or Retired Personnel</w:t>
      </w:r>
    </w:p>
    <w:p>
      <w:pPr>
        <w:spacing w:after="0" w:line="200" w:lineRule="exact"/>
        <w:rPr>
          <w:sz w:val="20"/>
          <w:szCs w:val="20"/>
          <w:color w:val="auto"/>
        </w:rPr>
      </w:pPr>
    </w:p>
    <w:p>
      <w:pPr>
        <w:spacing w:after="0" w:line="241" w:lineRule="exact"/>
        <w:rPr>
          <w:sz w:val="20"/>
          <w:szCs w:val="20"/>
          <w:color w:val="auto"/>
        </w:rPr>
      </w:pPr>
    </w:p>
    <w:p>
      <w:pPr>
        <w:jc w:val="both"/>
        <w:ind w:left="540" w:right="386"/>
        <w:spacing w:after="0" w:line="311" w:lineRule="auto"/>
        <w:rPr>
          <w:sz w:val="20"/>
          <w:szCs w:val="20"/>
          <w:color w:val="auto"/>
        </w:rPr>
      </w:pPr>
      <w:r>
        <w:rPr>
          <w:rFonts w:ascii="Arial" w:cs="Arial" w:eastAsia="Arial" w:hAnsi="Arial"/>
          <w:sz w:val="20"/>
          <w:szCs w:val="20"/>
          <w:color w:val="auto"/>
        </w:rPr>
        <w:t>This policy (including the prohibition on insider trading in any security while in possession of material nonpublic information obtained while in our employment or while conducting any business or activity on our behalf) applies, and will continue to apply, to you as follows:</w:t>
      </w:r>
    </w:p>
    <w:p>
      <w:pPr>
        <w:spacing w:after="0" w:line="174" w:lineRule="exact"/>
        <w:rPr>
          <w:sz w:val="20"/>
          <w:szCs w:val="20"/>
          <w:color w:val="auto"/>
        </w:rPr>
      </w:pPr>
    </w:p>
    <w:p>
      <w:pPr>
        <w:jc w:val="both"/>
        <w:ind w:left="1120" w:right="246" w:hanging="292"/>
        <w:spacing w:after="0" w:line="372" w:lineRule="auto"/>
        <w:tabs>
          <w:tab w:leader="none" w:pos="11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If you are a former, temporary or retired Designated Blackout Period Colleague, this policy will apply until the later of (i) the second full trading day following the public release of earnings for the fiscal quarter in which that person leaves our Company or</w:t>
      </w:r>
    </w:p>
    <w:p>
      <w:pPr>
        <w:spacing w:after="0" w:line="11" w:lineRule="exact"/>
        <w:rPr>
          <w:sz w:val="20"/>
          <w:szCs w:val="20"/>
          <w:color w:val="auto"/>
        </w:rPr>
      </w:pPr>
    </w:p>
    <w:p>
      <w:pPr>
        <w:ind w:left="1120" w:right="246"/>
        <w:spacing w:after="0" w:line="353" w:lineRule="auto"/>
        <w:rPr>
          <w:sz w:val="20"/>
          <w:szCs w:val="20"/>
          <w:color w:val="auto"/>
        </w:rPr>
      </w:pPr>
      <w:r>
        <w:rPr>
          <w:rFonts w:ascii="Arial" w:cs="Arial" w:eastAsia="Arial" w:hAnsi="Arial"/>
          <w:sz w:val="20"/>
          <w:szCs w:val="20"/>
          <w:color w:val="auto"/>
        </w:rPr>
        <w:t>(ii) the second full trading day after any material nonpublic information known to you has become public or is no longer material.</w:t>
      </w:r>
    </w:p>
    <w:p>
      <w:pPr>
        <w:jc w:val="center"/>
        <w:ind w:right="6"/>
        <w:spacing w:after="0" w:line="230" w:lineRule="auto"/>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796925</wp:posOffset>
            </wp:positionV>
            <wp:extent cx="5967730" cy="190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5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2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36 / 60</w:t>
      </w:r>
    </w:p>
    <w:p>
      <w:pPr>
        <w:sectPr>
          <w:pgSz w:w="11900" w:h="16838" w:orient="portrait"/>
          <w:cols w:equalWidth="0" w:num="1">
            <w:col w:w="9026"/>
          </w:cols>
          <w:pgMar w:left="1440" w:top="1215" w:right="1440" w:bottom="0" w:gutter="0" w:footer="0" w:header="0"/>
          <w:type w:val="continuous"/>
        </w:sectPr>
      </w:pPr>
    </w:p>
    <w:bookmarkStart w:id="296" w:name="page297"/>
    <w:bookmarkEnd w:id="2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160" w:right="206" w:hanging="306"/>
        <w:spacing w:after="0" w:line="372" w:lineRule="auto"/>
        <w:tabs>
          <w:tab w:leader="none" w:pos="116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For all other former, temporary or retired Associates or other personnel, this policy will apply until the second full business day after any material nonpublic information known to you has become public or is no longer material.</w:t>
      </w:r>
    </w:p>
    <w:p>
      <w:pPr>
        <w:spacing w:after="0" w:line="320" w:lineRule="exact"/>
        <w:rPr>
          <w:sz w:val="20"/>
          <w:szCs w:val="20"/>
          <w:color w:val="auto"/>
        </w:rPr>
      </w:pPr>
    </w:p>
    <w:p>
      <w:pPr>
        <w:ind w:left="540"/>
        <w:spacing w:after="0"/>
        <w:tabs>
          <w:tab w:leader="none" w:pos="1140" w:val="left"/>
        </w:tabs>
        <w:rPr>
          <w:sz w:val="20"/>
          <w:szCs w:val="20"/>
          <w:color w:val="auto"/>
        </w:rPr>
      </w:pPr>
      <w:r>
        <w:rPr>
          <w:rFonts w:ascii="Arial" w:cs="Arial" w:eastAsia="Arial" w:hAnsi="Arial"/>
          <w:sz w:val="20"/>
          <w:szCs w:val="20"/>
          <w:b w:val="1"/>
          <w:bCs w:val="1"/>
          <w:color w:val="auto"/>
        </w:rPr>
        <w:t>VI.</w:t>
      </w:r>
      <w:r>
        <w:rPr>
          <w:sz w:val="20"/>
          <w:szCs w:val="20"/>
          <w:color w:val="auto"/>
        </w:rPr>
        <w:tab/>
      </w:r>
      <w:r>
        <w:rPr>
          <w:rFonts w:ascii="Arial" w:cs="Arial" w:eastAsia="Arial" w:hAnsi="Arial"/>
          <w:sz w:val="20"/>
          <w:szCs w:val="20"/>
          <w:b w:val="1"/>
          <w:bCs w:val="1"/>
          <w:color w:val="7E35B1"/>
        </w:rPr>
        <w:t>Violations of this Policy</w:t>
      </w:r>
    </w:p>
    <w:p>
      <w:pPr>
        <w:spacing w:after="0" w:line="200" w:lineRule="exact"/>
        <w:rPr>
          <w:sz w:val="20"/>
          <w:szCs w:val="20"/>
          <w:color w:val="auto"/>
        </w:rPr>
      </w:pPr>
    </w:p>
    <w:p>
      <w:pPr>
        <w:spacing w:after="0" w:line="259" w:lineRule="exact"/>
        <w:rPr>
          <w:sz w:val="20"/>
          <w:szCs w:val="20"/>
          <w:color w:val="auto"/>
        </w:rPr>
      </w:pPr>
    </w:p>
    <w:p>
      <w:pPr>
        <w:jc w:val="both"/>
        <w:ind w:left="540" w:right="246"/>
        <w:spacing w:after="0" w:line="307" w:lineRule="auto"/>
        <w:rPr>
          <w:sz w:val="20"/>
          <w:szCs w:val="20"/>
          <w:color w:val="auto"/>
        </w:rPr>
      </w:pPr>
      <w:r>
        <w:rPr>
          <w:rFonts w:ascii="Arial" w:cs="Arial" w:eastAsia="Arial" w:hAnsi="Arial"/>
          <w:sz w:val="20"/>
          <w:szCs w:val="20"/>
          <w:color w:val="auto"/>
        </w:rPr>
        <w:t>A violation of this policy could expose you to significant civil and criminal penalties and legal action. See “What are the U.S. securities law penalties for insider trading?” below.</w:t>
      </w:r>
    </w:p>
    <w:p>
      <w:pPr>
        <w:spacing w:after="0" w:line="326" w:lineRule="exact"/>
        <w:rPr>
          <w:sz w:val="20"/>
          <w:szCs w:val="20"/>
          <w:color w:val="auto"/>
        </w:rPr>
      </w:pPr>
    </w:p>
    <w:p>
      <w:pPr>
        <w:jc w:val="both"/>
        <w:ind w:left="540" w:right="246"/>
        <w:spacing w:after="0" w:line="313" w:lineRule="auto"/>
        <w:rPr>
          <w:sz w:val="20"/>
          <w:szCs w:val="20"/>
          <w:color w:val="auto"/>
        </w:rPr>
      </w:pPr>
      <w:r>
        <w:rPr>
          <w:rFonts w:ascii="Arial" w:cs="Arial" w:eastAsia="Arial" w:hAnsi="Arial"/>
          <w:sz w:val="20"/>
          <w:szCs w:val="20"/>
          <w:color w:val="auto"/>
        </w:rPr>
        <w:t>If you have supervisory authority over any of our Associates or other personnel, you must promptly report to a Policy Compliance Officer either any trading in our securities by such persons or any disclosure of material nonpublic information by such persons that you have reason to believe may violate this policy or U.S. securities laws. Because the SEC can seek civil penalties against us, directors and supervisory personnel for failing to take appropriate steps to prevent illegal trading, we should be made aware of any suspected violations as early as possible.</w:t>
      </w:r>
    </w:p>
    <w:p>
      <w:pPr>
        <w:spacing w:after="0" w:line="325" w:lineRule="exact"/>
        <w:rPr>
          <w:sz w:val="20"/>
          <w:szCs w:val="20"/>
          <w:color w:val="auto"/>
        </w:rPr>
      </w:pPr>
    </w:p>
    <w:p>
      <w:pPr>
        <w:jc w:val="both"/>
        <w:ind w:left="540" w:right="246"/>
        <w:spacing w:after="0" w:line="307" w:lineRule="auto"/>
        <w:rPr>
          <w:sz w:val="20"/>
          <w:szCs w:val="20"/>
          <w:color w:val="auto"/>
        </w:rPr>
      </w:pPr>
      <w:r>
        <w:rPr>
          <w:rFonts w:ascii="Arial" w:cs="Arial" w:eastAsia="Arial" w:hAnsi="Arial"/>
          <w:sz w:val="20"/>
          <w:szCs w:val="20"/>
          <w:color w:val="auto"/>
        </w:rPr>
        <w:t>Notwithstanding the foregoing, nothing in this policy precludes you from utilizing our “Speak Up” Policy.</w:t>
      </w:r>
    </w:p>
    <w:p>
      <w:pPr>
        <w:spacing w:after="0" w:line="321" w:lineRule="exact"/>
        <w:rPr>
          <w:sz w:val="20"/>
          <w:szCs w:val="20"/>
          <w:color w:val="auto"/>
        </w:rPr>
      </w:pPr>
    </w:p>
    <w:p>
      <w:pPr>
        <w:ind w:left="4200"/>
        <w:spacing w:after="0"/>
        <w:tabs>
          <w:tab w:leader="none" w:pos="4640" w:val="left"/>
          <w:tab w:leader="none" w:pos="510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70"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796925</wp:posOffset>
            </wp:positionV>
            <wp:extent cx="5967730" cy="190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5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37 / 60</w:t>
      </w:r>
    </w:p>
    <w:p>
      <w:pPr>
        <w:sectPr>
          <w:pgSz w:w="11900" w:h="16838" w:orient="portrait"/>
          <w:cols w:equalWidth="0" w:num="1">
            <w:col w:w="9026"/>
          </w:cols>
          <w:pgMar w:left="1440" w:top="1440" w:right="1440" w:bottom="0" w:gutter="0" w:footer="0" w:header="0"/>
          <w:type w:val="continuous"/>
        </w:sectPr>
      </w:pPr>
    </w:p>
    <w:bookmarkStart w:id="297" w:name="page298"/>
    <w:bookmarkEnd w:id="2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APPENDIX 1</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7E35B1"/>
        </w:rPr>
        <w:t>QUESTIONS AND ANSWERS</w:t>
      </w:r>
    </w:p>
    <w:p>
      <w:pPr>
        <w:spacing w:after="0" w:line="200" w:lineRule="exact"/>
        <w:rPr>
          <w:sz w:val="20"/>
          <w:szCs w:val="20"/>
          <w:color w:val="auto"/>
        </w:rPr>
      </w:pPr>
    </w:p>
    <w:p>
      <w:pPr>
        <w:spacing w:after="0" w:line="267" w:lineRule="exact"/>
        <w:rPr>
          <w:sz w:val="20"/>
          <w:szCs w:val="20"/>
          <w:color w:val="auto"/>
        </w:rPr>
      </w:pPr>
    </w:p>
    <w:p>
      <w:pPr>
        <w:ind w:left="540"/>
        <w:spacing w:after="0"/>
        <w:tabs>
          <w:tab w:leader="none" w:pos="1880" w:val="left"/>
        </w:tabs>
        <w:rPr>
          <w:sz w:val="20"/>
          <w:szCs w:val="20"/>
          <w:color w:val="auto"/>
        </w:rPr>
      </w:pPr>
      <w:r>
        <w:rPr>
          <w:rFonts w:ascii="Arial" w:cs="Arial" w:eastAsia="Arial" w:hAnsi="Arial"/>
          <w:sz w:val="20"/>
          <w:szCs w:val="20"/>
          <w:color w:val="auto"/>
        </w:rPr>
        <w:t>Section 1Q:</w:t>
      </w:r>
      <w:r>
        <w:rPr>
          <w:sz w:val="20"/>
          <w:szCs w:val="20"/>
          <w:color w:val="auto"/>
        </w:rPr>
        <w:tab/>
      </w:r>
      <w:r>
        <w:rPr>
          <w:rFonts w:ascii="Arial" w:cs="Arial" w:eastAsia="Arial" w:hAnsi="Arial"/>
          <w:sz w:val="19"/>
          <w:szCs w:val="19"/>
          <w:i w:val="1"/>
          <w:iCs w:val="1"/>
          <w:color w:val="auto"/>
        </w:rPr>
        <w:t>What information is “</w:t>
      </w:r>
      <w:r>
        <w:rPr>
          <w:rFonts w:ascii="Arial" w:cs="Arial" w:eastAsia="Arial" w:hAnsi="Arial"/>
          <w:sz w:val="19"/>
          <w:szCs w:val="19"/>
          <w:i w:val="1"/>
          <w:iCs w:val="1"/>
          <w:u w:val="single" w:color="auto"/>
          <w:color w:val="auto"/>
        </w:rPr>
        <w:t>material</w:t>
      </w:r>
      <w:r>
        <w:rPr>
          <w:rFonts w:ascii="Arial" w:cs="Arial" w:eastAsia="Arial" w:hAnsi="Arial"/>
          <w:sz w:val="19"/>
          <w:szCs w:val="19"/>
          <w:i w:val="1"/>
          <w:iCs w:val="1"/>
          <w:color w:val="auto"/>
        </w:rPr>
        <w:t>?”</w:t>
      </w:r>
    </w:p>
    <w:p>
      <w:pPr>
        <w:spacing w:after="0" w:line="200" w:lineRule="exact"/>
        <w:rPr>
          <w:sz w:val="20"/>
          <w:szCs w:val="20"/>
          <w:color w:val="auto"/>
        </w:rPr>
      </w:pPr>
    </w:p>
    <w:p>
      <w:pPr>
        <w:spacing w:after="0" w:line="281" w:lineRule="exact"/>
        <w:rPr>
          <w:sz w:val="20"/>
          <w:szCs w:val="20"/>
          <w:color w:val="auto"/>
        </w:rPr>
      </w:pPr>
    </w:p>
    <w:p>
      <w:pPr>
        <w:jc w:val="both"/>
        <w:ind w:left="780" w:right="400" w:firstLine="7"/>
        <w:spacing w:after="0" w:line="312" w:lineRule="auto"/>
        <w:tabs>
          <w:tab w:leader="none" w:pos="1236" w:val="left"/>
        </w:tabs>
        <w:numPr>
          <w:ilvl w:val="0"/>
          <w:numId w:val="101"/>
        </w:numPr>
        <w:rPr>
          <w:rFonts w:ascii="Arial" w:cs="Arial" w:eastAsia="Arial" w:hAnsi="Arial"/>
          <w:sz w:val="20"/>
          <w:szCs w:val="20"/>
          <w:color w:val="auto"/>
        </w:rPr>
      </w:pPr>
      <w:r>
        <w:rPr>
          <w:rFonts w:ascii="Arial" w:cs="Arial" w:eastAsia="Arial" w:hAnsi="Arial"/>
          <w:sz w:val="20"/>
          <w:szCs w:val="20"/>
          <w:color w:val="auto"/>
        </w:rPr>
        <w:t>Information generally is considered to be material if its disclosure to the public would be reasonably likely to affect either investors’ decisions to buy or sell our securities or the market price of the securities. Material information can be either positive or negative. For example, material information may relate to:</w:t>
      </w:r>
    </w:p>
    <w:p>
      <w:pPr>
        <w:spacing w:after="0" w:line="169" w:lineRule="exact"/>
        <w:rPr>
          <w:rFonts w:ascii="Arial" w:cs="Arial" w:eastAsia="Arial" w:hAnsi="Arial"/>
          <w:sz w:val="20"/>
          <w:szCs w:val="20"/>
          <w:color w:val="auto"/>
        </w:rPr>
      </w:pPr>
    </w:p>
    <w:p>
      <w:pPr>
        <w:ind w:left="1700" w:hanging="320"/>
        <w:spacing w:after="0"/>
        <w:tabs>
          <w:tab w:leader="none" w:pos="170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 merger, acquisition or sale;</w:t>
      </w:r>
    </w:p>
    <w:p>
      <w:pPr>
        <w:spacing w:after="0" w:line="200" w:lineRule="exact"/>
        <w:rPr>
          <w:rFonts w:ascii="Arial" w:cs="Arial" w:eastAsia="Arial" w:hAnsi="Arial"/>
          <w:sz w:val="20"/>
          <w:szCs w:val="20"/>
          <w:color w:val="auto"/>
        </w:rPr>
      </w:pPr>
    </w:p>
    <w:p>
      <w:pPr>
        <w:spacing w:after="0" w:line="254" w:lineRule="exact"/>
        <w:rPr>
          <w:rFonts w:ascii="Arial" w:cs="Arial" w:eastAsia="Arial" w:hAnsi="Arial"/>
          <w:sz w:val="20"/>
          <w:szCs w:val="20"/>
          <w:color w:val="auto"/>
        </w:rPr>
      </w:pPr>
    </w:p>
    <w:p>
      <w:pPr>
        <w:ind w:left="1680" w:right="380" w:hanging="300"/>
        <w:spacing w:after="0" w:line="368" w:lineRule="auto"/>
        <w:tabs>
          <w:tab w:leader="none" w:pos="168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information about revenues or earnings (profits or losses), including both actual results not yet released and projections;</w:t>
      </w:r>
    </w:p>
    <w:p>
      <w:pPr>
        <w:spacing w:after="0" w:line="335" w:lineRule="exact"/>
        <w:rPr>
          <w:rFonts w:ascii="Arial" w:cs="Arial" w:eastAsia="Arial" w:hAnsi="Arial"/>
          <w:sz w:val="20"/>
          <w:szCs w:val="20"/>
          <w:color w:val="auto"/>
        </w:rPr>
      </w:pPr>
    </w:p>
    <w:p>
      <w:pPr>
        <w:ind w:left="1680" w:right="380" w:hanging="300"/>
        <w:spacing w:after="0" w:line="368" w:lineRule="auto"/>
        <w:tabs>
          <w:tab w:leader="none" w:pos="168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institution of, or developments in, including the resolution of, significant litigation, investigations, regulatory actions or proceedings;</w:t>
      </w:r>
    </w:p>
    <w:p>
      <w:pPr>
        <w:spacing w:after="0" w:line="324" w:lineRule="exact"/>
        <w:rPr>
          <w:rFonts w:ascii="Arial" w:cs="Arial" w:eastAsia="Arial" w:hAnsi="Arial"/>
          <w:sz w:val="20"/>
          <w:szCs w:val="20"/>
          <w:color w:val="auto"/>
        </w:rPr>
      </w:pPr>
    </w:p>
    <w:p>
      <w:pPr>
        <w:ind w:left="1700" w:hanging="320"/>
        <w:spacing w:after="0"/>
        <w:tabs>
          <w:tab w:leader="none" w:pos="170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 significant cybersecurity incident;</w:t>
      </w: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1700" w:hanging="320"/>
        <w:spacing w:after="0"/>
        <w:tabs>
          <w:tab w:leader="none" w:pos="170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public or private sale of our securities;</w:t>
      </w:r>
    </w:p>
    <w:p>
      <w:pPr>
        <w:spacing w:after="0" w:line="200" w:lineRule="exact"/>
        <w:rPr>
          <w:rFonts w:ascii="Arial" w:cs="Arial" w:eastAsia="Arial" w:hAnsi="Arial"/>
          <w:sz w:val="20"/>
          <w:szCs w:val="20"/>
          <w:color w:val="auto"/>
        </w:rPr>
      </w:pPr>
    </w:p>
    <w:p>
      <w:pPr>
        <w:spacing w:after="0" w:line="238" w:lineRule="exact"/>
        <w:rPr>
          <w:rFonts w:ascii="Arial" w:cs="Arial" w:eastAsia="Arial" w:hAnsi="Arial"/>
          <w:sz w:val="20"/>
          <w:szCs w:val="20"/>
          <w:color w:val="auto"/>
        </w:rPr>
      </w:pPr>
    </w:p>
    <w:p>
      <w:pPr>
        <w:ind w:left="1700" w:hanging="320"/>
        <w:spacing w:after="0"/>
        <w:tabs>
          <w:tab w:leader="none" w:pos="170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 change in dividend policy or the declaration of a stock split;</w:t>
      </w:r>
    </w:p>
    <w:p>
      <w:pPr>
        <w:spacing w:after="0" w:line="200" w:lineRule="exact"/>
        <w:rPr>
          <w:rFonts w:ascii="Arial" w:cs="Arial" w:eastAsia="Arial" w:hAnsi="Arial"/>
          <w:sz w:val="20"/>
          <w:szCs w:val="20"/>
          <w:color w:val="auto"/>
        </w:rPr>
      </w:pPr>
    </w:p>
    <w:p>
      <w:pPr>
        <w:spacing w:after="0" w:line="246" w:lineRule="exact"/>
        <w:rPr>
          <w:rFonts w:ascii="Arial" w:cs="Arial" w:eastAsia="Arial" w:hAnsi="Arial"/>
          <w:sz w:val="20"/>
          <w:szCs w:val="20"/>
          <w:color w:val="auto"/>
        </w:rPr>
      </w:pPr>
    </w:p>
    <w:p>
      <w:pPr>
        <w:ind w:left="1700" w:right="20" w:hanging="320"/>
        <w:spacing w:after="0" w:line="368" w:lineRule="auto"/>
        <w:tabs>
          <w:tab w:leader="none" w:pos="170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our offer to acquire another company’s securities or a third party’s offer to acquire our securities;</w:t>
      </w:r>
    </w:p>
    <w:p>
      <w:pPr>
        <w:spacing w:after="0" w:line="319" w:lineRule="exact"/>
        <w:rPr>
          <w:rFonts w:ascii="Arial" w:cs="Arial" w:eastAsia="Arial" w:hAnsi="Arial"/>
          <w:sz w:val="20"/>
          <w:szCs w:val="20"/>
          <w:color w:val="auto"/>
        </w:rPr>
      </w:pPr>
    </w:p>
    <w:p>
      <w:pPr>
        <w:ind w:left="1700" w:hanging="320"/>
        <w:spacing w:after="0"/>
        <w:tabs>
          <w:tab w:leader="none" w:pos="170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major management or organizational changes;</w:t>
      </w:r>
    </w:p>
    <w:p>
      <w:pPr>
        <w:spacing w:after="0" w:line="200" w:lineRule="exact"/>
        <w:rPr>
          <w:rFonts w:ascii="Arial" w:cs="Arial" w:eastAsia="Arial" w:hAnsi="Arial"/>
          <w:sz w:val="20"/>
          <w:szCs w:val="20"/>
          <w:color w:val="auto"/>
        </w:rPr>
      </w:pPr>
    </w:p>
    <w:p>
      <w:pPr>
        <w:spacing w:after="0" w:line="245" w:lineRule="exact"/>
        <w:rPr>
          <w:rFonts w:ascii="Arial" w:cs="Arial" w:eastAsia="Arial" w:hAnsi="Arial"/>
          <w:sz w:val="20"/>
          <w:szCs w:val="20"/>
          <w:color w:val="auto"/>
        </w:rPr>
      </w:pPr>
    </w:p>
    <w:p>
      <w:pPr>
        <w:ind w:left="1700" w:hanging="320"/>
        <w:spacing w:after="0" w:line="368" w:lineRule="auto"/>
        <w:tabs>
          <w:tab w:leader="none" w:pos="170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 new significant contract, client or customer or a loss of a significant contract, client or customer;</w:t>
      </w:r>
    </w:p>
    <w:p>
      <w:pPr>
        <w:spacing w:after="0" w:line="319" w:lineRule="exact"/>
        <w:rPr>
          <w:rFonts w:ascii="Arial" w:cs="Arial" w:eastAsia="Arial" w:hAnsi="Arial"/>
          <w:sz w:val="20"/>
          <w:szCs w:val="20"/>
          <w:color w:val="auto"/>
        </w:rPr>
      </w:pPr>
    </w:p>
    <w:p>
      <w:pPr>
        <w:ind w:left="1700" w:hanging="320"/>
        <w:spacing w:after="0"/>
        <w:tabs>
          <w:tab w:leader="none" w:pos="170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reductions of workforce;</w:t>
      </w:r>
    </w:p>
    <w:p>
      <w:pPr>
        <w:spacing w:after="0" w:line="200" w:lineRule="exact"/>
        <w:rPr>
          <w:rFonts w:ascii="Arial" w:cs="Arial" w:eastAsia="Arial" w:hAnsi="Arial"/>
          <w:sz w:val="20"/>
          <w:szCs w:val="20"/>
          <w:color w:val="auto"/>
        </w:rPr>
      </w:pPr>
    </w:p>
    <w:p>
      <w:pPr>
        <w:spacing w:after="0" w:line="239" w:lineRule="exact"/>
        <w:rPr>
          <w:rFonts w:ascii="Arial" w:cs="Arial" w:eastAsia="Arial" w:hAnsi="Arial"/>
          <w:sz w:val="20"/>
          <w:szCs w:val="20"/>
          <w:color w:val="auto"/>
        </w:rPr>
      </w:pPr>
    </w:p>
    <w:p>
      <w:pPr>
        <w:ind w:left="1700" w:hanging="320"/>
        <w:spacing w:after="0"/>
        <w:tabs>
          <w:tab w:leader="none" w:pos="170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the development or release of a new product or service;</w:t>
      </w: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left="1700" w:right="40" w:hanging="320"/>
        <w:spacing w:after="0" w:line="368" w:lineRule="auto"/>
        <w:tabs>
          <w:tab w:leader="none" w:pos="170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changes in a previously announced schedule for the development or release of a product or service; or</w:t>
      </w:r>
    </w:p>
    <w:p>
      <w:pPr>
        <w:sectPr>
          <w:pgSz w:w="11900" w:h="16838" w:orient="portrait"/>
          <w:cols w:equalWidth="0" w:num="1">
            <w:col w:w="9160"/>
          </w:cols>
          <w:pgMar w:left="144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38 / 60</w:t>
      </w:r>
    </w:p>
    <w:p>
      <w:pPr>
        <w:sectPr>
          <w:pgSz w:w="11900" w:h="16838" w:orient="portrait"/>
          <w:cols w:equalWidth="0" w:num="1">
            <w:col w:w="9160"/>
          </w:cols>
          <w:pgMar w:left="1440" w:top="1440" w:right="1306" w:bottom="0" w:gutter="0" w:footer="0" w:header="0"/>
          <w:type w:val="continuous"/>
        </w:sectPr>
      </w:pPr>
    </w:p>
    <w:bookmarkStart w:id="298" w:name="page299"/>
    <w:bookmarkEnd w:id="298"/>
    <w:p>
      <w:pPr>
        <w:spacing w:after="0" w:line="71" w:lineRule="exact"/>
        <w:rPr>
          <w:sz w:val="20"/>
          <w:szCs w:val="20"/>
          <w:color w:val="auto"/>
        </w:rPr>
      </w:pPr>
    </w:p>
    <w:p>
      <w:pPr>
        <w:ind w:left="1700" w:hanging="320"/>
        <w:spacing w:after="0"/>
        <w:tabs>
          <w:tab w:leader="none" w:pos="17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change in auditors.</w:t>
      </w:r>
    </w:p>
    <w:p>
      <w:pPr>
        <w:spacing w:after="0" w:line="200" w:lineRule="exact"/>
        <w:rPr>
          <w:sz w:val="20"/>
          <w:szCs w:val="20"/>
          <w:color w:val="auto"/>
        </w:rPr>
      </w:pPr>
    </w:p>
    <w:p>
      <w:pPr>
        <w:spacing w:after="0" w:line="201" w:lineRule="exact"/>
        <w:rPr>
          <w:sz w:val="20"/>
          <w:szCs w:val="20"/>
          <w:color w:val="auto"/>
        </w:rPr>
      </w:pPr>
    </w:p>
    <w:p>
      <w:pPr>
        <w:jc w:val="both"/>
        <w:ind w:left="540" w:right="266"/>
        <w:spacing w:after="0" w:line="312" w:lineRule="auto"/>
        <w:rPr>
          <w:sz w:val="20"/>
          <w:szCs w:val="20"/>
          <w:color w:val="auto"/>
        </w:rPr>
      </w:pPr>
      <w:r>
        <w:rPr>
          <w:rFonts w:ascii="Arial" w:cs="Arial" w:eastAsia="Arial" w:hAnsi="Arial"/>
          <w:sz w:val="20"/>
          <w:szCs w:val="20"/>
          <w:color w:val="auto"/>
        </w:rPr>
        <w:t>It is difficult to provide a precise definition of material information, since there are many gray areas and varying circumstances. The determination of whether information was material is almost always made after the fact when the effect on the market can be quantified. When in doubt, you should presume that the information is material.</w:t>
      </w:r>
    </w:p>
    <w:p>
      <w:pPr>
        <w:spacing w:after="0" w:line="328" w:lineRule="exact"/>
        <w:rPr>
          <w:sz w:val="20"/>
          <w:szCs w:val="20"/>
          <w:color w:val="auto"/>
        </w:rPr>
      </w:pPr>
    </w:p>
    <w:p>
      <w:pPr>
        <w:jc w:val="both"/>
        <w:ind w:left="540" w:right="226"/>
        <w:spacing w:after="0" w:line="313" w:lineRule="auto"/>
        <w:rPr>
          <w:sz w:val="20"/>
          <w:szCs w:val="20"/>
          <w:color w:val="auto"/>
        </w:rPr>
      </w:pPr>
      <w:r>
        <w:rPr>
          <w:rFonts w:ascii="Arial" w:cs="Arial" w:eastAsia="Arial" w:hAnsi="Arial"/>
          <w:sz w:val="20"/>
          <w:szCs w:val="20"/>
          <w:color w:val="auto"/>
        </w:rPr>
        <w:t>Material information that is not yet ripe for public disclosure may often exist. For example, during the early stages of discussions regarding a significant acquisition or sale, the information about the discussions may be too tentative or premature to require (or even permit) us to make a public announcement. On the other hand, that same information may be highly material.</w:t>
      </w:r>
    </w:p>
    <w:p>
      <w:pPr>
        <w:spacing w:after="0" w:line="312" w:lineRule="exact"/>
        <w:rPr>
          <w:sz w:val="20"/>
          <w:szCs w:val="20"/>
          <w:color w:val="auto"/>
        </w:rPr>
      </w:pPr>
    </w:p>
    <w:p>
      <w:pPr>
        <w:ind w:left="540"/>
        <w:spacing w:after="0"/>
        <w:tabs>
          <w:tab w:leader="none" w:pos="1880" w:val="left"/>
        </w:tabs>
        <w:rPr>
          <w:sz w:val="20"/>
          <w:szCs w:val="20"/>
          <w:color w:val="auto"/>
        </w:rPr>
      </w:pPr>
      <w:r>
        <w:rPr>
          <w:rFonts w:ascii="Arial" w:cs="Arial" w:eastAsia="Arial" w:hAnsi="Arial"/>
          <w:sz w:val="20"/>
          <w:szCs w:val="20"/>
          <w:color w:val="auto"/>
        </w:rPr>
        <w:t>Section 2Q:</w:t>
      </w:r>
      <w:r>
        <w:rPr>
          <w:sz w:val="20"/>
          <w:szCs w:val="20"/>
          <w:color w:val="auto"/>
        </w:rPr>
        <w:tab/>
      </w:r>
      <w:r>
        <w:rPr>
          <w:rFonts w:ascii="Arial" w:cs="Arial" w:eastAsia="Arial" w:hAnsi="Arial"/>
          <w:sz w:val="19"/>
          <w:szCs w:val="19"/>
          <w:i w:val="1"/>
          <w:iCs w:val="1"/>
          <w:color w:val="auto"/>
        </w:rPr>
        <w:t>What information is “</w:t>
      </w:r>
      <w:r>
        <w:rPr>
          <w:rFonts w:ascii="Arial" w:cs="Arial" w:eastAsia="Arial" w:hAnsi="Arial"/>
          <w:sz w:val="19"/>
          <w:szCs w:val="19"/>
          <w:i w:val="1"/>
          <w:iCs w:val="1"/>
          <w:u w:val="single" w:color="auto"/>
          <w:color w:val="auto"/>
        </w:rPr>
        <w:t>nonpublic</w:t>
      </w:r>
      <w:r>
        <w:rPr>
          <w:rFonts w:ascii="Arial" w:cs="Arial" w:eastAsia="Arial" w:hAnsi="Arial"/>
          <w:sz w:val="19"/>
          <w:szCs w:val="19"/>
          <w:i w:val="1"/>
          <w:iCs w:val="1"/>
          <w:color w:val="auto"/>
        </w:rPr>
        <w:t>?”</w:t>
      </w:r>
    </w:p>
    <w:p>
      <w:pPr>
        <w:spacing w:after="0" w:line="200" w:lineRule="exact"/>
        <w:rPr>
          <w:sz w:val="20"/>
          <w:szCs w:val="20"/>
          <w:color w:val="auto"/>
        </w:rPr>
      </w:pPr>
    </w:p>
    <w:p>
      <w:pPr>
        <w:spacing w:after="0" w:line="281" w:lineRule="exact"/>
        <w:rPr>
          <w:sz w:val="20"/>
          <w:szCs w:val="20"/>
          <w:color w:val="auto"/>
        </w:rPr>
      </w:pPr>
    </w:p>
    <w:p>
      <w:pPr>
        <w:jc w:val="both"/>
        <w:ind w:left="1160" w:right="286" w:hanging="373"/>
        <w:spacing w:after="0" w:line="311" w:lineRule="auto"/>
        <w:tabs>
          <w:tab w:leader="none" w:pos="1237"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Information generally becomes available to the public after it has been disclosed by us or third parties in a press release or other similar public statement, including any filing with the SEC.</w:t>
      </w:r>
    </w:p>
    <w:p>
      <w:pPr>
        <w:spacing w:after="0" w:line="3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796925</wp:posOffset>
            </wp:positionV>
            <wp:extent cx="5967730" cy="190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6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39 / 60</w:t>
      </w:r>
    </w:p>
    <w:p>
      <w:pPr>
        <w:sectPr>
          <w:pgSz w:w="11900" w:h="16838" w:orient="portrait"/>
          <w:cols w:equalWidth="0" w:num="1">
            <w:col w:w="9026"/>
          </w:cols>
          <w:pgMar w:left="1440" w:top="1440" w:right="1440" w:bottom="0" w:gutter="0" w:footer="0" w:header="0"/>
          <w:type w:val="continuous"/>
        </w:sectPr>
      </w:pPr>
    </w:p>
    <w:bookmarkStart w:id="299" w:name="page300"/>
    <w:bookmarkEnd w:id="299"/>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1160" w:right="320"/>
        <w:spacing w:after="0" w:line="313" w:lineRule="auto"/>
        <w:rPr>
          <w:sz w:val="20"/>
          <w:szCs w:val="20"/>
          <w:color w:val="auto"/>
        </w:rPr>
      </w:pPr>
      <w:r>
        <w:rPr>
          <w:rFonts w:ascii="Arial" w:cs="Arial" w:eastAsia="Arial" w:hAnsi="Arial"/>
          <w:sz w:val="20"/>
          <w:szCs w:val="20"/>
          <w:color w:val="auto"/>
        </w:rPr>
        <w:t>If you are in possession of material nonpublic information, you may trade only when you are certain that official announcements of material information have been sufficiently publicized so that the public has had the opportunity to evaluate it. Please keep in mind that insider trading is not made permissible merely because material information is reflected in rumors or other unofficial statements in the press or marketplace. You should not attempt to “beat the market” by trading simultaneously with, or shortly after, the official release of material nonpublic information.</w:t>
      </w:r>
    </w:p>
    <w:p>
      <w:pPr>
        <w:spacing w:after="0" w:line="316" w:lineRule="exact"/>
        <w:rPr>
          <w:sz w:val="20"/>
          <w:szCs w:val="20"/>
          <w:color w:val="auto"/>
        </w:rPr>
      </w:pPr>
    </w:p>
    <w:p>
      <w:pPr>
        <w:jc w:val="both"/>
        <w:ind w:left="1160" w:right="320"/>
        <w:spacing w:after="0" w:line="313" w:lineRule="auto"/>
        <w:rPr>
          <w:sz w:val="20"/>
          <w:szCs w:val="20"/>
          <w:color w:val="auto"/>
        </w:rPr>
      </w:pPr>
      <w:r>
        <w:rPr>
          <w:rFonts w:ascii="Arial" w:cs="Arial" w:eastAsia="Arial" w:hAnsi="Arial"/>
          <w:sz w:val="20"/>
          <w:szCs w:val="20"/>
          <w:color w:val="auto"/>
        </w:rPr>
        <w:t>As a rule of thumb, information is considered nonpublic until at least two full trading days have passed after we release the information to a national wire service. For example, if an announcement is made on a Monday, trading should not occur until Thursday. The Policy Compliance Officers will know when information has been released to the public.</w:t>
      </w:r>
    </w:p>
    <w:p>
      <w:pPr>
        <w:spacing w:after="0" w:line="315" w:lineRule="exact"/>
        <w:rPr>
          <w:sz w:val="20"/>
          <w:szCs w:val="20"/>
          <w:color w:val="auto"/>
        </w:rPr>
      </w:pPr>
    </w:p>
    <w:p>
      <w:pPr>
        <w:ind w:left="540"/>
        <w:spacing w:after="0"/>
        <w:tabs>
          <w:tab w:leader="none" w:pos="1880" w:val="left"/>
        </w:tabs>
        <w:rPr>
          <w:sz w:val="20"/>
          <w:szCs w:val="20"/>
          <w:color w:val="auto"/>
        </w:rPr>
      </w:pPr>
      <w:r>
        <w:rPr>
          <w:rFonts w:ascii="Arial" w:cs="Arial" w:eastAsia="Arial" w:hAnsi="Arial"/>
          <w:sz w:val="20"/>
          <w:szCs w:val="20"/>
          <w:color w:val="auto"/>
        </w:rPr>
        <w:t>Section 3Q:</w:t>
      </w:r>
      <w:r>
        <w:rPr>
          <w:sz w:val="20"/>
          <w:szCs w:val="20"/>
          <w:color w:val="auto"/>
        </w:rPr>
        <w:tab/>
      </w:r>
      <w:r>
        <w:rPr>
          <w:rFonts w:ascii="Arial" w:cs="Arial" w:eastAsia="Arial" w:hAnsi="Arial"/>
          <w:sz w:val="19"/>
          <w:szCs w:val="19"/>
          <w:i w:val="1"/>
          <w:iCs w:val="1"/>
          <w:color w:val="auto"/>
        </w:rPr>
        <w:t>What if it is difficult to ascertain whether information is material and/or nonpublic?</w:t>
      </w:r>
    </w:p>
    <w:p>
      <w:pPr>
        <w:spacing w:after="0" w:line="200" w:lineRule="exact"/>
        <w:rPr>
          <w:sz w:val="20"/>
          <w:szCs w:val="20"/>
          <w:color w:val="auto"/>
        </w:rPr>
      </w:pPr>
    </w:p>
    <w:p>
      <w:pPr>
        <w:spacing w:after="0" w:line="234" w:lineRule="exact"/>
        <w:rPr>
          <w:sz w:val="20"/>
          <w:szCs w:val="20"/>
          <w:color w:val="auto"/>
        </w:rPr>
      </w:pPr>
    </w:p>
    <w:p>
      <w:pPr>
        <w:jc w:val="both"/>
        <w:ind w:left="1160" w:right="600" w:hanging="373"/>
        <w:spacing w:after="0" w:line="313" w:lineRule="auto"/>
        <w:tabs>
          <w:tab w:leader="none" w:pos="1699" w:val="left"/>
        </w:tabs>
        <w:numPr>
          <w:ilvl w:val="0"/>
          <w:numId w:val="104"/>
        </w:numPr>
        <w:rPr>
          <w:rFonts w:ascii="Arial" w:cs="Arial" w:eastAsia="Arial" w:hAnsi="Arial"/>
          <w:sz w:val="20"/>
          <w:szCs w:val="20"/>
          <w:color w:val="auto"/>
        </w:rPr>
      </w:pPr>
      <w:r>
        <w:rPr>
          <w:rFonts w:ascii="Arial" w:cs="Arial" w:eastAsia="Arial" w:hAnsi="Arial"/>
          <w:sz w:val="20"/>
          <w:szCs w:val="20"/>
          <w:color w:val="auto"/>
        </w:rPr>
        <w:t>If you are unsure whether information of which you are aware is material and/or nonpublic, you should consult with one of the Policy Compliance Officers prior to trading. If you are a Designated Pre-Clearance Colleague, you must always seek approval from a Policy Compliance Officer before trading as required by this policy.</w:t>
      </w:r>
    </w:p>
    <w:p>
      <w:pPr>
        <w:spacing w:after="0" w:line="315" w:lineRule="exact"/>
        <w:rPr>
          <w:sz w:val="20"/>
          <w:szCs w:val="20"/>
          <w:color w:val="auto"/>
        </w:rPr>
      </w:pPr>
    </w:p>
    <w:p>
      <w:pPr>
        <w:ind w:left="540"/>
        <w:spacing w:after="0"/>
        <w:tabs>
          <w:tab w:leader="none" w:pos="1880" w:val="left"/>
        </w:tabs>
        <w:rPr>
          <w:sz w:val="20"/>
          <w:szCs w:val="20"/>
          <w:color w:val="auto"/>
        </w:rPr>
      </w:pPr>
      <w:r>
        <w:rPr>
          <w:rFonts w:ascii="Arial" w:cs="Arial" w:eastAsia="Arial" w:hAnsi="Arial"/>
          <w:sz w:val="20"/>
          <w:szCs w:val="20"/>
          <w:color w:val="auto"/>
        </w:rPr>
        <w:t>Section 4Q:</w:t>
      </w:r>
      <w:r>
        <w:rPr>
          <w:sz w:val="20"/>
          <w:szCs w:val="20"/>
          <w:color w:val="auto"/>
        </w:rPr>
        <w:tab/>
      </w:r>
      <w:r>
        <w:rPr>
          <w:rFonts w:ascii="Arial" w:cs="Arial" w:eastAsia="Arial" w:hAnsi="Arial"/>
          <w:sz w:val="19"/>
          <w:szCs w:val="19"/>
          <w:i w:val="1"/>
          <w:iCs w:val="1"/>
          <w:color w:val="auto"/>
        </w:rPr>
        <w:t>Can I trade based on information about other companies?</w:t>
      </w:r>
    </w:p>
    <w:p>
      <w:pPr>
        <w:spacing w:after="0" w:line="200" w:lineRule="exact"/>
        <w:rPr>
          <w:sz w:val="20"/>
          <w:szCs w:val="20"/>
          <w:color w:val="auto"/>
        </w:rPr>
      </w:pPr>
    </w:p>
    <w:p>
      <w:pPr>
        <w:spacing w:after="0" w:line="234" w:lineRule="exact"/>
        <w:rPr>
          <w:sz w:val="20"/>
          <w:szCs w:val="20"/>
          <w:color w:val="auto"/>
        </w:rPr>
      </w:pPr>
    </w:p>
    <w:p>
      <w:pPr>
        <w:jc w:val="both"/>
        <w:ind w:left="1160" w:right="300" w:hanging="373"/>
        <w:spacing w:after="0" w:line="313" w:lineRule="auto"/>
        <w:tabs>
          <w:tab w:leader="none" w:pos="169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principles discussed in this policy also apply to inside information that you obtain in the course of your employment or service about another public company (such as a client, customer or a company with which we are involved in a transaction). If you obtain material nonpublic information about another public company, then you must not trade in the securities of that company until the information has been publicly disseminated.</w:t>
      </w:r>
    </w:p>
    <w:p>
      <w:pPr>
        <w:spacing w:after="0" w:line="323" w:lineRule="exact"/>
        <w:rPr>
          <w:sz w:val="20"/>
          <w:szCs w:val="20"/>
          <w:color w:val="auto"/>
        </w:rPr>
      </w:pPr>
    </w:p>
    <w:p>
      <w:pPr>
        <w:ind w:left="540" w:right="660"/>
        <w:spacing w:after="0" w:line="307" w:lineRule="auto"/>
        <w:rPr>
          <w:sz w:val="20"/>
          <w:szCs w:val="20"/>
          <w:color w:val="auto"/>
        </w:rPr>
      </w:pPr>
      <w:r>
        <w:rPr>
          <w:rFonts w:ascii="Arial" w:cs="Arial" w:eastAsia="Arial" w:hAnsi="Arial"/>
          <w:sz w:val="20"/>
          <w:szCs w:val="20"/>
          <w:color w:val="auto"/>
        </w:rPr>
        <w:t xml:space="preserve">Section 5Q: </w:t>
      </w:r>
      <w:r>
        <w:rPr>
          <w:rFonts w:ascii="Arial" w:cs="Arial" w:eastAsia="Arial" w:hAnsi="Arial"/>
          <w:sz w:val="20"/>
          <w:szCs w:val="20"/>
          <w:i w:val="1"/>
          <w:iCs w:val="1"/>
          <w:color w:val="auto"/>
        </w:rPr>
        <w:t>What are the reasons for the restrictions on disclosing material insider</w:t>
      </w:r>
      <w:r>
        <w:rPr>
          <w:rFonts w:ascii="Arial" w:cs="Arial" w:eastAsia="Arial" w:hAnsi="Arial"/>
          <w:sz w:val="20"/>
          <w:szCs w:val="20"/>
          <w:color w:val="auto"/>
        </w:rPr>
        <w:t xml:space="preserve"> </w:t>
      </w:r>
      <w:r>
        <w:rPr>
          <w:rFonts w:ascii="Arial" w:cs="Arial" w:eastAsia="Arial" w:hAnsi="Arial"/>
          <w:sz w:val="20"/>
          <w:szCs w:val="20"/>
          <w:i w:val="1"/>
          <w:iCs w:val="1"/>
          <w:color w:val="auto"/>
        </w:rPr>
        <w:t>information under this policy?</w:t>
      </w:r>
    </w:p>
    <w:p>
      <w:pPr>
        <w:spacing w:after="0" w:line="326" w:lineRule="exact"/>
        <w:rPr>
          <w:sz w:val="20"/>
          <w:szCs w:val="20"/>
          <w:color w:val="auto"/>
        </w:rPr>
      </w:pPr>
    </w:p>
    <w:p>
      <w:pPr>
        <w:jc w:val="both"/>
        <w:ind w:left="1160" w:right="340" w:hanging="372"/>
        <w:spacing w:after="0" w:line="313" w:lineRule="auto"/>
        <w:tabs>
          <w:tab w:leader="none" w:pos="169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U.S. federal securities laws (and similar laws and regulations globally) strictly prohibit any person who obtains material inside information and who has a duty not to disclose it from using the information in connection with the purchase and sale of securities. It does not matter how that information has been obtained – whether in the course of employment or Board service; from friends, relatives, acquaintances, or strangers; or from overhearing the conversations of others.</w:t>
      </w:r>
    </w:p>
    <w:p>
      <w:pPr>
        <w:spacing w:after="0" w:line="314" w:lineRule="exact"/>
        <w:rPr>
          <w:sz w:val="20"/>
          <w:szCs w:val="20"/>
          <w:color w:val="auto"/>
        </w:rPr>
      </w:pPr>
    </w:p>
    <w:p>
      <w:pPr>
        <w:jc w:val="both"/>
        <w:ind w:left="1160" w:right="300"/>
        <w:spacing w:after="0" w:line="311" w:lineRule="auto"/>
        <w:rPr>
          <w:sz w:val="20"/>
          <w:szCs w:val="20"/>
          <w:color w:val="auto"/>
        </w:rPr>
      </w:pPr>
      <w:r>
        <w:rPr>
          <w:rFonts w:ascii="Arial" w:cs="Arial" w:eastAsia="Arial" w:hAnsi="Arial"/>
          <w:sz w:val="20"/>
          <w:szCs w:val="20"/>
          <w:color w:val="auto"/>
        </w:rPr>
        <w:t>U.S. Congress enacted this prohibition because the integrity of the securities markets would be seriously undermined if the “deck were stacked” against persons who are not privy to such information.</w:t>
      </w:r>
    </w:p>
    <w:p>
      <w:pPr>
        <w:sectPr>
          <w:pgSz w:w="11900" w:h="16838" w:orient="portrait"/>
          <w:cols w:equalWidth="0" w:num="1">
            <w:col w:w="9060"/>
          </w:cols>
          <w:pgMar w:left="1440" w:top="1440" w:right="1406" w:bottom="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40 / 60</w:t>
      </w:r>
    </w:p>
    <w:p>
      <w:pPr>
        <w:sectPr>
          <w:pgSz w:w="11900" w:h="16838" w:orient="portrait"/>
          <w:cols w:equalWidth="0" w:num="1">
            <w:col w:w="9060"/>
          </w:cols>
          <w:pgMar w:left="1440" w:top="1440" w:right="1406" w:bottom="0" w:gutter="0" w:footer="0" w:header="0"/>
          <w:type w:val="continuous"/>
        </w:sectPr>
      </w:pPr>
    </w:p>
    <w:bookmarkStart w:id="300" w:name="page301"/>
    <w:bookmarkEnd w:id="300"/>
    <w:p>
      <w:pPr>
        <w:spacing w:after="0" w:line="27" w:lineRule="exact"/>
        <w:rPr>
          <w:sz w:val="20"/>
          <w:szCs w:val="20"/>
          <w:color w:val="auto"/>
        </w:rPr>
      </w:pPr>
    </w:p>
    <w:p>
      <w:pPr>
        <w:ind w:left="540"/>
        <w:spacing w:after="0"/>
        <w:tabs>
          <w:tab w:leader="none" w:pos="1880" w:val="left"/>
        </w:tabs>
        <w:rPr>
          <w:sz w:val="20"/>
          <w:szCs w:val="20"/>
          <w:color w:val="auto"/>
        </w:rPr>
      </w:pPr>
      <w:r>
        <w:rPr>
          <w:rFonts w:ascii="Arial" w:cs="Arial" w:eastAsia="Arial" w:hAnsi="Arial"/>
          <w:sz w:val="20"/>
          <w:szCs w:val="20"/>
          <w:color w:val="auto"/>
        </w:rPr>
        <w:t>Section 6Q</w:t>
      </w:r>
      <w:r>
        <w:rPr>
          <w:sz w:val="20"/>
          <w:szCs w:val="20"/>
          <w:color w:val="auto"/>
        </w:rPr>
        <w:tab/>
      </w:r>
      <w:r>
        <w:rPr>
          <w:rFonts w:ascii="Arial" w:cs="Arial" w:eastAsia="Arial" w:hAnsi="Arial"/>
          <w:sz w:val="19"/>
          <w:szCs w:val="19"/>
          <w:i w:val="1"/>
          <w:iCs w:val="1"/>
          <w:color w:val="auto"/>
        </w:rPr>
        <w:t>What measures are appropriate to safeguard material information?</w:t>
      </w:r>
    </w:p>
    <w:p>
      <w:pPr>
        <w:spacing w:after="0" w:line="200" w:lineRule="exact"/>
        <w:rPr>
          <w:sz w:val="20"/>
          <w:szCs w:val="20"/>
          <w:color w:val="auto"/>
        </w:rPr>
      </w:pPr>
    </w:p>
    <w:p>
      <w:pPr>
        <w:spacing w:after="0" w:line="233" w:lineRule="exact"/>
        <w:rPr>
          <w:sz w:val="20"/>
          <w:szCs w:val="20"/>
          <w:color w:val="auto"/>
        </w:rPr>
      </w:pPr>
    </w:p>
    <w:p>
      <w:pPr>
        <w:ind w:left="1160" w:right="446" w:hanging="369"/>
        <w:spacing w:after="0" w:line="314" w:lineRule="auto"/>
        <w:tabs>
          <w:tab w:leader="none" w:pos="1701" w:val="left"/>
        </w:tabs>
        <w:numPr>
          <w:ilvl w:val="0"/>
          <w:numId w:val="107"/>
        </w:numPr>
        <w:rPr>
          <w:rFonts w:ascii="Arial" w:cs="Arial" w:eastAsia="Arial" w:hAnsi="Arial"/>
          <w:sz w:val="20"/>
          <w:szCs w:val="20"/>
          <w:color w:val="auto"/>
        </w:rPr>
      </w:pPr>
      <w:r>
        <w:rPr>
          <w:rFonts w:ascii="Arial" w:cs="Arial" w:eastAsia="Arial" w:hAnsi="Arial"/>
          <w:sz w:val="20"/>
          <w:szCs w:val="20"/>
          <w:color w:val="auto"/>
        </w:rPr>
        <w:t>So long as material information relating to us or our business is unavailable to the general public, it must be kept in strict confidence. Accordingly, you should discuss this information only with persons who have a “need to know,” it should be confined to as small a group as possible, and it should be disclosed only in a setting in which confidentiality can be maintained. Please exercise the utmost care and circumspection at all times and limit conversations in public places (such as elevators, restaurants and airplanes) to topics that do not involve sensitive or confidential information. Please use care in discussing sensitive or confidential information on cell phones or cordless phones. In addition, all e-mails containing sensitive or confidential information should be encrypted before being sent, and consideration should be given to making these e-mails non- copyable and non-forwardable.</w:t>
      </w:r>
    </w:p>
    <w:p>
      <w:pPr>
        <w:spacing w:after="0" w:line="212" w:lineRule="exact"/>
        <w:rPr>
          <w:sz w:val="20"/>
          <w:szCs w:val="20"/>
          <w:color w:val="auto"/>
        </w:rPr>
      </w:pPr>
    </w:p>
    <w:p>
      <w:pPr>
        <w:jc w:val="both"/>
        <w:ind w:left="1140" w:right="306"/>
        <w:spacing w:after="0" w:line="313" w:lineRule="auto"/>
        <w:rPr>
          <w:sz w:val="20"/>
          <w:szCs w:val="20"/>
          <w:color w:val="auto"/>
        </w:rPr>
      </w:pPr>
      <w:r>
        <w:rPr>
          <w:rFonts w:ascii="Arial" w:cs="Arial" w:eastAsia="Arial" w:hAnsi="Arial"/>
          <w:sz w:val="20"/>
          <w:szCs w:val="20"/>
          <w:color w:val="auto"/>
        </w:rPr>
        <w:t>In order to protect our confidences to the maximum extent possible, no individuals other than specifically authorized personnel may release material information to the public or respond to inquiries about material information from the media, analysts or others outside our Company as set forth in our Regulation FD Corporate Communications Policy.</w:t>
      </w:r>
    </w:p>
    <w:p>
      <w:pPr>
        <w:spacing w:after="0" w:line="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796925</wp:posOffset>
            </wp:positionV>
            <wp:extent cx="5967730" cy="190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6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41 / 60</w:t>
      </w:r>
    </w:p>
    <w:p>
      <w:pPr>
        <w:sectPr>
          <w:pgSz w:w="11900" w:h="16838" w:orient="portrait"/>
          <w:cols w:equalWidth="0" w:num="1">
            <w:col w:w="9026"/>
          </w:cols>
          <w:pgMar w:left="1440" w:top="1440" w:right="1440" w:bottom="0" w:gutter="0" w:footer="0" w:header="0"/>
          <w:type w:val="continuous"/>
        </w:sectPr>
      </w:pPr>
    </w:p>
    <w:bookmarkStart w:id="301" w:name="page302"/>
    <w:bookmarkEnd w:id="3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40"/>
        <w:spacing w:after="0"/>
        <w:tabs>
          <w:tab w:leader="none" w:pos="1880" w:val="left"/>
        </w:tabs>
        <w:rPr>
          <w:sz w:val="20"/>
          <w:szCs w:val="20"/>
          <w:color w:val="auto"/>
        </w:rPr>
      </w:pPr>
      <w:r>
        <w:rPr>
          <w:rFonts w:ascii="Arial" w:cs="Arial" w:eastAsia="Arial" w:hAnsi="Arial"/>
          <w:sz w:val="20"/>
          <w:szCs w:val="20"/>
          <w:color w:val="auto"/>
        </w:rPr>
        <w:t>Section 7Q:</w:t>
      </w:r>
      <w:r>
        <w:rPr>
          <w:sz w:val="20"/>
          <w:szCs w:val="20"/>
          <w:color w:val="auto"/>
        </w:rPr>
        <w:tab/>
      </w:r>
      <w:r>
        <w:rPr>
          <w:rFonts w:ascii="Arial" w:cs="Arial" w:eastAsia="Arial" w:hAnsi="Arial"/>
          <w:sz w:val="19"/>
          <w:szCs w:val="19"/>
          <w:i w:val="1"/>
          <w:iCs w:val="1"/>
          <w:color w:val="auto"/>
        </w:rPr>
        <w:t>What are the U.S. securities law penalties for insider trading?</w:t>
      </w:r>
    </w:p>
    <w:p>
      <w:pPr>
        <w:spacing w:after="0" w:line="200" w:lineRule="exact"/>
        <w:rPr>
          <w:sz w:val="20"/>
          <w:szCs w:val="20"/>
          <w:color w:val="auto"/>
        </w:rPr>
      </w:pPr>
    </w:p>
    <w:p>
      <w:pPr>
        <w:spacing w:after="0" w:line="234" w:lineRule="exact"/>
        <w:rPr>
          <w:sz w:val="20"/>
          <w:szCs w:val="20"/>
          <w:color w:val="auto"/>
        </w:rPr>
      </w:pPr>
    </w:p>
    <w:p>
      <w:pPr>
        <w:jc w:val="both"/>
        <w:ind w:left="1060" w:right="506" w:hanging="273"/>
        <w:spacing w:after="0" w:line="313" w:lineRule="auto"/>
        <w:tabs>
          <w:tab w:leader="none" w:pos="1231" w:val="left"/>
        </w:tabs>
        <w:numPr>
          <w:ilvl w:val="0"/>
          <w:numId w:val="108"/>
        </w:numPr>
        <w:rPr>
          <w:rFonts w:ascii="Arial" w:cs="Arial" w:eastAsia="Arial" w:hAnsi="Arial"/>
          <w:sz w:val="20"/>
          <w:szCs w:val="20"/>
          <w:color w:val="auto"/>
        </w:rPr>
      </w:pPr>
      <w:r>
        <w:rPr>
          <w:rFonts w:ascii="Arial" w:cs="Arial" w:eastAsia="Arial" w:hAnsi="Arial"/>
          <w:sz w:val="20"/>
          <w:szCs w:val="20"/>
          <w:i w:val="1"/>
          <w:iCs w:val="1"/>
          <w:color w:val="auto"/>
        </w:rPr>
        <w:t>Individuals</w:t>
      </w:r>
      <w:r>
        <w:rPr>
          <w:rFonts w:ascii="Arial" w:cs="Arial" w:eastAsia="Arial" w:hAnsi="Arial"/>
          <w:sz w:val="20"/>
          <w:szCs w:val="20"/>
          <w:color w:val="auto"/>
        </w:rPr>
        <w:t>. Insider trading has been a top enforcement priority of the SEC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U.S. Department of Justice for many years. Because criminal prosecution and the imposition of fines and/or imprisonment are common, the consequences of insider trading violations can be enormous. For individuals who trade on inside information or who tip information to others, penalties can include:</w:t>
      </w:r>
    </w:p>
    <w:p>
      <w:pPr>
        <w:spacing w:after="0" w:line="167" w:lineRule="exact"/>
        <w:rPr>
          <w:rFonts w:ascii="Arial" w:cs="Arial" w:eastAsia="Arial" w:hAnsi="Arial"/>
          <w:sz w:val="20"/>
          <w:szCs w:val="20"/>
          <w:color w:val="auto"/>
        </w:rPr>
      </w:pPr>
    </w:p>
    <w:p>
      <w:pPr>
        <w:ind w:left="2000" w:hanging="307"/>
        <w:spacing w:after="0"/>
        <w:tabs>
          <w:tab w:leader="none" w:pos="200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 civil penalty of up to three times the profit gained or the loss avoided;</w:t>
      </w:r>
    </w:p>
    <w:p>
      <w:pPr>
        <w:spacing w:after="0" w:line="200" w:lineRule="exact"/>
        <w:rPr>
          <w:rFonts w:ascii="Arial" w:cs="Arial" w:eastAsia="Arial" w:hAnsi="Arial"/>
          <w:sz w:val="20"/>
          <w:szCs w:val="20"/>
          <w:color w:val="auto"/>
        </w:rPr>
      </w:pPr>
    </w:p>
    <w:p>
      <w:pPr>
        <w:spacing w:after="0" w:line="283" w:lineRule="exact"/>
        <w:rPr>
          <w:rFonts w:ascii="Arial" w:cs="Arial" w:eastAsia="Arial" w:hAnsi="Arial"/>
          <w:sz w:val="20"/>
          <w:szCs w:val="20"/>
          <w:color w:val="auto"/>
        </w:rPr>
      </w:pPr>
    </w:p>
    <w:p>
      <w:pPr>
        <w:ind w:left="2000" w:hanging="307"/>
        <w:spacing w:after="0"/>
        <w:tabs>
          <w:tab w:leader="none" w:pos="200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 criminal fine (no matter how small the profit) of up to $5 million; and</w:t>
      </w:r>
    </w:p>
    <w:p>
      <w:pPr>
        <w:spacing w:after="0" w:line="200" w:lineRule="exact"/>
        <w:rPr>
          <w:rFonts w:ascii="Arial" w:cs="Arial" w:eastAsia="Arial" w:hAnsi="Arial"/>
          <w:sz w:val="20"/>
          <w:szCs w:val="20"/>
          <w:color w:val="auto"/>
        </w:rPr>
      </w:pPr>
    </w:p>
    <w:p>
      <w:pPr>
        <w:spacing w:after="0" w:line="284" w:lineRule="exact"/>
        <w:rPr>
          <w:rFonts w:ascii="Arial" w:cs="Arial" w:eastAsia="Arial" w:hAnsi="Arial"/>
          <w:sz w:val="20"/>
          <w:szCs w:val="20"/>
          <w:color w:val="auto"/>
        </w:rPr>
      </w:pPr>
    </w:p>
    <w:p>
      <w:pPr>
        <w:ind w:left="2000" w:hanging="307"/>
        <w:spacing w:after="0"/>
        <w:tabs>
          <w:tab w:leader="none" w:pos="200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 jail term of up to 25 years.</w:t>
      </w:r>
    </w:p>
    <w:p>
      <w:pPr>
        <w:spacing w:after="0" w:line="200" w:lineRule="exact"/>
        <w:rPr>
          <w:sz w:val="20"/>
          <w:szCs w:val="20"/>
          <w:color w:val="auto"/>
        </w:rPr>
      </w:pPr>
    </w:p>
    <w:p>
      <w:pPr>
        <w:spacing w:after="0" w:line="244" w:lineRule="exact"/>
        <w:rPr>
          <w:sz w:val="20"/>
          <w:szCs w:val="20"/>
          <w:color w:val="auto"/>
        </w:rPr>
      </w:pPr>
    </w:p>
    <w:p>
      <w:pPr>
        <w:jc w:val="both"/>
        <w:ind w:left="1060" w:right="226"/>
        <w:spacing w:after="0" w:line="312" w:lineRule="auto"/>
        <w:rPr>
          <w:sz w:val="20"/>
          <w:szCs w:val="20"/>
          <w:color w:val="auto"/>
        </w:rPr>
      </w:pPr>
      <w:r>
        <w:rPr>
          <w:rFonts w:ascii="Arial" w:cs="Arial" w:eastAsia="Arial" w:hAnsi="Arial"/>
          <w:sz w:val="20"/>
          <w:szCs w:val="20"/>
          <w:color w:val="auto"/>
        </w:rPr>
        <w:t>Individuals also may be prohibited from serving as directors or officers of our Company or any other public company. Finally, keep in mind that there are no limits on the size of a transaction that will trigger insider trading liability. Relatively small trades have in the past occasioned SEC investigations and lawsuits.</w:t>
      </w:r>
    </w:p>
    <w:p>
      <w:pPr>
        <w:spacing w:after="0" w:line="324" w:lineRule="exact"/>
        <w:rPr>
          <w:sz w:val="20"/>
          <w:szCs w:val="20"/>
          <w:color w:val="auto"/>
        </w:rPr>
      </w:pPr>
    </w:p>
    <w:p>
      <w:pPr>
        <w:jc w:val="both"/>
        <w:ind w:left="1060" w:right="266"/>
        <w:spacing w:after="0" w:line="314" w:lineRule="auto"/>
        <w:rPr>
          <w:sz w:val="20"/>
          <w:szCs w:val="20"/>
          <w:color w:val="auto"/>
        </w:rPr>
      </w:pPr>
      <w:r>
        <w:rPr>
          <w:rFonts w:ascii="Arial" w:cs="Arial" w:eastAsia="Arial" w:hAnsi="Arial"/>
          <w:sz w:val="20"/>
          <w:szCs w:val="20"/>
          <w:i w:val="1"/>
          <w:iCs w:val="1"/>
          <w:color w:val="auto"/>
        </w:rPr>
        <w:t>Control Persons</w:t>
      </w:r>
      <w:r>
        <w:rPr>
          <w:rFonts w:ascii="Arial" w:cs="Arial" w:eastAsia="Arial" w:hAnsi="Arial"/>
          <w:sz w:val="20"/>
          <w:szCs w:val="20"/>
          <w:color w:val="auto"/>
        </w:rPr>
        <w:t>. In addition, the SEC can seek a civil penalty against a company as a</w:t>
      </w:r>
      <w:r>
        <w:rPr>
          <w:rFonts w:ascii="Arial" w:cs="Arial" w:eastAsia="Arial" w:hAnsi="Arial"/>
          <w:sz w:val="20"/>
          <w:szCs w:val="20"/>
          <w:i w:val="1"/>
          <w:iCs w:val="1"/>
          <w:color w:val="auto"/>
        </w:rPr>
        <w:t xml:space="preserve"> </w:t>
      </w:r>
      <w:r>
        <w:rPr>
          <w:rFonts w:ascii="Arial" w:cs="Arial" w:eastAsia="Arial" w:hAnsi="Arial"/>
          <w:sz w:val="20"/>
          <w:szCs w:val="20"/>
          <w:color w:val="auto"/>
        </w:rPr>
        <w:t>“controlling person” that fails to take appropriate steps to prevent illegal trading. The SEC can also seek a civil penalty against directors and supervisory personnel as “controlling persons” who fail to take appropriate steps to prevent illegal trading. Directors, officers and certain managerial personnel could become controlling persons subject to liability if they knew of, or recklessly disregarded, a likely insider trading violation by an employee or other personnel under their control. A successful action by the SEC under this provision could result in a civil fine of $1 million or three times the profit gained or the loss avoided, whichever is greater. Criminal penalties can be up to $25 million.</w:t>
      </w:r>
    </w:p>
    <w:p>
      <w:pPr>
        <w:spacing w:after="0" w:line="323" w:lineRule="exact"/>
        <w:rPr>
          <w:sz w:val="20"/>
          <w:szCs w:val="20"/>
          <w:color w:val="auto"/>
        </w:rPr>
      </w:pPr>
    </w:p>
    <w:p>
      <w:pPr>
        <w:ind w:left="1060" w:right="266"/>
        <w:spacing w:after="0" w:line="313" w:lineRule="auto"/>
        <w:rPr>
          <w:sz w:val="20"/>
          <w:szCs w:val="20"/>
          <w:color w:val="auto"/>
        </w:rPr>
      </w:pPr>
      <w:r>
        <w:rPr>
          <w:rFonts w:ascii="Arial" w:cs="Arial" w:eastAsia="Arial" w:hAnsi="Arial"/>
          <w:sz w:val="20"/>
          <w:szCs w:val="20"/>
          <w:i w:val="1"/>
          <w:iCs w:val="1"/>
          <w:color w:val="auto"/>
        </w:rPr>
        <w:t>General</w:t>
      </w:r>
      <w:r>
        <w:rPr>
          <w:rFonts w:ascii="Arial" w:cs="Arial" w:eastAsia="Arial" w:hAnsi="Arial"/>
          <w:sz w:val="20"/>
          <w:szCs w:val="20"/>
          <w:color w:val="auto"/>
        </w:rPr>
        <w:t>. In addition to the possible imposition of civil damages and criminal penalties</w:t>
      </w:r>
      <w:r>
        <w:rPr>
          <w:rFonts w:ascii="Arial" w:cs="Arial" w:eastAsia="Arial" w:hAnsi="Arial"/>
          <w:sz w:val="20"/>
          <w:szCs w:val="20"/>
          <w:i w:val="1"/>
          <w:iCs w:val="1"/>
          <w:color w:val="auto"/>
        </w:rPr>
        <w:t xml:space="preserve"> </w:t>
      </w:r>
      <w:r>
        <w:rPr>
          <w:rFonts w:ascii="Arial" w:cs="Arial" w:eastAsia="Arial" w:hAnsi="Arial"/>
          <w:sz w:val="20"/>
          <w:szCs w:val="20"/>
          <w:color w:val="auto"/>
        </w:rPr>
        <w:t>on violators and their controlling persons, any appearance of impropriety could not only damage our reputation for integrity and ethical conduct but also impair investor confidence in us. For this reason, if you violate our policy, then we can impose sanctions including dismissal or removal for cause. Thus, even if the SEC does not prosecute a case, involvement in an investigation (by the SEC or us) can tarnish your reputation and damage your career.</w:t>
      </w:r>
    </w:p>
    <w:p>
      <w:pPr>
        <w:spacing w:after="0" w:line="317" w:lineRule="exact"/>
        <w:rPr>
          <w:sz w:val="20"/>
          <w:szCs w:val="20"/>
          <w:color w:val="auto"/>
        </w:rPr>
      </w:pPr>
    </w:p>
    <w:p>
      <w:pPr>
        <w:jc w:val="center"/>
        <w:ind w:right="-373"/>
        <w:spacing w:after="0"/>
        <w:tabs>
          <w:tab w:leader="none" w:pos="360" w:val="left"/>
          <w:tab w:leader="none" w:pos="36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42 / 60</w:t>
      </w:r>
    </w:p>
    <w:p>
      <w:pPr>
        <w:sectPr>
          <w:pgSz w:w="11900" w:h="16838" w:orient="portrait"/>
          <w:cols w:equalWidth="0" w:num="1">
            <w:col w:w="9026"/>
          </w:cols>
          <w:pgMar w:left="1440" w:top="1440" w:right="1440" w:bottom="0" w:gutter="0" w:footer="0" w:header="0"/>
          <w:type w:val="continuous"/>
        </w:sectPr>
      </w:pPr>
    </w:p>
    <w:bookmarkStart w:id="302" w:name="page303"/>
    <w:bookmarkEnd w:id="302"/>
    <w:p>
      <w:pPr>
        <w:jc w:val="center"/>
        <w:ind w:right="6"/>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812800</wp:posOffset>
            </wp:positionV>
            <wp:extent cx="5967730" cy="190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6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7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43 / 60</w:t>
      </w:r>
    </w:p>
    <w:p>
      <w:pPr>
        <w:sectPr>
          <w:pgSz w:w="11900" w:h="16838" w:orient="portrait"/>
          <w:cols w:equalWidth="0" w:num="1">
            <w:col w:w="9026"/>
          </w:cols>
          <w:pgMar w:left="1440" w:top="1173" w:right="1440" w:bottom="0" w:gutter="0" w:footer="0" w:header="0"/>
          <w:type w:val="continuous"/>
        </w:sectPr>
      </w:pPr>
    </w:p>
    <w:bookmarkStart w:id="303" w:name="page304"/>
    <w:bookmarkEnd w:id="3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53"/>
        <w:spacing w:after="0"/>
        <w:rPr>
          <w:sz w:val="20"/>
          <w:szCs w:val="20"/>
          <w:color w:val="auto"/>
        </w:rPr>
      </w:pPr>
      <w:r>
        <w:rPr>
          <w:rFonts w:ascii="Arial" w:cs="Arial" w:eastAsia="Arial" w:hAnsi="Arial"/>
          <w:sz w:val="20"/>
          <w:szCs w:val="20"/>
          <w:b w:val="1"/>
          <w:bCs w:val="1"/>
          <w:color w:val="auto"/>
        </w:rPr>
        <w:t>APPENDIX 2</w:t>
      </w:r>
    </w:p>
    <w:p>
      <w:pPr>
        <w:spacing w:after="0" w:line="200" w:lineRule="exact"/>
        <w:rPr>
          <w:sz w:val="20"/>
          <w:szCs w:val="20"/>
          <w:color w:val="auto"/>
        </w:rPr>
      </w:pPr>
    </w:p>
    <w:p>
      <w:pPr>
        <w:spacing w:after="0" w:line="233" w:lineRule="exact"/>
        <w:rPr>
          <w:sz w:val="20"/>
          <w:szCs w:val="20"/>
          <w:color w:val="auto"/>
        </w:rPr>
      </w:pPr>
    </w:p>
    <w:p>
      <w:pPr>
        <w:jc w:val="center"/>
        <w:ind w:right="-313"/>
        <w:spacing w:after="0"/>
        <w:rPr>
          <w:sz w:val="20"/>
          <w:szCs w:val="20"/>
          <w:color w:val="auto"/>
        </w:rPr>
      </w:pPr>
      <w:r>
        <w:rPr>
          <w:rFonts w:ascii="Arial" w:cs="Arial" w:eastAsia="Arial" w:hAnsi="Arial"/>
          <w:sz w:val="20"/>
          <w:szCs w:val="20"/>
          <w:b w:val="1"/>
          <w:bCs w:val="1"/>
          <w:color w:val="7E35B1"/>
        </w:rPr>
        <w:t>PRE-CLEARANCE PROCEDURES</w:t>
      </w:r>
    </w:p>
    <w:p>
      <w:pPr>
        <w:spacing w:after="0" w:line="72" w:lineRule="exact"/>
        <w:rPr>
          <w:sz w:val="20"/>
          <w:szCs w:val="20"/>
          <w:color w:val="auto"/>
        </w:rPr>
      </w:pPr>
    </w:p>
    <w:p>
      <w:pPr>
        <w:jc w:val="center"/>
        <w:ind w:right="-313"/>
        <w:spacing w:after="0"/>
        <w:rPr>
          <w:sz w:val="20"/>
          <w:szCs w:val="20"/>
          <w:color w:val="auto"/>
        </w:rPr>
      </w:pPr>
      <w:r>
        <w:rPr>
          <w:rFonts w:ascii="Arial" w:cs="Arial" w:eastAsia="Arial" w:hAnsi="Arial"/>
          <w:sz w:val="20"/>
          <w:szCs w:val="20"/>
          <w:b w:val="1"/>
          <w:bCs w:val="1"/>
          <w:color w:val="7E35B1"/>
        </w:rPr>
        <w:t>FOR DESIGNATED PRE-CLEARANCE</w:t>
      </w:r>
    </w:p>
    <w:p>
      <w:pPr>
        <w:spacing w:after="0" w:line="72" w:lineRule="exact"/>
        <w:rPr>
          <w:sz w:val="20"/>
          <w:szCs w:val="20"/>
          <w:color w:val="auto"/>
        </w:rPr>
      </w:pPr>
    </w:p>
    <w:p>
      <w:pPr>
        <w:jc w:val="center"/>
        <w:ind w:right="-353"/>
        <w:spacing w:after="0"/>
        <w:rPr>
          <w:sz w:val="20"/>
          <w:szCs w:val="20"/>
          <w:color w:val="auto"/>
        </w:rPr>
      </w:pPr>
      <w:r>
        <w:rPr>
          <w:rFonts w:ascii="Arial" w:cs="Arial" w:eastAsia="Arial" w:hAnsi="Arial"/>
          <w:sz w:val="20"/>
          <w:szCs w:val="20"/>
          <w:b w:val="1"/>
          <w:bCs w:val="1"/>
          <w:color w:val="7E35B1"/>
        </w:rPr>
        <w:t>COLLEAGUES</w:t>
      </w:r>
    </w:p>
    <w:p>
      <w:pPr>
        <w:spacing w:after="0" w:line="72" w:lineRule="exact"/>
        <w:rPr>
          <w:sz w:val="20"/>
          <w:szCs w:val="20"/>
          <w:color w:val="auto"/>
        </w:rPr>
      </w:pPr>
    </w:p>
    <w:p>
      <w:pPr>
        <w:jc w:val="center"/>
        <w:ind w:right="-313"/>
        <w:spacing w:after="0"/>
        <w:rPr>
          <w:sz w:val="20"/>
          <w:szCs w:val="20"/>
          <w:color w:val="auto"/>
        </w:rPr>
      </w:pPr>
      <w:r>
        <w:rPr>
          <w:rFonts w:ascii="Arial" w:cs="Arial" w:eastAsia="Arial" w:hAnsi="Arial"/>
          <w:sz w:val="20"/>
          <w:szCs w:val="20"/>
          <w:b w:val="1"/>
          <w:bCs w:val="1"/>
          <w:color w:val="7E35B1"/>
        </w:rPr>
        <w:t>TO TRANSACT IN WILLIS TOWERS WATSON</w:t>
      </w:r>
    </w:p>
    <w:p>
      <w:pPr>
        <w:spacing w:after="0" w:line="72" w:lineRule="exact"/>
        <w:rPr>
          <w:sz w:val="20"/>
          <w:szCs w:val="20"/>
          <w:color w:val="auto"/>
        </w:rPr>
      </w:pPr>
    </w:p>
    <w:p>
      <w:pPr>
        <w:jc w:val="center"/>
        <w:ind w:right="-353"/>
        <w:spacing w:after="0"/>
        <w:rPr>
          <w:sz w:val="20"/>
          <w:szCs w:val="20"/>
          <w:color w:val="auto"/>
        </w:rPr>
      </w:pPr>
      <w:r>
        <w:rPr>
          <w:rFonts w:ascii="Arial" w:cs="Arial" w:eastAsia="Arial" w:hAnsi="Arial"/>
          <w:sz w:val="20"/>
          <w:szCs w:val="20"/>
          <w:b w:val="1"/>
          <w:bCs w:val="1"/>
          <w:color w:val="7E35B1"/>
        </w:rPr>
        <w:t>SECURITIES</w:t>
      </w:r>
    </w:p>
    <w:p>
      <w:pPr>
        <w:spacing w:after="0" w:line="200" w:lineRule="exact"/>
        <w:rPr>
          <w:sz w:val="20"/>
          <w:szCs w:val="20"/>
          <w:color w:val="auto"/>
        </w:rPr>
      </w:pPr>
    </w:p>
    <w:p>
      <w:pPr>
        <w:spacing w:after="0" w:line="219" w:lineRule="exact"/>
        <w:rPr>
          <w:sz w:val="20"/>
          <w:szCs w:val="20"/>
          <w:color w:val="auto"/>
        </w:rPr>
      </w:pPr>
    </w:p>
    <w:p>
      <w:pPr>
        <w:jc w:val="both"/>
        <w:ind w:left="540" w:right="266"/>
        <w:spacing w:after="0" w:line="312" w:lineRule="auto"/>
        <w:rPr>
          <w:sz w:val="20"/>
          <w:szCs w:val="20"/>
          <w:color w:val="auto"/>
        </w:rPr>
      </w:pPr>
      <w:r>
        <w:rPr>
          <w:rFonts w:ascii="Arial" w:cs="Arial" w:eastAsia="Arial" w:hAnsi="Arial"/>
          <w:sz w:val="20"/>
          <w:szCs w:val="20"/>
          <w:color w:val="auto"/>
        </w:rPr>
        <w:t>As you know, because of your position at Willis Towers Watson, you may have information about the Company or another company that is not available to the public. We take the confidentiality of this information very seriously and as an “insider” you have certain responsibilities under Willis Towers Watson’s Insider Trading Policy and U.S. securities laws.</w:t>
      </w:r>
    </w:p>
    <w:p>
      <w:pPr>
        <w:spacing w:after="0" w:line="132" w:lineRule="exact"/>
        <w:rPr>
          <w:sz w:val="20"/>
          <w:szCs w:val="20"/>
          <w:color w:val="auto"/>
        </w:rPr>
      </w:pPr>
    </w:p>
    <w:p>
      <w:pPr>
        <w:jc w:val="both"/>
        <w:ind w:left="540" w:right="566"/>
        <w:spacing w:after="0" w:line="311" w:lineRule="auto"/>
        <w:rPr>
          <w:sz w:val="20"/>
          <w:szCs w:val="20"/>
          <w:color w:val="auto"/>
        </w:rPr>
      </w:pPr>
      <w:r>
        <w:rPr>
          <w:rFonts w:ascii="Arial" w:cs="Arial" w:eastAsia="Arial" w:hAnsi="Arial"/>
          <w:sz w:val="20"/>
          <w:szCs w:val="20"/>
          <w:color w:val="auto"/>
        </w:rPr>
        <w:t>This: (1) summarizes key parts of the Willis Towers Watson Insider Trading Policy, (2) outlines the updated procedures required for you to buy or sell Willis Towers Watson shares, and (3) discusses 10b5-1 plans.</w:t>
      </w:r>
    </w:p>
    <w:p>
      <w:pPr>
        <w:spacing w:after="0" w:line="169"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20"/>
          <w:szCs w:val="20"/>
          <w:b w:val="1"/>
          <w:bCs w:val="1"/>
          <w:color w:val="7E35B1"/>
        </w:rPr>
        <w:t>1.1</w:t>
      </w:r>
      <w:r>
        <w:rPr>
          <w:sz w:val="20"/>
          <w:szCs w:val="20"/>
          <w:color w:val="auto"/>
        </w:rPr>
        <w:tab/>
      </w:r>
      <w:r>
        <w:rPr>
          <w:rFonts w:ascii="Arial" w:cs="Arial" w:eastAsia="Arial" w:hAnsi="Arial"/>
          <w:sz w:val="19"/>
          <w:szCs w:val="19"/>
          <w:b w:val="1"/>
          <w:bCs w:val="1"/>
          <w:color w:val="7E35B1"/>
        </w:rPr>
        <w:t>Willis Towers Watson’s Insider Trading Policy</w:t>
      </w:r>
    </w:p>
    <w:p>
      <w:pPr>
        <w:spacing w:after="0" w:line="200" w:lineRule="exact"/>
        <w:rPr>
          <w:sz w:val="20"/>
          <w:szCs w:val="20"/>
          <w:color w:val="auto"/>
        </w:rPr>
      </w:pPr>
    </w:p>
    <w:p>
      <w:pPr>
        <w:spacing w:after="0" w:line="242"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7E35B1"/>
        </w:rPr>
        <w:t>1.2</w:t>
      </w:r>
    </w:p>
    <w:p>
      <w:pPr>
        <w:spacing w:after="0" w:line="77" w:lineRule="exact"/>
        <w:rPr>
          <w:sz w:val="20"/>
          <w:szCs w:val="20"/>
          <w:color w:val="auto"/>
        </w:rPr>
      </w:pPr>
    </w:p>
    <w:p>
      <w:pPr>
        <w:jc w:val="both"/>
        <w:ind w:left="540" w:right="266"/>
        <w:spacing w:after="0" w:line="312" w:lineRule="auto"/>
        <w:rPr>
          <w:sz w:val="20"/>
          <w:szCs w:val="20"/>
          <w:color w:val="auto"/>
        </w:rPr>
      </w:pPr>
      <w:r>
        <w:rPr>
          <w:rFonts w:ascii="Arial" w:cs="Arial" w:eastAsia="Arial" w:hAnsi="Arial"/>
          <w:sz w:val="20"/>
          <w:szCs w:val="20"/>
          <w:b w:val="1"/>
          <w:bCs w:val="1"/>
          <w:color w:val="7E35B1"/>
        </w:rPr>
        <w:t>Summary of the Policy</w:t>
      </w:r>
      <w:r>
        <w:rPr>
          <w:rFonts w:ascii="Arial" w:cs="Arial" w:eastAsia="Arial" w:hAnsi="Arial"/>
          <w:sz w:val="20"/>
          <w:szCs w:val="20"/>
          <w:color w:val="7E35B1"/>
        </w:rPr>
        <w:t>.</w:t>
      </w:r>
      <w:r>
        <w:rPr>
          <w:rFonts w:ascii="Arial" w:cs="Arial" w:eastAsia="Arial" w:hAnsi="Arial"/>
          <w:sz w:val="20"/>
          <w:szCs w:val="20"/>
          <w:b w:val="1"/>
          <w:bCs w:val="1"/>
          <w:color w:val="7E35B1"/>
        </w:rPr>
        <w:t xml:space="preserve"> </w:t>
      </w:r>
      <w:r>
        <w:rPr>
          <w:rFonts w:ascii="Arial" w:cs="Arial" w:eastAsia="Arial" w:hAnsi="Arial"/>
          <w:sz w:val="20"/>
          <w:szCs w:val="20"/>
          <w:color w:val="000000"/>
        </w:rPr>
        <w:t>The Insider Trading Policy explains your obligations to Willis</w:t>
      </w:r>
      <w:r>
        <w:rPr>
          <w:rFonts w:ascii="Arial" w:cs="Arial" w:eastAsia="Arial" w:hAnsi="Arial"/>
          <w:sz w:val="20"/>
          <w:szCs w:val="20"/>
          <w:b w:val="1"/>
          <w:bCs w:val="1"/>
          <w:color w:val="7E35B1"/>
        </w:rPr>
        <w:t xml:space="preserve"> </w:t>
      </w:r>
      <w:r>
        <w:rPr>
          <w:rFonts w:ascii="Arial" w:cs="Arial" w:eastAsia="Arial" w:hAnsi="Arial"/>
          <w:sz w:val="20"/>
          <w:szCs w:val="20"/>
          <w:color w:val="000000"/>
        </w:rPr>
        <w:t xml:space="preserve">Towers Watson (and under the law) to prevent actual or apparent insider trading, and to protect the Company’s reputation for integrity and ethical conduct. In summary, under the Policy, you may not buy or sell Willis Towers Watson securities or a client’s securities if you possess material, non-public information about the Company or client. Information is “material” if it would reasonably affect an investor’s decision to buy or sell securities </w:t>
      </w:r>
      <w:r>
        <w:rPr>
          <w:rFonts w:ascii="Arial" w:cs="Arial" w:eastAsia="Arial" w:hAnsi="Arial"/>
          <w:sz w:val="20"/>
          <w:szCs w:val="20"/>
          <w:i w:val="1"/>
          <w:iCs w:val="1"/>
          <w:color w:val="000000"/>
        </w:rPr>
        <w:t>or</w:t>
      </w:r>
      <w:r>
        <w:rPr>
          <w:rFonts w:ascii="Arial" w:cs="Arial" w:eastAsia="Arial" w:hAnsi="Arial"/>
          <w:sz w:val="20"/>
          <w:szCs w:val="20"/>
          <w:color w:val="000000"/>
        </w:rPr>
        <w:t xml:space="preserve"> the market price of the securities at issue. You are required to read and understand the full policy.</w:t>
      </w:r>
    </w:p>
    <w:p>
      <w:pPr>
        <w:spacing w:after="0" w:line="312"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7E35B1"/>
        </w:rPr>
        <w:t>1.3</w:t>
      </w:r>
    </w:p>
    <w:p>
      <w:pPr>
        <w:spacing w:after="0" w:line="77" w:lineRule="exact"/>
        <w:rPr>
          <w:sz w:val="20"/>
          <w:szCs w:val="20"/>
          <w:color w:val="auto"/>
        </w:rPr>
      </w:pPr>
    </w:p>
    <w:p>
      <w:pPr>
        <w:jc w:val="both"/>
        <w:ind w:left="540" w:right="526"/>
        <w:spacing w:after="0" w:line="311" w:lineRule="auto"/>
        <w:rPr>
          <w:sz w:val="20"/>
          <w:szCs w:val="20"/>
          <w:color w:val="auto"/>
        </w:rPr>
      </w:pPr>
      <w:r>
        <w:rPr>
          <w:rFonts w:ascii="Arial" w:cs="Arial" w:eastAsia="Arial" w:hAnsi="Arial"/>
          <w:sz w:val="20"/>
          <w:szCs w:val="20"/>
          <w:b w:val="1"/>
          <w:bCs w:val="1"/>
          <w:color w:val="7E35B1"/>
        </w:rPr>
        <w:t>Blackout Periods</w:t>
      </w:r>
      <w:r>
        <w:rPr>
          <w:rFonts w:ascii="Arial" w:cs="Arial" w:eastAsia="Arial" w:hAnsi="Arial"/>
          <w:sz w:val="20"/>
          <w:szCs w:val="20"/>
          <w:b w:val="1"/>
          <w:bCs w:val="1"/>
          <w:color w:val="000000"/>
        </w:rPr>
        <w:t>.</w:t>
      </w:r>
      <w:r>
        <w:rPr>
          <w:rFonts w:ascii="Arial" w:cs="Arial" w:eastAsia="Arial" w:hAnsi="Arial"/>
          <w:sz w:val="20"/>
          <w:szCs w:val="20"/>
          <w:b w:val="1"/>
          <w:bCs w:val="1"/>
          <w:color w:val="7E35B1"/>
        </w:rPr>
        <w:t xml:space="preserve"> </w:t>
      </w:r>
      <w:r>
        <w:rPr>
          <w:rFonts w:ascii="Arial" w:cs="Arial" w:eastAsia="Arial" w:hAnsi="Arial"/>
          <w:sz w:val="20"/>
          <w:szCs w:val="20"/>
          <w:color w:val="000000"/>
        </w:rPr>
        <w:t>A “Blackout Period” is a period during which you are</w:t>
      </w:r>
      <w:r>
        <w:rPr>
          <w:rFonts w:ascii="Arial" w:cs="Arial" w:eastAsia="Arial" w:hAnsi="Arial"/>
          <w:sz w:val="20"/>
          <w:szCs w:val="20"/>
          <w:b w:val="1"/>
          <w:bCs w:val="1"/>
          <w:color w:val="7E35B1"/>
        </w:rPr>
        <w:t xml:space="preserve"> </w:t>
      </w:r>
      <w:r>
        <w:rPr>
          <w:rFonts w:ascii="Arial" w:cs="Arial" w:eastAsia="Arial" w:hAnsi="Arial"/>
          <w:sz w:val="20"/>
          <w:szCs w:val="20"/>
          <w:b w:val="1"/>
          <w:bCs w:val="1"/>
          <w:i w:val="1"/>
          <w:iCs w:val="1"/>
          <w:color w:val="000000"/>
        </w:rPr>
        <w:t>prohibited from</w:t>
      </w:r>
      <w:r>
        <w:rPr>
          <w:rFonts w:ascii="Arial" w:cs="Arial" w:eastAsia="Arial" w:hAnsi="Arial"/>
          <w:sz w:val="20"/>
          <w:szCs w:val="20"/>
          <w:b w:val="1"/>
          <w:bCs w:val="1"/>
          <w:color w:val="7E35B1"/>
        </w:rPr>
        <w:t xml:space="preserve"> </w:t>
      </w:r>
      <w:r>
        <w:rPr>
          <w:rFonts w:ascii="Arial" w:cs="Arial" w:eastAsia="Arial" w:hAnsi="Arial"/>
          <w:sz w:val="20"/>
          <w:szCs w:val="20"/>
          <w:b w:val="1"/>
          <w:bCs w:val="1"/>
          <w:i w:val="1"/>
          <w:iCs w:val="1"/>
          <w:color w:val="000000"/>
        </w:rPr>
        <w:t>buying, selling, or engaging in any transaction in Willis Towers Watson securities</w:t>
      </w:r>
      <w:r>
        <w:rPr>
          <w:rFonts w:ascii="Arial" w:cs="Arial" w:eastAsia="Arial" w:hAnsi="Arial"/>
          <w:sz w:val="20"/>
          <w:szCs w:val="20"/>
          <w:color w:val="000000"/>
        </w:rPr>
        <w:t>.</w:t>
      </w:r>
      <w:r>
        <w:rPr>
          <w:rFonts w:ascii="Arial" w:cs="Arial" w:eastAsia="Arial" w:hAnsi="Arial"/>
          <w:sz w:val="20"/>
          <w:szCs w:val="20"/>
          <w:b w:val="1"/>
          <w:bCs w:val="1"/>
          <w:i w:val="1"/>
          <w:iCs w:val="1"/>
          <w:color w:val="000000"/>
        </w:rPr>
        <w:t xml:space="preserve"> </w:t>
      </w:r>
      <w:r>
        <w:rPr>
          <w:rFonts w:ascii="Arial" w:cs="Arial" w:eastAsia="Arial" w:hAnsi="Arial"/>
          <w:sz w:val="20"/>
          <w:szCs w:val="20"/>
          <w:color w:val="000000"/>
        </w:rPr>
        <w:t>The regular Blackout Periods begin on the eighth day of the third calendar month of a fiscal quarter and lasts until two trading days have passed after we announce that quarter’s earnings (generally 3-5 weeks after the end of the quarter). Depending upon the circumstances, however, we may impose other Blackout Periods and we will inform you of these.</w:t>
      </w:r>
    </w:p>
    <w:p>
      <w:pPr>
        <w:spacing w:after="0" w:line="319" w:lineRule="exact"/>
        <w:rPr>
          <w:sz w:val="20"/>
          <w:szCs w:val="20"/>
          <w:color w:val="auto"/>
        </w:rPr>
      </w:pPr>
    </w:p>
    <w:p>
      <w:pPr>
        <w:ind w:left="1160"/>
        <w:spacing w:after="0"/>
        <w:rPr>
          <w:sz w:val="20"/>
          <w:szCs w:val="20"/>
          <w:color w:val="auto"/>
        </w:rPr>
      </w:pPr>
      <w:r>
        <w:rPr>
          <w:rFonts w:ascii="Arial" w:cs="Arial" w:eastAsia="Arial" w:hAnsi="Arial"/>
          <w:sz w:val="20"/>
          <w:szCs w:val="20"/>
          <w:b w:val="1"/>
          <w:bCs w:val="1"/>
          <w:color w:val="7E35B1"/>
        </w:rPr>
        <w:t>1.4</w:t>
      </w:r>
    </w:p>
    <w:p>
      <w:pPr>
        <w:spacing w:after="0" w:line="70" w:lineRule="exact"/>
        <w:rPr>
          <w:sz w:val="20"/>
          <w:szCs w:val="20"/>
          <w:color w:val="auto"/>
        </w:rPr>
      </w:pPr>
    </w:p>
    <w:p>
      <w:pPr>
        <w:ind w:left="540"/>
        <w:spacing w:after="0"/>
        <w:tabs>
          <w:tab w:leader="none" w:pos="4600" w:val="left"/>
        </w:tabs>
        <w:rPr>
          <w:sz w:val="20"/>
          <w:szCs w:val="20"/>
          <w:color w:val="auto"/>
        </w:rPr>
      </w:pPr>
      <w:r>
        <w:rPr>
          <w:rFonts w:ascii="Arial" w:cs="Arial" w:eastAsia="Arial" w:hAnsi="Arial"/>
          <w:sz w:val="20"/>
          <w:szCs w:val="20"/>
          <w:b w:val="1"/>
          <w:bCs w:val="1"/>
          <w:color w:val="7E35B1"/>
        </w:rPr>
        <w:t>Open</w:t>
      </w:r>
      <w:r>
        <w:rPr>
          <w:sz w:val="20"/>
          <w:szCs w:val="20"/>
          <w:color w:val="auto"/>
        </w:rPr>
        <w:tab/>
      </w:r>
      <w:r>
        <w:rPr>
          <w:rFonts w:ascii="Arial" w:cs="Arial" w:eastAsia="Arial" w:hAnsi="Arial"/>
          <w:sz w:val="20"/>
          <w:szCs w:val="20"/>
          <w:b w:val="1"/>
          <w:bCs w:val="1"/>
          <w:color w:val="7E35B1"/>
        </w:rPr>
        <w:t>Period.</w:t>
      </w:r>
    </w:p>
    <w:p>
      <w:pPr>
        <w:spacing w:after="0" w:line="77" w:lineRule="exact"/>
        <w:rPr>
          <w:sz w:val="20"/>
          <w:szCs w:val="20"/>
          <w:color w:val="auto"/>
        </w:rPr>
      </w:pPr>
    </w:p>
    <w:p>
      <w:pPr>
        <w:jc w:val="both"/>
        <w:ind w:left="540" w:right="186"/>
        <w:spacing w:after="0" w:line="332" w:lineRule="auto"/>
        <w:rPr>
          <w:sz w:val="20"/>
          <w:szCs w:val="20"/>
          <w:color w:val="auto"/>
        </w:rPr>
      </w:pPr>
      <w:r>
        <w:rPr>
          <w:rFonts w:ascii="Arial" w:cs="Arial" w:eastAsia="Arial" w:hAnsi="Arial"/>
          <w:sz w:val="19"/>
          <w:szCs w:val="19"/>
          <w:color w:val="auto"/>
        </w:rPr>
        <w:t>An “Open Period” (also referred to as an “Open Window”) is a period when you are authorized to buy or sell Willis Towers Watson securities provided that you (1) do not otherwise possess material, non-public information, and (2) follow the procedures discussed in Section</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44 / 60</w:t>
      </w:r>
    </w:p>
    <w:p>
      <w:pPr>
        <w:sectPr>
          <w:pgSz w:w="11900" w:h="16838" w:orient="portrait"/>
          <w:cols w:equalWidth="0" w:num="1">
            <w:col w:w="9026"/>
          </w:cols>
          <w:pgMar w:left="1440" w:top="1440" w:right="1440" w:bottom="0" w:gutter="0" w:footer="0" w:header="0"/>
          <w:type w:val="continuous"/>
        </w:sectPr>
      </w:pPr>
    </w:p>
    <w:bookmarkStart w:id="304" w:name="page305"/>
    <w:bookmarkEnd w:id="304"/>
    <w:p>
      <w:pPr>
        <w:jc w:val="both"/>
        <w:ind w:left="540" w:right="400"/>
        <w:spacing w:after="0" w:line="313" w:lineRule="auto"/>
        <w:rPr>
          <w:sz w:val="20"/>
          <w:szCs w:val="20"/>
          <w:color w:val="auto"/>
        </w:rPr>
      </w:pPr>
      <w:r>
        <w:rPr>
          <w:rFonts w:ascii="Arial" w:cs="Arial" w:eastAsia="Arial" w:hAnsi="Arial"/>
          <w:sz w:val="20"/>
          <w:szCs w:val="20"/>
          <w:color w:val="auto"/>
        </w:rPr>
        <w:t xml:space="preserve">2.0. </w:t>
      </w:r>
      <w:r>
        <w:rPr>
          <w:rFonts w:ascii="Arial" w:cs="Arial" w:eastAsia="Arial" w:hAnsi="Arial"/>
          <w:sz w:val="20"/>
          <w:szCs w:val="20"/>
          <w:i w:val="1"/>
          <w:iCs w:val="1"/>
          <w:color w:val="auto"/>
        </w:rPr>
        <w:t>To ensure compliance with these procedures, you are currently blocked from trading on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the Fidelity system. </w:t>
      </w:r>
      <w:r>
        <w:rPr>
          <w:rFonts w:ascii="Arial" w:cs="Arial" w:eastAsia="Arial" w:hAnsi="Arial"/>
          <w:sz w:val="20"/>
          <w:szCs w:val="20"/>
          <w:color w:val="auto"/>
        </w:rPr>
        <w:t>Until you have the consent discussed in Section 2.0, the Equity</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 team will not remove this trading block. Note that the best time to trade is generally shortly after the Open Period begins, two full trading days after the Company announces quarterly earnings.</w:t>
      </w:r>
    </w:p>
    <w:p>
      <w:pPr>
        <w:spacing w:after="0" w:line="387"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9"/>
          <w:szCs w:val="19"/>
          <w:b w:val="1"/>
          <w:bCs w:val="1"/>
          <w:color w:val="7E35B1"/>
        </w:rPr>
        <w:t>Procedure for Designated Pre-Clearance Colleagues to Transact in WTW Securities</w:t>
      </w:r>
    </w:p>
    <w:p>
      <w:pPr>
        <w:spacing w:after="0" w:line="200" w:lineRule="exact"/>
        <w:rPr>
          <w:sz w:val="20"/>
          <w:szCs w:val="20"/>
          <w:color w:val="auto"/>
        </w:rPr>
      </w:pPr>
    </w:p>
    <w:p>
      <w:pPr>
        <w:spacing w:after="0" w:line="327" w:lineRule="exact"/>
        <w:rPr>
          <w:sz w:val="20"/>
          <w:szCs w:val="20"/>
          <w:color w:val="auto"/>
        </w:rPr>
      </w:pPr>
    </w:p>
    <w:p>
      <w:pPr>
        <w:ind w:left="1700" w:hanging="525"/>
        <w:spacing w:after="0" w:line="368" w:lineRule="auto"/>
        <w:tabs>
          <w:tab w:leader="none" w:pos="1680" w:val="left"/>
        </w:tabs>
        <w:rPr>
          <w:sz w:val="20"/>
          <w:szCs w:val="20"/>
          <w:color w:val="auto"/>
        </w:rPr>
      </w:pPr>
      <w:r>
        <w:rPr>
          <w:rFonts w:ascii="Arial" w:cs="Arial" w:eastAsia="Arial" w:hAnsi="Arial"/>
          <w:sz w:val="20"/>
          <w:szCs w:val="20"/>
          <w:b w:val="1"/>
          <w:bCs w:val="1"/>
          <w:color w:val="auto"/>
        </w:rPr>
        <w:t>2.2</w:t>
        <w:tab/>
        <w:t xml:space="preserve">Consents. </w:t>
      </w:r>
      <w:r>
        <w:rPr>
          <w:rFonts w:ascii="Arial" w:cs="Arial" w:eastAsia="Arial" w:hAnsi="Arial"/>
          <w:sz w:val="20"/>
          <w:szCs w:val="20"/>
          <w:color w:val="auto"/>
        </w:rPr>
        <w:t>If you are a Designated Pre-Clearance Colleague, you must obtain</w:t>
      </w:r>
      <w:r>
        <w:rPr>
          <w:rFonts w:ascii="Arial" w:cs="Arial" w:eastAsia="Arial" w:hAnsi="Arial"/>
          <w:sz w:val="20"/>
          <w:szCs w:val="20"/>
          <w:b w:val="1"/>
          <w:bCs w:val="1"/>
          <w:color w:val="auto"/>
        </w:rPr>
        <w:t xml:space="preserve"> </w:t>
      </w:r>
      <w:r>
        <w:rPr>
          <w:rFonts w:ascii="Arial" w:cs="Arial" w:eastAsia="Arial" w:hAnsi="Arial"/>
          <w:sz w:val="20"/>
          <w:szCs w:val="20"/>
          <w:color w:val="auto"/>
        </w:rPr>
        <w:t>consent via email from the following people:</w:t>
      </w:r>
    </w:p>
    <w:p>
      <w:pPr>
        <w:spacing w:after="0" w:line="200" w:lineRule="exact"/>
        <w:rPr>
          <w:sz w:val="20"/>
          <w:szCs w:val="20"/>
          <w:color w:val="auto"/>
        </w:rPr>
      </w:pPr>
    </w:p>
    <w:p>
      <w:pPr>
        <w:spacing w:after="0" w:line="392"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796925</wp:posOffset>
            </wp:positionV>
            <wp:extent cx="5967730" cy="190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6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00"/>
          </w:cols>
          <w:pgMar w:left="1440" w:top="1172"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45 / 60</w:t>
      </w:r>
    </w:p>
    <w:p>
      <w:pPr>
        <w:sectPr>
          <w:pgSz w:w="11900" w:h="16838" w:orient="portrait"/>
          <w:cols w:equalWidth="0" w:num="1">
            <w:col w:w="9100"/>
          </w:cols>
          <w:pgMar w:left="1440" w:top="1172" w:right="1366" w:bottom="0" w:gutter="0" w:footer="0" w:header="0"/>
          <w:type w:val="continuous"/>
        </w:sectPr>
      </w:pPr>
    </w:p>
    <w:bookmarkStart w:id="305" w:name="page306"/>
    <w:bookmarkEnd w:id="3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2080" w:right="646" w:hanging="286"/>
        <w:spacing w:after="0" w:line="374" w:lineRule="auto"/>
        <w:tabs>
          <w:tab w:leader="none" w:pos="208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If you are a member of the Board of Directors of Willis Towers Watson Public Limited Company (“</w:t>
      </w:r>
      <w:r>
        <w:rPr>
          <w:rFonts w:ascii="Arial" w:cs="Arial" w:eastAsia="Arial" w:hAnsi="Arial"/>
          <w:sz w:val="20"/>
          <w:szCs w:val="20"/>
          <w:u w:val="single" w:color="auto"/>
          <w:color w:val="auto"/>
        </w:rPr>
        <w:t>PLC</w:t>
      </w:r>
      <w:r>
        <w:rPr>
          <w:rFonts w:ascii="Arial" w:cs="Arial" w:eastAsia="Arial" w:hAnsi="Arial"/>
          <w:sz w:val="20"/>
          <w:szCs w:val="20"/>
          <w:color w:val="auto"/>
        </w:rPr>
        <w:t>”): the Chair of the PLC Board (or the Presiding Independent Director, as appropriate), the WTW CEO, and the WTW General Counsel. For ease of administration, members of the Board should email the WTW General Counsel, who will coordinate the necessary consents.</w:t>
      </w:r>
    </w:p>
    <w:p>
      <w:pPr>
        <w:spacing w:after="0" w:line="309" w:lineRule="exact"/>
        <w:rPr>
          <w:rFonts w:ascii="Arial" w:cs="Arial" w:eastAsia="Arial" w:hAnsi="Arial"/>
          <w:sz w:val="20"/>
          <w:szCs w:val="20"/>
          <w:color w:val="auto"/>
        </w:rPr>
      </w:pPr>
    </w:p>
    <w:p>
      <w:pPr>
        <w:jc w:val="both"/>
        <w:ind w:left="2080" w:right="386" w:hanging="286"/>
        <w:spacing w:after="0" w:line="372" w:lineRule="auto"/>
        <w:tabs>
          <w:tab w:leader="none" w:pos="208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If you are a member of the senior executive leadership team known as Team Chi and/or a Section 16 officer: the WTW CEO and the WTW General Counsel.</w:t>
      </w:r>
    </w:p>
    <w:p>
      <w:pPr>
        <w:spacing w:after="0" w:line="267"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w:t>
      </w:r>
    </w:p>
    <w:p>
      <w:pPr>
        <w:spacing w:after="0" w:line="72"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7E35B1"/>
        </w:rPr>
        <w:t xml:space="preserve">Information in your Request to Trade. </w:t>
      </w:r>
      <w:r>
        <w:rPr>
          <w:rFonts w:ascii="Arial" w:cs="Arial" w:eastAsia="Arial" w:hAnsi="Arial"/>
          <w:sz w:val="20"/>
          <w:szCs w:val="20"/>
          <w:color w:val="000000"/>
        </w:rPr>
        <w:t>Your request to trade must contain the following:</w:t>
      </w:r>
    </w:p>
    <w:p>
      <w:pPr>
        <w:spacing w:after="0" w:line="200" w:lineRule="exact"/>
        <w:rPr>
          <w:sz w:val="20"/>
          <w:szCs w:val="20"/>
          <w:color w:val="auto"/>
        </w:rPr>
      </w:pPr>
    </w:p>
    <w:p>
      <w:pPr>
        <w:spacing w:after="0" w:line="254" w:lineRule="exact"/>
        <w:rPr>
          <w:sz w:val="20"/>
          <w:szCs w:val="20"/>
          <w:color w:val="auto"/>
        </w:rPr>
      </w:pPr>
    </w:p>
    <w:p>
      <w:pPr>
        <w:ind w:left="2080" w:right="286" w:hanging="286"/>
        <w:spacing w:after="0" w:line="368" w:lineRule="auto"/>
        <w:tabs>
          <w:tab w:leader="none" w:pos="20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 xml:space="preserve">the specific number of shares you wish to trade or the number of options you wish to exercise, </w:t>
      </w:r>
      <w:r>
        <w:rPr>
          <w:rFonts w:ascii="Arial" w:cs="Arial" w:eastAsia="Arial" w:hAnsi="Arial"/>
          <w:sz w:val="20"/>
          <w:szCs w:val="20"/>
          <w:b w:val="1"/>
          <w:bCs w:val="1"/>
          <w:i w:val="1"/>
          <w:iCs w:val="1"/>
          <w:color w:val="auto"/>
        </w:rPr>
        <w:t>and</w:t>
      </w:r>
    </w:p>
    <w:p>
      <w:pPr>
        <w:spacing w:after="0" w:line="331" w:lineRule="exact"/>
        <w:rPr>
          <w:rFonts w:ascii="Arial" w:cs="Arial" w:eastAsia="Arial" w:hAnsi="Arial"/>
          <w:sz w:val="20"/>
          <w:szCs w:val="20"/>
          <w:color w:val="auto"/>
        </w:rPr>
      </w:pPr>
    </w:p>
    <w:p>
      <w:pPr>
        <w:ind w:left="2100" w:hanging="306"/>
        <w:spacing w:after="0"/>
        <w:tabs>
          <w:tab w:leader="none" w:pos="210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date of the proposed transaction (i.e., when you wish to trade)</w:t>
      </w:r>
      <w:r>
        <w:rPr>
          <w:rFonts w:ascii="Arial" w:cs="Arial" w:eastAsia="Arial" w:hAnsi="Arial"/>
          <w:sz w:val="20"/>
          <w:szCs w:val="20"/>
          <w:i w:val="1"/>
          <w:iCs w:val="1"/>
          <w:color w:val="auto"/>
        </w:rPr>
        <w:t>.</w:t>
      </w:r>
    </w:p>
    <w:p>
      <w:pPr>
        <w:spacing w:after="0" w:line="200" w:lineRule="exact"/>
        <w:rPr>
          <w:sz w:val="20"/>
          <w:szCs w:val="20"/>
          <w:color w:val="auto"/>
        </w:rPr>
      </w:pPr>
    </w:p>
    <w:p>
      <w:pPr>
        <w:spacing w:after="0" w:line="234"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w:t>
      </w:r>
    </w:p>
    <w:p>
      <w:pPr>
        <w:spacing w:after="0" w:line="79" w:lineRule="exact"/>
        <w:rPr>
          <w:sz w:val="20"/>
          <w:szCs w:val="20"/>
          <w:color w:val="auto"/>
        </w:rPr>
      </w:pPr>
    </w:p>
    <w:p>
      <w:pPr>
        <w:jc w:val="both"/>
        <w:ind w:left="540" w:right="286"/>
        <w:spacing w:after="0" w:line="314" w:lineRule="auto"/>
        <w:rPr>
          <w:sz w:val="20"/>
          <w:szCs w:val="20"/>
          <w:color w:val="auto"/>
        </w:rPr>
      </w:pPr>
      <w:r>
        <w:rPr>
          <w:rFonts w:ascii="Arial" w:cs="Arial" w:eastAsia="Arial" w:hAnsi="Arial"/>
          <w:sz w:val="20"/>
          <w:szCs w:val="20"/>
          <w:b w:val="1"/>
          <w:bCs w:val="1"/>
          <w:color w:val="auto"/>
        </w:rPr>
        <w:t>Coordination with Equity Compensation Team</w:t>
      </w:r>
      <w:r>
        <w:rPr>
          <w:rFonts w:ascii="Arial" w:cs="Arial" w:eastAsia="Arial" w:hAnsi="Arial"/>
          <w:sz w:val="20"/>
          <w:szCs w:val="20"/>
          <w:color w:val="auto"/>
        </w:rPr>
        <w:t>. After you receive the requisite approvals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via e-mail you must then personally coordinate with the Equity Compensation team and Fidelity (as applicable) to commence your trade. The Equity Compensation team can be reached at </w:t>
      </w:r>
      <w:r>
        <w:rPr>
          <w:rFonts w:ascii="Arial" w:cs="Arial" w:eastAsia="Arial" w:hAnsi="Arial"/>
          <w:sz w:val="20"/>
          <w:szCs w:val="20"/>
          <w:color w:val="7E35B1"/>
        </w:rPr>
        <w:t>equitycomp@wtwco.com</w:t>
      </w:r>
      <w:r>
        <w:rPr>
          <w:rFonts w:ascii="Arial" w:cs="Arial" w:eastAsia="Arial" w:hAnsi="Arial"/>
          <w:sz w:val="21"/>
          <w:szCs w:val="21"/>
          <w:color w:val="7E35B1"/>
        </w:rPr>
        <w:t>.</w:t>
      </w:r>
      <w:r>
        <w:rPr>
          <w:rFonts w:ascii="Arial" w:cs="Arial" w:eastAsia="Arial" w:hAnsi="Arial"/>
          <w:sz w:val="20"/>
          <w:szCs w:val="20"/>
          <w:color w:val="auto"/>
        </w:rPr>
        <w:t xml:space="preserve"> Note that the Equity Compensation team will not take any action or commence any trade on your behalf; rather, they will lift the restriction on your account and direct you to Fidelity to complete your transaction.</w:t>
      </w:r>
    </w:p>
    <w:p>
      <w:pPr>
        <w:spacing w:after="0" w:line="370" w:lineRule="exact"/>
        <w:rPr>
          <w:sz w:val="20"/>
          <w:szCs w:val="20"/>
          <w:color w:val="auto"/>
        </w:rPr>
      </w:pPr>
    </w:p>
    <w:p>
      <w:pPr>
        <w:ind w:left="1660" w:hanging="543"/>
        <w:spacing w:after="0"/>
        <w:tabs>
          <w:tab w:leader="none" w:pos="1660" w:val="left"/>
        </w:tabs>
        <w:numPr>
          <w:ilvl w:val="0"/>
          <w:numId w:val="111"/>
        </w:numPr>
        <w:rPr>
          <w:rFonts w:ascii="Arial" w:cs="Arial" w:eastAsia="Arial" w:hAnsi="Arial"/>
          <w:sz w:val="19"/>
          <w:szCs w:val="19"/>
          <w:b w:val="1"/>
          <w:bCs w:val="1"/>
          <w:color w:val="auto"/>
        </w:rPr>
      </w:pPr>
      <w:r>
        <w:rPr>
          <w:rFonts w:ascii="Arial" w:cs="Arial" w:eastAsia="Arial" w:hAnsi="Arial"/>
          <w:sz w:val="19"/>
          <w:szCs w:val="19"/>
          <w:b w:val="1"/>
          <w:bCs w:val="1"/>
          <w:color w:val="7E35B1"/>
        </w:rPr>
        <w:t>Expiration of Approval to Trade</w:t>
      </w:r>
      <w:r>
        <w:rPr>
          <w:rFonts w:ascii="Arial" w:cs="Arial" w:eastAsia="Arial" w:hAnsi="Arial"/>
          <w:sz w:val="19"/>
          <w:szCs w:val="19"/>
          <w:b w:val="1"/>
          <w:bCs w:val="1"/>
          <w:color w:val="000000"/>
        </w:rPr>
        <w:t>.</w:t>
      </w:r>
      <w:r>
        <w:rPr>
          <w:rFonts w:ascii="Arial" w:cs="Arial" w:eastAsia="Arial" w:hAnsi="Arial"/>
          <w:sz w:val="19"/>
          <w:szCs w:val="19"/>
          <w:b w:val="1"/>
          <w:bCs w:val="1"/>
          <w:color w:val="7E35B1"/>
        </w:rPr>
        <w:t xml:space="preserve"> </w:t>
      </w:r>
      <w:r>
        <w:rPr>
          <w:rFonts w:ascii="Arial" w:cs="Arial" w:eastAsia="Arial" w:hAnsi="Arial"/>
          <w:sz w:val="19"/>
          <w:szCs w:val="19"/>
          <w:color w:val="000000"/>
        </w:rPr>
        <w:t>Your approval to trade expires on the</w:t>
      </w:r>
      <w:r>
        <w:rPr>
          <w:rFonts w:ascii="Arial" w:cs="Arial" w:eastAsia="Arial" w:hAnsi="Arial"/>
          <w:sz w:val="19"/>
          <w:szCs w:val="19"/>
          <w:b w:val="1"/>
          <w:bCs w:val="1"/>
          <w:color w:val="7E35B1"/>
        </w:rPr>
        <w:t xml:space="preserve"> </w:t>
      </w:r>
      <w:r>
        <w:rPr>
          <w:rFonts w:ascii="Arial" w:cs="Arial" w:eastAsia="Arial" w:hAnsi="Arial"/>
          <w:sz w:val="19"/>
          <w:szCs w:val="19"/>
          <w:i w:val="1"/>
          <w:iCs w:val="1"/>
          <w:color w:val="000000"/>
        </w:rPr>
        <w:t>earlier of</w:t>
      </w:r>
      <w:r>
        <w:rPr>
          <w:rFonts w:ascii="Arial" w:cs="Arial" w:eastAsia="Arial" w:hAnsi="Arial"/>
          <w:sz w:val="19"/>
          <w:szCs w:val="19"/>
          <w:color w:val="000000"/>
        </w:rPr>
        <w:t>:</w:t>
      </w:r>
    </w:p>
    <w:p>
      <w:pPr>
        <w:spacing w:after="0" w:line="200" w:lineRule="exact"/>
        <w:rPr>
          <w:rFonts w:ascii="Arial" w:cs="Arial" w:eastAsia="Arial" w:hAnsi="Arial"/>
          <w:sz w:val="19"/>
          <w:szCs w:val="19"/>
          <w:b w:val="1"/>
          <w:bCs w:val="1"/>
          <w:color w:val="auto"/>
        </w:rPr>
      </w:pPr>
    </w:p>
    <w:p>
      <w:pPr>
        <w:spacing w:after="0" w:line="289" w:lineRule="exact"/>
        <w:rPr>
          <w:rFonts w:ascii="Arial" w:cs="Arial" w:eastAsia="Arial" w:hAnsi="Arial"/>
          <w:sz w:val="19"/>
          <w:szCs w:val="19"/>
          <w:b w:val="1"/>
          <w:bCs w:val="1"/>
          <w:color w:val="auto"/>
        </w:rPr>
      </w:pPr>
    </w:p>
    <w:p>
      <w:pPr>
        <w:ind w:left="2100" w:hanging="306"/>
        <w:spacing w:after="0"/>
        <w:tabs>
          <w:tab w:leader="none" w:pos="210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two weeks after you are given consent to trade,</w:t>
      </w:r>
    </w:p>
    <w:p>
      <w:pPr>
        <w:spacing w:after="0" w:line="163" w:lineRule="exact"/>
        <w:rPr>
          <w:rFonts w:ascii="Arial" w:cs="Arial" w:eastAsia="Arial" w:hAnsi="Arial"/>
          <w:sz w:val="20"/>
          <w:szCs w:val="20"/>
          <w:color w:val="auto"/>
        </w:rPr>
      </w:pPr>
    </w:p>
    <w:p>
      <w:pPr>
        <w:ind w:left="2100" w:hanging="306"/>
        <w:spacing w:after="0"/>
        <w:tabs>
          <w:tab w:leader="none" w:pos="210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 xml:space="preserve">the beginning of a Blackout Period, </w:t>
      </w:r>
      <w:r>
        <w:rPr>
          <w:rFonts w:ascii="Arial" w:cs="Arial" w:eastAsia="Arial" w:hAnsi="Arial"/>
          <w:sz w:val="20"/>
          <w:szCs w:val="20"/>
          <w:i w:val="1"/>
          <w:iCs w:val="1"/>
          <w:color w:val="auto"/>
        </w:rPr>
        <w:t>or</w:t>
      </w:r>
    </w:p>
    <w:p>
      <w:pPr>
        <w:spacing w:after="0" w:line="161" w:lineRule="exact"/>
        <w:rPr>
          <w:rFonts w:ascii="Arial" w:cs="Arial" w:eastAsia="Arial" w:hAnsi="Arial"/>
          <w:sz w:val="20"/>
          <w:szCs w:val="20"/>
          <w:color w:val="auto"/>
        </w:rPr>
      </w:pPr>
    </w:p>
    <w:p>
      <w:pPr>
        <w:ind w:left="2100" w:hanging="306"/>
        <w:spacing w:after="0"/>
        <w:tabs>
          <w:tab w:leader="none" w:pos="210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when you possess material, non-public information.</w:t>
      </w:r>
    </w:p>
    <w:p>
      <w:pPr>
        <w:spacing w:after="0" w:line="200" w:lineRule="exact"/>
        <w:rPr>
          <w:sz w:val="20"/>
          <w:szCs w:val="20"/>
          <w:color w:val="auto"/>
        </w:rPr>
      </w:pPr>
    </w:p>
    <w:p>
      <w:pPr>
        <w:spacing w:after="0" w:line="277" w:lineRule="exact"/>
        <w:rPr>
          <w:sz w:val="20"/>
          <w:szCs w:val="20"/>
          <w:color w:val="auto"/>
        </w:rPr>
      </w:pPr>
    </w:p>
    <w:p>
      <w:pPr>
        <w:jc w:val="both"/>
        <w:ind w:left="540" w:right="286"/>
        <w:spacing w:after="0" w:line="311" w:lineRule="auto"/>
        <w:rPr>
          <w:sz w:val="20"/>
          <w:szCs w:val="20"/>
          <w:color w:val="auto"/>
        </w:rPr>
      </w:pPr>
      <w:r>
        <w:rPr>
          <w:rFonts w:ascii="Arial" w:cs="Arial" w:eastAsia="Arial" w:hAnsi="Arial"/>
          <w:sz w:val="20"/>
          <w:szCs w:val="20"/>
          <w:color w:val="auto"/>
        </w:rPr>
        <w:t xml:space="preserve">If you do not trade before this deadline you will need to get consent again under the above procedures. We suggest that you submit your trade requests at least </w:t>
      </w:r>
      <w:r>
        <w:rPr>
          <w:rFonts w:ascii="Arial" w:cs="Arial" w:eastAsia="Arial" w:hAnsi="Arial"/>
          <w:sz w:val="20"/>
          <w:szCs w:val="20"/>
          <w:b w:val="1"/>
          <w:bCs w:val="1"/>
          <w:i w:val="1"/>
          <w:iCs w:val="1"/>
          <w:color w:val="auto"/>
        </w:rPr>
        <w:t>one week</w:t>
      </w:r>
      <w:r>
        <w:rPr>
          <w:rFonts w:ascii="Arial" w:cs="Arial" w:eastAsia="Arial" w:hAnsi="Arial"/>
          <w:sz w:val="20"/>
          <w:szCs w:val="20"/>
          <w:color w:val="auto"/>
        </w:rPr>
        <w:t xml:space="preserve"> before any proposed transaction.</w:t>
      </w:r>
    </w:p>
    <w:p>
      <w:pPr>
        <w:spacing w:after="0" w:line="394" w:lineRule="exact"/>
        <w:rPr>
          <w:sz w:val="20"/>
          <w:szCs w:val="20"/>
          <w:color w:val="auto"/>
        </w:rPr>
      </w:pPr>
    </w:p>
    <w:p>
      <w:pPr>
        <w:ind w:left="540"/>
        <w:spacing w:after="0"/>
        <w:tabs>
          <w:tab w:leader="none" w:pos="114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9"/>
          <w:szCs w:val="19"/>
          <w:b w:val="1"/>
          <w:bCs w:val="1"/>
          <w:color w:val="7E35B1"/>
        </w:rPr>
        <w:t>10b5-1 Plans</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46 / 60</w:t>
      </w:r>
    </w:p>
    <w:p>
      <w:pPr>
        <w:sectPr>
          <w:pgSz w:w="11900" w:h="16838" w:orient="portrait"/>
          <w:cols w:equalWidth="0" w:num="1">
            <w:col w:w="9026"/>
          </w:cols>
          <w:pgMar w:left="1440" w:top="1440" w:right="1440" w:bottom="0" w:gutter="0" w:footer="0" w:header="0"/>
          <w:type w:val="continuous"/>
        </w:sectPr>
      </w:pPr>
    </w:p>
    <w:bookmarkStart w:id="306" w:name="page307"/>
    <w:bookmarkEnd w:id="306"/>
    <w:p>
      <w:pPr>
        <w:ind w:left="1120"/>
        <w:spacing w:after="0"/>
        <w:rPr>
          <w:sz w:val="20"/>
          <w:szCs w:val="20"/>
          <w:color w:val="auto"/>
        </w:rPr>
      </w:pPr>
      <w:r>
        <w:rPr>
          <w:rFonts w:ascii="Arial" w:cs="Arial" w:eastAsia="Arial" w:hAnsi="Arial"/>
          <w:sz w:val="20"/>
          <w:szCs w:val="20"/>
          <w:b w:val="1"/>
          <w:bCs w:val="1"/>
          <w:color w:val="auto"/>
        </w:rPr>
        <w:t>3.2</w:t>
      </w:r>
    </w:p>
    <w:p>
      <w:pPr>
        <w:spacing w:after="0" w:line="77" w:lineRule="exact"/>
        <w:rPr>
          <w:sz w:val="20"/>
          <w:szCs w:val="20"/>
          <w:color w:val="auto"/>
        </w:rPr>
      </w:pPr>
    </w:p>
    <w:p>
      <w:pPr>
        <w:jc w:val="both"/>
        <w:ind w:left="540" w:right="246"/>
        <w:spacing w:after="0" w:line="310" w:lineRule="auto"/>
        <w:rPr>
          <w:sz w:val="20"/>
          <w:szCs w:val="20"/>
          <w:color w:val="auto"/>
        </w:rPr>
      </w:pPr>
      <w:r>
        <w:rPr>
          <w:rFonts w:ascii="Arial" w:cs="Arial" w:eastAsia="Arial" w:hAnsi="Arial"/>
          <w:sz w:val="20"/>
          <w:szCs w:val="20"/>
          <w:b w:val="1"/>
          <w:bCs w:val="1"/>
          <w:color w:val="7E35B1"/>
        </w:rPr>
        <w:t>In General</w:t>
      </w:r>
      <w:r>
        <w:rPr>
          <w:rFonts w:ascii="Arial" w:cs="Arial" w:eastAsia="Arial" w:hAnsi="Arial"/>
          <w:sz w:val="20"/>
          <w:szCs w:val="20"/>
          <w:b w:val="1"/>
          <w:bCs w:val="1"/>
          <w:color w:val="000000"/>
        </w:rPr>
        <w:t>.</w:t>
      </w:r>
      <w:r>
        <w:rPr>
          <w:rFonts w:ascii="Arial" w:cs="Arial" w:eastAsia="Arial" w:hAnsi="Arial"/>
          <w:sz w:val="20"/>
          <w:szCs w:val="20"/>
          <w:b w:val="1"/>
          <w:bCs w:val="1"/>
          <w:color w:val="7E35B1"/>
        </w:rPr>
        <w:t xml:space="preserve"> </w:t>
      </w:r>
      <w:r>
        <w:rPr>
          <w:rFonts w:ascii="Arial" w:cs="Arial" w:eastAsia="Arial" w:hAnsi="Arial"/>
          <w:sz w:val="20"/>
          <w:szCs w:val="20"/>
          <w:color w:val="000000"/>
        </w:rPr>
        <w:t>A “10b5-1 Plan” is an agreement between you and your broker entered into</w:t>
      </w:r>
      <w:r>
        <w:rPr>
          <w:rFonts w:ascii="Arial" w:cs="Arial" w:eastAsia="Arial" w:hAnsi="Arial"/>
          <w:sz w:val="20"/>
          <w:szCs w:val="20"/>
          <w:b w:val="1"/>
          <w:bCs w:val="1"/>
          <w:color w:val="7E35B1"/>
        </w:rPr>
        <w:t xml:space="preserve"> </w:t>
      </w:r>
      <w:r>
        <w:rPr>
          <w:rFonts w:ascii="Arial" w:cs="Arial" w:eastAsia="Arial" w:hAnsi="Arial"/>
          <w:sz w:val="20"/>
          <w:szCs w:val="20"/>
          <w:color w:val="000000"/>
        </w:rPr>
        <w:t xml:space="preserve">during an Open Period pursuant to which you direct your broker to execute future trades based on specified criteria that meet certain conditions set forth in Rule 10b5. If a proper plan is established, it can provide a defense to allegations of insider trading </w:t>
      </w:r>
      <w:r>
        <w:rPr>
          <w:rFonts w:ascii="Arial" w:cs="Arial" w:eastAsia="Arial" w:hAnsi="Arial"/>
          <w:sz w:val="20"/>
          <w:szCs w:val="20"/>
          <w:i w:val="1"/>
          <w:iCs w:val="1"/>
          <w:color w:val="000000"/>
        </w:rPr>
        <w:t>and</w:t>
      </w:r>
      <w:r>
        <w:rPr>
          <w:rFonts w:ascii="Arial" w:cs="Arial" w:eastAsia="Arial" w:hAnsi="Arial"/>
          <w:sz w:val="20"/>
          <w:szCs w:val="20"/>
          <w:color w:val="000000"/>
        </w:rPr>
        <w:t xml:space="preserve"> can assist with</w:t>
      </w:r>
    </w:p>
    <w:p>
      <w:pPr>
        <w:spacing w:after="0" w:line="12" w:lineRule="exact"/>
        <w:rPr>
          <w:sz w:val="20"/>
          <w:szCs w:val="20"/>
          <w:color w:val="auto"/>
        </w:rPr>
      </w:pPr>
    </w:p>
    <w:p>
      <w:pPr>
        <w:jc w:val="both"/>
        <w:ind w:left="540" w:right="286"/>
        <w:spacing w:after="0" w:line="309" w:lineRule="auto"/>
        <w:tabs>
          <w:tab w:leader="none" w:pos="84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selling shares to cover taxes if your Restricted Stock Units vest during a blackout period; and (b) paying the exercise price for options that will expire during a Blackout Period. A 10b5-1 Plan may </w:t>
      </w:r>
      <w:r>
        <w:rPr>
          <w:rFonts w:ascii="Arial" w:cs="Arial" w:eastAsia="Arial" w:hAnsi="Arial"/>
          <w:sz w:val="20"/>
          <w:szCs w:val="20"/>
          <w:i w:val="1"/>
          <w:iCs w:val="1"/>
          <w:color w:val="auto"/>
        </w:rPr>
        <w:t>only be executed in an open period</w:t>
      </w:r>
      <w:r>
        <w:rPr>
          <w:rFonts w:ascii="Arial" w:cs="Arial" w:eastAsia="Arial" w:hAnsi="Arial"/>
          <w:sz w:val="20"/>
          <w:szCs w:val="20"/>
          <w:color w:val="auto"/>
        </w:rPr>
        <w:t>.</w:t>
      </w:r>
    </w:p>
    <w:p>
      <w:pPr>
        <w:spacing w:after="0" w:line="351"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3.3</w:t>
      </w:r>
    </w:p>
    <w:p>
      <w:pPr>
        <w:spacing w:after="0" w:line="77" w:lineRule="exact"/>
        <w:rPr>
          <w:sz w:val="20"/>
          <w:szCs w:val="20"/>
          <w:color w:val="auto"/>
        </w:rPr>
      </w:pPr>
    </w:p>
    <w:p>
      <w:pPr>
        <w:jc w:val="both"/>
        <w:ind w:left="540" w:right="266"/>
        <w:spacing w:after="0" w:line="311" w:lineRule="auto"/>
        <w:rPr>
          <w:sz w:val="20"/>
          <w:szCs w:val="20"/>
          <w:color w:val="auto"/>
        </w:rPr>
      </w:pPr>
      <w:r>
        <w:rPr>
          <w:rFonts w:ascii="Arial" w:cs="Arial" w:eastAsia="Arial" w:hAnsi="Arial"/>
          <w:sz w:val="20"/>
          <w:szCs w:val="20"/>
          <w:b w:val="1"/>
          <w:bCs w:val="1"/>
          <w:color w:val="7E35B1"/>
        </w:rPr>
        <w:t xml:space="preserve">To Establish a Plan. </w:t>
      </w:r>
      <w:r>
        <w:rPr>
          <w:rFonts w:ascii="Arial" w:cs="Arial" w:eastAsia="Arial" w:hAnsi="Arial"/>
          <w:sz w:val="20"/>
          <w:szCs w:val="20"/>
          <w:color w:val="000000"/>
        </w:rPr>
        <w:t>This is a personal arrangement, so the Company</w:t>
      </w:r>
      <w:r>
        <w:rPr>
          <w:rFonts w:ascii="Arial" w:cs="Arial" w:eastAsia="Arial" w:hAnsi="Arial"/>
          <w:sz w:val="20"/>
          <w:szCs w:val="20"/>
          <w:b w:val="1"/>
          <w:bCs w:val="1"/>
          <w:color w:val="7E35B1"/>
        </w:rPr>
        <w:t xml:space="preserve"> </w:t>
      </w:r>
      <w:r>
        <w:rPr>
          <w:rFonts w:ascii="Arial" w:cs="Arial" w:eastAsia="Arial" w:hAnsi="Arial"/>
          <w:sz w:val="20"/>
          <w:szCs w:val="20"/>
          <w:b w:val="1"/>
          <w:bCs w:val="1"/>
          <w:i w:val="1"/>
          <w:iCs w:val="1"/>
          <w:color w:val="000000"/>
        </w:rPr>
        <w:t>will not</w:t>
      </w:r>
      <w:r>
        <w:rPr>
          <w:rFonts w:ascii="Arial" w:cs="Arial" w:eastAsia="Arial" w:hAnsi="Arial"/>
          <w:sz w:val="20"/>
          <w:szCs w:val="20"/>
          <w:b w:val="1"/>
          <w:bCs w:val="1"/>
          <w:color w:val="7E35B1"/>
        </w:rPr>
        <w:t xml:space="preserve"> </w:t>
      </w:r>
      <w:r>
        <w:rPr>
          <w:rFonts w:ascii="Arial" w:cs="Arial" w:eastAsia="Arial" w:hAnsi="Arial"/>
          <w:sz w:val="20"/>
          <w:szCs w:val="20"/>
          <w:color w:val="000000"/>
        </w:rPr>
        <w:t>prepare the</w:t>
      </w:r>
      <w:r>
        <w:rPr>
          <w:rFonts w:ascii="Arial" w:cs="Arial" w:eastAsia="Arial" w:hAnsi="Arial"/>
          <w:sz w:val="20"/>
          <w:szCs w:val="20"/>
          <w:b w:val="1"/>
          <w:bCs w:val="1"/>
          <w:color w:val="7E35B1"/>
        </w:rPr>
        <w:t xml:space="preserve"> </w:t>
      </w:r>
      <w:r>
        <w:rPr>
          <w:rFonts w:ascii="Arial" w:cs="Arial" w:eastAsia="Arial" w:hAnsi="Arial"/>
          <w:sz w:val="20"/>
          <w:szCs w:val="20"/>
          <w:color w:val="000000"/>
        </w:rPr>
        <w:t xml:space="preserve">plans on your behalf and you should have all of your equity information available when establishing your arrangement. Before you enter into any 10b5-1 Plan, you must follow the procedures set forth in </w:t>
      </w:r>
      <w:r>
        <w:rPr>
          <w:rFonts w:ascii="Arial" w:cs="Arial" w:eastAsia="Arial" w:hAnsi="Arial"/>
          <w:sz w:val="20"/>
          <w:szCs w:val="20"/>
          <w:u w:val="single" w:color="auto"/>
          <w:color w:val="000000"/>
        </w:rPr>
        <w:t>Appendix 3</w:t>
      </w:r>
      <w:r>
        <w:rPr>
          <w:rFonts w:ascii="Arial" w:cs="Arial" w:eastAsia="Arial" w:hAnsi="Arial"/>
          <w:sz w:val="20"/>
          <w:szCs w:val="20"/>
          <w:color w:val="000000"/>
        </w:rPr>
        <w:t>, including with respect to the Company’s Guidelines on Rule 10b5-1 Trading Plans.</w:t>
      </w:r>
    </w:p>
    <w:p>
      <w:pPr>
        <w:spacing w:after="0" w:line="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796925</wp:posOffset>
            </wp:positionV>
            <wp:extent cx="5967730" cy="190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6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6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47 / 60</w:t>
      </w:r>
    </w:p>
    <w:p>
      <w:pPr>
        <w:sectPr>
          <w:pgSz w:w="11900" w:h="16838" w:orient="portrait"/>
          <w:cols w:equalWidth="0" w:num="1">
            <w:col w:w="9026"/>
          </w:cols>
          <w:pgMar w:left="1440" w:top="1165" w:right="1440" w:bottom="0" w:gutter="0" w:footer="0" w:header="0"/>
          <w:type w:val="continuous"/>
        </w:sectPr>
      </w:pPr>
    </w:p>
    <w:bookmarkStart w:id="307" w:name="page308"/>
    <w:bookmarkEnd w:id="3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53"/>
        <w:spacing w:after="0"/>
        <w:rPr>
          <w:sz w:val="20"/>
          <w:szCs w:val="20"/>
          <w:color w:val="auto"/>
        </w:rPr>
      </w:pPr>
      <w:r>
        <w:rPr>
          <w:rFonts w:ascii="Arial" w:cs="Arial" w:eastAsia="Arial" w:hAnsi="Arial"/>
          <w:sz w:val="20"/>
          <w:szCs w:val="20"/>
          <w:b w:val="1"/>
          <w:bCs w:val="1"/>
          <w:color w:val="auto"/>
        </w:rPr>
        <w:t>APPENDIX 3</w:t>
      </w:r>
    </w:p>
    <w:p>
      <w:pPr>
        <w:spacing w:after="0" w:line="384"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RULE 10B5-1 TRADING PLANS</w:t>
      </w:r>
    </w:p>
    <w:p>
      <w:pPr>
        <w:spacing w:after="0" w:line="200" w:lineRule="exact"/>
        <w:rPr>
          <w:sz w:val="20"/>
          <w:szCs w:val="20"/>
          <w:color w:val="auto"/>
        </w:rPr>
      </w:pPr>
    </w:p>
    <w:p>
      <w:pPr>
        <w:spacing w:after="0" w:line="275"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7E35B1"/>
        </w:rPr>
        <w:t>General</w:t>
      </w:r>
    </w:p>
    <w:p>
      <w:pPr>
        <w:spacing w:after="0" w:line="391" w:lineRule="exact"/>
        <w:rPr>
          <w:sz w:val="20"/>
          <w:szCs w:val="20"/>
          <w:color w:val="auto"/>
        </w:rPr>
      </w:pPr>
    </w:p>
    <w:p>
      <w:pPr>
        <w:jc w:val="both"/>
        <w:ind w:left="540" w:right="246"/>
        <w:spacing w:after="0" w:line="314" w:lineRule="auto"/>
        <w:rPr>
          <w:sz w:val="20"/>
          <w:szCs w:val="20"/>
          <w:color w:val="auto"/>
        </w:rPr>
      </w:pPr>
      <w:r>
        <w:rPr>
          <w:rFonts w:ascii="Arial" w:cs="Arial" w:eastAsia="Arial" w:hAnsi="Arial"/>
          <w:sz w:val="20"/>
          <w:szCs w:val="20"/>
          <w:color w:val="auto"/>
        </w:rPr>
        <w:t>Rule 10b5-1 under the U.S. Securities Exchange Act of 1934, as amended (the “</w:t>
      </w:r>
      <w:r>
        <w:rPr>
          <w:rFonts w:ascii="Arial" w:cs="Arial" w:eastAsia="Arial" w:hAnsi="Arial"/>
          <w:sz w:val="20"/>
          <w:szCs w:val="20"/>
          <w:u w:val="single" w:color="auto"/>
          <w:color w:val="auto"/>
        </w:rPr>
        <w:t>Exchange</w:t>
      </w:r>
      <w:r>
        <w:rPr>
          <w:rFonts w:ascii="Arial" w:cs="Arial" w:eastAsia="Arial" w:hAnsi="Arial"/>
          <w:sz w:val="20"/>
          <w:szCs w:val="20"/>
          <w:color w:val="auto"/>
        </w:rPr>
        <w:t xml:space="preserve"> </w:t>
      </w:r>
      <w:r>
        <w:rPr>
          <w:rFonts w:ascii="Arial" w:cs="Arial" w:eastAsia="Arial" w:hAnsi="Arial"/>
          <w:sz w:val="20"/>
          <w:szCs w:val="20"/>
          <w:u w:val="single" w:color="auto"/>
          <w:color w:val="auto"/>
        </w:rPr>
        <w:t>Act</w:t>
      </w:r>
      <w:r>
        <w:rPr>
          <w:rFonts w:ascii="Arial" w:cs="Arial" w:eastAsia="Arial" w:hAnsi="Arial"/>
          <w:sz w:val="20"/>
          <w:szCs w:val="20"/>
          <w:color w:val="auto"/>
        </w:rPr>
        <w:t>”), can protect directors and officers of Willis Towers Watson Public Limited Company and its subsidiaries and affiliates (collectively, the “</w:t>
      </w:r>
      <w:r>
        <w:rPr>
          <w:rFonts w:ascii="Arial" w:cs="Arial" w:eastAsia="Arial" w:hAnsi="Arial"/>
          <w:sz w:val="20"/>
          <w:szCs w:val="20"/>
          <w:u w:val="single" w:color="auto"/>
          <w:color w:val="auto"/>
        </w:rPr>
        <w:t>Company</w:t>
      </w:r>
      <w:r>
        <w:rPr>
          <w:rFonts w:ascii="Arial" w:cs="Arial" w:eastAsia="Arial" w:hAnsi="Arial"/>
          <w:sz w:val="20"/>
          <w:szCs w:val="20"/>
          <w:color w:val="auto"/>
        </w:rPr>
        <w:t>,” “</w:t>
      </w:r>
      <w:r>
        <w:rPr>
          <w:rFonts w:ascii="Arial" w:cs="Arial" w:eastAsia="Arial" w:hAnsi="Arial"/>
          <w:sz w:val="20"/>
          <w:szCs w:val="20"/>
          <w:u w:val="single" w:color="auto"/>
          <w:color w:val="auto"/>
        </w:rPr>
        <w:t>we</w:t>
      </w:r>
      <w:r>
        <w:rPr>
          <w:rFonts w:ascii="Arial" w:cs="Arial" w:eastAsia="Arial" w:hAnsi="Arial"/>
          <w:sz w:val="20"/>
          <w:szCs w:val="20"/>
          <w:color w:val="auto"/>
        </w:rPr>
        <w:t>” or “</w:t>
      </w:r>
      <w:r>
        <w:rPr>
          <w:rFonts w:ascii="Arial" w:cs="Arial" w:eastAsia="Arial" w:hAnsi="Arial"/>
          <w:sz w:val="20"/>
          <w:szCs w:val="20"/>
          <w:u w:val="single" w:color="auto"/>
          <w:color w:val="auto"/>
        </w:rPr>
        <w:t>us</w:t>
      </w:r>
      <w:r>
        <w:rPr>
          <w:rFonts w:ascii="Arial" w:cs="Arial" w:eastAsia="Arial" w:hAnsi="Arial"/>
          <w:sz w:val="20"/>
          <w:szCs w:val="20"/>
          <w:color w:val="auto"/>
        </w:rPr>
        <w:t>”) and other individuals from insider trading liability for transactions under a previously established contract, plan or instruction. This rule presents an opportunity for insiders to establish arrangements to purchase or sell our securities without the restrictions imposed by Blackout Periods – even when material nonpublic information exists. The arrangements may include blind trusts, other trusts, pre-scheduled stock option exercises and sales, pre-arranged trading instructions and other brokerage and third-party arrangements.</w:t>
      </w:r>
    </w:p>
    <w:p>
      <w:pPr>
        <w:spacing w:after="0" w:line="131" w:lineRule="exact"/>
        <w:rPr>
          <w:sz w:val="20"/>
          <w:szCs w:val="20"/>
          <w:color w:val="auto"/>
        </w:rPr>
      </w:pPr>
    </w:p>
    <w:p>
      <w:pPr>
        <w:jc w:val="both"/>
        <w:ind w:left="540" w:right="266"/>
        <w:spacing w:after="0" w:line="313" w:lineRule="auto"/>
        <w:rPr>
          <w:sz w:val="20"/>
          <w:szCs w:val="20"/>
          <w:color w:val="auto"/>
        </w:rPr>
      </w:pPr>
      <w:r>
        <w:rPr>
          <w:rFonts w:ascii="Arial" w:cs="Arial" w:eastAsia="Arial" w:hAnsi="Arial"/>
          <w:sz w:val="20"/>
          <w:szCs w:val="20"/>
          <w:color w:val="auto"/>
        </w:rPr>
        <w:t>The rule only provides an “</w:t>
      </w:r>
      <w:r>
        <w:rPr>
          <w:rFonts w:ascii="Arial" w:cs="Arial" w:eastAsia="Arial" w:hAnsi="Arial"/>
          <w:sz w:val="20"/>
          <w:szCs w:val="20"/>
          <w:u w:val="single" w:color="auto"/>
          <w:color w:val="auto"/>
        </w:rPr>
        <w:t>affirmative defense</w:t>
      </w:r>
      <w:r>
        <w:rPr>
          <w:rFonts w:ascii="Arial" w:cs="Arial" w:eastAsia="Arial" w:hAnsi="Arial"/>
          <w:sz w:val="20"/>
          <w:szCs w:val="20"/>
          <w:color w:val="auto"/>
        </w:rPr>
        <w:t>” (which must be proven) if there is an insider trading lawsuit. It does not prevent anyone from bringing a lawsuit, nor does it prevent the media from writing about the sales. Among other things, Rule 10b5-1 provides that to be eligible for the affirmative defense, the plan must be documented, bona fide, and previously established (at a time when the insider did not possess inside information) and must specify the price, amount and date of trades or provide a formula or mechanism to be followed.</w:t>
      </w:r>
    </w:p>
    <w:p>
      <w:pPr>
        <w:spacing w:after="0" w:line="316"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7E35B1"/>
        </w:rPr>
        <w:t>Establishment of a Plan</w:t>
      </w:r>
    </w:p>
    <w:p>
      <w:pPr>
        <w:spacing w:after="0" w:line="389" w:lineRule="exact"/>
        <w:rPr>
          <w:sz w:val="20"/>
          <w:szCs w:val="20"/>
          <w:color w:val="auto"/>
        </w:rPr>
      </w:pPr>
    </w:p>
    <w:p>
      <w:pPr>
        <w:jc w:val="both"/>
        <w:ind w:left="540" w:right="286"/>
        <w:spacing w:after="0" w:line="312" w:lineRule="auto"/>
        <w:rPr>
          <w:sz w:val="20"/>
          <w:szCs w:val="20"/>
          <w:color w:val="auto"/>
        </w:rPr>
      </w:pPr>
      <w:r>
        <w:rPr>
          <w:rFonts w:ascii="Arial" w:cs="Arial" w:eastAsia="Arial" w:hAnsi="Arial"/>
          <w:sz w:val="20"/>
          <w:szCs w:val="20"/>
          <w:color w:val="auto"/>
        </w:rPr>
        <w:t>In order to reduce the risk of litigation and adverse press, and to preserve our reputation, if you would like to adopt a Rule 10b5-1 trading plan, you must follow the procedures for the approval and adoption of such plan set forth in the Company’s Guidelines on Rule 10b5-1 Trading Plans, which is available on the intranet.</w:t>
      </w:r>
    </w:p>
    <w:p>
      <w:pPr>
        <w:spacing w:after="0" w:line="320"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7E35B1"/>
        </w:rPr>
        <w:t>SEC Filings</w:t>
      </w:r>
    </w:p>
    <w:p>
      <w:pPr>
        <w:spacing w:after="0" w:line="392" w:lineRule="exact"/>
        <w:rPr>
          <w:sz w:val="20"/>
          <w:szCs w:val="20"/>
          <w:color w:val="auto"/>
        </w:rPr>
      </w:pPr>
    </w:p>
    <w:p>
      <w:pPr>
        <w:jc w:val="both"/>
        <w:ind w:left="540" w:right="306"/>
        <w:spacing w:after="0" w:line="311" w:lineRule="auto"/>
        <w:rPr>
          <w:sz w:val="20"/>
          <w:szCs w:val="20"/>
          <w:color w:val="auto"/>
        </w:rPr>
      </w:pPr>
      <w:r>
        <w:rPr>
          <w:rFonts w:ascii="Arial" w:cs="Arial" w:eastAsia="Arial" w:hAnsi="Arial"/>
          <w:sz w:val="20"/>
          <w:szCs w:val="20"/>
          <w:color w:val="auto"/>
        </w:rPr>
        <w:t>Establishing a trading plan under Rule 10b5-1 is likely to implicate other laws, such as Section 16 of the Exchange Act and Rule 144 under the U.S. Securities Act of 1933, as amended.</w:t>
      </w:r>
    </w:p>
    <w:p>
      <w:pPr>
        <w:spacing w:after="0" w:line="130" w:lineRule="exact"/>
        <w:rPr>
          <w:sz w:val="20"/>
          <w:szCs w:val="20"/>
          <w:color w:val="auto"/>
        </w:rPr>
      </w:pPr>
    </w:p>
    <w:p>
      <w:pPr>
        <w:jc w:val="both"/>
        <w:ind w:left="540" w:right="326"/>
        <w:spacing w:after="0" w:line="312" w:lineRule="auto"/>
        <w:rPr>
          <w:sz w:val="20"/>
          <w:szCs w:val="20"/>
          <w:color w:val="auto"/>
        </w:rPr>
      </w:pPr>
      <w:r>
        <w:rPr>
          <w:rFonts w:ascii="Arial" w:cs="Arial" w:eastAsia="Arial" w:hAnsi="Arial"/>
          <w:sz w:val="20"/>
          <w:szCs w:val="20"/>
          <w:color w:val="auto"/>
        </w:rPr>
        <w:t>Under Section 16, generally a report on Form 4 must be filed with the SEC by the second business day following the execution date of a transaction under a Rule 10b5-1 trading plan. A transaction under a Rule 10b5-1 trading plan could also be subject to short-swing profit recovery.</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48 / 60</w:t>
      </w:r>
    </w:p>
    <w:p>
      <w:pPr>
        <w:sectPr>
          <w:pgSz w:w="11900" w:h="16838" w:orient="portrait"/>
          <w:cols w:equalWidth="0" w:num="1">
            <w:col w:w="9026"/>
          </w:cols>
          <w:pgMar w:left="1440" w:top="1440" w:right="1440" w:bottom="0" w:gutter="0" w:footer="0" w:header="0"/>
          <w:type w:val="continuous"/>
        </w:sectPr>
      </w:pPr>
    </w:p>
    <w:bookmarkStart w:id="308" w:name="page309"/>
    <w:bookmarkEnd w:id="308"/>
    <w:p>
      <w:pPr>
        <w:jc w:val="both"/>
        <w:ind w:left="540" w:right="266"/>
        <w:spacing w:after="0" w:line="312" w:lineRule="auto"/>
        <w:rPr>
          <w:sz w:val="20"/>
          <w:szCs w:val="20"/>
          <w:color w:val="auto"/>
        </w:rPr>
      </w:pPr>
      <w:r>
        <w:rPr>
          <w:rFonts w:ascii="Arial" w:cs="Arial" w:eastAsia="Arial" w:hAnsi="Arial"/>
          <w:sz w:val="20"/>
          <w:szCs w:val="20"/>
          <w:color w:val="auto"/>
        </w:rPr>
        <w:t>Additionally, sales of our securities under Rule 144 may require the filing of a Form 144 with the SEC, which must be properly tailored to address sales under such a plan. Therefore, if you establish such a plan, we will need to establish a procedure with whomever is handling your transactions to ensure:</w:t>
      </w:r>
    </w:p>
    <w:p>
      <w:pPr>
        <w:spacing w:after="0" w:line="200" w:lineRule="exact"/>
        <w:rPr>
          <w:sz w:val="20"/>
          <w:szCs w:val="20"/>
          <w:color w:val="auto"/>
        </w:rPr>
      </w:pPr>
    </w:p>
    <w:p>
      <w:pPr>
        <w:spacing w:after="0" w:line="287" w:lineRule="exact"/>
        <w:rPr>
          <w:sz w:val="20"/>
          <w:szCs w:val="20"/>
          <w:color w:val="auto"/>
        </w:rPr>
      </w:pPr>
    </w:p>
    <w:p>
      <w:pPr>
        <w:ind w:left="1340" w:right="826" w:hanging="273"/>
        <w:spacing w:after="0" w:line="368" w:lineRule="auto"/>
        <w:tabs>
          <w:tab w:leader="none" w:pos="134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timely Form 4 filings following the execution of a transaction (failure to file on time results in unwanted proxy statement disclosure of your filing violations);</w:t>
      </w:r>
    </w:p>
    <w:p>
      <w:pPr>
        <w:spacing w:after="0" w:line="7" w:lineRule="exact"/>
        <w:rPr>
          <w:rFonts w:ascii="Arial" w:cs="Arial" w:eastAsia="Arial" w:hAnsi="Arial"/>
          <w:sz w:val="20"/>
          <w:szCs w:val="20"/>
          <w:color w:val="auto"/>
        </w:rPr>
      </w:pPr>
    </w:p>
    <w:p>
      <w:pPr>
        <w:ind w:left="1380" w:hanging="313"/>
        <w:spacing w:after="0"/>
        <w:tabs>
          <w:tab w:leader="none" w:pos="13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compliance with Rule 144 (if applicable) at the time of any sale; and</w:t>
      </w:r>
    </w:p>
    <w:p>
      <w:pPr>
        <w:spacing w:after="0" w:line="130" w:lineRule="exact"/>
        <w:rPr>
          <w:rFonts w:ascii="Arial" w:cs="Arial" w:eastAsia="Arial" w:hAnsi="Arial"/>
          <w:sz w:val="20"/>
          <w:szCs w:val="20"/>
          <w:color w:val="auto"/>
        </w:rPr>
      </w:pPr>
    </w:p>
    <w:p>
      <w:pPr>
        <w:ind w:left="1380" w:hanging="313"/>
        <w:spacing w:after="0"/>
        <w:tabs>
          <w:tab w:leader="none" w:pos="13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cessation of any sales during applicable blackout periods.</w:t>
      </w:r>
    </w:p>
    <w:p>
      <w:pPr>
        <w:spacing w:after="0" w:line="394" w:lineRule="exact"/>
        <w:rPr>
          <w:sz w:val="20"/>
          <w:szCs w:val="20"/>
          <w:color w:val="auto"/>
        </w:rPr>
      </w:pPr>
    </w:p>
    <w:p>
      <w:pPr>
        <w:jc w:val="center"/>
        <w:ind w:right="-373"/>
        <w:spacing w:after="0"/>
        <w:tabs>
          <w:tab w:leader="none" w:pos="360" w:val="left"/>
          <w:tab w:leader="none" w:pos="36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w:t>
      </w:r>
    </w:p>
    <w:p>
      <w:pPr>
        <w:spacing w:after="0" w:line="392" w:lineRule="exact"/>
        <w:rPr>
          <w:sz w:val="20"/>
          <w:szCs w:val="20"/>
          <w:color w:val="auto"/>
        </w:rPr>
      </w:pPr>
    </w:p>
    <w:p>
      <w:pPr>
        <w:jc w:val="both"/>
        <w:ind w:left="540" w:right="246"/>
        <w:spacing w:after="0" w:line="312" w:lineRule="auto"/>
        <w:rPr>
          <w:sz w:val="20"/>
          <w:szCs w:val="20"/>
          <w:color w:val="auto"/>
        </w:rPr>
      </w:pPr>
      <w:r>
        <w:rPr>
          <w:rFonts w:ascii="Arial" w:cs="Arial" w:eastAsia="Arial" w:hAnsi="Arial"/>
          <w:sz w:val="20"/>
          <w:szCs w:val="20"/>
          <w:color w:val="auto"/>
        </w:rPr>
        <w:t>As mentioned above, Rule 10b5-1 is an SEC rule that may be subject to interpretation. Although brokers, investment bankers and advisers may approach you suggesting a variety of arrangements, you should consult a Policy Compliance Officer as well as your own tax and legal advisers before establishing a trading plan under Rule 10b5-1.</w:t>
      </w:r>
    </w:p>
    <w:p>
      <w:pPr>
        <w:spacing w:after="0" w:line="131" w:lineRule="exact"/>
        <w:rPr>
          <w:sz w:val="20"/>
          <w:szCs w:val="20"/>
          <w:color w:val="auto"/>
        </w:rPr>
      </w:pPr>
    </w:p>
    <w:p>
      <w:pPr>
        <w:ind w:left="540" w:right="266"/>
        <w:spacing w:after="0" w:line="307" w:lineRule="auto"/>
        <w:rPr>
          <w:sz w:val="20"/>
          <w:szCs w:val="20"/>
          <w:color w:val="auto"/>
        </w:rPr>
      </w:pPr>
      <w:r>
        <w:rPr>
          <w:rFonts w:ascii="Arial" w:cs="Arial" w:eastAsia="Arial" w:hAnsi="Arial"/>
          <w:sz w:val="20"/>
          <w:szCs w:val="20"/>
          <w:color w:val="auto"/>
        </w:rPr>
        <w:t>Your notice to us is essential before establishing a Rule 10b5-1 trading plan. If you have any questions, please contact a Policy Compliance Officer.</w:t>
      </w:r>
    </w:p>
    <w:p>
      <w:pPr>
        <w:spacing w:after="0" w:line="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796925</wp:posOffset>
            </wp:positionV>
            <wp:extent cx="5967730" cy="190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6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7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49 / 60</w:t>
      </w:r>
    </w:p>
    <w:p>
      <w:pPr>
        <w:sectPr>
          <w:pgSz w:w="11900" w:h="16838" w:orient="portrait"/>
          <w:cols w:equalWidth="0" w:num="1">
            <w:col w:w="9026"/>
          </w:cols>
          <w:pgMar w:left="1440" w:top="1172" w:right="1440" w:bottom="0" w:gutter="0" w:footer="0" w:header="0"/>
          <w:type w:val="continuous"/>
        </w:sectPr>
      </w:pPr>
    </w:p>
    <w:bookmarkStart w:id="309" w:name="page310"/>
    <w:bookmarkEnd w:id="3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50 / 60</w:t>
      </w:r>
    </w:p>
    <w:p>
      <w:pPr>
        <w:sectPr>
          <w:pgSz w:w="11900" w:h="16838" w:orient="portrait"/>
          <w:cols w:equalWidth="0" w:num="1">
            <w:col w:w="9026"/>
          </w:cols>
          <w:pgMar w:left="1440" w:top="1440" w:right="1440" w:bottom="0" w:gutter="0" w:footer="0" w:header="0"/>
        </w:sectPr>
      </w:pPr>
    </w:p>
    <w:bookmarkStart w:id="310" w:name="page311"/>
    <w:bookmarkEnd w:id="3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21.1</w:t>
      </w:r>
    </w:p>
    <w:p>
      <w:pPr>
        <w:spacing w:after="0" w:line="320" w:lineRule="exact"/>
        <w:rPr>
          <w:sz w:val="20"/>
          <w:szCs w:val="20"/>
          <w:color w:val="auto"/>
        </w:rPr>
      </w:pPr>
    </w:p>
    <w:p>
      <w:pPr>
        <w:ind w:right="160"/>
        <w:spacing w:after="0" w:line="331" w:lineRule="auto"/>
        <w:rPr>
          <w:sz w:val="20"/>
          <w:szCs w:val="20"/>
          <w:color w:val="auto"/>
        </w:rPr>
      </w:pPr>
      <w:r>
        <w:rPr>
          <w:rFonts w:ascii="Arial" w:cs="Arial" w:eastAsia="Arial" w:hAnsi="Arial"/>
          <w:sz w:val="19"/>
          <w:szCs w:val="19"/>
          <w:color w:val="auto"/>
        </w:rPr>
        <w:t>The following were the subsidiaries of the Company as of December 31, 2025. Certain subsidiaries are not listed as these omitted subsidiaries individually and in the aggregate do not constitute a significant subsidiary.</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ind w:left="20"/>
              <w:spacing w:after="0"/>
              <w:rPr>
                <w:sz w:val="20"/>
                <w:szCs w:val="20"/>
                <w:color w:val="auto"/>
              </w:rPr>
            </w:pPr>
            <w:r>
              <w:rPr>
                <w:rFonts w:ascii="Arial" w:cs="Arial" w:eastAsia="Arial" w:hAnsi="Arial"/>
                <w:sz w:val="16"/>
                <w:szCs w:val="16"/>
                <w:color w:val="auto"/>
              </w:rPr>
              <w:t>Company Name</w:t>
            </w:r>
          </w:p>
        </w:tc>
        <w:tc>
          <w:tcPr>
            <w:tcW w:w="3720" w:type="dxa"/>
            <w:vAlign w:val="bottom"/>
          </w:tcPr>
          <w:p>
            <w:pPr>
              <w:ind w:left="300"/>
              <w:spacing w:after="0"/>
              <w:rPr>
                <w:sz w:val="20"/>
                <w:szCs w:val="20"/>
                <w:color w:val="auto"/>
              </w:rPr>
            </w:pPr>
            <w:r>
              <w:rPr>
                <w:rFonts w:ascii="Arial" w:cs="Arial" w:eastAsia="Arial" w:hAnsi="Arial"/>
                <w:sz w:val="16"/>
                <w:szCs w:val="16"/>
                <w:color w:val="auto"/>
              </w:rPr>
              <w:t>Country of Incorporation / Organization</w:t>
            </w:r>
          </w:p>
        </w:tc>
      </w:tr>
      <w:tr>
        <w:trPr>
          <w:trHeight w:val="47"/>
        </w:trPr>
        <w:tc>
          <w:tcPr>
            <w:tcW w:w="5680" w:type="dxa"/>
            <w:vAlign w:val="bottom"/>
          </w:tcPr>
          <w:p>
            <w:pPr>
              <w:spacing w:after="0"/>
              <w:rPr>
                <w:sz w:val="4"/>
                <w:szCs w:val="4"/>
                <w:color w:val="auto"/>
              </w:rPr>
            </w:pPr>
          </w:p>
        </w:tc>
        <w:tc>
          <w:tcPr>
            <w:tcW w:w="3720" w:type="dxa"/>
            <w:vAlign w:val="bottom"/>
          </w:tcPr>
          <w:p>
            <w:pPr>
              <w:spacing w:after="0"/>
              <w:rPr>
                <w:sz w:val="4"/>
                <w:szCs w:val="4"/>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Asifina S.A.</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Argentina</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WFD Consultores S.A.</w:t>
            </w:r>
          </w:p>
        </w:tc>
        <w:tc>
          <w:tcPr>
            <w:tcW w:w="3720" w:type="dxa"/>
            <w:vAlign w:val="bottom"/>
          </w:tcPr>
          <w:p>
            <w:pPr>
              <w:ind w:left="300"/>
              <w:spacing w:after="0"/>
              <w:rPr>
                <w:sz w:val="20"/>
                <w:szCs w:val="20"/>
                <w:color w:val="auto"/>
              </w:rPr>
            </w:pPr>
            <w:r>
              <w:rPr>
                <w:rFonts w:ascii="Arial" w:cs="Arial" w:eastAsia="Arial" w:hAnsi="Arial"/>
                <w:sz w:val="20"/>
                <w:szCs w:val="20"/>
                <w:color w:val="auto"/>
              </w:rPr>
              <w:t>Argentina</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Argentina S.A.</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Argentina</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Willis Towers Watson Consultores S.A.</w:t>
            </w:r>
          </w:p>
        </w:tc>
        <w:tc>
          <w:tcPr>
            <w:tcW w:w="3720" w:type="dxa"/>
            <w:vAlign w:val="bottom"/>
          </w:tcPr>
          <w:p>
            <w:pPr>
              <w:ind w:left="300"/>
              <w:spacing w:after="0"/>
              <w:rPr>
                <w:sz w:val="20"/>
                <w:szCs w:val="20"/>
                <w:color w:val="auto"/>
              </w:rPr>
            </w:pPr>
            <w:r>
              <w:rPr>
                <w:rFonts w:ascii="Arial" w:cs="Arial" w:eastAsia="Arial" w:hAnsi="Arial"/>
                <w:sz w:val="20"/>
                <w:szCs w:val="20"/>
                <w:color w:val="auto"/>
              </w:rPr>
              <w:t>Argentina</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Corredores de Reaseguros S.A.</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Argentina</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Aerosure Asia Pacific Pty Ltd</w:t>
            </w:r>
          </w:p>
        </w:tc>
        <w:tc>
          <w:tcPr>
            <w:tcW w:w="3720" w:type="dxa"/>
            <w:vAlign w:val="bottom"/>
          </w:tcPr>
          <w:p>
            <w:pPr>
              <w:ind w:left="300"/>
              <w:spacing w:after="0"/>
              <w:rPr>
                <w:sz w:val="20"/>
                <w:szCs w:val="20"/>
                <w:color w:val="auto"/>
              </w:rPr>
            </w:pPr>
            <w:r>
              <w:rPr>
                <w:rFonts w:ascii="Arial" w:cs="Arial" w:eastAsia="Arial" w:hAnsi="Arial"/>
                <w:sz w:val="20"/>
                <w:szCs w:val="20"/>
                <w:color w:val="auto"/>
              </w:rPr>
              <w:t>Australia</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Cortex Global Risk Australia Pty Limited</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Australia</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Cortex Global Risk Pty Limited</w:t>
            </w:r>
          </w:p>
        </w:tc>
        <w:tc>
          <w:tcPr>
            <w:tcW w:w="3720" w:type="dxa"/>
            <w:vAlign w:val="bottom"/>
          </w:tcPr>
          <w:p>
            <w:pPr>
              <w:ind w:left="300"/>
              <w:spacing w:after="0"/>
              <w:rPr>
                <w:sz w:val="20"/>
                <w:szCs w:val="20"/>
                <w:color w:val="auto"/>
              </w:rPr>
            </w:pPr>
            <w:r>
              <w:rPr>
                <w:rFonts w:ascii="Arial" w:cs="Arial" w:eastAsia="Arial" w:hAnsi="Arial"/>
                <w:sz w:val="20"/>
                <w:szCs w:val="20"/>
                <w:color w:val="auto"/>
              </w:rPr>
              <w:t>Australia</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Richard Oliver Underwriting Managers Pty Ltd</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Australia</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Risk Capital Advisors Australia Pty Limited</w:t>
            </w:r>
          </w:p>
        </w:tc>
        <w:tc>
          <w:tcPr>
            <w:tcW w:w="3720" w:type="dxa"/>
            <w:vAlign w:val="bottom"/>
          </w:tcPr>
          <w:p>
            <w:pPr>
              <w:ind w:left="300"/>
              <w:spacing w:after="0"/>
              <w:rPr>
                <w:sz w:val="20"/>
                <w:szCs w:val="20"/>
                <w:color w:val="auto"/>
              </w:rPr>
            </w:pPr>
            <w:r>
              <w:rPr>
                <w:rFonts w:ascii="Arial" w:cs="Arial" w:eastAsia="Arial" w:hAnsi="Arial"/>
                <w:sz w:val="20"/>
                <w:szCs w:val="20"/>
                <w:color w:val="auto"/>
              </w:rPr>
              <w:t>Australia</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Risk Capital Advisors Pty Limited</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Australia</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Towers Watson Australia Pty Ltd</w:t>
            </w:r>
          </w:p>
        </w:tc>
        <w:tc>
          <w:tcPr>
            <w:tcW w:w="3720" w:type="dxa"/>
            <w:vAlign w:val="bottom"/>
          </w:tcPr>
          <w:p>
            <w:pPr>
              <w:ind w:left="300"/>
              <w:spacing w:after="0"/>
              <w:rPr>
                <w:sz w:val="20"/>
                <w:szCs w:val="20"/>
                <w:color w:val="auto"/>
              </w:rPr>
            </w:pPr>
            <w:r>
              <w:rPr>
                <w:rFonts w:ascii="Arial" w:cs="Arial" w:eastAsia="Arial" w:hAnsi="Arial"/>
                <w:sz w:val="20"/>
                <w:szCs w:val="20"/>
                <w:color w:val="auto"/>
              </w:rPr>
              <w:t>Australia</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Towers Watson Superannuation Pty Ltd</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Australia</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Trinity Processing Services (Australia) Pty Ltd</w:t>
            </w:r>
          </w:p>
        </w:tc>
        <w:tc>
          <w:tcPr>
            <w:tcW w:w="3720" w:type="dxa"/>
            <w:vAlign w:val="bottom"/>
          </w:tcPr>
          <w:p>
            <w:pPr>
              <w:ind w:left="300"/>
              <w:spacing w:after="0"/>
              <w:rPr>
                <w:sz w:val="20"/>
                <w:szCs w:val="20"/>
                <w:color w:val="auto"/>
              </w:rPr>
            </w:pPr>
            <w:r>
              <w:rPr>
                <w:rFonts w:ascii="Arial" w:cs="Arial" w:eastAsia="Arial" w:hAnsi="Arial"/>
                <w:sz w:val="20"/>
                <w:szCs w:val="20"/>
                <w:color w:val="auto"/>
              </w:rPr>
              <w:t>Australia</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Australia Group Services Pty Ltd</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Australia</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Willis Australia Limited</w:t>
            </w:r>
          </w:p>
        </w:tc>
        <w:tc>
          <w:tcPr>
            <w:tcW w:w="3720" w:type="dxa"/>
            <w:vAlign w:val="bottom"/>
          </w:tcPr>
          <w:p>
            <w:pPr>
              <w:ind w:left="300"/>
              <w:spacing w:after="0"/>
              <w:rPr>
                <w:sz w:val="20"/>
                <w:szCs w:val="20"/>
                <w:color w:val="auto"/>
              </w:rPr>
            </w:pPr>
            <w:r>
              <w:rPr>
                <w:rFonts w:ascii="Arial" w:cs="Arial" w:eastAsia="Arial" w:hAnsi="Arial"/>
                <w:sz w:val="20"/>
                <w:szCs w:val="20"/>
                <w:color w:val="auto"/>
              </w:rPr>
              <w:t>Australia</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Australia Holdings Limited</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Australia</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Willis Towers Watson Austria GmbH</w:t>
            </w:r>
          </w:p>
        </w:tc>
        <w:tc>
          <w:tcPr>
            <w:tcW w:w="3720" w:type="dxa"/>
            <w:vAlign w:val="bottom"/>
          </w:tcPr>
          <w:p>
            <w:pPr>
              <w:ind w:left="300"/>
              <w:spacing w:after="0"/>
              <w:rPr>
                <w:sz w:val="20"/>
                <w:szCs w:val="20"/>
                <w:color w:val="auto"/>
              </w:rPr>
            </w:pPr>
            <w:r>
              <w:rPr>
                <w:rFonts w:ascii="Arial" w:cs="Arial" w:eastAsia="Arial" w:hAnsi="Arial"/>
                <w:sz w:val="20"/>
                <w:szCs w:val="20"/>
                <w:color w:val="auto"/>
              </w:rPr>
              <w:t>Austria</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Consulting</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Belgium</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Willis Towers Watson SA/NV</w:t>
            </w:r>
          </w:p>
        </w:tc>
        <w:tc>
          <w:tcPr>
            <w:tcW w:w="3720" w:type="dxa"/>
            <w:vAlign w:val="bottom"/>
          </w:tcPr>
          <w:p>
            <w:pPr>
              <w:ind w:left="300"/>
              <w:spacing w:after="0"/>
              <w:rPr>
                <w:sz w:val="20"/>
                <w:szCs w:val="20"/>
                <w:color w:val="auto"/>
              </w:rPr>
            </w:pPr>
            <w:r>
              <w:rPr>
                <w:rFonts w:ascii="Arial" w:cs="Arial" w:eastAsia="Arial" w:hAnsi="Arial"/>
                <w:sz w:val="20"/>
                <w:szCs w:val="20"/>
                <w:color w:val="auto"/>
              </w:rPr>
              <w:t>Belgium</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MERIDIAN INSURANCE COMPANY LIMITED</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Bermuda</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Towers Watson (Bermuda) Ltd.</w:t>
            </w:r>
          </w:p>
        </w:tc>
        <w:tc>
          <w:tcPr>
            <w:tcW w:w="3720" w:type="dxa"/>
            <w:vAlign w:val="bottom"/>
          </w:tcPr>
          <w:p>
            <w:pPr>
              <w:ind w:left="300"/>
              <w:spacing w:after="0"/>
              <w:rPr>
                <w:sz w:val="20"/>
                <w:szCs w:val="20"/>
                <w:color w:val="auto"/>
              </w:rPr>
            </w:pPr>
            <w:r>
              <w:rPr>
                <w:rFonts w:ascii="Arial" w:cs="Arial" w:eastAsia="Arial" w:hAnsi="Arial"/>
                <w:sz w:val="20"/>
                <w:szCs w:val="20"/>
                <w:color w:val="auto"/>
              </w:rPr>
              <w:t>Bermuda</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(Bermuda) Limited</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Bermuda</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Willis Investment Holding (Bermuda) Limited</w:t>
            </w:r>
          </w:p>
        </w:tc>
        <w:tc>
          <w:tcPr>
            <w:tcW w:w="3720" w:type="dxa"/>
            <w:vAlign w:val="bottom"/>
          </w:tcPr>
          <w:p>
            <w:pPr>
              <w:ind w:left="300"/>
              <w:spacing w:after="0"/>
              <w:rPr>
                <w:sz w:val="20"/>
                <w:szCs w:val="20"/>
                <w:color w:val="auto"/>
              </w:rPr>
            </w:pPr>
            <w:r>
              <w:rPr>
                <w:rFonts w:ascii="Arial" w:cs="Arial" w:eastAsia="Arial" w:hAnsi="Arial"/>
                <w:sz w:val="20"/>
                <w:szCs w:val="20"/>
                <w:color w:val="auto"/>
              </w:rPr>
              <w:t>Bermuda</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Re (Bermuda) Limited</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Bermuda</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w w:val="97"/>
              </w:rPr>
              <w:t>Willis Towers Watson Caribbean Treasury Center (Bermuda) Ltd.</w:t>
            </w:r>
          </w:p>
        </w:tc>
        <w:tc>
          <w:tcPr>
            <w:tcW w:w="3720" w:type="dxa"/>
            <w:vAlign w:val="bottom"/>
          </w:tcPr>
          <w:p>
            <w:pPr>
              <w:ind w:left="300"/>
              <w:spacing w:after="0"/>
              <w:rPr>
                <w:sz w:val="20"/>
                <w:szCs w:val="20"/>
                <w:color w:val="auto"/>
              </w:rPr>
            </w:pPr>
            <w:r>
              <w:rPr>
                <w:rFonts w:ascii="Arial" w:cs="Arial" w:eastAsia="Arial" w:hAnsi="Arial"/>
                <w:sz w:val="20"/>
                <w:szCs w:val="20"/>
                <w:color w:val="auto"/>
              </w:rPr>
              <w:t>Bermuda</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Finance (Bermuda) Ltd.</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Bermuda</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Willis Towers Watson Finance (Bermuda) 2 Ltd.</w:t>
            </w:r>
          </w:p>
        </w:tc>
        <w:tc>
          <w:tcPr>
            <w:tcW w:w="3720" w:type="dxa"/>
            <w:vAlign w:val="bottom"/>
          </w:tcPr>
          <w:p>
            <w:pPr>
              <w:ind w:left="300"/>
              <w:spacing w:after="0"/>
              <w:rPr>
                <w:sz w:val="20"/>
                <w:szCs w:val="20"/>
                <w:color w:val="auto"/>
              </w:rPr>
            </w:pPr>
            <w:r>
              <w:rPr>
                <w:rFonts w:ascii="Arial" w:cs="Arial" w:eastAsia="Arial" w:hAnsi="Arial"/>
                <w:sz w:val="20"/>
                <w:szCs w:val="20"/>
                <w:color w:val="auto"/>
              </w:rPr>
              <w:t>Bermuda</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Management (Bermuda) Limited</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Bermuda</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WTW Treasury (Bermuda) Ltd.</w:t>
            </w:r>
          </w:p>
        </w:tc>
        <w:tc>
          <w:tcPr>
            <w:tcW w:w="3720" w:type="dxa"/>
            <w:vAlign w:val="bottom"/>
          </w:tcPr>
          <w:p>
            <w:pPr>
              <w:ind w:left="300"/>
              <w:spacing w:after="0"/>
              <w:rPr>
                <w:sz w:val="20"/>
                <w:szCs w:val="20"/>
                <w:color w:val="auto"/>
              </w:rPr>
            </w:pPr>
            <w:r>
              <w:rPr>
                <w:rFonts w:ascii="Arial" w:cs="Arial" w:eastAsia="Arial" w:hAnsi="Arial"/>
                <w:sz w:val="20"/>
                <w:szCs w:val="20"/>
                <w:color w:val="auto"/>
              </w:rPr>
              <w:t>Bermuda</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Treasury (Bermuda) 2 Ltd.</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Bermuda</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w w:val="93"/>
              </w:rPr>
              <w:t>Sertec Servicos Tecnicos de Inspecao, Levantamentos e Avaliacoes</w:t>
            </w:r>
          </w:p>
        </w:tc>
        <w:tc>
          <w:tcPr>
            <w:tcW w:w="3720" w:type="dxa"/>
            <w:vAlign w:val="bottom"/>
          </w:tcPr>
          <w:p>
            <w:pPr>
              <w:spacing w:after="0"/>
              <w:rPr>
                <w:sz w:val="22"/>
                <w:szCs w:val="22"/>
                <w:color w:val="auto"/>
              </w:rPr>
            </w:pPr>
          </w:p>
        </w:tc>
      </w:tr>
      <w:tr>
        <w:trPr>
          <w:trHeight w:val="300"/>
        </w:trPr>
        <w:tc>
          <w:tcPr>
            <w:tcW w:w="5680" w:type="dxa"/>
            <w:vAlign w:val="bottom"/>
          </w:tcPr>
          <w:p>
            <w:pPr>
              <w:spacing w:after="0"/>
              <w:rPr>
                <w:sz w:val="20"/>
                <w:szCs w:val="20"/>
                <w:color w:val="auto"/>
              </w:rPr>
            </w:pPr>
            <w:r>
              <w:rPr>
                <w:rFonts w:ascii="Arial" w:cs="Arial" w:eastAsia="Arial" w:hAnsi="Arial"/>
                <w:sz w:val="20"/>
                <w:szCs w:val="20"/>
                <w:color w:val="auto"/>
              </w:rPr>
              <w:t>Ltda.</w:t>
            </w:r>
          </w:p>
        </w:tc>
        <w:tc>
          <w:tcPr>
            <w:tcW w:w="3720" w:type="dxa"/>
            <w:vAlign w:val="bottom"/>
          </w:tcPr>
          <w:p>
            <w:pPr>
              <w:ind w:left="300"/>
              <w:spacing w:after="0"/>
              <w:rPr>
                <w:sz w:val="20"/>
                <w:szCs w:val="20"/>
                <w:color w:val="auto"/>
              </w:rPr>
            </w:pPr>
            <w:r>
              <w:rPr>
                <w:rFonts w:ascii="Arial" w:cs="Arial" w:eastAsia="Arial" w:hAnsi="Arial"/>
                <w:sz w:val="20"/>
                <w:szCs w:val="20"/>
                <w:color w:val="auto"/>
              </w:rPr>
              <w:t>Brazil</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Towers Watson Consultoria Ltda.</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Brazil</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WFB Partipacoes Ltda.</w:t>
            </w:r>
          </w:p>
        </w:tc>
        <w:tc>
          <w:tcPr>
            <w:tcW w:w="3720" w:type="dxa"/>
            <w:vAlign w:val="bottom"/>
          </w:tcPr>
          <w:p>
            <w:pPr>
              <w:ind w:left="300"/>
              <w:spacing w:after="0"/>
              <w:rPr>
                <w:sz w:val="20"/>
                <w:szCs w:val="20"/>
                <w:color w:val="auto"/>
              </w:rPr>
            </w:pPr>
            <w:r>
              <w:rPr>
                <w:rFonts w:ascii="Arial" w:cs="Arial" w:eastAsia="Arial" w:hAnsi="Arial"/>
                <w:sz w:val="20"/>
                <w:szCs w:val="20"/>
                <w:color w:val="auto"/>
              </w:rPr>
              <w:t>Brazil</w:t>
            </w:r>
          </w:p>
        </w:tc>
      </w:tr>
      <w:tr>
        <w:trPr>
          <w:trHeight w:val="41"/>
        </w:trPr>
        <w:tc>
          <w:tcPr>
            <w:tcW w:w="5680" w:type="dxa"/>
            <w:vAlign w:val="bottom"/>
          </w:tcPr>
          <w:p>
            <w:pPr>
              <w:spacing w:after="0"/>
              <w:rPr>
                <w:sz w:val="3"/>
                <w:szCs w:val="3"/>
                <w:color w:val="auto"/>
              </w:rPr>
            </w:pPr>
          </w:p>
        </w:tc>
        <w:tc>
          <w:tcPr>
            <w:tcW w:w="3720" w:type="dxa"/>
            <w:vAlign w:val="bottom"/>
          </w:tcPr>
          <w:p>
            <w:pPr>
              <w:spacing w:after="0"/>
              <w:rPr>
                <w:sz w:val="3"/>
                <w:szCs w:val="3"/>
                <w:color w:val="auto"/>
              </w:rPr>
            </w:pPr>
          </w:p>
        </w:tc>
      </w:tr>
      <w:tr>
        <w:trPr>
          <w:trHeight w:val="280"/>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Affinity Corretores de Seguros Ltda.</w:t>
            </w:r>
          </w:p>
        </w:tc>
        <w:tc>
          <w:tcPr>
            <w:tcW w:w="3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rPr>
              <w:t>Brazil</w:t>
            </w:r>
          </w:p>
        </w:tc>
      </w:tr>
      <w:tr>
        <w:trPr>
          <w:trHeight w:val="259"/>
        </w:trPr>
        <w:tc>
          <w:tcPr>
            <w:tcW w:w="5680" w:type="dxa"/>
            <w:vAlign w:val="bottom"/>
          </w:tcPr>
          <w:p>
            <w:pPr>
              <w:spacing w:after="0"/>
              <w:rPr>
                <w:sz w:val="20"/>
                <w:szCs w:val="20"/>
                <w:color w:val="auto"/>
              </w:rPr>
            </w:pPr>
            <w:r>
              <w:rPr>
                <w:rFonts w:ascii="Arial" w:cs="Arial" w:eastAsia="Arial" w:hAnsi="Arial"/>
                <w:sz w:val="20"/>
                <w:szCs w:val="20"/>
                <w:color w:val="auto"/>
              </w:rPr>
              <w:t>Willis Corretora de Resseguros Ltda.</w:t>
            </w:r>
          </w:p>
        </w:tc>
        <w:tc>
          <w:tcPr>
            <w:tcW w:w="3720" w:type="dxa"/>
            <w:vAlign w:val="bottom"/>
          </w:tcPr>
          <w:p>
            <w:pPr>
              <w:ind w:left="300"/>
              <w:spacing w:after="0"/>
              <w:rPr>
                <w:sz w:val="20"/>
                <w:szCs w:val="20"/>
                <w:color w:val="auto"/>
              </w:rPr>
            </w:pPr>
            <w:r>
              <w:rPr>
                <w:rFonts w:ascii="Arial" w:cs="Arial" w:eastAsia="Arial" w:hAnsi="Arial"/>
                <w:sz w:val="20"/>
                <w:szCs w:val="20"/>
                <w:color w:val="auto"/>
              </w:rPr>
              <w:t>Brazil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-7031355</wp:posOffset>
            </wp:positionV>
            <wp:extent cx="5967730" cy="952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6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51 / 60</w:t>
      </w:r>
    </w:p>
    <w:p>
      <w:pPr>
        <w:sectPr>
          <w:pgSz w:w="11900" w:h="16838" w:orient="portrait"/>
          <w:cols w:equalWidth="0" w:num="1">
            <w:col w:w="9400"/>
          </w:cols>
          <w:pgMar w:left="1260" w:top="1440" w:right="1246" w:bottom="0" w:gutter="0" w:footer="0" w:header="0"/>
          <w:type w:val="continuous"/>
        </w:sectPr>
      </w:pPr>
    </w:p>
    <w:bookmarkStart w:id="311" w:name="page312"/>
    <w:bookmarkEnd w:id="311"/>
    <w:tbl>
      <w:tblPr>
        <w:tblLayout w:type="fixed"/>
        <w:tblInd w:w="0" w:type="dxa"/>
        <w:tblCellMar>
          <w:top w:w="0" w:type="dxa"/>
          <w:left w:w="0" w:type="dxa"/>
          <w:bottom w:w="0" w:type="dxa"/>
          <w:right w:w="0" w:type="dxa"/>
        </w:tblCellMar>
      </w:tblPr>
      <w:tr>
        <w:trPr>
          <w:trHeight w:val="280"/>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Corretores de Seguros Ltda.</w:t>
            </w:r>
          </w:p>
        </w:tc>
        <w:tc>
          <w:tcPr>
            <w:tcW w:w="3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20"/>
                <w:szCs w:val="20"/>
                <w:color w:val="auto"/>
              </w:rPr>
              <w:t>Brazil</w:t>
            </w:r>
          </w:p>
        </w:tc>
      </w:tr>
      <w:tr>
        <w:trPr>
          <w:trHeight w:val="259"/>
        </w:trPr>
        <w:tc>
          <w:tcPr>
            <w:tcW w:w="5480" w:type="dxa"/>
            <w:vAlign w:val="bottom"/>
          </w:tcPr>
          <w:p>
            <w:pPr>
              <w:spacing w:after="0"/>
              <w:rPr>
                <w:sz w:val="20"/>
                <w:szCs w:val="20"/>
                <w:color w:val="auto"/>
              </w:rPr>
            </w:pPr>
            <w:r>
              <w:rPr>
                <w:rFonts w:ascii="Arial" w:cs="Arial" w:eastAsia="Arial" w:hAnsi="Arial"/>
                <w:sz w:val="20"/>
                <w:szCs w:val="20"/>
                <w:color w:val="auto"/>
              </w:rPr>
              <w:t>York Vale Corretora e Administradora de Seguros Limitada</w:t>
            </w:r>
          </w:p>
        </w:tc>
        <w:tc>
          <w:tcPr>
            <w:tcW w:w="3920" w:type="dxa"/>
            <w:vAlign w:val="bottom"/>
          </w:tcPr>
          <w:p>
            <w:pPr>
              <w:ind w:left="500"/>
              <w:spacing w:after="0"/>
              <w:rPr>
                <w:sz w:val="20"/>
                <w:szCs w:val="20"/>
                <w:color w:val="auto"/>
              </w:rPr>
            </w:pPr>
            <w:r>
              <w:rPr>
                <w:rFonts w:ascii="Arial" w:cs="Arial" w:eastAsia="Arial" w:hAnsi="Arial"/>
                <w:sz w:val="20"/>
                <w:szCs w:val="20"/>
                <w:color w:val="auto"/>
              </w:rPr>
              <w:t>Brazil</w:t>
            </w:r>
          </w:p>
        </w:tc>
      </w:tr>
      <w:tr>
        <w:trPr>
          <w:trHeight w:val="41"/>
        </w:trPr>
        <w:tc>
          <w:tcPr>
            <w:tcW w:w="5480" w:type="dxa"/>
            <w:vAlign w:val="bottom"/>
          </w:tcPr>
          <w:p>
            <w:pPr>
              <w:spacing w:after="0"/>
              <w:rPr>
                <w:sz w:val="3"/>
                <w:szCs w:val="3"/>
                <w:color w:val="auto"/>
              </w:rPr>
            </w:pPr>
          </w:p>
        </w:tc>
        <w:tc>
          <w:tcPr>
            <w:tcW w:w="3920" w:type="dxa"/>
            <w:vAlign w:val="bottom"/>
          </w:tcPr>
          <w:p>
            <w:pPr>
              <w:spacing w:after="0"/>
              <w:rPr>
                <w:sz w:val="3"/>
                <w:szCs w:val="3"/>
                <w:color w:val="auto"/>
              </w:rPr>
            </w:pPr>
          </w:p>
        </w:tc>
      </w:tr>
      <w:tr>
        <w:trPr>
          <w:trHeight w:val="280"/>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Gras Savoye (Cambodia) Insurance Broker Plc</w:t>
            </w:r>
          </w:p>
        </w:tc>
        <w:tc>
          <w:tcPr>
            <w:tcW w:w="3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20"/>
                <w:szCs w:val="20"/>
                <w:color w:val="auto"/>
              </w:rPr>
              <w:t>Cambodia</w:t>
            </w:r>
          </w:p>
        </w:tc>
      </w:tr>
      <w:tr>
        <w:trPr>
          <w:trHeight w:val="259"/>
        </w:trPr>
        <w:tc>
          <w:tcPr>
            <w:tcW w:w="5480" w:type="dxa"/>
            <w:vAlign w:val="bottom"/>
          </w:tcPr>
          <w:p>
            <w:pPr>
              <w:spacing w:after="0"/>
              <w:rPr>
                <w:sz w:val="20"/>
                <w:szCs w:val="20"/>
                <w:color w:val="auto"/>
              </w:rPr>
            </w:pPr>
            <w:r>
              <w:rPr>
                <w:rFonts w:ascii="Arial" w:cs="Arial" w:eastAsia="Arial" w:hAnsi="Arial"/>
                <w:sz w:val="20"/>
                <w:szCs w:val="20"/>
                <w:color w:val="auto"/>
              </w:rPr>
              <w:t>Willis Towers Watson Cameroun SA</w:t>
            </w:r>
          </w:p>
        </w:tc>
        <w:tc>
          <w:tcPr>
            <w:tcW w:w="3920" w:type="dxa"/>
            <w:vAlign w:val="bottom"/>
          </w:tcPr>
          <w:p>
            <w:pPr>
              <w:ind w:left="500"/>
              <w:spacing w:after="0"/>
              <w:rPr>
                <w:sz w:val="20"/>
                <w:szCs w:val="20"/>
                <w:color w:val="auto"/>
              </w:rPr>
            </w:pPr>
            <w:r>
              <w:rPr>
                <w:rFonts w:ascii="Arial" w:cs="Arial" w:eastAsia="Arial" w:hAnsi="Arial"/>
                <w:sz w:val="20"/>
                <w:szCs w:val="20"/>
                <w:color w:val="auto"/>
              </w:rPr>
              <w:t>Cameroon</w:t>
            </w:r>
          </w:p>
        </w:tc>
      </w:tr>
      <w:tr>
        <w:trPr>
          <w:trHeight w:val="41"/>
        </w:trPr>
        <w:tc>
          <w:tcPr>
            <w:tcW w:w="5480" w:type="dxa"/>
            <w:vAlign w:val="bottom"/>
          </w:tcPr>
          <w:p>
            <w:pPr>
              <w:spacing w:after="0"/>
              <w:rPr>
                <w:sz w:val="3"/>
                <w:szCs w:val="3"/>
                <w:color w:val="auto"/>
              </w:rPr>
            </w:pPr>
          </w:p>
        </w:tc>
        <w:tc>
          <w:tcPr>
            <w:tcW w:w="3920" w:type="dxa"/>
            <w:vAlign w:val="bottom"/>
          </w:tcPr>
          <w:p>
            <w:pPr>
              <w:spacing w:after="0"/>
              <w:rPr>
                <w:sz w:val="3"/>
                <w:szCs w:val="3"/>
                <w:color w:val="auto"/>
              </w:rPr>
            </w:pPr>
          </w:p>
        </w:tc>
      </w:tr>
      <w:tr>
        <w:trPr>
          <w:trHeight w:val="280"/>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Towers Watson Canada Inc.</w:t>
            </w:r>
          </w:p>
        </w:tc>
        <w:tc>
          <w:tcPr>
            <w:tcW w:w="3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20"/>
                <w:szCs w:val="20"/>
                <w:color w:val="auto"/>
              </w:rPr>
              <w:t>Canada</w:t>
            </w:r>
          </w:p>
        </w:tc>
      </w:tr>
      <w:tr>
        <w:trPr>
          <w:trHeight w:val="259"/>
        </w:trPr>
        <w:tc>
          <w:tcPr>
            <w:tcW w:w="5480" w:type="dxa"/>
            <w:vAlign w:val="bottom"/>
          </w:tcPr>
          <w:p>
            <w:pPr>
              <w:spacing w:after="0"/>
              <w:rPr>
                <w:sz w:val="20"/>
                <w:szCs w:val="20"/>
                <w:color w:val="auto"/>
              </w:rPr>
            </w:pPr>
            <w:r>
              <w:rPr>
                <w:rFonts w:ascii="Arial" w:cs="Arial" w:eastAsia="Arial" w:hAnsi="Arial"/>
                <w:sz w:val="20"/>
                <w:szCs w:val="20"/>
                <w:color w:val="auto"/>
              </w:rPr>
              <w:t>Willis Canada Inc.</w:t>
            </w:r>
          </w:p>
        </w:tc>
        <w:tc>
          <w:tcPr>
            <w:tcW w:w="3920" w:type="dxa"/>
            <w:vAlign w:val="bottom"/>
          </w:tcPr>
          <w:p>
            <w:pPr>
              <w:ind w:left="500"/>
              <w:spacing w:after="0"/>
              <w:rPr>
                <w:sz w:val="20"/>
                <w:szCs w:val="20"/>
                <w:color w:val="auto"/>
              </w:rPr>
            </w:pPr>
            <w:r>
              <w:rPr>
                <w:rFonts w:ascii="Arial" w:cs="Arial" w:eastAsia="Arial" w:hAnsi="Arial"/>
                <w:sz w:val="20"/>
                <w:szCs w:val="20"/>
                <w:color w:val="auto"/>
              </w:rPr>
              <w:t>Canada</w:t>
            </w:r>
          </w:p>
        </w:tc>
      </w:tr>
      <w:tr>
        <w:trPr>
          <w:trHeight w:val="41"/>
        </w:trPr>
        <w:tc>
          <w:tcPr>
            <w:tcW w:w="5480" w:type="dxa"/>
            <w:vAlign w:val="bottom"/>
          </w:tcPr>
          <w:p>
            <w:pPr>
              <w:spacing w:after="0"/>
              <w:rPr>
                <w:sz w:val="3"/>
                <w:szCs w:val="3"/>
                <w:color w:val="auto"/>
              </w:rPr>
            </w:pPr>
          </w:p>
        </w:tc>
        <w:tc>
          <w:tcPr>
            <w:tcW w:w="3920" w:type="dxa"/>
            <w:vAlign w:val="bottom"/>
          </w:tcPr>
          <w:p>
            <w:pPr>
              <w:spacing w:after="0"/>
              <w:rPr>
                <w:sz w:val="3"/>
                <w:szCs w:val="3"/>
                <w:color w:val="auto"/>
              </w:rPr>
            </w:pPr>
          </w:p>
        </w:tc>
      </w:tr>
      <w:tr>
        <w:trPr>
          <w:trHeight w:val="280"/>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Investment Management Canada Limited</w:t>
            </w:r>
          </w:p>
        </w:tc>
        <w:tc>
          <w:tcPr>
            <w:tcW w:w="3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20"/>
                <w:szCs w:val="20"/>
                <w:color w:val="auto"/>
              </w:rPr>
              <w:t>Canada</w:t>
            </w:r>
          </w:p>
        </w:tc>
      </w:tr>
      <w:tr>
        <w:trPr>
          <w:trHeight w:val="259"/>
        </w:trPr>
        <w:tc>
          <w:tcPr>
            <w:tcW w:w="5480" w:type="dxa"/>
            <w:vAlign w:val="bottom"/>
          </w:tcPr>
          <w:p>
            <w:pPr>
              <w:spacing w:after="0"/>
              <w:rPr>
                <w:sz w:val="20"/>
                <w:szCs w:val="20"/>
                <w:color w:val="auto"/>
              </w:rPr>
            </w:pPr>
            <w:r>
              <w:rPr>
                <w:rFonts w:ascii="Arial" w:cs="Arial" w:eastAsia="Arial" w:hAnsi="Arial"/>
                <w:sz w:val="20"/>
                <w:szCs w:val="20"/>
                <w:color w:val="auto"/>
              </w:rPr>
              <w:t>Willis Towers Watson Management (Cayman) Limited</w:t>
            </w:r>
          </w:p>
        </w:tc>
        <w:tc>
          <w:tcPr>
            <w:tcW w:w="3920" w:type="dxa"/>
            <w:vAlign w:val="bottom"/>
          </w:tcPr>
          <w:p>
            <w:pPr>
              <w:ind w:left="500"/>
              <w:spacing w:after="0"/>
              <w:rPr>
                <w:sz w:val="20"/>
                <w:szCs w:val="20"/>
                <w:color w:val="auto"/>
              </w:rPr>
            </w:pPr>
            <w:r>
              <w:rPr>
                <w:rFonts w:ascii="Arial" w:cs="Arial" w:eastAsia="Arial" w:hAnsi="Arial"/>
                <w:sz w:val="20"/>
                <w:szCs w:val="20"/>
                <w:color w:val="auto"/>
              </w:rPr>
              <w:t>Cayman Islands</w:t>
            </w:r>
          </w:p>
        </w:tc>
      </w:tr>
      <w:tr>
        <w:trPr>
          <w:trHeight w:val="41"/>
        </w:trPr>
        <w:tc>
          <w:tcPr>
            <w:tcW w:w="5480" w:type="dxa"/>
            <w:vAlign w:val="bottom"/>
          </w:tcPr>
          <w:p>
            <w:pPr>
              <w:spacing w:after="0"/>
              <w:rPr>
                <w:sz w:val="3"/>
                <w:szCs w:val="3"/>
                <w:color w:val="auto"/>
              </w:rPr>
            </w:pPr>
          </w:p>
        </w:tc>
        <w:tc>
          <w:tcPr>
            <w:tcW w:w="3920" w:type="dxa"/>
            <w:vAlign w:val="bottom"/>
          </w:tcPr>
          <w:p>
            <w:pPr>
              <w:spacing w:after="0"/>
              <w:rPr>
                <w:sz w:val="3"/>
                <w:szCs w:val="3"/>
                <w:color w:val="auto"/>
              </w:rPr>
            </w:pPr>
          </w:p>
        </w:tc>
      </w:tr>
      <w:tr>
        <w:trPr>
          <w:trHeight w:val="280"/>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Consultores S.A.</w:t>
            </w:r>
          </w:p>
        </w:tc>
        <w:tc>
          <w:tcPr>
            <w:tcW w:w="3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20"/>
                <w:szCs w:val="20"/>
                <w:color w:val="auto"/>
              </w:rPr>
              <w:t>Chile</w:t>
            </w:r>
          </w:p>
        </w:tc>
      </w:tr>
      <w:tr>
        <w:trPr>
          <w:trHeight w:val="259"/>
        </w:trPr>
        <w:tc>
          <w:tcPr>
            <w:tcW w:w="5480" w:type="dxa"/>
            <w:vAlign w:val="bottom"/>
          </w:tcPr>
          <w:p>
            <w:pPr>
              <w:spacing w:after="0"/>
              <w:rPr>
                <w:sz w:val="20"/>
                <w:szCs w:val="20"/>
                <w:color w:val="auto"/>
              </w:rPr>
            </w:pPr>
            <w:r>
              <w:rPr>
                <w:rFonts w:ascii="Arial" w:cs="Arial" w:eastAsia="Arial" w:hAnsi="Arial"/>
                <w:sz w:val="20"/>
                <w:szCs w:val="20"/>
                <w:color w:val="auto"/>
              </w:rPr>
              <w:t>Willis Towers Watson Corredores de Reaseguros Limitada</w:t>
            </w:r>
          </w:p>
        </w:tc>
        <w:tc>
          <w:tcPr>
            <w:tcW w:w="3920" w:type="dxa"/>
            <w:vAlign w:val="bottom"/>
          </w:tcPr>
          <w:p>
            <w:pPr>
              <w:ind w:left="500"/>
              <w:spacing w:after="0"/>
              <w:rPr>
                <w:sz w:val="20"/>
                <w:szCs w:val="20"/>
                <w:color w:val="auto"/>
              </w:rPr>
            </w:pPr>
            <w:r>
              <w:rPr>
                <w:rFonts w:ascii="Arial" w:cs="Arial" w:eastAsia="Arial" w:hAnsi="Arial"/>
                <w:sz w:val="20"/>
                <w:szCs w:val="20"/>
                <w:color w:val="auto"/>
              </w:rPr>
              <w:t>Chile</w:t>
            </w:r>
          </w:p>
        </w:tc>
      </w:tr>
      <w:tr>
        <w:trPr>
          <w:trHeight w:val="41"/>
        </w:trPr>
        <w:tc>
          <w:tcPr>
            <w:tcW w:w="5480" w:type="dxa"/>
            <w:vAlign w:val="bottom"/>
          </w:tcPr>
          <w:p>
            <w:pPr>
              <w:spacing w:after="0"/>
              <w:rPr>
                <w:sz w:val="3"/>
                <w:szCs w:val="3"/>
                <w:color w:val="auto"/>
              </w:rPr>
            </w:pPr>
          </w:p>
        </w:tc>
        <w:tc>
          <w:tcPr>
            <w:tcW w:w="3920" w:type="dxa"/>
            <w:vAlign w:val="bottom"/>
          </w:tcPr>
          <w:p>
            <w:pPr>
              <w:spacing w:after="0"/>
              <w:rPr>
                <w:sz w:val="3"/>
                <w:szCs w:val="3"/>
                <w:color w:val="auto"/>
              </w:rPr>
            </w:pPr>
          </w:p>
        </w:tc>
      </w:tr>
      <w:tr>
        <w:trPr>
          <w:trHeight w:val="280"/>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S.A. Corredores de Seguros</w:t>
            </w:r>
          </w:p>
        </w:tc>
        <w:tc>
          <w:tcPr>
            <w:tcW w:w="3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20"/>
                <w:szCs w:val="20"/>
                <w:color w:val="auto"/>
              </w:rPr>
              <w:t>Chile</w:t>
            </w:r>
          </w:p>
        </w:tc>
      </w:tr>
      <w:tr>
        <w:trPr>
          <w:trHeight w:val="259"/>
        </w:trPr>
        <w:tc>
          <w:tcPr>
            <w:tcW w:w="5480" w:type="dxa"/>
            <w:vAlign w:val="bottom"/>
          </w:tcPr>
          <w:p>
            <w:pPr>
              <w:spacing w:after="0"/>
              <w:rPr>
                <w:sz w:val="20"/>
                <w:szCs w:val="20"/>
                <w:color w:val="auto"/>
              </w:rPr>
            </w:pPr>
            <w:r>
              <w:rPr>
                <w:rFonts w:ascii="Arial" w:cs="Arial" w:eastAsia="Arial" w:hAnsi="Arial"/>
                <w:sz w:val="20"/>
                <w:szCs w:val="20"/>
                <w:color w:val="auto"/>
              </w:rPr>
              <w:t>Towers Watson Consulting (Shanghai) Limited</w:t>
            </w:r>
          </w:p>
        </w:tc>
        <w:tc>
          <w:tcPr>
            <w:tcW w:w="3920" w:type="dxa"/>
            <w:vAlign w:val="bottom"/>
          </w:tcPr>
          <w:p>
            <w:pPr>
              <w:ind w:left="500"/>
              <w:spacing w:after="0"/>
              <w:rPr>
                <w:sz w:val="20"/>
                <w:szCs w:val="20"/>
                <w:color w:val="auto"/>
              </w:rPr>
            </w:pPr>
            <w:r>
              <w:rPr>
                <w:rFonts w:ascii="Arial" w:cs="Arial" w:eastAsia="Arial" w:hAnsi="Arial"/>
                <w:sz w:val="20"/>
                <w:szCs w:val="20"/>
                <w:color w:val="auto"/>
              </w:rPr>
              <w:t>China</w:t>
            </w:r>
          </w:p>
        </w:tc>
      </w:tr>
      <w:tr>
        <w:trPr>
          <w:trHeight w:val="41"/>
        </w:trPr>
        <w:tc>
          <w:tcPr>
            <w:tcW w:w="5480" w:type="dxa"/>
            <w:vAlign w:val="bottom"/>
          </w:tcPr>
          <w:p>
            <w:pPr>
              <w:spacing w:after="0"/>
              <w:rPr>
                <w:sz w:val="3"/>
                <w:szCs w:val="3"/>
                <w:color w:val="auto"/>
              </w:rPr>
            </w:pPr>
          </w:p>
        </w:tc>
        <w:tc>
          <w:tcPr>
            <w:tcW w:w="3920" w:type="dxa"/>
            <w:vAlign w:val="bottom"/>
          </w:tcPr>
          <w:p>
            <w:pPr>
              <w:spacing w:after="0"/>
              <w:rPr>
                <w:sz w:val="3"/>
                <w:szCs w:val="3"/>
                <w:color w:val="auto"/>
              </w:rPr>
            </w:pPr>
          </w:p>
        </w:tc>
      </w:tr>
      <w:tr>
        <w:trPr>
          <w:trHeight w:val="280"/>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w w:val="99"/>
              </w:rPr>
              <w:t>Towers Watson Management Consulting (Shenzhen) Co., Ltd.</w:t>
            </w:r>
          </w:p>
        </w:tc>
        <w:tc>
          <w:tcPr>
            <w:tcW w:w="39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20"/>
                <w:szCs w:val="20"/>
                <w:color w:val="auto"/>
              </w:rPr>
              <w:t>China</w:t>
            </w:r>
          </w:p>
        </w:tc>
      </w:tr>
      <w:tr>
        <w:trPr>
          <w:trHeight w:val="259"/>
        </w:trPr>
        <w:tc>
          <w:tcPr>
            <w:tcW w:w="5480" w:type="dxa"/>
            <w:vAlign w:val="bottom"/>
          </w:tcPr>
          <w:p>
            <w:pPr>
              <w:spacing w:after="0"/>
              <w:rPr>
                <w:sz w:val="20"/>
                <w:szCs w:val="20"/>
                <w:color w:val="auto"/>
              </w:rPr>
            </w:pPr>
            <w:r>
              <w:rPr>
                <w:rFonts w:ascii="Arial" w:cs="Arial" w:eastAsia="Arial" w:hAnsi="Arial"/>
                <w:sz w:val="20"/>
                <w:szCs w:val="20"/>
                <w:color w:val="auto"/>
              </w:rPr>
              <w:t>Willis (Shanghai) Business Consulting Co., Ltd.</w:t>
            </w:r>
          </w:p>
        </w:tc>
        <w:tc>
          <w:tcPr>
            <w:tcW w:w="3920" w:type="dxa"/>
            <w:vAlign w:val="bottom"/>
          </w:tcPr>
          <w:p>
            <w:pPr>
              <w:ind w:left="500"/>
              <w:spacing w:after="0"/>
              <w:rPr>
                <w:sz w:val="20"/>
                <w:szCs w:val="20"/>
                <w:color w:val="auto"/>
              </w:rPr>
            </w:pPr>
            <w:r>
              <w:rPr>
                <w:rFonts w:ascii="Arial" w:cs="Arial" w:eastAsia="Arial" w:hAnsi="Arial"/>
                <w:sz w:val="20"/>
                <w:szCs w:val="20"/>
                <w:color w:val="auto"/>
              </w:rPr>
              <w:t>China</w:t>
            </w:r>
          </w:p>
        </w:tc>
      </w:tr>
      <w:tr>
        <w:trPr>
          <w:trHeight w:val="1611"/>
        </w:trPr>
        <w:tc>
          <w:tcPr>
            <w:tcW w:w="5480" w:type="dxa"/>
            <w:vAlign w:val="bottom"/>
            <w:tcBorders>
              <w:bottom w:val="single" w:sz="8" w:color="010101"/>
            </w:tcBorders>
          </w:tcPr>
          <w:p>
            <w:pPr>
              <w:spacing w:after="0"/>
              <w:rPr>
                <w:sz w:val="24"/>
                <w:szCs w:val="24"/>
                <w:color w:val="auto"/>
              </w:rPr>
            </w:pPr>
          </w:p>
        </w:tc>
        <w:tc>
          <w:tcPr>
            <w:tcW w:w="39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67">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68">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52 / 60</w:t>
      </w:r>
    </w:p>
    <w:p>
      <w:pPr>
        <w:sectPr>
          <w:pgSz w:w="11900" w:h="16838" w:orient="portrait"/>
          <w:cols w:equalWidth="0" w:num="1">
            <w:col w:w="9400"/>
          </w:cols>
          <w:pgMar w:left="1260" w:top="1133" w:right="1246" w:bottom="0" w:gutter="0" w:footer="0" w:header="0"/>
          <w:type w:val="continuous"/>
        </w:sectPr>
      </w:pPr>
    </w:p>
    <w:bookmarkStart w:id="312" w:name="page313"/>
    <w:bookmarkEnd w:id="3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Insurance Brokers Co. Ltd.</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China</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w w:val="97"/>
              </w:rPr>
              <w:t>Willis Towers Watson Colombia Corredores de Reaseguros S.A.</w:t>
            </w:r>
          </w:p>
        </w:tc>
        <w:tc>
          <w:tcPr>
            <w:tcW w:w="3800" w:type="dxa"/>
            <w:vAlign w:val="bottom"/>
          </w:tcPr>
          <w:p>
            <w:pPr>
              <w:ind w:left="380"/>
              <w:spacing w:after="0"/>
              <w:rPr>
                <w:sz w:val="20"/>
                <w:szCs w:val="20"/>
                <w:color w:val="auto"/>
              </w:rPr>
            </w:pPr>
            <w:r>
              <w:rPr>
                <w:rFonts w:ascii="Arial" w:cs="Arial" w:eastAsia="Arial" w:hAnsi="Arial"/>
                <w:sz w:val="20"/>
                <w:szCs w:val="20"/>
                <w:color w:val="auto"/>
              </w:rPr>
              <w:t>Colombia</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Colombia Corredores de Seguros S.A.</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Colombia</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Consultores Colombia S.A.S.</w:t>
            </w:r>
          </w:p>
        </w:tc>
        <w:tc>
          <w:tcPr>
            <w:tcW w:w="3800" w:type="dxa"/>
            <w:vAlign w:val="bottom"/>
          </w:tcPr>
          <w:p>
            <w:pPr>
              <w:ind w:left="380"/>
              <w:spacing w:after="0"/>
              <w:rPr>
                <w:sz w:val="20"/>
                <w:szCs w:val="20"/>
                <w:color w:val="auto"/>
              </w:rPr>
            </w:pPr>
            <w:r>
              <w:rPr>
                <w:rFonts w:ascii="Arial" w:cs="Arial" w:eastAsia="Arial" w:hAnsi="Arial"/>
                <w:sz w:val="20"/>
                <w:szCs w:val="20"/>
                <w:color w:val="auto"/>
              </w:rPr>
              <w:t>Colombia</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Congo SA</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Congo</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WTW Corredores de Seguros Costa Rica S.A.</w:t>
            </w:r>
          </w:p>
        </w:tc>
        <w:tc>
          <w:tcPr>
            <w:tcW w:w="3800" w:type="dxa"/>
            <w:vAlign w:val="bottom"/>
          </w:tcPr>
          <w:p>
            <w:pPr>
              <w:ind w:left="380"/>
              <w:spacing w:after="0"/>
              <w:rPr>
                <w:sz w:val="20"/>
                <w:szCs w:val="20"/>
                <w:color w:val="auto"/>
              </w:rPr>
            </w:pPr>
            <w:r>
              <w:rPr>
                <w:rFonts w:ascii="Arial" w:cs="Arial" w:eastAsia="Arial" w:hAnsi="Arial"/>
                <w:sz w:val="20"/>
                <w:szCs w:val="20"/>
                <w:color w:val="auto"/>
              </w:rPr>
              <w:t>Costa Rica</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Cote d’Ivoire SA</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Cote d’Ivoire</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d.o.o.</w:t>
            </w:r>
          </w:p>
        </w:tc>
        <w:tc>
          <w:tcPr>
            <w:tcW w:w="3800" w:type="dxa"/>
            <w:vAlign w:val="bottom"/>
          </w:tcPr>
          <w:p>
            <w:pPr>
              <w:ind w:left="380"/>
              <w:spacing w:after="0"/>
              <w:rPr>
                <w:sz w:val="20"/>
                <w:szCs w:val="20"/>
                <w:color w:val="auto"/>
              </w:rPr>
            </w:pPr>
            <w:r>
              <w:rPr>
                <w:rFonts w:ascii="Arial" w:cs="Arial" w:eastAsia="Arial" w:hAnsi="Arial"/>
                <w:sz w:val="20"/>
                <w:szCs w:val="20"/>
                <w:color w:val="auto"/>
              </w:rPr>
              <w:t>Croatia</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w w:val="98"/>
              </w:rPr>
              <w:t>Willis Towers Watson Insurance Broking (Czech Republic) s.r.o.</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Czech Republic</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s.r.o.</w:t>
            </w:r>
          </w:p>
        </w:tc>
        <w:tc>
          <w:tcPr>
            <w:tcW w:w="3800" w:type="dxa"/>
            <w:vAlign w:val="bottom"/>
          </w:tcPr>
          <w:p>
            <w:pPr>
              <w:ind w:left="380"/>
              <w:spacing w:after="0"/>
              <w:rPr>
                <w:sz w:val="20"/>
                <w:szCs w:val="20"/>
                <w:color w:val="auto"/>
              </w:rPr>
            </w:pPr>
            <w:r>
              <w:rPr>
                <w:rFonts w:ascii="Arial" w:cs="Arial" w:eastAsia="Arial" w:hAnsi="Arial"/>
                <w:sz w:val="20"/>
                <w:szCs w:val="20"/>
                <w:color w:val="auto"/>
              </w:rPr>
              <w:t>Czech Republic</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WIA I/S</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Denmark</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A/S</w:t>
            </w:r>
          </w:p>
        </w:tc>
        <w:tc>
          <w:tcPr>
            <w:tcW w:w="3800" w:type="dxa"/>
            <w:vAlign w:val="bottom"/>
          </w:tcPr>
          <w:p>
            <w:pPr>
              <w:ind w:left="380"/>
              <w:spacing w:after="0"/>
              <w:rPr>
                <w:sz w:val="20"/>
                <w:szCs w:val="20"/>
                <w:color w:val="auto"/>
              </w:rPr>
            </w:pPr>
            <w:r>
              <w:rPr>
                <w:rFonts w:ascii="Arial" w:cs="Arial" w:eastAsia="Arial" w:hAnsi="Arial"/>
                <w:sz w:val="20"/>
                <w:szCs w:val="20"/>
                <w:color w:val="auto"/>
              </w:rPr>
              <w:t>Denmark</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Consultancy Services I/S</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Denmark</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I/S</w:t>
            </w:r>
          </w:p>
        </w:tc>
        <w:tc>
          <w:tcPr>
            <w:tcW w:w="3800" w:type="dxa"/>
            <w:vAlign w:val="bottom"/>
          </w:tcPr>
          <w:p>
            <w:pPr>
              <w:ind w:left="380"/>
              <w:spacing w:after="0"/>
              <w:rPr>
                <w:sz w:val="20"/>
                <w:szCs w:val="20"/>
                <w:color w:val="auto"/>
              </w:rPr>
            </w:pPr>
            <w:r>
              <w:rPr>
                <w:rFonts w:ascii="Arial" w:cs="Arial" w:eastAsia="Arial" w:hAnsi="Arial"/>
                <w:sz w:val="20"/>
                <w:szCs w:val="20"/>
                <w:color w:val="auto"/>
              </w:rPr>
              <w:t>Denmark</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ApS</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Denmark</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Egypt SAE</w:t>
            </w:r>
          </w:p>
        </w:tc>
        <w:tc>
          <w:tcPr>
            <w:tcW w:w="3800" w:type="dxa"/>
            <w:vAlign w:val="bottom"/>
          </w:tcPr>
          <w:p>
            <w:pPr>
              <w:ind w:left="380"/>
              <w:spacing w:after="0"/>
              <w:rPr>
                <w:sz w:val="20"/>
                <w:szCs w:val="20"/>
                <w:color w:val="auto"/>
              </w:rPr>
            </w:pPr>
            <w:r>
              <w:rPr>
                <w:rFonts w:ascii="Arial" w:cs="Arial" w:eastAsia="Arial" w:hAnsi="Arial"/>
                <w:sz w:val="20"/>
                <w:szCs w:val="20"/>
                <w:color w:val="auto"/>
              </w:rPr>
              <w:t>Egypt</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Re Egypt SAE</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Egypt</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Risk Solutions Egypt SAE</w:t>
            </w:r>
          </w:p>
        </w:tc>
        <w:tc>
          <w:tcPr>
            <w:tcW w:w="3800" w:type="dxa"/>
            <w:vAlign w:val="bottom"/>
          </w:tcPr>
          <w:p>
            <w:pPr>
              <w:ind w:left="380"/>
              <w:spacing w:after="0"/>
              <w:rPr>
                <w:sz w:val="20"/>
                <w:szCs w:val="20"/>
                <w:color w:val="auto"/>
              </w:rPr>
            </w:pPr>
            <w:r>
              <w:rPr>
                <w:rFonts w:ascii="Arial" w:cs="Arial" w:eastAsia="Arial" w:hAnsi="Arial"/>
                <w:sz w:val="20"/>
                <w:szCs w:val="20"/>
                <w:color w:val="auto"/>
              </w:rPr>
              <w:t>Egypt</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Corredores de Seguros El Salvador, S.A. de C.V.</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El Salvador</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Oy Ab</w:t>
            </w:r>
          </w:p>
        </w:tc>
        <w:tc>
          <w:tcPr>
            <w:tcW w:w="3800" w:type="dxa"/>
            <w:vAlign w:val="bottom"/>
          </w:tcPr>
          <w:p>
            <w:pPr>
              <w:ind w:left="380"/>
              <w:spacing w:after="0"/>
              <w:rPr>
                <w:sz w:val="20"/>
                <w:szCs w:val="20"/>
                <w:color w:val="auto"/>
              </w:rPr>
            </w:pPr>
            <w:r>
              <w:rPr>
                <w:rFonts w:ascii="Arial" w:cs="Arial" w:eastAsia="Arial" w:hAnsi="Arial"/>
                <w:sz w:val="20"/>
                <w:szCs w:val="20"/>
                <w:color w:val="auto"/>
              </w:rPr>
              <w:t>Finland</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Willis/GS France</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France</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France</w:t>
            </w:r>
          </w:p>
        </w:tc>
        <w:tc>
          <w:tcPr>
            <w:tcW w:w="3800" w:type="dxa"/>
            <w:vAlign w:val="bottom"/>
          </w:tcPr>
          <w:p>
            <w:pPr>
              <w:ind w:left="380"/>
              <w:spacing w:after="0"/>
              <w:rPr>
                <w:sz w:val="20"/>
                <w:szCs w:val="20"/>
                <w:color w:val="auto"/>
              </w:rPr>
            </w:pPr>
            <w:r>
              <w:rPr>
                <w:rFonts w:ascii="Arial" w:cs="Arial" w:eastAsia="Arial" w:hAnsi="Arial"/>
                <w:sz w:val="20"/>
                <w:szCs w:val="20"/>
                <w:color w:val="auto"/>
              </w:rPr>
              <w:t>France</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SAS</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France</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WTW Underwriting Solutions France</w:t>
            </w:r>
          </w:p>
        </w:tc>
        <w:tc>
          <w:tcPr>
            <w:tcW w:w="3800" w:type="dxa"/>
            <w:vAlign w:val="bottom"/>
          </w:tcPr>
          <w:p>
            <w:pPr>
              <w:ind w:left="380"/>
              <w:spacing w:after="0"/>
              <w:rPr>
                <w:sz w:val="20"/>
                <w:szCs w:val="20"/>
                <w:color w:val="auto"/>
              </w:rPr>
            </w:pPr>
            <w:r>
              <w:rPr>
                <w:rFonts w:ascii="Arial" w:cs="Arial" w:eastAsia="Arial" w:hAnsi="Arial"/>
                <w:sz w:val="20"/>
                <w:szCs w:val="20"/>
                <w:color w:val="auto"/>
              </w:rPr>
              <w:t>France</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Tahiti</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French Polynesia</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Gras Savoye Gabon SA</w:t>
            </w:r>
          </w:p>
        </w:tc>
        <w:tc>
          <w:tcPr>
            <w:tcW w:w="3800" w:type="dxa"/>
            <w:vAlign w:val="bottom"/>
          </w:tcPr>
          <w:p>
            <w:pPr>
              <w:ind w:left="380"/>
              <w:spacing w:after="0"/>
              <w:rPr>
                <w:sz w:val="20"/>
                <w:szCs w:val="20"/>
                <w:color w:val="auto"/>
              </w:rPr>
            </w:pPr>
            <w:r>
              <w:rPr>
                <w:rFonts w:ascii="Arial" w:cs="Arial" w:eastAsia="Arial" w:hAnsi="Arial"/>
                <w:sz w:val="20"/>
                <w:szCs w:val="20"/>
                <w:color w:val="auto"/>
              </w:rPr>
              <w:t>Gabon</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Re GmbH</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Germany</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GmbH</w:t>
            </w:r>
          </w:p>
        </w:tc>
        <w:tc>
          <w:tcPr>
            <w:tcW w:w="3800" w:type="dxa"/>
            <w:vAlign w:val="bottom"/>
          </w:tcPr>
          <w:p>
            <w:pPr>
              <w:ind w:left="380"/>
              <w:spacing w:after="0"/>
              <w:rPr>
                <w:sz w:val="20"/>
                <w:szCs w:val="20"/>
                <w:color w:val="auto"/>
              </w:rPr>
            </w:pPr>
            <w:r>
              <w:rPr>
                <w:rFonts w:ascii="Arial" w:cs="Arial" w:eastAsia="Arial" w:hAnsi="Arial"/>
                <w:sz w:val="20"/>
                <w:szCs w:val="20"/>
                <w:color w:val="auto"/>
              </w:rPr>
              <w:t>Germany</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Holding GmbH</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Germany</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Investments GmbH</w:t>
            </w:r>
          </w:p>
        </w:tc>
        <w:tc>
          <w:tcPr>
            <w:tcW w:w="3800" w:type="dxa"/>
            <w:vAlign w:val="bottom"/>
          </w:tcPr>
          <w:p>
            <w:pPr>
              <w:ind w:left="380"/>
              <w:spacing w:after="0"/>
              <w:rPr>
                <w:sz w:val="20"/>
                <w:szCs w:val="20"/>
                <w:color w:val="auto"/>
              </w:rPr>
            </w:pPr>
            <w:r>
              <w:rPr>
                <w:rFonts w:ascii="Arial" w:cs="Arial" w:eastAsia="Arial" w:hAnsi="Arial"/>
                <w:sz w:val="20"/>
                <w:szCs w:val="20"/>
                <w:color w:val="auto"/>
              </w:rPr>
              <w:t>Germany</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Versicherungsmakler GmbH</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Germany</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Versicherungsservice GmbH</w:t>
            </w:r>
          </w:p>
        </w:tc>
        <w:tc>
          <w:tcPr>
            <w:tcW w:w="3800" w:type="dxa"/>
            <w:vAlign w:val="bottom"/>
          </w:tcPr>
          <w:p>
            <w:pPr>
              <w:ind w:left="380"/>
              <w:spacing w:after="0"/>
              <w:rPr>
                <w:sz w:val="20"/>
                <w:szCs w:val="20"/>
                <w:color w:val="auto"/>
              </w:rPr>
            </w:pPr>
            <w:r>
              <w:rPr>
                <w:rFonts w:ascii="Arial" w:cs="Arial" w:eastAsia="Arial" w:hAnsi="Arial"/>
                <w:sz w:val="20"/>
                <w:szCs w:val="20"/>
                <w:color w:val="auto"/>
              </w:rPr>
              <w:t>Germany</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Vorsorge Trust GmbH</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Germany</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WTW Falcon GmbH</w:t>
            </w:r>
          </w:p>
        </w:tc>
        <w:tc>
          <w:tcPr>
            <w:tcW w:w="3800" w:type="dxa"/>
            <w:vAlign w:val="bottom"/>
          </w:tcPr>
          <w:p>
            <w:pPr>
              <w:ind w:left="380"/>
              <w:spacing w:after="0"/>
              <w:rPr>
                <w:sz w:val="20"/>
                <w:szCs w:val="20"/>
                <w:color w:val="auto"/>
              </w:rPr>
            </w:pPr>
            <w:r>
              <w:rPr>
                <w:rFonts w:ascii="Arial" w:cs="Arial" w:eastAsia="Arial" w:hAnsi="Arial"/>
                <w:sz w:val="20"/>
                <w:szCs w:val="20"/>
                <w:color w:val="auto"/>
              </w:rPr>
              <w:t>Germany</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Germany A GmbH</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Germany</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WTW Germany Financing Company GmbH</w:t>
            </w:r>
          </w:p>
        </w:tc>
        <w:tc>
          <w:tcPr>
            <w:tcW w:w="3800" w:type="dxa"/>
            <w:vAlign w:val="bottom"/>
          </w:tcPr>
          <w:p>
            <w:pPr>
              <w:ind w:left="380"/>
              <w:spacing w:after="0"/>
              <w:rPr>
                <w:sz w:val="20"/>
                <w:szCs w:val="20"/>
                <w:color w:val="auto"/>
              </w:rPr>
            </w:pPr>
            <w:r>
              <w:rPr>
                <w:rFonts w:ascii="Arial" w:cs="Arial" w:eastAsia="Arial" w:hAnsi="Arial"/>
                <w:sz w:val="20"/>
                <w:szCs w:val="20"/>
                <w:color w:val="auto"/>
              </w:rPr>
              <w:t>Germany</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Germany Operations Holding GmbH</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Germany</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WTW Grimme GmbH</w:t>
            </w:r>
          </w:p>
        </w:tc>
        <w:tc>
          <w:tcPr>
            <w:tcW w:w="3800" w:type="dxa"/>
            <w:vAlign w:val="bottom"/>
          </w:tcPr>
          <w:p>
            <w:pPr>
              <w:ind w:left="380"/>
              <w:spacing w:after="0"/>
              <w:rPr>
                <w:sz w:val="20"/>
                <w:szCs w:val="20"/>
                <w:color w:val="auto"/>
              </w:rPr>
            </w:pPr>
            <w:r>
              <w:rPr>
                <w:rFonts w:ascii="Arial" w:cs="Arial" w:eastAsia="Arial" w:hAnsi="Arial"/>
                <w:sz w:val="20"/>
                <w:szCs w:val="20"/>
                <w:color w:val="auto"/>
              </w:rPr>
              <w:t>Germany</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Pensionsfonds AG</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Germany</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WV Versicherungsmakler GmbH</w:t>
            </w:r>
          </w:p>
        </w:tc>
        <w:tc>
          <w:tcPr>
            <w:tcW w:w="3800" w:type="dxa"/>
            <w:vAlign w:val="bottom"/>
          </w:tcPr>
          <w:p>
            <w:pPr>
              <w:ind w:left="380"/>
              <w:spacing w:after="0"/>
              <w:rPr>
                <w:sz w:val="20"/>
                <w:szCs w:val="20"/>
                <w:color w:val="auto"/>
              </w:rPr>
            </w:pPr>
            <w:r>
              <w:rPr>
                <w:rFonts w:ascii="Arial" w:cs="Arial" w:eastAsia="Arial" w:hAnsi="Arial"/>
                <w:sz w:val="20"/>
                <w:szCs w:val="20"/>
                <w:color w:val="auto"/>
              </w:rPr>
              <w:t>Germany</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Zeitinvest-Service GmbH</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Germany</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Ghana Ltd</w:t>
            </w:r>
          </w:p>
        </w:tc>
        <w:tc>
          <w:tcPr>
            <w:tcW w:w="3800" w:type="dxa"/>
            <w:vAlign w:val="bottom"/>
          </w:tcPr>
          <w:p>
            <w:pPr>
              <w:ind w:left="380"/>
              <w:spacing w:after="0"/>
              <w:rPr>
                <w:sz w:val="20"/>
                <w:szCs w:val="20"/>
                <w:color w:val="auto"/>
              </w:rPr>
            </w:pPr>
            <w:r>
              <w:rPr>
                <w:rFonts w:ascii="Arial" w:cs="Arial" w:eastAsia="Arial" w:hAnsi="Arial"/>
                <w:sz w:val="20"/>
                <w:szCs w:val="20"/>
                <w:color w:val="auto"/>
              </w:rPr>
              <w:t>Ghana</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59"/>
        </w:trPr>
        <w:tc>
          <w:tcPr>
            <w:tcW w:w="5600" w:type="dxa"/>
            <w:vAlign w:val="bottom"/>
            <w:shd w:val="clear" w:color="auto" w:fill="CFF0FC"/>
          </w:tcPr>
          <w:p>
            <w:pPr>
              <w:spacing w:after="0"/>
              <w:rPr>
                <w:sz w:val="20"/>
                <w:szCs w:val="20"/>
                <w:color w:val="auto"/>
              </w:rPr>
            </w:pPr>
            <w:r>
              <w:rPr>
                <w:rFonts w:ascii="Arial" w:cs="Arial" w:eastAsia="Arial" w:hAnsi="Arial"/>
                <w:sz w:val="20"/>
                <w:szCs w:val="20"/>
                <w:color w:val="auto"/>
              </w:rPr>
              <w:t>Willis Towers Watson Management (Gibraltar) Limited</w:t>
            </w:r>
          </w:p>
        </w:tc>
        <w:tc>
          <w:tcPr>
            <w:tcW w:w="3800" w:type="dxa"/>
            <w:vAlign w:val="bottom"/>
            <w:shd w:val="clear" w:color="auto" w:fill="CFF0FC"/>
          </w:tcPr>
          <w:p>
            <w:pPr>
              <w:ind w:left="380"/>
              <w:spacing w:after="0"/>
              <w:rPr>
                <w:sz w:val="20"/>
                <w:szCs w:val="20"/>
                <w:color w:val="auto"/>
              </w:rPr>
            </w:pPr>
            <w:r>
              <w:rPr>
                <w:rFonts w:ascii="Arial" w:cs="Arial" w:eastAsia="Arial" w:hAnsi="Arial"/>
                <w:sz w:val="20"/>
                <w:szCs w:val="20"/>
                <w:color w:val="auto"/>
              </w:rPr>
              <w:t>Gibraltar</w:t>
            </w:r>
          </w:p>
        </w:tc>
      </w:tr>
      <w:tr>
        <w:trPr>
          <w:trHeight w:val="41"/>
        </w:trPr>
        <w:tc>
          <w:tcPr>
            <w:tcW w:w="5600" w:type="dxa"/>
            <w:vAlign w:val="bottom"/>
            <w:shd w:val="clear" w:color="auto" w:fill="CFF0FC"/>
          </w:tcPr>
          <w:p>
            <w:pPr>
              <w:spacing w:after="0"/>
              <w:rPr>
                <w:sz w:val="3"/>
                <w:szCs w:val="3"/>
                <w:color w:val="auto"/>
              </w:rPr>
            </w:pPr>
          </w:p>
        </w:tc>
        <w:tc>
          <w:tcPr>
            <w:tcW w:w="3800" w:type="dxa"/>
            <w:vAlign w:val="bottom"/>
            <w:shd w:val="clear" w:color="auto" w:fill="CFF0FC"/>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53 / 60</w:t>
      </w:r>
    </w:p>
    <w:p>
      <w:pPr>
        <w:sectPr>
          <w:pgSz w:w="11900" w:h="16838" w:orient="portrait"/>
          <w:cols w:equalWidth="0" w:num="1">
            <w:col w:w="9400"/>
          </w:cols>
          <w:pgMar w:left="1260" w:top="1440" w:right="1246" w:bottom="0" w:gutter="0" w:footer="0" w:header="0"/>
          <w:type w:val="continuous"/>
        </w:sectPr>
      </w:pPr>
    </w:p>
    <w:bookmarkStart w:id="313" w:name="page314"/>
    <w:bookmarkEnd w:id="313"/>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20"/>
                <w:szCs w:val="20"/>
                <w:color w:val="auto"/>
                <w:w w:val="92"/>
              </w:rPr>
              <w:t>Willis Towers Watson Greece Insurance Agents and Insurance Agents’</w:t>
            </w:r>
          </w:p>
        </w:tc>
        <w:tc>
          <w:tcPr>
            <w:tcW w:w="3560" w:type="dxa"/>
            <w:vAlign w:val="bottom"/>
          </w:tcPr>
          <w:p>
            <w:pPr>
              <w:spacing w:after="0"/>
              <w:rPr>
                <w:sz w:val="19"/>
                <w:szCs w:val="19"/>
                <w:color w:val="auto"/>
              </w:rPr>
            </w:pPr>
          </w:p>
        </w:tc>
      </w:tr>
      <w:tr>
        <w:trPr>
          <w:trHeight w:val="300"/>
        </w:trPr>
        <w:tc>
          <w:tcPr>
            <w:tcW w:w="5840" w:type="dxa"/>
            <w:vAlign w:val="bottom"/>
          </w:tcPr>
          <w:p>
            <w:pPr>
              <w:spacing w:after="0"/>
              <w:rPr>
                <w:sz w:val="20"/>
                <w:szCs w:val="20"/>
                <w:color w:val="auto"/>
              </w:rPr>
            </w:pPr>
            <w:r>
              <w:rPr>
                <w:rFonts w:ascii="Arial" w:cs="Arial" w:eastAsia="Arial" w:hAnsi="Arial"/>
                <w:sz w:val="20"/>
                <w:szCs w:val="20"/>
                <w:color w:val="auto"/>
              </w:rPr>
              <w:t>Coordinators Single Member Societe Anonyme</w:t>
            </w:r>
          </w:p>
        </w:tc>
        <w:tc>
          <w:tcPr>
            <w:tcW w:w="3560" w:type="dxa"/>
            <w:vAlign w:val="bottom"/>
          </w:tcPr>
          <w:p>
            <w:pPr>
              <w:ind w:left="140"/>
              <w:spacing w:after="0"/>
              <w:rPr>
                <w:sz w:val="20"/>
                <w:szCs w:val="20"/>
                <w:color w:val="auto"/>
              </w:rPr>
            </w:pPr>
            <w:r>
              <w:rPr>
                <w:rFonts w:ascii="Arial" w:cs="Arial" w:eastAsia="Arial" w:hAnsi="Arial"/>
                <w:sz w:val="20"/>
                <w:szCs w:val="20"/>
                <w:color w:val="auto"/>
              </w:rPr>
              <w:t>Greece</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Greece Insurance Brokers S.A.</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Greece</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Promotores Unity - Corredores de Seguros, Sociedad Anonima</w:t>
            </w:r>
          </w:p>
        </w:tc>
        <w:tc>
          <w:tcPr>
            <w:tcW w:w="3560" w:type="dxa"/>
            <w:vAlign w:val="bottom"/>
          </w:tcPr>
          <w:p>
            <w:pPr>
              <w:ind w:left="140"/>
              <w:spacing w:after="0"/>
              <w:rPr>
                <w:sz w:val="20"/>
                <w:szCs w:val="20"/>
                <w:color w:val="auto"/>
              </w:rPr>
            </w:pPr>
            <w:r>
              <w:rPr>
                <w:rFonts w:ascii="Arial" w:cs="Arial" w:eastAsia="Arial" w:hAnsi="Arial"/>
                <w:sz w:val="20"/>
                <w:szCs w:val="20"/>
                <w:color w:val="auto"/>
              </w:rPr>
              <w:t>Guatemala</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Lime Street Insurance Guernsey PCC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Guernsey</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Willis Towers Watson Guernsey ICC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Guernsey</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Management (Guernsey)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Guernsey</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WTW Treasury (Guernsey) 2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Guernsey</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Corredores de Seguros Honduras</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Honduras</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Towers Watson Hong Kong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Hong Kong</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Towers Watson Investment Services Hong Kong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Hong Kong</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Willis Hong Kong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Hong Kong</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Management (HK) Pty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Hong Kong</w:t>
            </w:r>
          </w:p>
        </w:tc>
      </w:tr>
      <w:tr>
        <w:trPr>
          <w:trHeight w:val="1570"/>
        </w:trPr>
        <w:tc>
          <w:tcPr>
            <w:tcW w:w="5840" w:type="dxa"/>
            <w:vAlign w:val="bottom"/>
            <w:tcBorders>
              <w:bottom w:val="single" w:sz="8" w:color="010101"/>
            </w:tcBorders>
          </w:tcPr>
          <w:p>
            <w:pPr>
              <w:spacing w:after="0"/>
              <w:rPr>
                <w:sz w:val="24"/>
                <w:szCs w:val="24"/>
                <w:color w:val="auto"/>
              </w:rPr>
            </w:pPr>
          </w:p>
        </w:tc>
        <w:tc>
          <w:tcPr>
            <w:tcW w:w="3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6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70">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54 / 60</w:t>
      </w:r>
    </w:p>
    <w:p>
      <w:pPr>
        <w:sectPr>
          <w:pgSz w:w="11900" w:h="16838" w:orient="portrait"/>
          <w:cols w:equalWidth="0" w:num="1">
            <w:col w:w="9400"/>
          </w:cols>
          <w:pgMar w:left="1260" w:top="1163" w:right="1246" w:bottom="0" w:gutter="0" w:footer="0" w:header="0"/>
          <w:type w:val="continuous"/>
        </w:sectPr>
      </w:pPr>
    </w:p>
    <w:bookmarkStart w:id="314" w:name="page315"/>
    <w:bookmarkEnd w:id="3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20"/>
                <w:szCs w:val="20"/>
                <w:color w:val="auto"/>
                <w:w w:val="95"/>
              </w:rPr>
              <w:t>Willis Towers Watson Magyarorszag Biztositasi Alkusz es Tanacsado</w:t>
            </w:r>
          </w:p>
        </w:tc>
        <w:tc>
          <w:tcPr>
            <w:tcW w:w="3540" w:type="dxa"/>
            <w:vAlign w:val="bottom"/>
          </w:tcPr>
          <w:p>
            <w:pPr>
              <w:ind w:left="120"/>
              <w:spacing w:after="0"/>
              <w:rPr>
                <w:sz w:val="20"/>
                <w:szCs w:val="20"/>
                <w:color w:val="auto"/>
              </w:rPr>
            </w:pPr>
            <w:r>
              <w:rPr>
                <w:rFonts w:ascii="Arial" w:cs="Arial" w:eastAsia="Arial" w:hAnsi="Arial"/>
                <w:sz w:val="20"/>
                <w:szCs w:val="20"/>
                <w:color w:val="auto"/>
              </w:rPr>
              <w:t>Hungary</w:t>
            </w:r>
          </w:p>
        </w:tc>
      </w:tr>
      <w:tr>
        <w:trPr>
          <w:trHeight w:val="300"/>
        </w:trPr>
        <w:tc>
          <w:tcPr>
            <w:tcW w:w="5860" w:type="dxa"/>
            <w:vAlign w:val="bottom"/>
          </w:tcPr>
          <w:p>
            <w:pPr>
              <w:spacing w:after="0"/>
              <w:rPr>
                <w:sz w:val="20"/>
                <w:szCs w:val="20"/>
                <w:color w:val="auto"/>
              </w:rPr>
            </w:pPr>
            <w:r>
              <w:rPr>
                <w:rFonts w:ascii="Arial" w:cs="Arial" w:eastAsia="Arial" w:hAnsi="Arial"/>
                <w:sz w:val="20"/>
                <w:szCs w:val="20"/>
                <w:color w:val="auto"/>
              </w:rPr>
              <w:t>Kft</w:t>
            </w:r>
          </w:p>
        </w:tc>
        <w:tc>
          <w:tcPr>
            <w:tcW w:w="3540" w:type="dxa"/>
            <w:vAlign w:val="bottom"/>
          </w:tcPr>
          <w:p>
            <w:pPr>
              <w:spacing w:after="0"/>
              <w:rPr>
                <w:sz w:val="24"/>
                <w:szCs w:val="24"/>
                <w:color w:val="auto"/>
              </w:rPr>
            </w:pP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Acclaris Business Solutions Private Limited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India</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Ternary Risk Consultancy and Management Private Limited</w:t>
            </w:r>
          </w:p>
        </w:tc>
        <w:tc>
          <w:tcPr>
            <w:tcW w:w="3540" w:type="dxa"/>
            <w:vAlign w:val="bottom"/>
          </w:tcPr>
          <w:p>
            <w:pPr>
              <w:ind w:left="120"/>
              <w:spacing w:after="0"/>
              <w:rPr>
                <w:sz w:val="20"/>
                <w:szCs w:val="20"/>
                <w:color w:val="auto"/>
              </w:rPr>
            </w:pPr>
            <w:r>
              <w:rPr>
                <w:rFonts w:ascii="Arial" w:cs="Arial" w:eastAsia="Arial" w:hAnsi="Arial"/>
                <w:sz w:val="20"/>
                <w:szCs w:val="20"/>
                <w:color w:val="auto"/>
              </w:rPr>
              <w:t>India</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India Insurance Brokers Private Limited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India</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India Private Limited</w:t>
            </w:r>
          </w:p>
        </w:tc>
        <w:tc>
          <w:tcPr>
            <w:tcW w:w="3540" w:type="dxa"/>
            <w:vAlign w:val="bottom"/>
          </w:tcPr>
          <w:p>
            <w:pPr>
              <w:ind w:left="120"/>
              <w:spacing w:after="0"/>
              <w:rPr>
                <w:sz w:val="20"/>
                <w:szCs w:val="20"/>
                <w:color w:val="auto"/>
              </w:rPr>
            </w:pPr>
            <w:r>
              <w:rPr>
                <w:rFonts w:ascii="Arial" w:cs="Arial" w:eastAsia="Arial" w:hAnsi="Arial"/>
                <w:sz w:val="20"/>
                <w:szCs w:val="20"/>
                <w:color w:val="auto"/>
              </w:rPr>
              <w:t>India</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Global Delivery and Solutions India Private Limited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India</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PT Towers Watson Indonesia</w:t>
            </w:r>
          </w:p>
        </w:tc>
        <w:tc>
          <w:tcPr>
            <w:tcW w:w="3540" w:type="dxa"/>
            <w:vAlign w:val="bottom"/>
          </w:tcPr>
          <w:p>
            <w:pPr>
              <w:ind w:left="120"/>
              <w:spacing w:after="0"/>
              <w:rPr>
                <w:sz w:val="20"/>
                <w:szCs w:val="20"/>
                <w:color w:val="auto"/>
              </w:rPr>
            </w:pPr>
            <w:r>
              <w:rPr>
                <w:rFonts w:ascii="Arial" w:cs="Arial" w:eastAsia="Arial" w:hAnsi="Arial"/>
                <w:sz w:val="20"/>
                <w:szCs w:val="20"/>
                <w:color w:val="auto"/>
              </w:rPr>
              <w:t>Indonesia</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PT Willis Reinsurance Brokers Indonesia</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Indonesia</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PT Willis Towers Watson Insurance Broker Indonesia</w:t>
            </w:r>
          </w:p>
        </w:tc>
        <w:tc>
          <w:tcPr>
            <w:tcW w:w="3540" w:type="dxa"/>
            <w:vAlign w:val="bottom"/>
          </w:tcPr>
          <w:p>
            <w:pPr>
              <w:ind w:left="120"/>
              <w:spacing w:after="0"/>
              <w:rPr>
                <w:sz w:val="20"/>
                <w:szCs w:val="20"/>
                <w:color w:val="auto"/>
              </w:rPr>
            </w:pPr>
            <w:r>
              <w:rPr>
                <w:rFonts w:ascii="Arial" w:cs="Arial" w:eastAsia="Arial" w:hAnsi="Arial"/>
                <w:sz w:val="20"/>
                <w:szCs w:val="20"/>
                <w:color w:val="auto"/>
              </w:rPr>
              <w:t>Indonesia</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LifeSight Ireland Trustees DAC</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Ireland</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Towers Watson Investment Management (Ireland) Limited</w:t>
            </w:r>
          </w:p>
        </w:tc>
        <w:tc>
          <w:tcPr>
            <w:tcW w:w="3540" w:type="dxa"/>
            <w:vAlign w:val="bottom"/>
          </w:tcPr>
          <w:p>
            <w:pPr>
              <w:ind w:left="120"/>
              <w:spacing w:after="0"/>
              <w:rPr>
                <w:sz w:val="20"/>
                <w:szCs w:val="20"/>
                <w:color w:val="auto"/>
              </w:rPr>
            </w:pPr>
            <w:r>
              <w:rPr>
                <w:rFonts w:ascii="Arial" w:cs="Arial" w:eastAsia="Arial" w:hAnsi="Arial"/>
                <w:sz w:val="20"/>
                <w:szCs w:val="20"/>
                <w:color w:val="auto"/>
              </w:rPr>
              <w:t>Ireland</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Trustee Principles Limited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Ireland</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GS Ireland Unlimited Company</w:t>
            </w:r>
          </w:p>
        </w:tc>
        <w:tc>
          <w:tcPr>
            <w:tcW w:w="3540" w:type="dxa"/>
            <w:vAlign w:val="bottom"/>
          </w:tcPr>
          <w:p>
            <w:pPr>
              <w:ind w:left="120"/>
              <w:spacing w:after="0"/>
              <w:rPr>
                <w:sz w:val="20"/>
                <w:szCs w:val="20"/>
                <w:color w:val="auto"/>
              </w:rPr>
            </w:pPr>
            <w:r>
              <w:rPr>
                <w:rFonts w:ascii="Arial" w:cs="Arial" w:eastAsia="Arial" w:hAnsi="Arial"/>
                <w:sz w:val="20"/>
                <w:szCs w:val="20"/>
                <w:color w:val="auto"/>
              </w:rPr>
              <w:t>Ireland</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Human Capital &amp; Benefits Ireland Limited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Ireland</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(Ireland) Limited</w:t>
            </w:r>
          </w:p>
        </w:tc>
        <w:tc>
          <w:tcPr>
            <w:tcW w:w="3540" w:type="dxa"/>
            <w:vAlign w:val="bottom"/>
          </w:tcPr>
          <w:p>
            <w:pPr>
              <w:ind w:left="120"/>
              <w:spacing w:after="0"/>
              <w:rPr>
                <w:sz w:val="20"/>
                <w:szCs w:val="20"/>
                <w:color w:val="auto"/>
              </w:rPr>
            </w:pPr>
            <w:r>
              <w:rPr>
                <w:rFonts w:ascii="Arial" w:cs="Arial" w:eastAsia="Arial" w:hAnsi="Arial"/>
                <w:sz w:val="20"/>
                <w:szCs w:val="20"/>
                <w:color w:val="auto"/>
              </w:rPr>
              <w:t>Ireland</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Holdings (Ireland) Limited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Ireland</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Insurances (Ireland) Limited</w:t>
            </w:r>
          </w:p>
        </w:tc>
        <w:tc>
          <w:tcPr>
            <w:tcW w:w="3540" w:type="dxa"/>
            <w:vAlign w:val="bottom"/>
          </w:tcPr>
          <w:p>
            <w:pPr>
              <w:ind w:left="120"/>
              <w:spacing w:after="0"/>
              <w:rPr>
                <w:sz w:val="20"/>
                <w:szCs w:val="20"/>
                <w:color w:val="auto"/>
              </w:rPr>
            </w:pPr>
            <w:r>
              <w:rPr>
                <w:rFonts w:ascii="Arial" w:cs="Arial" w:eastAsia="Arial" w:hAnsi="Arial"/>
                <w:sz w:val="20"/>
                <w:szCs w:val="20"/>
                <w:color w:val="auto"/>
              </w:rPr>
              <w:t>Ireland</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Life and Pensions Limited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Ireland</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Management (Dublin) Limited</w:t>
            </w:r>
          </w:p>
        </w:tc>
        <w:tc>
          <w:tcPr>
            <w:tcW w:w="3540" w:type="dxa"/>
            <w:vAlign w:val="bottom"/>
          </w:tcPr>
          <w:p>
            <w:pPr>
              <w:ind w:left="120"/>
              <w:spacing w:after="0"/>
              <w:rPr>
                <w:sz w:val="20"/>
                <w:szCs w:val="20"/>
                <w:color w:val="auto"/>
              </w:rPr>
            </w:pPr>
            <w:r>
              <w:rPr>
                <w:rFonts w:ascii="Arial" w:cs="Arial" w:eastAsia="Arial" w:hAnsi="Arial"/>
                <w:sz w:val="20"/>
                <w:szCs w:val="20"/>
                <w:color w:val="auto"/>
              </w:rPr>
              <w:t>Ireland</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Sub Holdings Unlimited Company</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Ireland</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Trade Credit and Surety Limited</w:t>
            </w:r>
          </w:p>
        </w:tc>
        <w:tc>
          <w:tcPr>
            <w:tcW w:w="3540" w:type="dxa"/>
            <w:vAlign w:val="bottom"/>
          </w:tcPr>
          <w:p>
            <w:pPr>
              <w:ind w:left="120"/>
              <w:spacing w:after="0"/>
              <w:rPr>
                <w:sz w:val="20"/>
                <w:szCs w:val="20"/>
                <w:color w:val="auto"/>
              </w:rPr>
            </w:pPr>
            <w:r>
              <w:rPr>
                <w:rFonts w:ascii="Arial" w:cs="Arial" w:eastAsia="Arial" w:hAnsi="Arial"/>
                <w:sz w:val="20"/>
                <w:szCs w:val="20"/>
                <w:color w:val="auto"/>
              </w:rPr>
              <w:t>Ireland</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Administration (Isle of Man) Limited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Isle of Man</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Management (Isle of Man) Limited</w:t>
            </w:r>
          </w:p>
        </w:tc>
        <w:tc>
          <w:tcPr>
            <w:tcW w:w="3540" w:type="dxa"/>
            <w:vAlign w:val="bottom"/>
          </w:tcPr>
          <w:p>
            <w:pPr>
              <w:ind w:left="120"/>
              <w:spacing w:after="0"/>
              <w:rPr>
                <w:sz w:val="20"/>
                <w:szCs w:val="20"/>
                <w:color w:val="auto"/>
              </w:rPr>
            </w:pPr>
            <w:r>
              <w:rPr>
                <w:rFonts w:ascii="Arial" w:cs="Arial" w:eastAsia="Arial" w:hAnsi="Arial"/>
                <w:sz w:val="20"/>
                <w:szCs w:val="20"/>
                <w:color w:val="auto"/>
              </w:rPr>
              <w:t>Isle of Man</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Israel Insurance Brokers Ltd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Israel</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Israel OMC Limited</w:t>
            </w:r>
          </w:p>
        </w:tc>
        <w:tc>
          <w:tcPr>
            <w:tcW w:w="3540" w:type="dxa"/>
            <w:vAlign w:val="bottom"/>
          </w:tcPr>
          <w:p>
            <w:pPr>
              <w:ind w:left="120"/>
              <w:spacing w:after="0"/>
              <w:rPr>
                <w:sz w:val="20"/>
                <w:szCs w:val="20"/>
                <w:color w:val="auto"/>
              </w:rPr>
            </w:pPr>
            <w:r>
              <w:rPr>
                <w:rFonts w:ascii="Arial" w:cs="Arial" w:eastAsia="Arial" w:hAnsi="Arial"/>
                <w:sz w:val="20"/>
                <w:szCs w:val="20"/>
                <w:color w:val="auto"/>
              </w:rPr>
              <w:t>Israel</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AIMUW S.p.A.</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Italy</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Towers Watson Italia Srl</w:t>
            </w:r>
          </w:p>
        </w:tc>
        <w:tc>
          <w:tcPr>
            <w:tcW w:w="3540" w:type="dxa"/>
            <w:vAlign w:val="bottom"/>
          </w:tcPr>
          <w:p>
            <w:pPr>
              <w:ind w:left="120"/>
              <w:spacing w:after="0"/>
              <w:rPr>
                <w:sz w:val="20"/>
                <w:szCs w:val="20"/>
                <w:color w:val="auto"/>
              </w:rPr>
            </w:pPr>
            <w:r>
              <w:rPr>
                <w:rFonts w:ascii="Arial" w:cs="Arial" w:eastAsia="Arial" w:hAnsi="Arial"/>
                <w:sz w:val="20"/>
                <w:szCs w:val="20"/>
                <w:color w:val="auto"/>
              </w:rPr>
              <w:t>Italy</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Willconsulting Srl</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Italy</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Italia S.p.A</w:t>
            </w:r>
          </w:p>
        </w:tc>
        <w:tc>
          <w:tcPr>
            <w:tcW w:w="3540" w:type="dxa"/>
            <w:vAlign w:val="bottom"/>
          </w:tcPr>
          <w:p>
            <w:pPr>
              <w:ind w:left="120"/>
              <w:spacing w:after="0"/>
              <w:rPr>
                <w:sz w:val="20"/>
                <w:szCs w:val="20"/>
                <w:color w:val="auto"/>
              </w:rPr>
            </w:pPr>
            <w:r>
              <w:rPr>
                <w:rFonts w:ascii="Arial" w:cs="Arial" w:eastAsia="Arial" w:hAnsi="Arial"/>
                <w:sz w:val="20"/>
                <w:szCs w:val="20"/>
                <w:color w:val="auto"/>
              </w:rPr>
              <w:t>Italy</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Towers Watson Investment Services K.K.</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Japan</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Towers Watson KK</w:t>
            </w:r>
          </w:p>
        </w:tc>
        <w:tc>
          <w:tcPr>
            <w:tcW w:w="3540" w:type="dxa"/>
            <w:vAlign w:val="bottom"/>
          </w:tcPr>
          <w:p>
            <w:pPr>
              <w:ind w:left="120"/>
              <w:spacing w:after="0"/>
              <w:rPr>
                <w:sz w:val="20"/>
                <w:szCs w:val="20"/>
                <w:color w:val="auto"/>
              </w:rPr>
            </w:pPr>
            <w:r>
              <w:rPr>
                <w:rFonts w:ascii="Arial" w:cs="Arial" w:eastAsia="Arial" w:hAnsi="Arial"/>
                <w:sz w:val="20"/>
                <w:szCs w:val="20"/>
                <w:color w:val="auto"/>
              </w:rPr>
              <w:t>Japan</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Broker Japan Co., Ltd.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Japan</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WTW Japan Co., Ltd.</w:t>
            </w:r>
          </w:p>
        </w:tc>
        <w:tc>
          <w:tcPr>
            <w:tcW w:w="3540" w:type="dxa"/>
            <w:vAlign w:val="bottom"/>
          </w:tcPr>
          <w:p>
            <w:pPr>
              <w:ind w:left="120"/>
              <w:spacing w:after="0"/>
              <w:rPr>
                <w:sz w:val="20"/>
                <w:szCs w:val="20"/>
                <w:color w:val="auto"/>
              </w:rPr>
            </w:pPr>
            <w:r>
              <w:rPr>
                <w:rFonts w:ascii="Arial" w:cs="Arial" w:eastAsia="Arial" w:hAnsi="Arial"/>
                <w:sz w:val="20"/>
                <w:szCs w:val="20"/>
                <w:color w:val="auto"/>
              </w:rPr>
              <w:t>Japan</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Japan Holdings Co., Ltd.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Japan</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WTW (Jersey) Limited</w:t>
            </w:r>
          </w:p>
        </w:tc>
        <w:tc>
          <w:tcPr>
            <w:tcW w:w="3540" w:type="dxa"/>
            <w:vAlign w:val="bottom"/>
          </w:tcPr>
          <w:p>
            <w:pPr>
              <w:ind w:left="120"/>
              <w:spacing w:after="0"/>
              <w:rPr>
                <w:sz w:val="20"/>
                <w:szCs w:val="20"/>
                <w:color w:val="auto"/>
              </w:rPr>
            </w:pPr>
            <w:r>
              <w:rPr>
                <w:rFonts w:ascii="Arial" w:cs="Arial" w:eastAsia="Arial" w:hAnsi="Arial"/>
                <w:sz w:val="20"/>
                <w:szCs w:val="20"/>
                <w:color w:val="auto"/>
              </w:rPr>
              <w:t>Jersey</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59"/>
        </w:trPr>
        <w:tc>
          <w:tcPr>
            <w:tcW w:w="5860" w:type="dxa"/>
            <w:vAlign w:val="bottom"/>
            <w:shd w:val="clear" w:color="auto" w:fill="CFF0FC"/>
          </w:tcPr>
          <w:p>
            <w:pPr>
              <w:spacing w:after="0"/>
              <w:rPr>
                <w:sz w:val="20"/>
                <w:szCs w:val="20"/>
                <w:color w:val="auto"/>
              </w:rPr>
            </w:pPr>
            <w:r>
              <w:rPr>
                <w:rFonts w:ascii="Arial" w:cs="Arial" w:eastAsia="Arial" w:hAnsi="Arial"/>
                <w:sz w:val="20"/>
                <w:szCs w:val="20"/>
                <w:color w:val="auto"/>
                <w:w w:val="95"/>
              </w:rPr>
              <w:t>Willis Towers Watson Insurance Broker (Kazakhstan) Limited Liability</w:t>
            </w:r>
          </w:p>
        </w:tc>
        <w:tc>
          <w:tcPr>
            <w:tcW w:w="3540" w:type="dxa"/>
            <w:vAlign w:val="bottom"/>
            <w:shd w:val="clear" w:color="auto" w:fill="CFF0FC"/>
          </w:tcPr>
          <w:p>
            <w:pPr>
              <w:ind w:left="120"/>
              <w:spacing w:after="0"/>
              <w:rPr>
                <w:sz w:val="20"/>
                <w:szCs w:val="20"/>
                <w:color w:val="auto"/>
              </w:rPr>
            </w:pPr>
            <w:r>
              <w:rPr>
                <w:rFonts w:ascii="Arial" w:cs="Arial" w:eastAsia="Arial" w:hAnsi="Arial"/>
                <w:sz w:val="20"/>
                <w:szCs w:val="20"/>
                <w:color w:val="auto"/>
              </w:rPr>
              <w:t>Kazakhstan</w:t>
            </w:r>
          </w:p>
        </w:tc>
      </w:tr>
      <w:tr>
        <w:trPr>
          <w:trHeight w:val="321"/>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Partnership</w:t>
            </w:r>
          </w:p>
        </w:tc>
        <w:tc>
          <w:tcPr>
            <w:tcW w:w="3540" w:type="dxa"/>
            <w:vAlign w:val="bottom"/>
            <w:tcBorders>
              <w:bottom w:val="single" w:sz="8" w:color="CFF0FC"/>
            </w:tcBorders>
            <w:shd w:val="clear" w:color="auto" w:fill="CFF0FC"/>
          </w:tcPr>
          <w:p>
            <w:pPr>
              <w:spacing w:after="0"/>
              <w:rPr>
                <w:sz w:val="24"/>
                <w:szCs w:val="24"/>
                <w:color w:val="auto"/>
              </w:rPr>
            </w:pP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Consulting Korea Limited</w:t>
            </w:r>
          </w:p>
        </w:tc>
        <w:tc>
          <w:tcPr>
            <w:tcW w:w="3540" w:type="dxa"/>
            <w:vAlign w:val="bottom"/>
          </w:tcPr>
          <w:p>
            <w:pPr>
              <w:ind w:left="120"/>
              <w:spacing w:after="0"/>
              <w:rPr>
                <w:sz w:val="20"/>
                <w:szCs w:val="20"/>
                <w:color w:val="auto"/>
              </w:rPr>
            </w:pPr>
            <w:r>
              <w:rPr>
                <w:rFonts w:ascii="Arial" w:cs="Arial" w:eastAsia="Arial" w:hAnsi="Arial"/>
                <w:sz w:val="20"/>
                <w:szCs w:val="20"/>
                <w:color w:val="auto"/>
              </w:rPr>
              <w:t>Korea, Republic of</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Insurance Korea Limited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Korea, Republic of</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Luxembourg S.A.</w:t>
            </w:r>
          </w:p>
        </w:tc>
        <w:tc>
          <w:tcPr>
            <w:tcW w:w="3540" w:type="dxa"/>
            <w:vAlign w:val="bottom"/>
          </w:tcPr>
          <w:p>
            <w:pPr>
              <w:ind w:left="120"/>
              <w:spacing w:after="0"/>
              <w:rPr>
                <w:sz w:val="20"/>
                <w:szCs w:val="20"/>
                <w:color w:val="auto"/>
              </w:rPr>
            </w:pPr>
            <w:r>
              <w:rPr>
                <w:rFonts w:ascii="Arial" w:cs="Arial" w:eastAsia="Arial" w:hAnsi="Arial"/>
                <w:sz w:val="20"/>
                <w:szCs w:val="20"/>
                <w:color w:val="auto"/>
              </w:rPr>
              <w:t>Luxembourg</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Management (Luxembourg)</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Luxembourg</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Towers Watson (Malaysia) Sdn Bhd</w:t>
            </w:r>
          </w:p>
        </w:tc>
        <w:tc>
          <w:tcPr>
            <w:tcW w:w="3540" w:type="dxa"/>
            <w:vAlign w:val="bottom"/>
          </w:tcPr>
          <w:p>
            <w:pPr>
              <w:ind w:left="120"/>
              <w:spacing w:after="0"/>
              <w:rPr>
                <w:sz w:val="20"/>
                <w:szCs w:val="20"/>
                <w:color w:val="auto"/>
              </w:rPr>
            </w:pPr>
            <w:r>
              <w:rPr>
                <w:rFonts w:ascii="Arial" w:cs="Arial" w:eastAsia="Arial" w:hAnsi="Arial"/>
                <w:sz w:val="20"/>
                <w:szCs w:val="20"/>
                <w:color w:val="auto"/>
              </w:rPr>
              <w:t>Malaysia</w:t>
            </w: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55 / 60</w:t>
      </w:r>
    </w:p>
    <w:p>
      <w:pPr>
        <w:sectPr>
          <w:pgSz w:w="11900" w:h="16838" w:orient="portrait"/>
          <w:cols w:equalWidth="0" w:num="1">
            <w:col w:w="9400"/>
          </w:cols>
          <w:pgMar w:left="1260" w:top="1440" w:right="1246" w:bottom="0" w:gutter="0" w:footer="0" w:header="0"/>
          <w:type w:val="continuous"/>
        </w:sectPr>
      </w:pPr>
    </w:p>
    <w:bookmarkStart w:id="315" w:name="page316"/>
    <w:bookmarkEnd w:id="315"/>
    <w:tbl>
      <w:tblPr>
        <w:tblLayout w:type="fixed"/>
        <w:tblInd w:w="0" w:type="dxa"/>
        <w:tblCellMar>
          <w:top w:w="0" w:type="dxa"/>
          <w:left w:w="0" w:type="dxa"/>
          <w:bottom w:w="0" w:type="dxa"/>
          <w:right w:w="0" w:type="dxa"/>
        </w:tblCellMar>
      </w:tblP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Risk Management (Malaysia) Sdn. Bhd.</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Malaysia</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Management (Labuan) Limited</w:t>
            </w:r>
          </w:p>
        </w:tc>
        <w:tc>
          <w:tcPr>
            <w:tcW w:w="3800" w:type="dxa"/>
            <w:vAlign w:val="bottom"/>
          </w:tcPr>
          <w:p>
            <w:pPr>
              <w:ind w:left="380"/>
              <w:spacing w:after="0"/>
              <w:rPr>
                <w:sz w:val="20"/>
                <w:szCs w:val="20"/>
                <w:color w:val="auto"/>
              </w:rPr>
            </w:pPr>
            <w:r>
              <w:rPr>
                <w:rFonts w:ascii="Arial" w:cs="Arial" w:eastAsia="Arial" w:hAnsi="Arial"/>
                <w:sz w:val="20"/>
                <w:szCs w:val="20"/>
                <w:color w:val="auto"/>
              </w:rPr>
              <w:t>Malaysia</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Lime Street Insurance PCC Limited</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Malta</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Management (Malta) Limited</w:t>
            </w:r>
          </w:p>
        </w:tc>
        <w:tc>
          <w:tcPr>
            <w:tcW w:w="3800" w:type="dxa"/>
            <w:vAlign w:val="bottom"/>
          </w:tcPr>
          <w:p>
            <w:pPr>
              <w:ind w:left="380"/>
              <w:spacing w:after="0"/>
              <w:rPr>
                <w:sz w:val="20"/>
                <w:szCs w:val="20"/>
                <w:color w:val="auto"/>
              </w:rPr>
            </w:pPr>
            <w:r>
              <w:rPr>
                <w:rFonts w:ascii="Arial" w:cs="Arial" w:eastAsia="Arial" w:hAnsi="Arial"/>
                <w:sz w:val="20"/>
                <w:szCs w:val="20"/>
                <w:color w:val="auto"/>
              </w:rPr>
              <w:t>Malta</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Services (Malta) Limited</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Malta</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(Mauritius) Ltd</w:t>
            </w:r>
          </w:p>
        </w:tc>
        <w:tc>
          <w:tcPr>
            <w:tcW w:w="3800" w:type="dxa"/>
            <w:vAlign w:val="bottom"/>
          </w:tcPr>
          <w:p>
            <w:pPr>
              <w:ind w:left="380"/>
              <w:spacing w:after="0"/>
              <w:rPr>
                <w:sz w:val="20"/>
                <w:szCs w:val="20"/>
                <w:color w:val="auto"/>
              </w:rPr>
            </w:pPr>
            <w:r>
              <w:rPr>
                <w:rFonts w:ascii="Arial" w:cs="Arial" w:eastAsia="Arial" w:hAnsi="Arial"/>
                <w:sz w:val="20"/>
                <w:szCs w:val="20"/>
                <w:color w:val="auto"/>
              </w:rPr>
              <w:t>Mauritius</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w w:val="94"/>
              </w:rPr>
              <w:t>Carsa Consultores, Agente de Seguros y de Fianzas, S.A. de C.V.</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Mexico</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Mexico, Intermediario de Reaseguro, S.A. de C.V.</w:t>
            </w:r>
          </w:p>
        </w:tc>
        <w:tc>
          <w:tcPr>
            <w:tcW w:w="3800" w:type="dxa"/>
            <w:vAlign w:val="bottom"/>
          </w:tcPr>
          <w:p>
            <w:pPr>
              <w:ind w:left="380"/>
              <w:spacing w:after="0"/>
              <w:rPr>
                <w:sz w:val="20"/>
                <w:szCs w:val="20"/>
                <w:color w:val="auto"/>
              </w:rPr>
            </w:pPr>
            <w:r>
              <w:rPr>
                <w:rFonts w:ascii="Arial" w:cs="Arial" w:eastAsia="Arial" w:hAnsi="Arial"/>
                <w:sz w:val="20"/>
                <w:szCs w:val="20"/>
                <w:color w:val="auto"/>
              </w:rPr>
              <w:t>Mexico</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Consultores Mexico, S. de R.L. de C.V.</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Mexico</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Towers Watson Servicios S. DE R.L. DE C.V.</w:t>
            </w:r>
          </w:p>
        </w:tc>
        <w:tc>
          <w:tcPr>
            <w:tcW w:w="3800" w:type="dxa"/>
            <w:vAlign w:val="bottom"/>
          </w:tcPr>
          <w:p>
            <w:pPr>
              <w:ind w:left="380"/>
              <w:spacing w:after="0"/>
              <w:rPr>
                <w:sz w:val="20"/>
                <w:szCs w:val="20"/>
                <w:color w:val="auto"/>
              </w:rPr>
            </w:pPr>
            <w:r>
              <w:rPr>
                <w:rFonts w:ascii="Arial" w:cs="Arial" w:eastAsia="Arial" w:hAnsi="Arial"/>
                <w:sz w:val="20"/>
                <w:szCs w:val="20"/>
                <w:color w:val="auto"/>
              </w:rPr>
              <w:t>Mexico</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Agente de Seguros y de Fianzas, S.A. de C.V.</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Mexico</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Towers Watson Netherlands B.V.</w:t>
            </w:r>
          </w:p>
        </w:tc>
        <w:tc>
          <w:tcPr>
            <w:tcW w:w="3800" w:type="dxa"/>
            <w:vAlign w:val="bottom"/>
          </w:tcPr>
          <w:p>
            <w:pPr>
              <w:ind w:left="380"/>
              <w:spacing w:after="0"/>
              <w:rPr>
                <w:sz w:val="20"/>
                <w:szCs w:val="20"/>
                <w:color w:val="auto"/>
              </w:rPr>
            </w:pPr>
            <w:r>
              <w:rPr>
                <w:rFonts w:ascii="Arial" w:cs="Arial" w:eastAsia="Arial" w:hAnsi="Arial"/>
                <w:sz w:val="20"/>
                <w:szCs w:val="20"/>
                <w:color w:val="auto"/>
              </w:rPr>
              <w:t>Netherlands</w:t>
            </w:r>
          </w:p>
        </w:tc>
      </w:tr>
      <w:tr>
        <w:trPr>
          <w:trHeight w:val="41"/>
        </w:trPr>
        <w:tc>
          <w:tcPr>
            <w:tcW w:w="5600" w:type="dxa"/>
            <w:vAlign w:val="bottom"/>
          </w:tcPr>
          <w:p>
            <w:pPr>
              <w:spacing w:after="0"/>
              <w:rPr>
                <w:sz w:val="3"/>
                <w:szCs w:val="3"/>
                <w:color w:val="auto"/>
              </w:rPr>
            </w:pPr>
          </w:p>
        </w:tc>
        <w:tc>
          <w:tcPr>
            <w:tcW w:w="3800" w:type="dxa"/>
            <w:vAlign w:val="bottom"/>
          </w:tcPr>
          <w:p>
            <w:pPr>
              <w:spacing w:after="0"/>
              <w:rPr>
                <w:sz w:val="3"/>
                <w:szCs w:val="3"/>
                <w:color w:val="auto"/>
              </w:rPr>
            </w:pPr>
          </w:p>
        </w:tc>
      </w:tr>
      <w:tr>
        <w:trPr>
          <w:trHeight w:val="28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B.V.</w:t>
            </w:r>
          </w:p>
        </w:tc>
        <w:tc>
          <w:tcPr>
            <w:tcW w:w="3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Netherlands</w:t>
            </w:r>
          </w:p>
        </w:tc>
      </w:tr>
      <w:tr>
        <w:trPr>
          <w:trHeight w:val="259"/>
        </w:trPr>
        <w:tc>
          <w:tcPr>
            <w:tcW w:w="5600" w:type="dxa"/>
            <w:vAlign w:val="bottom"/>
          </w:tcPr>
          <w:p>
            <w:pPr>
              <w:spacing w:after="0"/>
              <w:rPr>
                <w:sz w:val="20"/>
                <w:szCs w:val="20"/>
                <w:color w:val="auto"/>
              </w:rPr>
            </w:pPr>
            <w:r>
              <w:rPr>
                <w:rFonts w:ascii="Arial" w:cs="Arial" w:eastAsia="Arial" w:hAnsi="Arial"/>
                <w:sz w:val="20"/>
                <w:szCs w:val="20"/>
                <w:color w:val="auto"/>
              </w:rPr>
              <w:t>Willis Europe B.V.</w:t>
            </w:r>
          </w:p>
        </w:tc>
        <w:tc>
          <w:tcPr>
            <w:tcW w:w="3800" w:type="dxa"/>
            <w:vAlign w:val="bottom"/>
          </w:tcPr>
          <w:p>
            <w:pPr>
              <w:ind w:left="380"/>
              <w:spacing w:after="0"/>
              <w:rPr>
                <w:sz w:val="20"/>
                <w:szCs w:val="20"/>
                <w:color w:val="auto"/>
              </w:rPr>
            </w:pPr>
            <w:r>
              <w:rPr>
                <w:rFonts w:ascii="Arial" w:cs="Arial" w:eastAsia="Arial" w:hAnsi="Arial"/>
                <w:sz w:val="20"/>
                <w:szCs w:val="20"/>
                <w:color w:val="auto"/>
              </w:rPr>
              <w:t>Netherlands</w:t>
            </w:r>
          </w:p>
        </w:tc>
      </w:tr>
      <w:tr>
        <w:trPr>
          <w:trHeight w:val="1611"/>
        </w:trPr>
        <w:tc>
          <w:tcPr>
            <w:tcW w:w="5600" w:type="dxa"/>
            <w:vAlign w:val="bottom"/>
            <w:tcBorders>
              <w:bottom w:val="single" w:sz="8" w:color="010101"/>
            </w:tcBorders>
          </w:tcPr>
          <w:p>
            <w:pPr>
              <w:spacing w:after="0"/>
              <w:rPr>
                <w:sz w:val="24"/>
                <w:szCs w:val="24"/>
                <w:color w:val="auto"/>
              </w:rPr>
            </w:pPr>
          </w:p>
        </w:tc>
        <w:tc>
          <w:tcPr>
            <w:tcW w:w="38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7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72">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56 / 60</w:t>
      </w:r>
    </w:p>
    <w:p>
      <w:pPr>
        <w:sectPr>
          <w:pgSz w:w="11900" w:h="16838" w:orient="portrait"/>
          <w:cols w:equalWidth="0" w:num="1">
            <w:col w:w="9400"/>
          </w:cols>
          <w:pgMar w:left="1260" w:top="1133" w:right="1246" w:bottom="0" w:gutter="0" w:footer="0" w:header="0"/>
          <w:type w:val="continuous"/>
        </w:sectPr>
      </w:pPr>
    </w:p>
    <w:bookmarkStart w:id="316" w:name="page317"/>
    <w:bookmarkEnd w:id="3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Nederland B.V.</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Netherlands</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WTW Global Treasury Company B.V.</w:t>
            </w:r>
          </w:p>
        </w:tc>
        <w:tc>
          <w:tcPr>
            <w:tcW w:w="3540" w:type="dxa"/>
            <w:vAlign w:val="bottom"/>
          </w:tcPr>
          <w:p>
            <w:pPr>
              <w:ind w:left="120"/>
              <w:spacing w:after="0"/>
              <w:rPr>
                <w:sz w:val="20"/>
                <w:szCs w:val="20"/>
                <w:color w:val="auto"/>
              </w:rPr>
            </w:pPr>
            <w:r>
              <w:rPr>
                <w:rFonts w:ascii="Arial" w:cs="Arial" w:eastAsia="Arial" w:hAnsi="Arial"/>
                <w:sz w:val="20"/>
                <w:szCs w:val="20"/>
                <w:color w:val="auto"/>
              </w:rPr>
              <w:t>Netherlands</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Nouvelle-Calédonie</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New Caledonia</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New Zealand Limited</w:t>
            </w:r>
          </w:p>
        </w:tc>
        <w:tc>
          <w:tcPr>
            <w:tcW w:w="3540" w:type="dxa"/>
            <w:vAlign w:val="bottom"/>
          </w:tcPr>
          <w:p>
            <w:pPr>
              <w:ind w:left="120"/>
              <w:spacing w:after="0"/>
              <w:rPr>
                <w:sz w:val="20"/>
                <w:szCs w:val="20"/>
                <w:color w:val="auto"/>
              </w:rPr>
            </w:pPr>
            <w:r>
              <w:rPr>
                <w:rFonts w:ascii="Arial" w:cs="Arial" w:eastAsia="Arial" w:hAnsi="Arial"/>
                <w:sz w:val="20"/>
                <w:szCs w:val="20"/>
                <w:color w:val="auto"/>
              </w:rPr>
              <w:t>New Zealand</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Invercasa Correduria De Seguros, S.A.</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Nicaragua</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Nigeria Limited</w:t>
            </w:r>
          </w:p>
        </w:tc>
        <w:tc>
          <w:tcPr>
            <w:tcW w:w="3540" w:type="dxa"/>
            <w:vAlign w:val="bottom"/>
          </w:tcPr>
          <w:p>
            <w:pPr>
              <w:ind w:left="120"/>
              <w:spacing w:after="0"/>
              <w:rPr>
                <w:sz w:val="20"/>
                <w:szCs w:val="20"/>
                <w:color w:val="auto"/>
              </w:rPr>
            </w:pPr>
            <w:r>
              <w:rPr>
                <w:rFonts w:ascii="Arial" w:cs="Arial" w:eastAsia="Arial" w:hAnsi="Arial"/>
                <w:sz w:val="20"/>
                <w:szCs w:val="20"/>
                <w:color w:val="auto"/>
              </w:rPr>
              <w:t>Nigeria</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Forsikringspartner AS</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Norway</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AS</w:t>
            </w:r>
          </w:p>
        </w:tc>
        <w:tc>
          <w:tcPr>
            <w:tcW w:w="3540" w:type="dxa"/>
            <w:vAlign w:val="bottom"/>
          </w:tcPr>
          <w:p>
            <w:pPr>
              <w:ind w:left="120"/>
              <w:spacing w:after="0"/>
              <w:rPr>
                <w:sz w:val="20"/>
                <w:szCs w:val="20"/>
                <w:color w:val="auto"/>
              </w:rPr>
            </w:pPr>
            <w:r>
              <w:rPr>
                <w:rFonts w:ascii="Arial" w:cs="Arial" w:eastAsia="Arial" w:hAnsi="Arial"/>
                <w:sz w:val="20"/>
                <w:szCs w:val="20"/>
                <w:color w:val="auto"/>
              </w:rPr>
              <w:t>Norway</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Unity Willis Towers Watson Panama Services, S.A.</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Panama</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WTW Administrador de Corredores de Seguros de Panama S.A.</w:t>
            </w:r>
          </w:p>
        </w:tc>
        <w:tc>
          <w:tcPr>
            <w:tcW w:w="3540" w:type="dxa"/>
            <w:vAlign w:val="bottom"/>
          </w:tcPr>
          <w:p>
            <w:pPr>
              <w:ind w:left="120"/>
              <w:spacing w:after="0"/>
              <w:rPr>
                <w:sz w:val="20"/>
                <w:szCs w:val="20"/>
                <w:color w:val="auto"/>
              </w:rPr>
            </w:pPr>
            <w:r>
              <w:rPr>
                <w:rFonts w:ascii="Arial" w:cs="Arial" w:eastAsia="Arial" w:hAnsi="Arial"/>
                <w:sz w:val="20"/>
                <w:szCs w:val="20"/>
                <w:color w:val="auto"/>
              </w:rPr>
              <w:t>Panama</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Corredores de Seguros Panama, S.A.</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Panama</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Corredores de Reaseguros S.A.</w:t>
            </w:r>
          </w:p>
        </w:tc>
        <w:tc>
          <w:tcPr>
            <w:tcW w:w="3540" w:type="dxa"/>
            <w:vAlign w:val="bottom"/>
          </w:tcPr>
          <w:p>
            <w:pPr>
              <w:ind w:left="120"/>
              <w:spacing w:after="0"/>
              <w:rPr>
                <w:sz w:val="20"/>
                <w:szCs w:val="20"/>
                <w:color w:val="auto"/>
              </w:rPr>
            </w:pPr>
            <w:r>
              <w:rPr>
                <w:rFonts w:ascii="Arial" w:cs="Arial" w:eastAsia="Arial" w:hAnsi="Arial"/>
                <w:sz w:val="20"/>
                <w:szCs w:val="20"/>
                <w:color w:val="auto"/>
              </w:rPr>
              <w:t>Peru</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Corredores de Seguros S.A.</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Peru</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WTW Perú Consultores y Comercializadores S.A.C.</w:t>
            </w:r>
          </w:p>
        </w:tc>
        <w:tc>
          <w:tcPr>
            <w:tcW w:w="3540" w:type="dxa"/>
            <w:vAlign w:val="bottom"/>
          </w:tcPr>
          <w:p>
            <w:pPr>
              <w:ind w:left="120"/>
              <w:spacing w:after="0"/>
              <w:rPr>
                <w:sz w:val="20"/>
                <w:szCs w:val="20"/>
                <w:color w:val="auto"/>
              </w:rPr>
            </w:pPr>
            <w:r>
              <w:rPr>
                <w:rFonts w:ascii="Arial" w:cs="Arial" w:eastAsia="Arial" w:hAnsi="Arial"/>
                <w:sz w:val="20"/>
                <w:szCs w:val="20"/>
                <w:color w:val="auto"/>
              </w:rPr>
              <w:t>Peru</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Philippines, Inc.</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Philippines</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WTW Insurance and Reinsurance Brokers Philippines, Inc.</w:t>
            </w:r>
          </w:p>
        </w:tc>
        <w:tc>
          <w:tcPr>
            <w:tcW w:w="3540" w:type="dxa"/>
            <w:vAlign w:val="bottom"/>
          </w:tcPr>
          <w:p>
            <w:pPr>
              <w:ind w:left="120"/>
              <w:spacing w:after="0"/>
              <w:rPr>
                <w:sz w:val="20"/>
                <w:szCs w:val="20"/>
                <w:color w:val="auto"/>
              </w:rPr>
            </w:pPr>
            <w:r>
              <w:rPr>
                <w:rFonts w:ascii="Arial" w:cs="Arial" w:eastAsia="Arial" w:hAnsi="Arial"/>
                <w:sz w:val="20"/>
                <w:szCs w:val="20"/>
                <w:color w:val="auto"/>
              </w:rPr>
              <w:t>Philippines</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Manila Global Delivery Center Ltd. Company</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Philippines</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Polska Sp. z o.o.</w:t>
            </w:r>
          </w:p>
        </w:tc>
        <w:tc>
          <w:tcPr>
            <w:tcW w:w="3540" w:type="dxa"/>
            <w:vAlign w:val="bottom"/>
          </w:tcPr>
          <w:p>
            <w:pPr>
              <w:ind w:left="120"/>
              <w:spacing w:after="0"/>
              <w:rPr>
                <w:sz w:val="20"/>
                <w:szCs w:val="20"/>
                <w:color w:val="auto"/>
              </w:rPr>
            </w:pPr>
            <w:r>
              <w:rPr>
                <w:rFonts w:ascii="Arial" w:cs="Arial" w:eastAsia="Arial" w:hAnsi="Arial"/>
                <w:sz w:val="20"/>
                <w:szCs w:val="20"/>
                <w:color w:val="auto"/>
              </w:rPr>
              <w:t>Poland</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Consulting Sp. z o.o.</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Poland</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WTW Services Sp. z o.o.</w:t>
            </w:r>
          </w:p>
        </w:tc>
        <w:tc>
          <w:tcPr>
            <w:tcW w:w="3540" w:type="dxa"/>
            <w:vAlign w:val="bottom"/>
          </w:tcPr>
          <w:p>
            <w:pPr>
              <w:ind w:left="120"/>
              <w:spacing w:after="0"/>
              <w:rPr>
                <w:sz w:val="20"/>
                <w:szCs w:val="20"/>
                <w:color w:val="auto"/>
              </w:rPr>
            </w:pPr>
            <w:r>
              <w:rPr>
                <w:rFonts w:ascii="Arial" w:cs="Arial" w:eastAsia="Arial" w:hAnsi="Arial"/>
                <w:sz w:val="20"/>
                <w:szCs w:val="20"/>
                <w:color w:val="auto"/>
              </w:rPr>
              <w:t>Poland</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Towers Watson (Portugal) Unipessoal, Limitada</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Portugal</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 Corretores de Seguros, S.A.</w:t>
            </w:r>
          </w:p>
        </w:tc>
        <w:tc>
          <w:tcPr>
            <w:tcW w:w="3540" w:type="dxa"/>
            <w:vAlign w:val="bottom"/>
          </w:tcPr>
          <w:p>
            <w:pPr>
              <w:ind w:left="120"/>
              <w:spacing w:after="0"/>
              <w:rPr>
                <w:sz w:val="20"/>
                <w:szCs w:val="20"/>
                <w:color w:val="auto"/>
              </w:rPr>
            </w:pPr>
            <w:r>
              <w:rPr>
                <w:rFonts w:ascii="Arial" w:cs="Arial" w:eastAsia="Arial" w:hAnsi="Arial"/>
                <w:sz w:val="20"/>
                <w:szCs w:val="20"/>
                <w:color w:val="auto"/>
              </w:rPr>
              <w:t>Portugal</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NSA Portugal SA</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Portugal</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Puerto Rico Insurance Brokerage Inc.</w:t>
            </w:r>
          </w:p>
        </w:tc>
        <w:tc>
          <w:tcPr>
            <w:tcW w:w="3540" w:type="dxa"/>
            <w:vAlign w:val="bottom"/>
          </w:tcPr>
          <w:p>
            <w:pPr>
              <w:ind w:left="120"/>
              <w:spacing w:after="0"/>
              <w:rPr>
                <w:sz w:val="20"/>
                <w:szCs w:val="20"/>
                <w:color w:val="auto"/>
              </w:rPr>
            </w:pPr>
            <w:r>
              <w:rPr>
                <w:rFonts w:ascii="Arial" w:cs="Arial" w:eastAsia="Arial" w:hAnsi="Arial"/>
                <w:sz w:val="20"/>
                <w:szCs w:val="20"/>
                <w:color w:val="auto"/>
              </w:rPr>
              <w:t>Puerto Rico</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QFC LLC</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Qatar</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Consulting Romania Srl</w:t>
            </w:r>
          </w:p>
        </w:tc>
        <w:tc>
          <w:tcPr>
            <w:tcW w:w="3540" w:type="dxa"/>
            <w:vAlign w:val="bottom"/>
          </w:tcPr>
          <w:p>
            <w:pPr>
              <w:ind w:left="120"/>
              <w:spacing w:after="0"/>
              <w:rPr>
                <w:sz w:val="20"/>
                <w:szCs w:val="20"/>
                <w:color w:val="auto"/>
              </w:rPr>
            </w:pPr>
            <w:r>
              <w:rPr>
                <w:rFonts w:ascii="Arial" w:cs="Arial" w:eastAsia="Arial" w:hAnsi="Arial"/>
                <w:sz w:val="20"/>
                <w:szCs w:val="20"/>
                <w:color w:val="auto"/>
              </w:rPr>
              <w:t>Romania</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w w:val="92"/>
              </w:rPr>
              <w:t>Willis Towers Watson Romania-Broker de asigurare-reasigurare S.R.L.</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Romania</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Towers Watson Saudi Arabia LLC</w:t>
            </w:r>
          </w:p>
        </w:tc>
        <w:tc>
          <w:tcPr>
            <w:tcW w:w="3540" w:type="dxa"/>
            <w:vAlign w:val="bottom"/>
          </w:tcPr>
          <w:p>
            <w:pPr>
              <w:ind w:left="120"/>
              <w:spacing w:after="0"/>
              <w:rPr>
                <w:sz w:val="20"/>
                <w:szCs w:val="20"/>
                <w:color w:val="auto"/>
              </w:rPr>
            </w:pPr>
            <w:r>
              <w:rPr>
                <w:rFonts w:ascii="Arial" w:cs="Arial" w:eastAsia="Arial" w:hAnsi="Arial"/>
                <w:sz w:val="20"/>
                <w:szCs w:val="20"/>
                <w:color w:val="auto"/>
              </w:rPr>
              <w:t>Saudi Arabia</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International Regional Headquarters LLC</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Saudi Arabia</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WTW Insurance Brokerage Company LLC</w:t>
            </w:r>
          </w:p>
        </w:tc>
        <w:tc>
          <w:tcPr>
            <w:tcW w:w="3540" w:type="dxa"/>
            <w:vAlign w:val="bottom"/>
          </w:tcPr>
          <w:p>
            <w:pPr>
              <w:ind w:left="120"/>
              <w:spacing w:after="0"/>
              <w:rPr>
                <w:sz w:val="20"/>
                <w:szCs w:val="20"/>
                <w:color w:val="auto"/>
              </w:rPr>
            </w:pPr>
            <w:r>
              <w:rPr>
                <w:rFonts w:ascii="Arial" w:cs="Arial" w:eastAsia="Arial" w:hAnsi="Arial"/>
                <w:sz w:val="20"/>
                <w:szCs w:val="20"/>
                <w:color w:val="auto"/>
              </w:rPr>
              <w:t>Saudi Arabia</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Reinsurance Brokerage Company LLC</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Saudi Arabia</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Consulting Senegal SA</w:t>
            </w:r>
          </w:p>
        </w:tc>
        <w:tc>
          <w:tcPr>
            <w:tcW w:w="3540" w:type="dxa"/>
            <w:vAlign w:val="bottom"/>
          </w:tcPr>
          <w:p>
            <w:pPr>
              <w:ind w:left="120"/>
              <w:spacing w:after="0"/>
              <w:rPr>
                <w:sz w:val="20"/>
                <w:szCs w:val="20"/>
                <w:color w:val="auto"/>
              </w:rPr>
            </w:pPr>
            <w:r>
              <w:rPr>
                <w:rFonts w:ascii="Arial" w:cs="Arial" w:eastAsia="Arial" w:hAnsi="Arial"/>
                <w:sz w:val="20"/>
                <w:szCs w:val="20"/>
                <w:color w:val="auto"/>
              </w:rPr>
              <w:t>Senegal</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Senegal SA</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Senegal</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w w:val="98"/>
              </w:rPr>
              <w:t>Drustvo za posredovanje u osiguranju WILLIS TOWERS WATSON</w:t>
            </w:r>
          </w:p>
        </w:tc>
        <w:tc>
          <w:tcPr>
            <w:tcW w:w="3540" w:type="dxa"/>
            <w:vAlign w:val="bottom"/>
          </w:tcPr>
          <w:p>
            <w:pPr>
              <w:ind w:left="120"/>
              <w:spacing w:after="0"/>
              <w:rPr>
                <w:sz w:val="20"/>
                <w:szCs w:val="20"/>
                <w:color w:val="auto"/>
              </w:rPr>
            </w:pPr>
            <w:r>
              <w:rPr>
                <w:rFonts w:ascii="Arial" w:cs="Arial" w:eastAsia="Arial" w:hAnsi="Arial"/>
                <w:sz w:val="20"/>
                <w:szCs w:val="20"/>
                <w:color w:val="auto"/>
              </w:rPr>
              <w:t>Serbia</w:t>
            </w:r>
          </w:p>
        </w:tc>
      </w:tr>
      <w:tr>
        <w:trPr>
          <w:trHeight w:val="300"/>
        </w:trPr>
        <w:tc>
          <w:tcPr>
            <w:tcW w:w="5860" w:type="dxa"/>
            <w:vAlign w:val="bottom"/>
          </w:tcPr>
          <w:p>
            <w:pPr>
              <w:spacing w:after="0"/>
              <w:rPr>
                <w:sz w:val="20"/>
                <w:szCs w:val="20"/>
                <w:color w:val="auto"/>
              </w:rPr>
            </w:pPr>
            <w:r>
              <w:rPr>
                <w:rFonts w:ascii="Arial" w:cs="Arial" w:eastAsia="Arial" w:hAnsi="Arial"/>
                <w:sz w:val="20"/>
                <w:szCs w:val="20"/>
                <w:color w:val="auto"/>
              </w:rPr>
              <w:t>DOO BEOGRAD</w:t>
            </w:r>
          </w:p>
        </w:tc>
        <w:tc>
          <w:tcPr>
            <w:tcW w:w="3540" w:type="dxa"/>
            <w:vAlign w:val="bottom"/>
          </w:tcPr>
          <w:p>
            <w:pPr>
              <w:spacing w:after="0"/>
              <w:rPr>
                <w:sz w:val="24"/>
                <w:szCs w:val="24"/>
                <w:color w:val="auto"/>
              </w:rPr>
            </w:pP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Brokers (Singapore) Pte. Ltd.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Singapore</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Consulting (Singapore) Pte. Ltd.</w:t>
            </w:r>
          </w:p>
        </w:tc>
        <w:tc>
          <w:tcPr>
            <w:tcW w:w="3540" w:type="dxa"/>
            <w:vAlign w:val="bottom"/>
          </w:tcPr>
          <w:p>
            <w:pPr>
              <w:ind w:left="120"/>
              <w:spacing w:after="0"/>
              <w:rPr>
                <w:sz w:val="20"/>
                <w:szCs w:val="20"/>
                <w:color w:val="auto"/>
              </w:rPr>
            </w:pPr>
            <w:r>
              <w:rPr>
                <w:rFonts w:ascii="Arial" w:cs="Arial" w:eastAsia="Arial" w:hAnsi="Arial"/>
                <w:sz w:val="20"/>
                <w:szCs w:val="20"/>
                <w:color w:val="auto"/>
              </w:rPr>
              <w:t>Singapore</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Health &amp; Benefits (SG) Pte. Ltd.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Singapore</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Willis Towers Watson Management (Singapore) Pte. Limited</w:t>
            </w:r>
          </w:p>
        </w:tc>
        <w:tc>
          <w:tcPr>
            <w:tcW w:w="3540" w:type="dxa"/>
            <w:vAlign w:val="bottom"/>
          </w:tcPr>
          <w:p>
            <w:pPr>
              <w:ind w:left="120"/>
              <w:spacing w:after="0"/>
              <w:rPr>
                <w:sz w:val="20"/>
                <w:szCs w:val="20"/>
                <w:color w:val="auto"/>
              </w:rPr>
            </w:pPr>
            <w:r>
              <w:rPr>
                <w:rFonts w:ascii="Arial" w:cs="Arial" w:eastAsia="Arial" w:hAnsi="Arial"/>
                <w:sz w:val="20"/>
                <w:szCs w:val="20"/>
                <w:color w:val="auto"/>
              </w:rPr>
              <w:t>Singapore</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Actuary Online (Pty) Ltd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South Africa</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Mutual Risk Advisory Services (Pty) Ltd</w:t>
            </w:r>
          </w:p>
        </w:tc>
        <w:tc>
          <w:tcPr>
            <w:tcW w:w="3540" w:type="dxa"/>
            <w:vAlign w:val="bottom"/>
          </w:tcPr>
          <w:p>
            <w:pPr>
              <w:ind w:left="120"/>
              <w:spacing w:after="0"/>
              <w:rPr>
                <w:sz w:val="20"/>
                <w:szCs w:val="20"/>
                <w:color w:val="auto"/>
              </w:rPr>
            </w:pPr>
            <w:r>
              <w:rPr>
                <w:rFonts w:ascii="Arial" w:cs="Arial" w:eastAsia="Arial" w:hAnsi="Arial"/>
                <w:sz w:val="20"/>
                <w:szCs w:val="20"/>
                <w:color w:val="auto"/>
              </w:rPr>
              <w:t>South Africa</w:t>
            </w:r>
          </w:p>
        </w:tc>
      </w:tr>
      <w:tr>
        <w:trPr>
          <w:trHeight w:val="41"/>
        </w:trPr>
        <w:tc>
          <w:tcPr>
            <w:tcW w:w="5860" w:type="dxa"/>
            <w:vAlign w:val="bottom"/>
          </w:tcPr>
          <w:p>
            <w:pPr>
              <w:spacing w:after="0"/>
              <w:rPr>
                <w:sz w:val="3"/>
                <w:szCs w:val="3"/>
                <w:color w:val="auto"/>
              </w:rPr>
            </w:pPr>
          </w:p>
        </w:tc>
        <w:tc>
          <w:tcPr>
            <w:tcW w:w="3540" w:type="dxa"/>
            <w:vAlign w:val="bottom"/>
          </w:tcPr>
          <w:p>
            <w:pPr>
              <w:spacing w:after="0"/>
              <w:rPr>
                <w:sz w:val="3"/>
                <w:szCs w:val="3"/>
                <w:color w:val="auto"/>
              </w:rPr>
            </w:pPr>
          </w:p>
        </w:tc>
      </w:tr>
      <w:tr>
        <w:trPr>
          <w:trHeight w:val="280"/>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Retirement Online (Pty) Limited</w:t>
            </w:r>
          </w:p>
        </w:tc>
        <w:tc>
          <w:tcPr>
            <w:tcW w:w="35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South Africa</w:t>
            </w:r>
          </w:p>
        </w:tc>
      </w:tr>
      <w:tr>
        <w:trPr>
          <w:trHeight w:val="259"/>
        </w:trPr>
        <w:tc>
          <w:tcPr>
            <w:tcW w:w="5860" w:type="dxa"/>
            <w:vAlign w:val="bottom"/>
          </w:tcPr>
          <w:p>
            <w:pPr>
              <w:spacing w:after="0"/>
              <w:rPr>
                <w:sz w:val="20"/>
                <w:szCs w:val="20"/>
                <w:color w:val="auto"/>
              </w:rPr>
            </w:pPr>
            <w:r>
              <w:rPr>
                <w:rFonts w:ascii="Arial" w:cs="Arial" w:eastAsia="Arial" w:hAnsi="Arial"/>
                <w:sz w:val="20"/>
                <w:szCs w:val="20"/>
                <w:color w:val="auto"/>
              </w:rPr>
              <w:t>Risk Capital Advisors Africa (Pty) Ltd</w:t>
            </w:r>
          </w:p>
        </w:tc>
        <w:tc>
          <w:tcPr>
            <w:tcW w:w="3540" w:type="dxa"/>
            <w:vAlign w:val="bottom"/>
          </w:tcPr>
          <w:p>
            <w:pPr>
              <w:ind w:left="120"/>
              <w:spacing w:after="0"/>
              <w:rPr>
                <w:sz w:val="20"/>
                <w:szCs w:val="20"/>
                <w:color w:val="auto"/>
              </w:rPr>
            </w:pPr>
            <w:r>
              <w:rPr>
                <w:rFonts w:ascii="Arial" w:cs="Arial" w:eastAsia="Arial" w:hAnsi="Arial"/>
                <w:sz w:val="20"/>
                <w:szCs w:val="20"/>
                <w:color w:val="auto"/>
              </w:rPr>
              <w:t>South Africa</w:t>
            </w: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57 / 60</w:t>
      </w:r>
    </w:p>
    <w:p>
      <w:pPr>
        <w:sectPr>
          <w:pgSz w:w="11900" w:h="16838" w:orient="portrait"/>
          <w:cols w:equalWidth="0" w:num="1">
            <w:col w:w="9400"/>
          </w:cols>
          <w:pgMar w:left="1260" w:top="1440" w:right="1246" w:bottom="0" w:gutter="0" w:footer="0" w:header="0"/>
          <w:type w:val="continuous"/>
        </w:sectPr>
      </w:pPr>
    </w:p>
    <w:bookmarkStart w:id="317" w:name="page318"/>
    <w:bookmarkEnd w:id="317"/>
    <w:tbl>
      <w:tblPr>
        <w:tblLayout w:type="fixed"/>
        <w:tblInd w:w="0" w:type="dxa"/>
        <w:tblCellMar>
          <w:top w:w="0" w:type="dxa"/>
          <w:left w:w="0" w:type="dxa"/>
          <w:bottom w:w="0" w:type="dxa"/>
          <w:right w:w="0" w:type="dxa"/>
        </w:tblCellMar>
      </w:tblPr>
      <w:tr>
        <w:trPr>
          <w:trHeight w:val="280"/>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Towers Watson (Pty) Ltd</w:t>
            </w:r>
          </w:p>
        </w:tc>
        <w:tc>
          <w:tcPr>
            <w:tcW w:w="42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20"/>
                <w:szCs w:val="20"/>
                <w:color w:val="auto"/>
              </w:rPr>
              <w:t>South Africa</w:t>
            </w:r>
          </w:p>
        </w:tc>
      </w:tr>
      <w:tr>
        <w:trPr>
          <w:trHeight w:val="259"/>
        </w:trPr>
        <w:tc>
          <w:tcPr>
            <w:tcW w:w="5200" w:type="dxa"/>
            <w:vAlign w:val="bottom"/>
          </w:tcPr>
          <w:p>
            <w:pPr>
              <w:spacing w:after="0"/>
              <w:rPr>
                <w:sz w:val="20"/>
                <w:szCs w:val="20"/>
                <w:color w:val="auto"/>
              </w:rPr>
            </w:pPr>
            <w:r>
              <w:rPr>
                <w:rFonts w:ascii="Arial" w:cs="Arial" w:eastAsia="Arial" w:hAnsi="Arial"/>
                <w:sz w:val="20"/>
                <w:szCs w:val="20"/>
                <w:color w:val="auto"/>
              </w:rPr>
              <w:t>Towers Watson South Africa Holdings (Pty) Limited</w:t>
            </w:r>
          </w:p>
        </w:tc>
        <w:tc>
          <w:tcPr>
            <w:tcW w:w="4200" w:type="dxa"/>
            <w:vAlign w:val="bottom"/>
          </w:tcPr>
          <w:p>
            <w:pPr>
              <w:ind w:left="780"/>
              <w:spacing w:after="0"/>
              <w:rPr>
                <w:sz w:val="20"/>
                <w:szCs w:val="20"/>
                <w:color w:val="auto"/>
              </w:rPr>
            </w:pPr>
            <w:r>
              <w:rPr>
                <w:rFonts w:ascii="Arial" w:cs="Arial" w:eastAsia="Arial" w:hAnsi="Arial"/>
                <w:sz w:val="20"/>
                <w:szCs w:val="20"/>
                <w:color w:val="auto"/>
              </w:rPr>
              <w:t>South Africa</w:t>
            </w:r>
          </w:p>
        </w:tc>
      </w:tr>
      <w:tr>
        <w:trPr>
          <w:trHeight w:val="41"/>
        </w:trPr>
        <w:tc>
          <w:tcPr>
            <w:tcW w:w="5200" w:type="dxa"/>
            <w:vAlign w:val="bottom"/>
          </w:tcPr>
          <w:p>
            <w:pPr>
              <w:spacing w:after="0"/>
              <w:rPr>
                <w:sz w:val="3"/>
                <w:szCs w:val="3"/>
                <w:color w:val="auto"/>
              </w:rPr>
            </w:pPr>
          </w:p>
        </w:tc>
        <w:tc>
          <w:tcPr>
            <w:tcW w:w="4200" w:type="dxa"/>
            <w:vAlign w:val="bottom"/>
          </w:tcPr>
          <w:p>
            <w:pPr>
              <w:spacing w:after="0"/>
              <w:rPr>
                <w:sz w:val="3"/>
                <w:szCs w:val="3"/>
                <w:color w:val="auto"/>
              </w:rPr>
            </w:pPr>
          </w:p>
        </w:tc>
      </w:tr>
      <w:tr>
        <w:trPr>
          <w:trHeight w:val="280"/>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South Africa (Pty) Limited</w:t>
            </w:r>
          </w:p>
        </w:tc>
        <w:tc>
          <w:tcPr>
            <w:tcW w:w="42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20"/>
                <w:szCs w:val="20"/>
                <w:color w:val="auto"/>
              </w:rPr>
              <w:t>South Africa</w:t>
            </w:r>
          </w:p>
        </w:tc>
      </w:tr>
      <w:tr>
        <w:trPr>
          <w:trHeight w:val="259"/>
        </w:trPr>
        <w:tc>
          <w:tcPr>
            <w:tcW w:w="5200" w:type="dxa"/>
            <w:vAlign w:val="bottom"/>
          </w:tcPr>
          <w:p>
            <w:pPr>
              <w:spacing w:after="0"/>
              <w:rPr>
                <w:sz w:val="20"/>
                <w:szCs w:val="20"/>
                <w:color w:val="auto"/>
              </w:rPr>
            </w:pPr>
            <w:r>
              <w:rPr>
                <w:rFonts w:ascii="Arial" w:cs="Arial" w:eastAsia="Arial" w:hAnsi="Arial"/>
                <w:sz w:val="20"/>
                <w:szCs w:val="20"/>
                <w:color w:val="auto"/>
              </w:rPr>
              <w:t>CHANCE UNDERWRITING, S.L.</w:t>
            </w:r>
          </w:p>
        </w:tc>
        <w:tc>
          <w:tcPr>
            <w:tcW w:w="4200" w:type="dxa"/>
            <w:vAlign w:val="bottom"/>
          </w:tcPr>
          <w:p>
            <w:pPr>
              <w:ind w:left="780"/>
              <w:spacing w:after="0"/>
              <w:rPr>
                <w:sz w:val="20"/>
                <w:szCs w:val="20"/>
                <w:color w:val="auto"/>
              </w:rPr>
            </w:pPr>
            <w:r>
              <w:rPr>
                <w:rFonts w:ascii="Arial" w:cs="Arial" w:eastAsia="Arial" w:hAnsi="Arial"/>
                <w:sz w:val="20"/>
                <w:szCs w:val="20"/>
                <w:color w:val="auto"/>
              </w:rPr>
              <w:t>Spain</w:t>
            </w:r>
          </w:p>
        </w:tc>
      </w:tr>
      <w:tr>
        <w:trPr>
          <w:trHeight w:val="41"/>
        </w:trPr>
        <w:tc>
          <w:tcPr>
            <w:tcW w:w="5200" w:type="dxa"/>
            <w:vAlign w:val="bottom"/>
          </w:tcPr>
          <w:p>
            <w:pPr>
              <w:spacing w:after="0"/>
              <w:rPr>
                <w:sz w:val="3"/>
                <w:szCs w:val="3"/>
                <w:color w:val="auto"/>
              </w:rPr>
            </w:pPr>
          </w:p>
        </w:tc>
        <w:tc>
          <w:tcPr>
            <w:tcW w:w="4200" w:type="dxa"/>
            <w:vAlign w:val="bottom"/>
          </w:tcPr>
          <w:p>
            <w:pPr>
              <w:spacing w:after="0"/>
              <w:rPr>
                <w:sz w:val="3"/>
                <w:szCs w:val="3"/>
                <w:color w:val="auto"/>
              </w:rPr>
            </w:pPr>
          </w:p>
        </w:tc>
      </w:tr>
      <w:tr>
        <w:trPr>
          <w:trHeight w:val="280"/>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Towers Watson de Espana SA</w:t>
            </w:r>
          </w:p>
        </w:tc>
        <w:tc>
          <w:tcPr>
            <w:tcW w:w="42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20"/>
                <w:szCs w:val="20"/>
                <w:color w:val="auto"/>
              </w:rPr>
              <w:t>Spain</w:t>
            </w:r>
          </w:p>
        </w:tc>
      </w:tr>
      <w:tr>
        <w:trPr>
          <w:trHeight w:val="259"/>
        </w:trPr>
        <w:tc>
          <w:tcPr>
            <w:tcW w:w="5200" w:type="dxa"/>
            <w:vAlign w:val="bottom"/>
          </w:tcPr>
          <w:p>
            <w:pPr>
              <w:spacing w:after="0"/>
              <w:rPr>
                <w:sz w:val="20"/>
                <w:szCs w:val="20"/>
                <w:color w:val="auto"/>
              </w:rPr>
            </w:pPr>
            <w:r>
              <w:rPr>
                <w:rFonts w:ascii="Arial" w:cs="Arial" w:eastAsia="Arial" w:hAnsi="Arial"/>
                <w:sz w:val="20"/>
                <w:szCs w:val="20"/>
                <w:color w:val="auto"/>
              </w:rPr>
              <w:t>Willis Affinity Agencia de Seguros Vinculada, S.L.</w:t>
            </w:r>
          </w:p>
        </w:tc>
        <w:tc>
          <w:tcPr>
            <w:tcW w:w="4200" w:type="dxa"/>
            <w:vAlign w:val="bottom"/>
          </w:tcPr>
          <w:p>
            <w:pPr>
              <w:ind w:left="780"/>
              <w:spacing w:after="0"/>
              <w:rPr>
                <w:sz w:val="20"/>
                <w:szCs w:val="20"/>
                <w:color w:val="auto"/>
              </w:rPr>
            </w:pPr>
            <w:r>
              <w:rPr>
                <w:rFonts w:ascii="Arial" w:cs="Arial" w:eastAsia="Arial" w:hAnsi="Arial"/>
                <w:sz w:val="20"/>
                <w:szCs w:val="20"/>
                <w:color w:val="auto"/>
              </w:rPr>
              <w:t>Spain</w:t>
            </w:r>
          </w:p>
        </w:tc>
      </w:tr>
      <w:tr>
        <w:trPr>
          <w:trHeight w:val="41"/>
        </w:trPr>
        <w:tc>
          <w:tcPr>
            <w:tcW w:w="5200" w:type="dxa"/>
            <w:vAlign w:val="bottom"/>
          </w:tcPr>
          <w:p>
            <w:pPr>
              <w:spacing w:after="0"/>
              <w:rPr>
                <w:sz w:val="3"/>
                <w:szCs w:val="3"/>
                <w:color w:val="auto"/>
              </w:rPr>
            </w:pPr>
          </w:p>
        </w:tc>
        <w:tc>
          <w:tcPr>
            <w:tcW w:w="4200" w:type="dxa"/>
            <w:vAlign w:val="bottom"/>
          </w:tcPr>
          <w:p>
            <w:pPr>
              <w:spacing w:after="0"/>
              <w:rPr>
                <w:sz w:val="3"/>
                <w:szCs w:val="3"/>
                <w:color w:val="auto"/>
              </w:rPr>
            </w:pPr>
          </w:p>
        </w:tc>
      </w:tr>
      <w:tr>
        <w:trPr>
          <w:trHeight w:val="280"/>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Consulting S.L.</w:t>
            </w:r>
          </w:p>
        </w:tc>
        <w:tc>
          <w:tcPr>
            <w:tcW w:w="42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20"/>
                <w:szCs w:val="20"/>
                <w:color w:val="auto"/>
              </w:rPr>
              <w:t>Spain</w:t>
            </w:r>
          </w:p>
        </w:tc>
      </w:tr>
      <w:tr>
        <w:trPr>
          <w:trHeight w:val="259"/>
        </w:trPr>
        <w:tc>
          <w:tcPr>
            <w:tcW w:w="5200" w:type="dxa"/>
            <w:vAlign w:val="bottom"/>
          </w:tcPr>
          <w:p>
            <w:pPr>
              <w:spacing w:after="0"/>
              <w:rPr>
                <w:sz w:val="20"/>
                <w:szCs w:val="20"/>
                <w:color w:val="auto"/>
              </w:rPr>
            </w:pPr>
            <w:r>
              <w:rPr>
                <w:rFonts w:ascii="Arial" w:cs="Arial" w:eastAsia="Arial" w:hAnsi="Arial"/>
                <w:sz w:val="20"/>
                <w:szCs w:val="20"/>
                <w:color w:val="auto"/>
              </w:rPr>
              <w:t>Willis Iberia Correduria de Seguros y Reaseguros SAU</w:t>
            </w:r>
          </w:p>
        </w:tc>
        <w:tc>
          <w:tcPr>
            <w:tcW w:w="4200" w:type="dxa"/>
            <w:vAlign w:val="bottom"/>
          </w:tcPr>
          <w:p>
            <w:pPr>
              <w:ind w:left="780"/>
              <w:spacing w:after="0"/>
              <w:rPr>
                <w:sz w:val="20"/>
                <w:szCs w:val="20"/>
                <w:color w:val="auto"/>
              </w:rPr>
            </w:pPr>
            <w:r>
              <w:rPr>
                <w:rFonts w:ascii="Arial" w:cs="Arial" w:eastAsia="Arial" w:hAnsi="Arial"/>
                <w:sz w:val="20"/>
                <w:szCs w:val="20"/>
                <w:color w:val="auto"/>
              </w:rPr>
              <w:t>Spain</w:t>
            </w:r>
          </w:p>
        </w:tc>
      </w:tr>
      <w:tr>
        <w:trPr>
          <w:trHeight w:val="41"/>
        </w:trPr>
        <w:tc>
          <w:tcPr>
            <w:tcW w:w="5200" w:type="dxa"/>
            <w:vAlign w:val="bottom"/>
          </w:tcPr>
          <w:p>
            <w:pPr>
              <w:spacing w:after="0"/>
              <w:rPr>
                <w:sz w:val="3"/>
                <w:szCs w:val="3"/>
                <w:color w:val="auto"/>
              </w:rPr>
            </w:pPr>
          </w:p>
        </w:tc>
        <w:tc>
          <w:tcPr>
            <w:tcW w:w="4200" w:type="dxa"/>
            <w:vAlign w:val="bottom"/>
          </w:tcPr>
          <w:p>
            <w:pPr>
              <w:spacing w:after="0"/>
              <w:rPr>
                <w:sz w:val="3"/>
                <w:szCs w:val="3"/>
                <w:color w:val="auto"/>
              </w:rPr>
            </w:pPr>
          </w:p>
        </w:tc>
      </w:tr>
      <w:tr>
        <w:trPr>
          <w:trHeight w:val="280"/>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Services, S.L.</w:t>
            </w:r>
          </w:p>
        </w:tc>
        <w:tc>
          <w:tcPr>
            <w:tcW w:w="42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20"/>
                <w:szCs w:val="20"/>
                <w:color w:val="auto"/>
              </w:rPr>
              <w:t>Spain</w:t>
            </w:r>
          </w:p>
        </w:tc>
      </w:tr>
      <w:tr>
        <w:trPr>
          <w:trHeight w:val="259"/>
        </w:trPr>
        <w:tc>
          <w:tcPr>
            <w:tcW w:w="5200" w:type="dxa"/>
            <w:vAlign w:val="bottom"/>
          </w:tcPr>
          <w:p>
            <w:pPr>
              <w:spacing w:after="0"/>
              <w:rPr>
                <w:sz w:val="20"/>
                <w:szCs w:val="20"/>
                <w:color w:val="auto"/>
              </w:rPr>
            </w:pPr>
            <w:r>
              <w:rPr>
                <w:rFonts w:ascii="Arial" w:cs="Arial" w:eastAsia="Arial" w:hAnsi="Arial"/>
                <w:sz w:val="20"/>
                <w:szCs w:val="20"/>
                <w:color w:val="auto"/>
              </w:rPr>
              <w:t>Willis Towers Watson Consulting AB</w:t>
            </w:r>
          </w:p>
        </w:tc>
        <w:tc>
          <w:tcPr>
            <w:tcW w:w="4200" w:type="dxa"/>
            <w:vAlign w:val="bottom"/>
          </w:tcPr>
          <w:p>
            <w:pPr>
              <w:ind w:left="780"/>
              <w:spacing w:after="0"/>
              <w:rPr>
                <w:sz w:val="20"/>
                <w:szCs w:val="20"/>
                <w:color w:val="auto"/>
              </w:rPr>
            </w:pPr>
            <w:r>
              <w:rPr>
                <w:rFonts w:ascii="Arial" w:cs="Arial" w:eastAsia="Arial" w:hAnsi="Arial"/>
                <w:sz w:val="20"/>
                <w:szCs w:val="20"/>
                <w:color w:val="auto"/>
              </w:rPr>
              <w:t>Sweden</w:t>
            </w:r>
          </w:p>
        </w:tc>
      </w:tr>
      <w:tr>
        <w:trPr>
          <w:trHeight w:val="41"/>
        </w:trPr>
        <w:tc>
          <w:tcPr>
            <w:tcW w:w="5200" w:type="dxa"/>
            <w:vAlign w:val="bottom"/>
          </w:tcPr>
          <w:p>
            <w:pPr>
              <w:spacing w:after="0"/>
              <w:rPr>
                <w:sz w:val="3"/>
                <w:szCs w:val="3"/>
                <w:color w:val="auto"/>
              </w:rPr>
            </w:pPr>
          </w:p>
        </w:tc>
        <w:tc>
          <w:tcPr>
            <w:tcW w:w="4200" w:type="dxa"/>
            <w:vAlign w:val="bottom"/>
          </w:tcPr>
          <w:p>
            <w:pPr>
              <w:spacing w:after="0"/>
              <w:rPr>
                <w:sz w:val="3"/>
                <w:szCs w:val="3"/>
                <w:color w:val="auto"/>
              </w:rPr>
            </w:pPr>
          </w:p>
        </w:tc>
      </w:tr>
      <w:tr>
        <w:trPr>
          <w:trHeight w:val="280"/>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Holding AB</w:t>
            </w:r>
          </w:p>
        </w:tc>
        <w:tc>
          <w:tcPr>
            <w:tcW w:w="42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20"/>
                <w:szCs w:val="20"/>
                <w:color w:val="auto"/>
              </w:rPr>
              <w:t>Sweden</w:t>
            </w:r>
          </w:p>
        </w:tc>
      </w:tr>
      <w:tr>
        <w:trPr>
          <w:trHeight w:val="259"/>
        </w:trPr>
        <w:tc>
          <w:tcPr>
            <w:tcW w:w="5200" w:type="dxa"/>
            <w:vAlign w:val="bottom"/>
          </w:tcPr>
          <w:p>
            <w:pPr>
              <w:spacing w:after="0"/>
              <w:rPr>
                <w:sz w:val="20"/>
                <w:szCs w:val="20"/>
                <w:color w:val="auto"/>
              </w:rPr>
            </w:pPr>
            <w:r>
              <w:rPr>
                <w:rFonts w:ascii="Arial" w:cs="Arial" w:eastAsia="Arial" w:hAnsi="Arial"/>
                <w:sz w:val="20"/>
                <w:szCs w:val="20"/>
                <w:color w:val="auto"/>
              </w:rPr>
              <w:t>Willis Towers Watson Sweden AB</w:t>
            </w:r>
          </w:p>
        </w:tc>
        <w:tc>
          <w:tcPr>
            <w:tcW w:w="4200" w:type="dxa"/>
            <w:vAlign w:val="bottom"/>
          </w:tcPr>
          <w:p>
            <w:pPr>
              <w:ind w:left="780"/>
              <w:spacing w:after="0"/>
              <w:rPr>
                <w:sz w:val="20"/>
                <w:szCs w:val="20"/>
                <w:color w:val="auto"/>
              </w:rPr>
            </w:pPr>
            <w:r>
              <w:rPr>
                <w:rFonts w:ascii="Arial" w:cs="Arial" w:eastAsia="Arial" w:hAnsi="Arial"/>
                <w:sz w:val="20"/>
                <w:szCs w:val="20"/>
                <w:color w:val="auto"/>
              </w:rPr>
              <w:t>Sweden</w:t>
            </w:r>
          </w:p>
        </w:tc>
      </w:tr>
      <w:tr>
        <w:trPr>
          <w:trHeight w:val="41"/>
        </w:trPr>
        <w:tc>
          <w:tcPr>
            <w:tcW w:w="5200" w:type="dxa"/>
            <w:vAlign w:val="bottom"/>
          </w:tcPr>
          <w:p>
            <w:pPr>
              <w:spacing w:after="0"/>
              <w:rPr>
                <w:sz w:val="3"/>
                <w:szCs w:val="3"/>
                <w:color w:val="auto"/>
              </w:rPr>
            </w:pPr>
          </w:p>
        </w:tc>
        <w:tc>
          <w:tcPr>
            <w:tcW w:w="4200" w:type="dxa"/>
            <w:vAlign w:val="bottom"/>
          </w:tcPr>
          <w:p>
            <w:pPr>
              <w:spacing w:after="0"/>
              <w:rPr>
                <w:sz w:val="3"/>
                <w:szCs w:val="3"/>
                <w:color w:val="auto"/>
              </w:rPr>
            </w:pPr>
          </w:p>
        </w:tc>
      </w:tr>
      <w:tr>
        <w:trPr>
          <w:trHeight w:val="280"/>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Holdings (Switzerland) GmbH</w:t>
            </w:r>
          </w:p>
        </w:tc>
        <w:tc>
          <w:tcPr>
            <w:tcW w:w="42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20"/>
                <w:szCs w:val="20"/>
                <w:color w:val="auto"/>
              </w:rPr>
              <w:t>Switzerland</w:t>
            </w:r>
          </w:p>
        </w:tc>
      </w:tr>
      <w:tr>
        <w:trPr>
          <w:trHeight w:val="1570"/>
        </w:trPr>
        <w:tc>
          <w:tcPr>
            <w:tcW w:w="5200" w:type="dxa"/>
            <w:vAlign w:val="bottom"/>
            <w:tcBorders>
              <w:bottom w:val="single" w:sz="8" w:color="010101"/>
            </w:tcBorders>
          </w:tcPr>
          <w:p>
            <w:pPr>
              <w:spacing w:after="0"/>
              <w:rPr>
                <w:sz w:val="24"/>
                <w:szCs w:val="24"/>
                <w:color w:val="auto"/>
              </w:rPr>
            </w:pPr>
          </w:p>
        </w:tc>
        <w:tc>
          <w:tcPr>
            <w:tcW w:w="42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73">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74">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58 / 60</w:t>
      </w:r>
    </w:p>
    <w:p>
      <w:pPr>
        <w:sectPr>
          <w:pgSz w:w="11900" w:h="16838" w:orient="portrait"/>
          <w:cols w:equalWidth="0" w:num="1">
            <w:col w:w="9400"/>
          </w:cols>
          <w:pgMar w:left="1260" w:top="1133" w:right="1246" w:bottom="0" w:gutter="0" w:footer="0" w:header="0"/>
          <w:type w:val="continuous"/>
        </w:sectPr>
      </w:pPr>
    </w:p>
    <w:bookmarkStart w:id="318" w:name="page319"/>
    <w:bookmarkEnd w:id="3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20"/>
                <w:szCs w:val="20"/>
                <w:color w:val="auto"/>
              </w:rPr>
              <w:t>WTW AG</w:t>
            </w:r>
          </w:p>
        </w:tc>
        <w:tc>
          <w:tcPr>
            <w:tcW w:w="3560" w:type="dxa"/>
            <w:vAlign w:val="bottom"/>
          </w:tcPr>
          <w:p>
            <w:pPr>
              <w:ind w:left="140"/>
              <w:spacing w:after="0"/>
              <w:rPr>
                <w:sz w:val="20"/>
                <w:szCs w:val="20"/>
                <w:color w:val="auto"/>
              </w:rPr>
            </w:pPr>
            <w:r>
              <w:rPr>
                <w:rFonts w:ascii="Arial" w:cs="Arial" w:eastAsia="Arial" w:hAnsi="Arial"/>
                <w:sz w:val="20"/>
                <w:szCs w:val="20"/>
                <w:color w:val="auto"/>
              </w:rPr>
              <w:t>Switzerland</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Taiwan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Taiwan</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Towers Watson (Thailand)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Thailand</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Danismanlik Limited Şirketi</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Turkey</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w w:val="95"/>
              </w:rPr>
              <w:t>Willis Towers Watson Sigorta ve Reasürans Brokerliği Anonim Şirketi</w:t>
            </w:r>
          </w:p>
        </w:tc>
        <w:tc>
          <w:tcPr>
            <w:tcW w:w="3560" w:type="dxa"/>
            <w:vAlign w:val="bottom"/>
          </w:tcPr>
          <w:p>
            <w:pPr>
              <w:ind w:left="140"/>
              <w:spacing w:after="0"/>
              <w:rPr>
                <w:sz w:val="20"/>
                <w:szCs w:val="20"/>
                <w:color w:val="auto"/>
              </w:rPr>
            </w:pPr>
            <w:r>
              <w:rPr>
                <w:rFonts w:ascii="Arial" w:cs="Arial" w:eastAsia="Arial" w:hAnsi="Arial"/>
                <w:sz w:val="20"/>
                <w:szCs w:val="20"/>
                <w:color w:val="auto"/>
              </w:rPr>
              <w:t>Turkey</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Uganda Insurance Brokers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Uganda</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Gras Savoye Ukraine, Limited Liability Company</w:t>
            </w:r>
          </w:p>
        </w:tc>
        <w:tc>
          <w:tcPr>
            <w:tcW w:w="3560" w:type="dxa"/>
            <w:vAlign w:val="bottom"/>
          </w:tcPr>
          <w:p>
            <w:pPr>
              <w:ind w:left="140"/>
              <w:spacing w:after="0"/>
              <w:rPr>
                <w:sz w:val="20"/>
                <w:szCs w:val="20"/>
                <w:color w:val="auto"/>
              </w:rPr>
            </w:pPr>
            <w:r>
              <w:rPr>
                <w:rFonts w:ascii="Arial" w:cs="Arial" w:eastAsia="Arial" w:hAnsi="Arial"/>
                <w:sz w:val="20"/>
                <w:szCs w:val="20"/>
                <w:color w:val="auto"/>
              </w:rPr>
              <w:t>Ukraine</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Insurance Brokers LLC</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Ukraine</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Towers Watson Middle East FZ-LLC</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Arab Emirates</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Acclimatise Group Ltd (In Liquidation)</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Sovereign Marine &amp; General Insurance Company Limited (In</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r>
        <w:trPr>
          <w:trHeight w:val="300"/>
        </w:trPr>
        <w:tc>
          <w:tcPr>
            <w:tcW w:w="5840" w:type="dxa"/>
            <w:vAlign w:val="bottom"/>
          </w:tcPr>
          <w:p>
            <w:pPr>
              <w:spacing w:after="0"/>
              <w:rPr>
                <w:sz w:val="20"/>
                <w:szCs w:val="20"/>
                <w:color w:val="auto"/>
              </w:rPr>
            </w:pPr>
            <w:r>
              <w:rPr>
                <w:rFonts w:ascii="Arial" w:cs="Arial" w:eastAsia="Arial" w:hAnsi="Arial"/>
                <w:sz w:val="20"/>
                <w:szCs w:val="20"/>
                <w:color w:val="auto"/>
              </w:rPr>
              <w:t>Liquidation)</w:t>
            </w:r>
          </w:p>
        </w:tc>
        <w:tc>
          <w:tcPr>
            <w:tcW w:w="3560" w:type="dxa"/>
            <w:vAlign w:val="bottom"/>
          </w:tcPr>
          <w:p>
            <w:pPr>
              <w:spacing w:after="0"/>
              <w:rPr>
                <w:sz w:val="24"/>
                <w:szCs w:val="24"/>
                <w:color w:val="auto"/>
              </w:rPr>
            </w:pP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Special Contingency Risks Limited (In Liquidation)</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TA I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The Wyatt Company Holdings Limited (in Liquidation)</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Towers Perrin (UK) Trustee Company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Towers Watson Global 2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Towers Watson Global 3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Towers Watson Global Holdings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Towers Watson Investment Management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Towers Watson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Towers Watson Pension Scheme Trustees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Towers Watson Software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Towers Watson UK Limited (In Liquidation)</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Trinity Acquisition Plc</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Trinity Processing Services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TXW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Watson Wyatt (UK) Acquisitions 1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Watson Wyatt (UK) Acquisitions 2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w w:val="95"/>
              </w:rPr>
              <w:t>Watson Wyatt European Investment Holdings Limited (In Liquidation)</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Watson Wyatt Holdings (Europe) Limited (In Liquidation)</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Watson Wyatt Holdings Limited (In Liquidation)</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59"/>
        </w:trPr>
        <w:tc>
          <w:tcPr>
            <w:tcW w:w="5840" w:type="dxa"/>
            <w:vAlign w:val="bottom"/>
            <w:shd w:val="clear" w:color="auto" w:fill="CFF0FC"/>
          </w:tcPr>
          <w:p>
            <w:pPr>
              <w:spacing w:after="0"/>
              <w:rPr>
                <w:sz w:val="20"/>
                <w:szCs w:val="20"/>
                <w:color w:val="auto"/>
              </w:rPr>
            </w:pPr>
            <w:r>
              <w:rPr>
                <w:rFonts w:ascii="Arial" w:cs="Arial" w:eastAsia="Arial" w:hAnsi="Arial"/>
                <w:sz w:val="20"/>
                <w:szCs w:val="20"/>
                <w:color w:val="auto"/>
                <w:w w:val="98"/>
              </w:rPr>
              <w:t>Watson Wyatt Insurance &amp; Financial Services Consulting Holdings</w:t>
            </w:r>
          </w:p>
        </w:tc>
        <w:tc>
          <w:tcPr>
            <w:tcW w:w="3560" w:type="dxa"/>
            <w:vAlign w:val="bottom"/>
            <w:shd w:val="clear" w:color="auto" w:fill="CFF0FC"/>
          </w:tcPr>
          <w:p>
            <w:pPr>
              <w:spacing w:after="0"/>
              <w:rPr>
                <w:sz w:val="22"/>
                <w:szCs w:val="22"/>
                <w:color w:val="auto"/>
              </w:rPr>
            </w:pPr>
          </w:p>
        </w:tc>
      </w:tr>
      <w:tr>
        <w:trPr>
          <w:trHeight w:val="321"/>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Limited (In Liquidation)</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Watson Wyatt International Limited (In Liquidation)</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Corroon Financial Planning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Willis Corroon Licensing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Corroon Nominees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Willis Faber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Group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Willis Group Medical Trust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r>
        <w:trPr>
          <w:trHeight w:val="41"/>
        </w:trPr>
        <w:tc>
          <w:tcPr>
            <w:tcW w:w="5840" w:type="dxa"/>
            <w:vAlign w:val="bottom"/>
          </w:tcPr>
          <w:p>
            <w:pPr>
              <w:spacing w:after="0"/>
              <w:rPr>
                <w:sz w:val="3"/>
                <w:szCs w:val="3"/>
                <w:color w:val="auto"/>
              </w:rPr>
            </w:pPr>
          </w:p>
        </w:tc>
        <w:tc>
          <w:tcPr>
            <w:tcW w:w="3560" w:type="dxa"/>
            <w:vAlign w:val="bottom"/>
          </w:tcPr>
          <w:p>
            <w:pPr>
              <w:spacing w:after="0"/>
              <w:rPr>
                <w:sz w:val="3"/>
                <w:szCs w:val="3"/>
                <w:color w:val="auto"/>
              </w:rPr>
            </w:pPr>
          </w:p>
        </w:tc>
      </w:tr>
      <w:tr>
        <w:trPr>
          <w:trHeight w:val="28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Group Services Limited</w:t>
            </w:r>
          </w:p>
        </w:tc>
        <w:tc>
          <w:tcPr>
            <w:tcW w:w="35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United Kingdom</w:t>
            </w:r>
          </w:p>
        </w:tc>
      </w:tr>
      <w:tr>
        <w:trPr>
          <w:trHeight w:val="259"/>
        </w:trPr>
        <w:tc>
          <w:tcPr>
            <w:tcW w:w="5840" w:type="dxa"/>
            <w:vAlign w:val="bottom"/>
          </w:tcPr>
          <w:p>
            <w:pPr>
              <w:spacing w:after="0"/>
              <w:rPr>
                <w:sz w:val="20"/>
                <w:szCs w:val="20"/>
                <w:color w:val="auto"/>
              </w:rPr>
            </w:pPr>
            <w:r>
              <w:rPr>
                <w:rFonts w:ascii="Arial" w:cs="Arial" w:eastAsia="Arial" w:hAnsi="Arial"/>
                <w:sz w:val="20"/>
                <w:szCs w:val="20"/>
                <w:color w:val="auto"/>
              </w:rPr>
              <w:t>WILLIS GS UK HOLDINGS LIMITED</w:t>
            </w:r>
          </w:p>
        </w:tc>
        <w:tc>
          <w:tcPr>
            <w:tcW w:w="3560" w:type="dxa"/>
            <w:vAlign w:val="bottom"/>
          </w:tcPr>
          <w:p>
            <w:pPr>
              <w:ind w:left="140"/>
              <w:spacing w:after="0"/>
              <w:rPr>
                <w:sz w:val="20"/>
                <w:szCs w:val="20"/>
                <w:color w:val="auto"/>
              </w:rPr>
            </w:pPr>
            <w:r>
              <w:rPr>
                <w:rFonts w:ascii="Arial" w:cs="Arial" w:eastAsia="Arial" w:hAnsi="Arial"/>
                <w:sz w:val="20"/>
                <w:szCs w:val="20"/>
                <w:color w:val="auto"/>
              </w:rPr>
              <w:t>United Kingdom</w:t>
            </w: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59 / 60</w:t>
      </w:r>
    </w:p>
    <w:p>
      <w:pPr>
        <w:sectPr>
          <w:pgSz w:w="11900" w:h="16838" w:orient="portrait"/>
          <w:cols w:equalWidth="0" w:num="1">
            <w:col w:w="9400"/>
          </w:cols>
          <w:pgMar w:left="1260" w:top="1440" w:right="1246" w:bottom="0" w:gutter="0" w:footer="0" w:header="0"/>
          <w:type w:val="continuous"/>
        </w:sectPr>
      </w:pPr>
    </w:p>
    <w:bookmarkStart w:id="319" w:name="page320"/>
    <w:bookmarkEnd w:id="319"/>
    <w:tbl>
      <w:tblPr>
        <w:tblLayout w:type="fixed"/>
        <w:tblInd w:w="0" w:type="dxa"/>
        <w:tblCellMar>
          <w:top w:w="0" w:type="dxa"/>
          <w:left w:w="0" w:type="dxa"/>
          <w:bottom w:w="0" w:type="dxa"/>
          <w:right w:w="0" w:type="dxa"/>
        </w:tblCellMar>
      </w:tblPr>
      <w:tr>
        <w:trPr>
          <w:trHeight w:val="28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GS UK LIMITED</w:t>
            </w:r>
          </w:p>
        </w:tc>
        <w:tc>
          <w:tcPr>
            <w:tcW w:w="3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United Kingdom</w:t>
            </w:r>
          </w:p>
        </w:tc>
      </w:tr>
      <w:tr>
        <w:trPr>
          <w:trHeight w:val="259"/>
        </w:trPr>
        <w:tc>
          <w:tcPr>
            <w:tcW w:w="5960" w:type="dxa"/>
            <w:vAlign w:val="bottom"/>
          </w:tcPr>
          <w:p>
            <w:pPr>
              <w:spacing w:after="0"/>
              <w:rPr>
                <w:sz w:val="20"/>
                <w:szCs w:val="20"/>
                <w:color w:val="auto"/>
              </w:rPr>
            </w:pPr>
            <w:r>
              <w:rPr>
                <w:rFonts w:ascii="Arial" w:cs="Arial" w:eastAsia="Arial" w:hAnsi="Arial"/>
                <w:sz w:val="20"/>
                <w:szCs w:val="20"/>
                <w:color w:val="auto"/>
              </w:rPr>
              <w:t>Willis International Limited</w:t>
            </w:r>
          </w:p>
        </w:tc>
        <w:tc>
          <w:tcPr>
            <w:tcW w:w="3440" w:type="dxa"/>
            <w:vAlign w:val="bottom"/>
          </w:tcPr>
          <w:p>
            <w:pPr>
              <w:ind w:left="20"/>
              <w:spacing w:after="0"/>
              <w:rPr>
                <w:sz w:val="20"/>
                <w:szCs w:val="20"/>
                <w:color w:val="auto"/>
              </w:rPr>
            </w:pPr>
            <w:r>
              <w:rPr>
                <w:rFonts w:ascii="Arial" w:cs="Arial" w:eastAsia="Arial" w:hAnsi="Arial"/>
                <w:sz w:val="20"/>
                <w:szCs w:val="20"/>
                <w:color w:val="auto"/>
              </w:rPr>
              <w:t>United Kingdom</w:t>
            </w:r>
          </w:p>
        </w:tc>
      </w:tr>
      <w:tr>
        <w:trPr>
          <w:trHeight w:val="41"/>
        </w:trPr>
        <w:tc>
          <w:tcPr>
            <w:tcW w:w="596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28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Investment UK Holdings Limited</w:t>
            </w:r>
          </w:p>
        </w:tc>
        <w:tc>
          <w:tcPr>
            <w:tcW w:w="3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United Kingdom</w:t>
            </w:r>
          </w:p>
        </w:tc>
      </w:tr>
      <w:tr>
        <w:trPr>
          <w:trHeight w:val="259"/>
        </w:trPr>
        <w:tc>
          <w:tcPr>
            <w:tcW w:w="5960" w:type="dxa"/>
            <w:vAlign w:val="bottom"/>
          </w:tcPr>
          <w:p>
            <w:pPr>
              <w:spacing w:after="0"/>
              <w:rPr>
                <w:sz w:val="20"/>
                <w:szCs w:val="20"/>
                <w:color w:val="auto"/>
              </w:rPr>
            </w:pPr>
            <w:r>
              <w:rPr>
                <w:rFonts w:ascii="Arial" w:cs="Arial" w:eastAsia="Arial" w:hAnsi="Arial"/>
                <w:sz w:val="20"/>
                <w:szCs w:val="20"/>
                <w:color w:val="auto"/>
              </w:rPr>
              <w:t>Willis Limited</w:t>
            </w:r>
          </w:p>
        </w:tc>
        <w:tc>
          <w:tcPr>
            <w:tcW w:w="3440" w:type="dxa"/>
            <w:vAlign w:val="bottom"/>
          </w:tcPr>
          <w:p>
            <w:pPr>
              <w:ind w:left="20"/>
              <w:spacing w:after="0"/>
              <w:rPr>
                <w:sz w:val="20"/>
                <w:szCs w:val="20"/>
                <w:color w:val="auto"/>
              </w:rPr>
            </w:pPr>
            <w:r>
              <w:rPr>
                <w:rFonts w:ascii="Arial" w:cs="Arial" w:eastAsia="Arial" w:hAnsi="Arial"/>
                <w:sz w:val="20"/>
                <w:szCs w:val="20"/>
                <w:color w:val="auto"/>
              </w:rPr>
              <w:t>United Kingdom</w:t>
            </w:r>
          </w:p>
        </w:tc>
      </w:tr>
      <w:tr>
        <w:trPr>
          <w:trHeight w:val="41"/>
        </w:trPr>
        <w:tc>
          <w:tcPr>
            <w:tcW w:w="596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28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Overseas Investments Limited (In Liquidation)</w:t>
            </w:r>
          </w:p>
        </w:tc>
        <w:tc>
          <w:tcPr>
            <w:tcW w:w="3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United Kingdom</w:t>
            </w:r>
          </w:p>
        </w:tc>
      </w:tr>
      <w:tr>
        <w:trPr>
          <w:trHeight w:val="259"/>
        </w:trPr>
        <w:tc>
          <w:tcPr>
            <w:tcW w:w="5960" w:type="dxa"/>
            <w:vAlign w:val="bottom"/>
          </w:tcPr>
          <w:p>
            <w:pPr>
              <w:spacing w:after="0"/>
              <w:rPr>
                <w:sz w:val="20"/>
                <w:szCs w:val="20"/>
                <w:color w:val="auto"/>
              </w:rPr>
            </w:pPr>
            <w:r>
              <w:rPr>
                <w:rFonts w:ascii="Arial" w:cs="Arial" w:eastAsia="Arial" w:hAnsi="Arial"/>
                <w:sz w:val="20"/>
                <w:szCs w:val="20"/>
                <w:color w:val="auto"/>
              </w:rPr>
              <w:t>Willis Pension Trustees Limited</w:t>
            </w:r>
          </w:p>
        </w:tc>
        <w:tc>
          <w:tcPr>
            <w:tcW w:w="3440" w:type="dxa"/>
            <w:vAlign w:val="bottom"/>
          </w:tcPr>
          <w:p>
            <w:pPr>
              <w:ind w:left="20"/>
              <w:spacing w:after="0"/>
              <w:rPr>
                <w:sz w:val="20"/>
                <w:szCs w:val="20"/>
                <w:color w:val="auto"/>
              </w:rPr>
            </w:pPr>
            <w:r>
              <w:rPr>
                <w:rFonts w:ascii="Arial" w:cs="Arial" w:eastAsia="Arial" w:hAnsi="Arial"/>
                <w:sz w:val="20"/>
                <w:szCs w:val="20"/>
                <w:color w:val="auto"/>
              </w:rPr>
              <w:t>United Kingdom</w:t>
            </w:r>
          </w:p>
        </w:tc>
      </w:tr>
      <w:tr>
        <w:trPr>
          <w:trHeight w:val="41"/>
        </w:trPr>
        <w:tc>
          <w:tcPr>
            <w:tcW w:w="596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28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Re (UK) Limited</w:t>
            </w:r>
          </w:p>
        </w:tc>
        <w:tc>
          <w:tcPr>
            <w:tcW w:w="3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United Kingdom</w:t>
            </w:r>
          </w:p>
        </w:tc>
      </w:tr>
      <w:tr>
        <w:trPr>
          <w:trHeight w:val="259"/>
        </w:trPr>
        <w:tc>
          <w:tcPr>
            <w:tcW w:w="5960" w:type="dxa"/>
            <w:vAlign w:val="bottom"/>
          </w:tcPr>
          <w:p>
            <w:pPr>
              <w:spacing w:after="0"/>
              <w:rPr>
                <w:sz w:val="20"/>
                <w:szCs w:val="20"/>
                <w:color w:val="auto"/>
              </w:rPr>
            </w:pPr>
            <w:r>
              <w:rPr>
                <w:rFonts w:ascii="Arial" w:cs="Arial" w:eastAsia="Arial" w:hAnsi="Arial"/>
                <w:sz w:val="20"/>
                <w:szCs w:val="20"/>
                <w:color w:val="auto"/>
              </w:rPr>
              <w:t>Willis Towers Watson Assessment Limited</w:t>
            </w:r>
          </w:p>
        </w:tc>
        <w:tc>
          <w:tcPr>
            <w:tcW w:w="3440" w:type="dxa"/>
            <w:vAlign w:val="bottom"/>
          </w:tcPr>
          <w:p>
            <w:pPr>
              <w:ind w:left="20"/>
              <w:spacing w:after="0"/>
              <w:rPr>
                <w:sz w:val="20"/>
                <w:szCs w:val="20"/>
                <w:color w:val="auto"/>
              </w:rPr>
            </w:pPr>
            <w:r>
              <w:rPr>
                <w:rFonts w:ascii="Arial" w:cs="Arial" w:eastAsia="Arial" w:hAnsi="Arial"/>
                <w:sz w:val="20"/>
                <w:szCs w:val="20"/>
                <w:color w:val="auto"/>
              </w:rPr>
              <w:t>United Kingdom</w:t>
            </w:r>
          </w:p>
        </w:tc>
      </w:tr>
      <w:tr>
        <w:trPr>
          <w:trHeight w:val="41"/>
        </w:trPr>
        <w:tc>
          <w:tcPr>
            <w:tcW w:w="5960" w:type="dxa"/>
            <w:vAlign w:val="bottom"/>
          </w:tcPr>
          <w:p>
            <w:pPr>
              <w:spacing w:after="0"/>
              <w:rPr>
                <w:sz w:val="3"/>
                <w:szCs w:val="3"/>
                <w:color w:val="auto"/>
              </w:rPr>
            </w:pPr>
          </w:p>
        </w:tc>
        <w:tc>
          <w:tcPr>
            <w:tcW w:w="3440" w:type="dxa"/>
            <w:vAlign w:val="bottom"/>
          </w:tcPr>
          <w:p>
            <w:pPr>
              <w:spacing w:after="0"/>
              <w:rPr>
                <w:sz w:val="3"/>
                <w:szCs w:val="3"/>
                <w:color w:val="auto"/>
              </w:rPr>
            </w:pPr>
          </w:p>
        </w:tc>
      </w:tr>
      <w:tr>
        <w:trPr>
          <w:trHeight w:val="259"/>
        </w:trPr>
        <w:tc>
          <w:tcPr>
            <w:tcW w:w="5960" w:type="dxa"/>
            <w:vAlign w:val="bottom"/>
            <w:shd w:val="clear" w:color="auto" w:fill="CFF0FC"/>
          </w:tcPr>
          <w:p>
            <w:pPr>
              <w:spacing w:after="0"/>
              <w:rPr>
                <w:sz w:val="20"/>
                <w:szCs w:val="20"/>
                <w:color w:val="auto"/>
              </w:rPr>
            </w:pPr>
            <w:r>
              <w:rPr>
                <w:rFonts w:ascii="Arial" w:cs="Arial" w:eastAsia="Arial" w:hAnsi="Arial"/>
                <w:sz w:val="20"/>
                <w:szCs w:val="20"/>
                <w:color w:val="auto"/>
              </w:rPr>
              <w:t>WILLIS TOWERS WATSON FRANCE HOLDINGS LIMITED</w:t>
            </w:r>
          </w:p>
        </w:tc>
        <w:tc>
          <w:tcPr>
            <w:tcW w:w="3440" w:type="dxa"/>
            <w:vAlign w:val="bottom"/>
          </w:tcPr>
          <w:p>
            <w:pPr>
              <w:spacing w:after="0"/>
              <w:rPr>
                <w:sz w:val="22"/>
                <w:szCs w:val="22"/>
                <w:color w:val="auto"/>
              </w:rPr>
            </w:pPr>
          </w:p>
        </w:tc>
      </w:tr>
      <w:tr>
        <w:trPr>
          <w:trHeight w:val="41"/>
        </w:trPr>
        <w:tc>
          <w:tcPr>
            <w:tcW w:w="5960" w:type="dxa"/>
            <w:vAlign w:val="bottom"/>
            <w:shd w:val="clear" w:color="auto" w:fill="CFF0FC"/>
          </w:tcPr>
          <w:p>
            <w:pPr>
              <w:spacing w:after="0"/>
              <w:rPr>
                <w:sz w:val="3"/>
                <w:szCs w:val="3"/>
                <w:color w:val="auto"/>
              </w:rPr>
            </w:pPr>
          </w:p>
        </w:tc>
        <w:tc>
          <w:tcPr>
            <w:tcW w:w="3440" w:type="dxa"/>
            <w:vAlign w:val="bottom"/>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60 / 60</w:t>
      </w:r>
    </w:p>
    <w:p>
      <w:pPr>
        <w:sectPr>
          <w:pgSz w:w="11900" w:h="16838" w:orient="portrait"/>
          <w:cols w:equalWidth="0" w:num="1">
            <w:col w:w="9400"/>
          </w:cols>
          <w:pgMar w:left="1260" w:top="1133" w:right="1246" w:bottom="0" w:gutter="0" w:footer="0" w:header="0"/>
          <w:type w:val="continuous"/>
        </w:sectPr>
      </w:pPr>
    </w:p>
    <w:bookmarkStart w:id="320" w:name="page321"/>
    <w:bookmarkEnd w:id="320"/>
    <w:p>
      <w:pPr>
        <w:ind w:left="20"/>
        <w:spacing w:after="0"/>
        <w:rPr>
          <w:sz w:val="20"/>
          <w:szCs w:val="20"/>
          <w:color w:val="auto"/>
        </w:rPr>
      </w:pPr>
      <w:r>
        <w:rPr>
          <w:rFonts w:ascii="Arial" w:cs="Arial" w:eastAsia="Arial" w:hAnsi="Arial"/>
          <w:sz w:val="20"/>
          <w:szCs w:val="20"/>
          <w:color w:val="auto"/>
        </w:rPr>
        <w:t>United Kingdom</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auto"/>
        </w:rPr>
        <w:t>WILLIS TOWERS WATSON UK HOLDINGS 2 LIMITED</w:t>
      </w:r>
    </w:p>
    <w:p>
      <w:pPr>
        <w:spacing w:after="0" w:line="372"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WILLIS TOWERS WATSON UK HOLDINGS LIMITED</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WILLIS TOWERS WATSON UK HOLOCENE LIMITED</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WTW LUZON HOLDINGS LIMITED</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United Kingdom</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WTW Sabah Apex Holdings Limited</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20"/>
          <w:szCs w:val="20"/>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1016635</wp:posOffset>
            </wp:positionV>
            <wp:extent cx="5967730" cy="190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7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28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 / 18</w:t>
      </w:r>
    </w:p>
    <w:p>
      <w:pPr>
        <w:sectPr>
          <w:pgSz w:w="11900" w:h="16838" w:orient="portrait"/>
          <w:cols w:equalWidth="0" w:num="1">
            <w:col w:w="9206"/>
          </w:cols>
          <w:pgMar w:left="1260" w:top="1283" w:right="1440" w:bottom="0" w:gutter="0" w:footer="0" w:header="0"/>
          <w:type w:val="continuous"/>
        </w:sectPr>
      </w:pPr>
    </w:p>
    <w:bookmarkStart w:id="321" w:name="page322"/>
    <w:bookmarkEnd w:id="3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Acclaris Holdings, Inc.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Delaware</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Acclaris, Inc.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Delaware</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Encore Insurance PCC, Limited</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Vermont</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Extend Health, LLC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Delaware</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Extend Insurance Services LLC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Utah</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Liazon Corporation</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Delaware</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Napa Merger Sub Inc.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Delaware</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Neuron DTS US, LLC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Virginia</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Premium Funding Associates, Inc.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Connecticut</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Professional Consultants Insurance Company, Inc.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Vermont</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Safe Rock Insurance Company</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Vermont</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Special Contingency Risks Inc.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Delaware</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Towers Perrin Capital Corp.</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Delaware</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Towers Watson Delaware Holdings LLC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Delaware</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Towers Watson Investment Services, Inc.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Delaware</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Towers Watson Latin America Holdings LLC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Delaware</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Towers Watson Middle East Holdings LLC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Delaware</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Towers Watson Retiree Insurance Services, Inc.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Delaware</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Watson Wyatt International, Inc.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Nevada</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Willis Administrative Services Corporation</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Tennessee</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Americas Administration, Inc.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Tennessee</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Willis HRH, Inc.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Virginia</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North America Inc.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Delaware</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Willis Personal Lines, LLC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Delaware</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Processing Services, Inc.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New York</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Willis Programs of Connecticut, Inc.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Connecticut</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Re Inc.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Delaware</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Willis Towers Watson Analytical Insurance Services Inc.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Delaware</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CAC, Inc.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Florida</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Willis Towers Watson Insurance Services West, Inc.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California</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Management (Vermont), Ltd.</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Vermont</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Willis Towers Watson Midwest, Inc.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Ohio</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Northeast, Inc.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New York</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Willis Towers Watson Risk Purchasing Group, Inc.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Vermont</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Securities, LLC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Delaware</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Willis Towers Watson Southeast, Inc.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Tennessee</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Special Risk, LLC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Delaware</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Willis Towers Watson US LLC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Delaware</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US Holding Company, LLC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Delaware</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WTW Delaware Holdings LLC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Delaware</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8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WTW Global Equity Focus Fund, LLC</w:t>
            </w:r>
          </w:p>
        </w:tc>
        <w:tc>
          <w:tcPr>
            <w:tcW w:w="4120" w:type="dxa"/>
            <w:vAlign w:val="bottom"/>
            <w:tcBorders>
              <w:bottom w:val="single" w:sz="8" w:color="CFF0FC"/>
            </w:tcBorders>
            <w:shd w:val="clear" w:color="auto" w:fill="CFF0FC"/>
          </w:tcPr>
          <w:p>
            <w:pPr>
              <w:ind w:left="700"/>
              <w:spacing w:after="0"/>
              <w:rPr>
                <w:sz w:val="20"/>
                <w:szCs w:val="20"/>
                <w:color w:val="auto"/>
              </w:rPr>
            </w:pPr>
            <w:r>
              <w:rPr>
                <w:rFonts w:ascii="Arial" w:cs="Arial" w:eastAsia="Arial" w:hAnsi="Arial"/>
                <w:sz w:val="20"/>
                <w:szCs w:val="20"/>
                <w:color w:val="auto"/>
              </w:rPr>
              <w:t>United States – Delaware</w:t>
            </w:r>
          </w:p>
        </w:tc>
      </w:tr>
      <w:tr>
        <w:trPr>
          <w:trHeight w:val="259"/>
        </w:trPr>
        <w:tc>
          <w:tcPr>
            <w:tcW w:w="5280" w:type="dxa"/>
            <w:vAlign w:val="bottom"/>
          </w:tcPr>
          <w:p>
            <w:pPr>
              <w:spacing w:after="0"/>
              <w:rPr>
                <w:sz w:val="20"/>
                <w:szCs w:val="20"/>
                <w:color w:val="auto"/>
              </w:rPr>
            </w:pPr>
            <w:r>
              <w:rPr>
                <w:rFonts w:ascii="Arial" w:cs="Arial" w:eastAsia="Arial" w:hAnsi="Arial"/>
                <w:sz w:val="20"/>
                <w:szCs w:val="20"/>
                <w:color w:val="auto"/>
              </w:rPr>
              <w:t>WTW HOLDINGS GG, LLC</w:t>
            </w:r>
          </w:p>
        </w:tc>
        <w:tc>
          <w:tcPr>
            <w:tcW w:w="4120" w:type="dxa"/>
            <w:vAlign w:val="bottom"/>
          </w:tcPr>
          <w:p>
            <w:pPr>
              <w:ind w:left="700"/>
              <w:spacing w:after="0"/>
              <w:rPr>
                <w:sz w:val="20"/>
                <w:szCs w:val="20"/>
                <w:color w:val="auto"/>
              </w:rPr>
            </w:pPr>
            <w:r>
              <w:rPr>
                <w:rFonts w:ascii="Arial" w:cs="Arial" w:eastAsia="Arial" w:hAnsi="Arial"/>
                <w:sz w:val="20"/>
                <w:szCs w:val="20"/>
                <w:color w:val="auto"/>
              </w:rPr>
              <w:t>United States – Delaware</w:t>
            </w:r>
          </w:p>
        </w:tc>
      </w:tr>
      <w:tr>
        <w:trPr>
          <w:trHeight w:val="41"/>
        </w:trPr>
        <w:tc>
          <w:tcPr>
            <w:tcW w:w="5280" w:type="dxa"/>
            <w:vAlign w:val="bottom"/>
          </w:tcPr>
          <w:p>
            <w:pPr>
              <w:spacing w:after="0"/>
              <w:rPr>
                <w:sz w:val="3"/>
                <w:szCs w:val="3"/>
                <w:color w:val="auto"/>
              </w:rPr>
            </w:pPr>
          </w:p>
        </w:tc>
        <w:tc>
          <w:tcPr>
            <w:tcW w:w="4120" w:type="dxa"/>
            <w:vAlign w:val="bottom"/>
          </w:tcPr>
          <w:p>
            <w:pPr>
              <w:spacing w:after="0"/>
              <w:rPr>
                <w:sz w:val="3"/>
                <w:szCs w:val="3"/>
                <w:color w:val="auto"/>
              </w:rPr>
            </w:pPr>
          </w:p>
        </w:tc>
      </w:tr>
      <w:tr>
        <w:trPr>
          <w:trHeight w:val="259"/>
        </w:trPr>
        <w:tc>
          <w:tcPr>
            <w:tcW w:w="5280" w:type="dxa"/>
            <w:vAlign w:val="bottom"/>
            <w:shd w:val="clear" w:color="auto" w:fill="CFF0FC"/>
          </w:tcPr>
          <w:p>
            <w:pPr>
              <w:spacing w:after="0"/>
              <w:rPr>
                <w:sz w:val="20"/>
                <w:szCs w:val="20"/>
                <w:color w:val="auto"/>
              </w:rPr>
            </w:pPr>
            <w:r>
              <w:rPr>
                <w:rFonts w:ascii="Arial" w:cs="Arial" w:eastAsia="Arial" w:hAnsi="Arial"/>
                <w:sz w:val="20"/>
                <w:szCs w:val="20"/>
                <w:color w:val="auto"/>
              </w:rPr>
              <w:t>WTW Philippines Holdings LLC</w:t>
            </w:r>
          </w:p>
        </w:tc>
        <w:tc>
          <w:tcPr>
            <w:tcW w:w="4120" w:type="dxa"/>
            <w:vAlign w:val="bottom"/>
            <w:shd w:val="clear" w:color="auto" w:fill="CFF0FC"/>
          </w:tcPr>
          <w:p>
            <w:pPr>
              <w:ind w:left="700"/>
              <w:spacing w:after="0"/>
              <w:rPr>
                <w:sz w:val="20"/>
                <w:szCs w:val="20"/>
                <w:color w:val="auto"/>
              </w:rPr>
            </w:pPr>
            <w:r>
              <w:rPr>
                <w:rFonts w:ascii="Arial" w:cs="Arial" w:eastAsia="Arial" w:hAnsi="Arial"/>
                <w:sz w:val="20"/>
                <w:szCs w:val="20"/>
                <w:color w:val="auto"/>
              </w:rPr>
              <w:t>United States – Delaware</w:t>
            </w:r>
          </w:p>
        </w:tc>
      </w:tr>
      <w:tr>
        <w:trPr>
          <w:trHeight w:val="41"/>
        </w:trPr>
        <w:tc>
          <w:tcPr>
            <w:tcW w:w="5280" w:type="dxa"/>
            <w:vAlign w:val="bottom"/>
            <w:shd w:val="clear" w:color="auto" w:fill="CFF0FC"/>
          </w:tcPr>
          <w:p>
            <w:pPr>
              <w:spacing w:after="0"/>
              <w:rPr>
                <w:sz w:val="3"/>
                <w:szCs w:val="3"/>
                <w:color w:val="auto"/>
              </w:rPr>
            </w:pPr>
          </w:p>
        </w:tc>
        <w:tc>
          <w:tcPr>
            <w:tcW w:w="4120" w:type="dxa"/>
            <w:vAlign w:val="bottom"/>
            <w:shd w:val="clear" w:color="auto" w:fill="CFF0FC"/>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18</w:t>
      </w:r>
    </w:p>
    <w:p>
      <w:pPr>
        <w:sectPr>
          <w:pgSz w:w="11900" w:h="16838" w:orient="portrait"/>
          <w:cols w:equalWidth="0" w:num="1">
            <w:col w:w="9400"/>
          </w:cols>
          <w:pgMar w:left="1260" w:top="1440" w:right="1246" w:bottom="0" w:gutter="0" w:footer="0" w:header="0"/>
          <w:type w:val="continuous"/>
        </w:sectPr>
      </w:pPr>
    </w:p>
    <w:bookmarkStart w:id="322" w:name="page323"/>
    <w:bookmarkEnd w:id="322"/>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20"/>
                <w:szCs w:val="20"/>
                <w:color w:val="auto"/>
              </w:rPr>
              <w:t>WTW Service Center Holdings LLC</w:t>
            </w:r>
          </w:p>
        </w:tc>
        <w:tc>
          <w:tcPr>
            <w:tcW w:w="4220" w:type="dxa"/>
            <w:vAlign w:val="bottom"/>
          </w:tcPr>
          <w:p>
            <w:pPr>
              <w:ind w:left="800"/>
              <w:spacing w:after="0"/>
              <w:rPr>
                <w:sz w:val="20"/>
                <w:szCs w:val="20"/>
                <w:color w:val="auto"/>
              </w:rPr>
            </w:pPr>
            <w:r>
              <w:rPr>
                <w:rFonts w:ascii="Arial" w:cs="Arial" w:eastAsia="Arial" w:hAnsi="Arial"/>
                <w:sz w:val="20"/>
                <w:szCs w:val="20"/>
                <w:color w:val="auto"/>
              </w:rPr>
              <w:t>United States – Delaware</w:t>
            </w:r>
          </w:p>
        </w:tc>
      </w:tr>
      <w:tr>
        <w:trPr>
          <w:trHeight w:val="41"/>
        </w:trPr>
        <w:tc>
          <w:tcPr>
            <w:tcW w:w="5180" w:type="dxa"/>
            <w:vAlign w:val="bottom"/>
          </w:tcPr>
          <w:p>
            <w:pPr>
              <w:spacing w:after="0"/>
              <w:rPr>
                <w:sz w:val="3"/>
                <w:szCs w:val="3"/>
                <w:color w:val="auto"/>
              </w:rPr>
            </w:pPr>
          </w:p>
        </w:tc>
        <w:tc>
          <w:tcPr>
            <w:tcW w:w="4220" w:type="dxa"/>
            <w:vAlign w:val="bottom"/>
          </w:tcPr>
          <w:p>
            <w:pPr>
              <w:spacing w:after="0"/>
              <w:rPr>
                <w:sz w:val="3"/>
                <w:szCs w:val="3"/>
                <w:color w:val="auto"/>
              </w:rPr>
            </w:pPr>
          </w:p>
        </w:tc>
      </w:tr>
      <w:tr>
        <w:trPr>
          <w:trHeight w:val="280"/>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Uruguay S.A.</w:t>
            </w:r>
          </w:p>
        </w:tc>
        <w:tc>
          <w:tcPr>
            <w:tcW w:w="4220" w:type="dxa"/>
            <w:vAlign w:val="bottom"/>
            <w:tcBorders>
              <w:bottom w:val="single" w:sz="8" w:color="CFF0FC"/>
            </w:tcBorders>
            <w:shd w:val="clear" w:color="auto" w:fill="CFF0FC"/>
          </w:tcPr>
          <w:p>
            <w:pPr>
              <w:ind w:left="800"/>
              <w:spacing w:after="0"/>
              <w:rPr>
                <w:sz w:val="20"/>
                <w:szCs w:val="20"/>
                <w:color w:val="auto"/>
              </w:rPr>
            </w:pPr>
            <w:r>
              <w:rPr>
                <w:rFonts w:ascii="Arial" w:cs="Arial" w:eastAsia="Arial" w:hAnsi="Arial"/>
                <w:sz w:val="20"/>
                <w:szCs w:val="20"/>
                <w:color w:val="auto"/>
              </w:rPr>
              <w:t>Uruguay</w:t>
            </w:r>
          </w:p>
        </w:tc>
      </w:tr>
      <w:tr>
        <w:trPr>
          <w:trHeight w:val="259"/>
        </w:trPr>
        <w:tc>
          <w:tcPr>
            <w:tcW w:w="5180" w:type="dxa"/>
            <w:vAlign w:val="bottom"/>
          </w:tcPr>
          <w:p>
            <w:pPr>
              <w:spacing w:after="0"/>
              <w:rPr>
                <w:sz w:val="20"/>
                <w:szCs w:val="20"/>
                <w:color w:val="auto"/>
              </w:rPr>
            </w:pPr>
            <w:r>
              <w:rPr>
                <w:rFonts w:ascii="Arial" w:cs="Arial" w:eastAsia="Arial" w:hAnsi="Arial"/>
                <w:sz w:val="20"/>
                <w:szCs w:val="20"/>
                <w:color w:val="auto"/>
              </w:rPr>
              <w:t>Administradora de Riesgos Parsalud, S.A.</w:t>
            </w:r>
          </w:p>
        </w:tc>
        <w:tc>
          <w:tcPr>
            <w:tcW w:w="4220" w:type="dxa"/>
            <w:vAlign w:val="bottom"/>
          </w:tcPr>
          <w:p>
            <w:pPr>
              <w:ind w:left="800"/>
              <w:spacing w:after="0"/>
              <w:rPr>
                <w:sz w:val="20"/>
                <w:szCs w:val="20"/>
                <w:color w:val="auto"/>
              </w:rPr>
            </w:pPr>
            <w:r>
              <w:rPr>
                <w:rFonts w:ascii="Arial" w:cs="Arial" w:eastAsia="Arial" w:hAnsi="Arial"/>
                <w:sz w:val="20"/>
                <w:szCs w:val="20"/>
                <w:color w:val="auto"/>
              </w:rPr>
              <w:t>Venezuela, Bolivarian Republic of</w:t>
            </w:r>
          </w:p>
        </w:tc>
      </w:tr>
      <w:tr>
        <w:trPr>
          <w:trHeight w:val="41"/>
        </w:trPr>
        <w:tc>
          <w:tcPr>
            <w:tcW w:w="5180" w:type="dxa"/>
            <w:vAlign w:val="bottom"/>
          </w:tcPr>
          <w:p>
            <w:pPr>
              <w:spacing w:after="0"/>
              <w:rPr>
                <w:sz w:val="3"/>
                <w:szCs w:val="3"/>
                <w:color w:val="auto"/>
              </w:rPr>
            </w:pPr>
          </w:p>
        </w:tc>
        <w:tc>
          <w:tcPr>
            <w:tcW w:w="4220" w:type="dxa"/>
            <w:vAlign w:val="bottom"/>
          </w:tcPr>
          <w:p>
            <w:pPr>
              <w:spacing w:after="0"/>
              <w:rPr>
                <w:sz w:val="3"/>
                <w:szCs w:val="3"/>
                <w:color w:val="auto"/>
              </w:rPr>
            </w:pPr>
          </w:p>
        </w:tc>
      </w:tr>
      <w:tr>
        <w:trPr>
          <w:trHeight w:val="280"/>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Rontarca Willis, C.A. Sociedad de corretaje de seguros</w:t>
            </w:r>
          </w:p>
        </w:tc>
        <w:tc>
          <w:tcPr>
            <w:tcW w:w="4220" w:type="dxa"/>
            <w:vAlign w:val="bottom"/>
            <w:tcBorders>
              <w:bottom w:val="single" w:sz="8" w:color="CFF0FC"/>
            </w:tcBorders>
            <w:shd w:val="clear" w:color="auto" w:fill="CFF0FC"/>
          </w:tcPr>
          <w:p>
            <w:pPr>
              <w:ind w:left="800"/>
              <w:spacing w:after="0"/>
              <w:rPr>
                <w:sz w:val="20"/>
                <w:szCs w:val="20"/>
                <w:color w:val="auto"/>
              </w:rPr>
            </w:pPr>
            <w:r>
              <w:rPr>
                <w:rFonts w:ascii="Arial" w:cs="Arial" w:eastAsia="Arial" w:hAnsi="Arial"/>
                <w:sz w:val="20"/>
                <w:szCs w:val="20"/>
                <w:color w:val="auto"/>
              </w:rPr>
              <w:t>Venezuela, Bolivarian Republic of</w:t>
            </w:r>
          </w:p>
        </w:tc>
      </w:tr>
      <w:tr>
        <w:trPr>
          <w:trHeight w:val="259"/>
        </w:trPr>
        <w:tc>
          <w:tcPr>
            <w:tcW w:w="5180" w:type="dxa"/>
            <w:vAlign w:val="bottom"/>
          </w:tcPr>
          <w:p>
            <w:pPr>
              <w:spacing w:after="0"/>
              <w:rPr>
                <w:sz w:val="20"/>
                <w:szCs w:val="20"/>
                <w:color w:val="auto"/>
              </w:rPr>
            </w:pPr>
            <w:r>
              <w:rPr>
                <w:rFonts w:ascii="Arial" w:cs="Arial" w:eastAsia="Arial" w:hAnsi="Arial"/>
                <w:sz w:val="20"/>
                <w:szCs w:val="20"/>
                <w:color w:val="auto"/>
              </w:rPr>
              <w:t>Willis Corretaje de Reaseguros S.A.</w:t>
            </w:r>
          </w:p>
        </w:tc>
        <w:tc>
          <w:tcPr>
            <w:tcW w:w="4220" w:type="dxa"/>
            <w:vAlign w:val="bottom"/>
          </w:tcPr>
          <w:p>
            <w:pPr>
              <w:ind w:left="800"/>
              <w:spacing w:after="0"/>
              <w:rPr>
                <w:sz w:val="20"/>
                <w:szCs w:val="20"/>
                <w:color w:val="auto"/>
              </w:rPr>
            </w:pPr>
            <w:r>
              <w:rPr>
                <w:rFonts w:ascii="Arial" w:cs="Arial" w:eastAsia="Arial" w:hAnsi="Arial"/>
                <w:sz w:val="20"/>
                <w:szCs w:val="20"/>
                <w:color w:val="auto"/>
              </w:rPr>
              <w:t>Venezuela, Bolivarian Republic of</w:t>
            </w:r>
          </w:p>
        </w:tc>
      </w:tr>
      <w:tr>
        <w:trPr>
          <w:trHeight w:val="41"/>
        </w:trPr>
        <w:tc>
          <w:tcPr>
            <w:tcW w:w="5180" w:type="dxa"/>
            <w:vAlign w:val="bottom"/>
          </w:tcPr>
          <w:p>
            <w:pPr>
              <w:spacing w:after="0"/>
              <w:rPr>
                <w:sz w:val="3"/>
                <w:szCs w:val="3"/>
                <w:color w:val="auto"/>
              </w:rPr>
            </w:pPr>
          </w:p>
        </w:tc>
        <w:tc>
          <w:tcPr>
            <w:tcW w:w="4220" w:type="dxa"/>
            <w:vAlign w:val="bottom"/>
          </w:tcPr>
          <w:p>
            <w:pPr>
              <w:spacing w:after="0"/>
              <w:rPr>
                <w:sz w:val="3"/>
                <w:szCs w:val="3"/>
                <w:color w:val="auto"/>
              </w:rPr>
            </w:pPr>
          </w:p>
        </w:tc>
      </w:tr>
      <w:tr>
        <w:trPr>
          <w:trHeight w:val="280"/>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Willis Towers Watson Consultores C.A.</w:t>
            </w:r>
          </w:p>
        </w:tc>
        <w:tc>
          <w:tcPr>
            <w:tcW w:w="4220" w:type="dxa"/>
            <w:vAlign w:val="bottom"/>
            <w:tcBorders>
              <w:bottom w:val="single" w:sz="8" w:color="CFF0FC"/>
            </w:tcBorders>
            <w:shd w:val="clear" w:color="auto" w:fill="CFF0FC"/>
          </w:tcPr>
          <w:p>
            <w:pPr>
              <w:ind w:left="800"/>
              <w:spacing w:after="0"/>
              <w:rPr>
                <w:sz w:val="20"/>
                <w:szCs w:val="20"/>
                <w:color w:val="auto"/>
              </w:rPr>
            </w:pPr>
            <w:r>
              <w:rPr>
                <w:rFonts w:ascii="Arial" w:cs="Arial" w:eastAsia="Arial" w:hAnsi="Arial"/>
                <w:sz w:val="20"/>
                <w:szCs w:val="20"/>
                <w:color w:val="auto"/>
              </w:rPr>
              <w:t>Venezuela, Bolivarian Republic of</w:t>
            </w:r>
          </w:p>
        </w:tc>
      </w:tr>
      <w:tr>
        <w:trPr>
          <w:trHeight w:val="259"/>
        </w:trPr>
        <w:tc>
          <w:tcPr>
            <w:tcW w:w="5180" w:type="dxa"/>
            <w:vAlign w:val="bottom"/>
          </w:tcPr>
          <w:p>
            <w:pPr>
              <w:spacing w:after="0"/>
              <w:rPr>
                <w:sz w:val="20"/>
                <w:szCs w:val="20"/>
                <w:color w:val="auto"/>
              </w:rPr>
            </w:pPr>
            <w:r>
              <w:rPr>
                <w:rFonts w:ascii="Arial" w:cs="Arial" w:eastAsia="Arial" w:hAnsi="Arial"/>
                <w:sz w:val="20"/>
                <w:szCs w:val="20"/>
                <w:color w:val="auto"/>
              </w:rPr>
              <w:t>Willis Towers Watson Vietnam Insurance Broker</w:t>
            </w:r>
          </w:p>
        </w:tc>
        <w:tc>
          <w:tcPr>
            <w:tcW w:w="4220" w:type="dxa"/>
            <w:vAlign w:val="bottom"/>
          </w:tcPr>
          <w:p>
            <w:pPr>
              <w:ind w:left="800"/>
              <w:spacing w:after="0"/>
              <w:rPr>
                <w:sz w:val="20"/>
                <w:szCs w:val="20"/>
                <w:color w:val="auto"/>
              </w:rPr>
            </w:pPr>
            <w:r>
              <w:rPr>
                <w:rFonts w:ascii="Arial" w:cs="Arial" w:eastAsia="Arial" w:hAnsi="Arial"/>
                <w:sz w:val="20"/>
                <w:szCs w:val="20"/>
                <w:color w:val="auto"/>
              </w:rPr>
              <w:t>Vietnam</w:t>
            </w:r>
          </w:p>
        </w:tc>
      </w:tr>
      <w:tr>
        <w:trPr>
          <w:trHeight w:val="41"/>
        </w:trPr>
        <w:tc>
          <w:tcPr>
            <w:tcW w:w="5180" w:type="dxa"/>
            <w:vAlign w:val="bottom"/>
          </w:tcPr>
          <w:p>
            <w:pPr>
              <w:spacing w:after="0"/>
              <w:rPr>
                <w:sz w:val="3"/>
                <w:szCs w:val="3"/>
                <w:color w:val="auto"/>
              </w:rPr>
            </w:pPr>
          </w:p>
        </w:tc>
        <w:tc>
          <w:tcPr>
            <w:tcW w:w="4220" w:type="dxa"/>
            <w:vAlign w:val="bottom"/>
          </w:tcPr>
          <w:p>
            <w:pPr>
              <w:spacing w:after="0"/>
              <w:rPr>
                <w:sz w:val="3"/>
                <w:szCs w:val="3"/>
                <w:color w:val="auto"/>
              </w:rPr>
            </w:pPr>
          </w:p>
        </w:tc>
      </w:tr>
      <w:tr>
        <w:trPr>
          <w:trHeight w:val="280"/>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Unity Group Holdings, Corp.</w:t>
            </w:r>
          </w:p>
        </w:tc>
        <w:tc>
          <w:tcPr>
            <w:tcW w:w="4220" w:type="dxa"/>
            <w:vAlign w:val="bottom"/>
            <w:tcBorders>
              <w:bottom w:val="single" w:sz="8" w:color="CFF0FC"/>
            </w:tcBorders>
            <w:shd w:val="clear" w:color="auto" w:fill="CFF0FC"/>
          </w:tcPr>
          <w:p>
            <w:pPr>
              <w:ind w:left="800"/>
              <w:spacing w:after="0"/>
              <w:rPr>
                <w:sz w:val="20"/>
                <w:szCs w:val="20"/>
                <w:color w:val="auto"/>
              </w:rPr>
            </w:pPr>
            <w:r>
              <w:rPr>
                <w:rFonts w:ascii="Arial" w:cs="Arial" w:eastAsia="Arial" w:hAnsi="Arial"/>
                <w:sz w:val="20"/>
                <w:szCs w:val="20"/>
                <w:color w:val="auto"/>
              </w:rPr>
              <w:t>Virgin Islands, British</w:t>
            </w:r>
          </w:p>
        </w:tc>
      </w:tr>
      <w:tr>
        <w:trPr>
          <w:trHeight w:val="1570"/>
        </w:trPr>
        <w:tc>
          <w:tcPr>
            <w:tcW w:w="5180" w:type="dxa"/>
            <w:vAlign w:val="bottom"/>
            <w:tcBorders>
              <w:bottom w:val="single" w:sz="8" w:color="010101"/>
            </w:tcBorders>
          </w:tcPr>
          <w:p>
            <w:pPr>
              <w:spacing w:after="0"/>
              <w:rPr>
                <w:sz w:val="24"/>
                <w:szCs w:val="24"/>
                <w:color w:val="auto"/>
              </w:rPr>
            </w:pPr>
          </w:p>
        </w:tc>
        <w:tc>
          <w:tcPr>
            <w:tcW w:w="42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76">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77">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18</w:t>
      </w:r>
    </w:p>
    <w:p>
      <w:pPr>
        <w:sectPr>
          <w:pgSz w:w="11900" w:h="16838" w:orient="portrait"/>
          <w:cols w:equalWidth="0" w:num="1">
            <w:col w:w="9400"/>
          </w:cols>
          <w:pgMar w:left="1260" w:top="1163" w:right="1246" w:bottom="0" w:gutter="0" w:footer="0" w:header="0"/>
          <w:type w:val="continuous"/>
        </w:sectPr>
      </w:pPr>
    </w:p>
    <w:bookmarkStart w:id="323" w:name="page324"/>
    <w:bookmarkEnd w:id="3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 / 18</w:t>
      </w:r>
    </w:p>
    <w:p>
      <w:pPr>
        <w:sectPr>
          <w:pgSz w:w="11900" w:h="16838" w:orient="portrait"/>
          <w:cols w:equalWidth="0" w:num="1">
            <w:col w:w="9026"/>
          </w:cols>
          <w:pgMar w:left="1440" w:top="1440" w:right="1440" w:bottom="0" w:gutter="0" w:footer="0" w:header="0"/>
        </w:sectPr>
      </w:pPr>
    </w:p>
    <w:bookmarkStart w:id="324" w:name="page325"/>
    <w:bookmarkEnd w:id="3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List of Issuers and Guarantor Subsidiaries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The below table sets forth the respective issuers and guarantors of the notes issued or guaranteed by Willis Towers Watson Public Limited Company, Trinity Acquisition plc and Willis North America Inc. and the jurisdiction of incorporation or organization for each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284480</wp:posOffset>
            </wp:positionV>
            <wp:extent cx="5980430" cy="303212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78">
                      <a:extLst>
                        <a:ext uri="{28A0092B-C50C-407E-A947-70E740481C1C}"/>
                      </a:extLst>
                    </a:blip>
                    <a:srcRect/>
                    <a:stretch>
                      <a:fillRect/>
                    </a:stretch>
                  </pic:blipFill>
                  <pic:spPr bwMode="auto">
                    <a:xfrm>
                      <a:off x="0" y="0"/>
                      <a:ext cx="5980430" cy="303212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94"/>
              </w:rPr>
              <w:t>Willis North America</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5"/>
                <w:szCs w:val="15"/>
                <w:b w:val="1"/>
                <w:bCs w:val="1"/>
                <w:color w:val="auto"/>
                <w:w w:val="92"/>
              </w:rPr>
              <w:t>Trinity Acquisition plc</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92"/>
              </w:rPr>
              <w:t>Inc.</w:t>
            </w:r>
          </w:p>
        </w:tc>
      </w:tr>
      <w:tr>
        <w:trPr>
          <w:trHeight w:val="460"/>
        </w:trPr>
        <w:tc>
          <w:tcPr>
            <w:tcW w:w="32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4.650% senior notes due</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2027</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4.500% senior notes due</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2028</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2.950% senior notes due</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2029</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4.550% senior notes due</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2031</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5.350% senior notes due</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2033</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5.150% senior notes due</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2036</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5.050% senior notes due</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2048</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jc w:val="center"/>
              <w:ind w:left="5"/>
              <w:spacing w:after="0"/>
              <w:rPr>
                <w:sz w:val="20"/>
                <w:szCs w:val="20"/>
                <w:color w:val="auto"/>
              </w:rPr>
            </w:pPr>
            <w:r>
              <w:rPr>
                <w:rFonts w:ascii="Arial" w:cs="Arial" w:eastAsia="Arial" w:hAnsi="Arial"/>
                <w:sz w:val="15"/>
                <w:szCs w:val="15"/>
                <w:b w:val="1"/>
                <w:bCs w:val="1"/>
                <w:color w:val="auto"/>
                <w:w w:val="88"/>
              </w:rPr>
              <w:t>4.400% senior notes</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3.875% senior notes due</w:t>
            </w:r>
          </w:p>
        </w:tc>
      </w:tr>
      <w:tr>
        <w:trPr>
          <w:trHeight w:val="225"/>
        </w:trPr>
        <w:tc>
          <w:tcPr>
            <w:tcW w:w="32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40" w:type="dxa"/>
            <w:vAlign w:val="bottom"/>
          </w:tcPr>
          <w:p>
            <w:pPr>
              <w:jc w:val="center"/>
              <w:ind w:left="45"/>
              <w:spacing w:after="0"/>
              <w:rPr>
                <w:sz w:val="20"/>
                <w:szCs w:val="20"/>
                <w:color w:val="auto"/>
              </w:rPr>
            </w:pPr>
            <w:r>
              <w:rPr>
                <w:rFonts w:ascii="Arial" w:cs="Arial" w:eastAsia="Arial" w:hAnsi="Arial"/>
                <w:sz w:val="15"/>
                <w:szCs w:val="15"/>
                <w:b w:val="1"/>
                <w:bCs w:val="1"/>
                <w:color w:val="auto"/>
                <w:w w:val="87"/>
              </w:rPr>
              <w:t>due 2026</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2049</w:t>
            </w:r>
          </w:p>
        </w:tc>
      </w:tr>
      <w:tr>
        <w:trPr>
          <w:trHeight w:val="225"/>
        </w:trPr>
        <w:tc>
          <w:tcPr>
            <w:tcW w:w="3200" w:type="dxa"/>
            <w:vAlign w:val="bottom"/>
          </w:tcPr>
          <w:p>
            <w:pPr>
              <w:spacing w:after="0"/>
              <w:rPr>
                <w:sz w:val="19"/>
                <w:szCs w:val="19"/>
                <w:color w:val="auto"/>
              </w:rPr>
            </w:pPr>
          </w:p>
        </w:tc>
        <w:tc>
          <w:tcPr>
            <w:tcW w:w="2500" w:type="dxa"/>
            <w:vAlign w:val="bottom"/>
          </w:tcPr>
          <w:p>
            <w:pPr>
              <w:jc w:val="center"/>
              <w:spacing w:after="0"/>
              <w:rPr>
                <w:sz w:val="20"/>
                <w:szCs w:val="20"/>
                <w:color w:val="auto"/>
              </w:rPr>
            </w:pPr>
            <w:r>
              <w:rPr>
                <w:rFonts w:ascii="Arial" w:cs="Arial" w:eastAsia="Arial" w:hAnsi="Arial"/>
                <w:sz w:val="15"/>
                <w:szCs w:val="15"/>
                <w:b w:val="1"/>
                <w:bCs w:val="1"/>
                <w:color w:val="auto"/>
                <w:w w:val="91"/>
              </w:rPr>
              <w:t>Jurisdiction of Incorporation or</w:t>
            </w:r>
          </w:p>
        </w:tc>
        <w:tc>
          <w:tcPr>
            <w:tcW w:w="1840" w:type="dxa"/>
            <w:vAlign w:val="bottom"/>
          </w:tcPr>
          <w:p>
            <w:pPr>
              <w:jc w:val="center"/>
              <w:ind w:left="5"/>
              <w:spacing w:after="0"/>
              <w:rPr>
                <w:sz w:val="20"/>
                <w:szCs w:val="20"/>
                <w:color w:val="auto"/>
              </w:rPr>
            </w:pPr>
            <w:r>
              <w:rPr>
                <w:rFonts w:ascii="Arial" w:cs="Arial" w:eastAsia="Arial" w:hAnsi="Arial"/>
                <w:sz w:val="15"/>
                <w:szCs w:val="15"/>
                <w:b w:val="1"/>
                <w:bCs w:val="1"/>
                <w:color w:val="auto"/>
                <w:w w:val="88"/>
              </w:rPr>
              <w:t>6.125% senior notes</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5.900% senior notes due</w:t>
            </w:r>
          </w:p>
        </w:tc>
      </w:tr>
      <w:tr>
        <w:trPr>
          <w:trHeight w:val="225"/>
        </w:trPr>
        <w:tc>
          <w:tcPr>
            <w:tcW w:w="3200" w:type="dxa"/>
            <w:vAlign w:val="bottom"/>
          </w:tcPr>
          <w:p>
            <w:pPr>
              <w:ind w:left="120"/>
              <w:spacing w:after="0"/>
              <w:rPr>
                <w:sz w:val="20"/>
                <w:szCs w:val="20"/>
                <w:color w:val="auto"/>
              </w:rPr>
            </w:pPr>
            <w:r>
              <w:rPr>
                <w:rFonts w:ascii="Arial" w:cs="Arial" w:eastAsia="Arial" w:hAnsi="Arial"/>
                <w:sz w:val="15"/>
                <w:szCs w:val="15"/>
                <w:b w:val="1"/>
                <w:bCs w:val="1"/>
                <w:color w:val="auto"/>
              </w:rPr>
              <w:t>Entity</w:t>
            </w:r>
          </w:p>
        </w:tc>
        <w:tc>
          <w:tcPr>
            <w:tcW w:w="2500" w:type="dxa"/>
            <w:vAlign w:val="bottom"/>
          </w:tcPr>
          <w:p>
            <w:pPr>
              <w:jc w:val="center"/>
              <w:spacing w:after="0"/>
              <w:rPr>
                <w:sz w:val="20"/>
                <w:szCs w:val="20"/>
                <w:color w:val="auto"/>
              </w:rPr>
            </w:pPr>
            <w:r>
              <w:rPr>
                <w:rFonts w:ascii="Arial" w:cs="Arial" w:eastAsia="Arial" w:hAnsi="Arial"/>
                <w:sz w:val="15"/>
                <w:szCs w:val="15"/>
                <w:b w:val="1"/>
                <w:bCs w:val="1"/>
                <w:color w:val="auto"/>
                <w:w w:val="91"/>
              </w:rPr>
              <w:t>Organization</w:t>
            </w:r>
          </w:p>
        </w:tc>
        <w:tc>
          <w:tcPr>
            <w:tcW w:w="1840" w:type="dxa"/>
            <w:vAlign w:val="bottom"/>
          </w:tcPr>
          <w:p>
            <w:pPr>
              <w:jc w:val="center"/>
              <w:ind w:left="45"/>
              <w:spacing w:after="0"/>
              <w:rPr>
                <w:sz w:val="20"/>
                <w:szCs w:val="20"/>
                <w:color w:val="auto"/>
              </w:rPr>
            </w:pPr>
            <w:r>
              <w:rPr>
                <w:rFonts w:ascii="Arial" w:cs="Arial" w:eastAsia="Arial" w:hAnsi="Arial"/>
                <w:sz w:val="15"/>
                <w:szCs w:val="15"/>
                <w:b w:val="1"/>
                <w:bCs w:val="1"/>
                <w:color w:val="auto"/>
                <w:w w:val="87"/>
              </w:rPr>
              <w:t>due 2043</w:t>
            </w:r>
          </w:p>
        </w:tc>
        <w:tc>
          <w:tcPr>
            <w:tcW w:w="1860" w:type="dxa"/>
            <w:vAlign w:val="bottom"/>
          </w:tcPr>
          <w:p>
            <w:pPr>
              <w:jc w:val="center"/>
              <w:spacing w:after="0"/>
              <w:rPr>
                <w:sz w:val="20"/>
                <w:szCs w:val="20"/>
                <w:color w:val="auto"/>
              </w:rPr>
            </w:pPr>
            <w:r>
              <w:rPr>
                <w:rFonts w:ascii="Arial" w:cs="Arial" w:eastAsia="Arial" w:hAnsi="Arial"/>
                <w:sz w:val="15"/>
                <w:szCs w:val="15"/>
                <w:b w:val="1"/>
                <w:bCs w:val="1"/>
                <w:color w:val="auto"/>
                <w:w w:val="89"/>
              </w:rPr>
              <w:t>2054</w:t>
            </w:r>
          </w:p>
        </w:tc>
      </w:tr>
      <w:tr>
        <w:trPr>
          <w:trHeight w:val="235"/>
        </w:trPr>
        <w:tc>
          <w:tcPr>
            <w:tcW w:w="3200" w:type="dxa"/>
            <w:vAlign w:val="bottom"/>
          </w:tcPr>
          <w:p>
            <w:pPr>
              <w:ind w:left="120"/>
              <w:spacing w:after="0"/>
              <w:rPr>
                <w:sz w:val="20"/>
                <w:szCs w:val="20"/>
                <w:color w:val="auto"/>
              </w:rPr>
            </w:pPr>
            <w:r>
              <w:rPr>
                <w:rFonts w:ascii="Arial" w:cs="Arial" w:eastAsia="Arial" w:hAnsi="Arial"/>
                <w:sz w:val="15"/>
                <w:szCs w:val="15"/>
                <w:color w:val="auto"/>
              </w:rPr>
              <w:t>Willis Towers Watson Public Limited</w:t>
            </w:r>
          </w:p>
        </w:tc>
        <w:tc>
          <w:tcPr>
            <w:tcW w:w="2500" w:type="dxa"/>
            <w:vAlign w:val="bottom"/>
          </w:tcPr>
          <w:p>
            <w:pPr>
              <w:spacing w:after="0"/>
              <w:rPr>
                <w:sz w:val="20"/>
                <w:szCs w:val="20"/>
                <w:color w:val="auto"/>
              </w:rPr>
            </w:pPr>
          </w:p>
        </w:tc>
        <w:tc>
          <w:tcPr>
            <w:tcW w:w="1840" w:type="dxa"/>
            <w:vAlign w:val="bottom"/>
          </w:tcPr>
          <w:p>
            <w:pPr>
              <w:jc w:val="center"/>
              <w:ind w:left="45"/>
              <w:spacing w:after="0"/>
              <w:rPr>
                <w:sz w:val="20"/>
                <w:szCs w:val="20"/>
                <w:color w:val="auto"/>
              </w:rPr>
            </w:pPr>
            <w:r>
              <w:rPr>
                <w:rFonts w:ascii="Arial" w:cs="Arial" w:eastAsia="Arial" w:hAnsi="Arial"/>
                <w:sz w:val="15"/>
                <w:szCs w:val="15"/>
                <w:color w:val="auto"/>
                <w:w w:val="88"/>
              </w:rPr>
              <w:t>Guarantor</w:t>
            </w:r>
          </w:p>
        </w:tc>
        <w:tc>
          <w:tcPr>
            <w:tcW w:w="1860" w:type="dxa"/>
            <w:vAlign w:val="bottom"/>
          </w:tcPr>
          <w:p>
            <w:pPr>
              <w:jc w:val="center"/>
              <w:spacing w:after="0"/>
              <w:rPr>
                <w:sz w:val="20"/>
                <w:szCs w:val="20"/>
                <w:color w:val="auto"/>
              </w:rPr>
            </w:pPr>
            <w:r>
              <w:rPr>
                <w:rFonts w:ascii="Arial" w:cs="Arial" w:eastAsia="Arial" w:hAnsi="Arial"/>
                <w:sz w:val="15"/>
                <w:szCs w:val="15"/>
                <w:color w:val="auto"/>
                <w:w w:val="91"/>
              </w:rPr>
              <w:t>Guarantor</w:t>
            </w:r>
          </w:p>
        </w:tc>
      </w:tr>
      <w:tr>
        <w:trPr>
          <w:trHeight w:val="225"/>
        </w:trPr>
        <w:tc>
          <w:tcPr>
            <w:tcW w:w="3200" w:type="dxa"/>
            <w:vAlign w:val="bottom"/>
          </w:tcPr>
          <w:p>
            <w:pPr>
              <w:ind w:left="160"/>
              <w:spacing w:after="0"/>
              <w:rPr>
                <w:sz w:val="20"/>
                <w:szCs w:val="20"/>
                <w:color w:val="auto"/>
              </w:rPr>
            </w:pPr>
            <w:r>
              <w:rPr>
                <w:rFonts w:ascii="Arial" w:cs="Arial" w:eastAsia="Arial" w:hAnsi="Arial"/>
                <w:sz w:val="15"/>
                <w:szCs w:val="15"/>
                <w:color w:val="auto"/>
              </w:rPr>
              <w:t>Company</w:t>
            </w:r>
          </w:p>
        </w:tc>
        <w:tc>
          <w:tcPr>
            <w:tcW w:w="2500" w:type="dxa"/>
            <w:vAlign w:val="bottom"/>
          </w:tcPr>
          <w:p>
            <w:pPr>
              <w:jc w:val="center"/>
              <w:spacing w:after="0"/>
              <w:rPr>
                <w:sz w:val="20"/>
                <w:szCs w:val="20"/>
                <w:color w:val="auto"/>
              </w:rPr>
            </w:pPr>
            <w:r>
              <w:rPr>
                <w:rFonts w:ascii="Arial" w:cs="Arial" w:eastAsia="Arial" w:hAnsi="Arial"/>
                <w:sz w:val="15"/>
                <w:szCs w:val="15"/>
                <w:color w:val="auto"/>
                <w:w w:val="91"/>
              </w:rPr>
              <w:t>Ireland</w:t>
            </w:r>
          </w:p>
        </w:tc>
        <w:tc>
          <w:tcPr>
            <w:tcW w:w="18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5"/>
        </w:trPr>
        <w:tc>
          <w:tcPr>
            <w:tcW w:w="3200" w:type="dxa"/>
            <w:vAlign w:val="bottom"/>
          </w:tcPr>
          <w:p>
            <w:pPr>
              <w:ind w:left="120"/>
              <w:spacing w:after="0"/>
              <w:rPr>
                <w:sz w:val="20"/>
                <w:szCs w:val="20"/>
                <w:color w:val="auto"/>
              </w:rPr>
            </w:pPr>
            <w:r>
              <w:rPr>
                <w:rFonts w:ascii="Arial" w:cs="Arial" w:eastAsia="Arial" w:hAnsi="Arial"/>
                <w:sz w:val="15"/>
                <w:szCs w:val="15"/>
                <w:color w:val="auto"/>
              </w:rPr>
              <w:t>Trinity Acquisition plc</w:t>
            </w:r>
          </w:p>
        </w:tc>
        <w:tc>
          <w:tcPr>
            <w:tcW w:w="2500" w:type="dxa"/>
            <w:vAlign w:val="bottom"/>
          </w:tcPr>
          <w:p>
            <w:pPr>
              <w:jc w:val="center"/>
              <w:spacing w:after="0"/>
              <w:rPr>
                <w:sz w:val="20"/>
                <w:szCs w:val="20"/>
                <w:color w:val="auto"/>
              </w:rPr>
            </w:pPr>
            <w:r>
              <w:rPr>
                <w:rFonts w:ascii="Arial" w:cs="Arial" w:eastAsia="Arial" w:hAnsi="Arial"/>
                <w:sz w:val="15"/>
                <w:szCs w:val="15"/>
                <w:color w:val="auto"/>
                <w:w w:val="93"/>
              </w:rPr>
              <w:t>United Kingdom</w:t>
            </w:r>
          </w:p>
        </w:tc>
        <w:tc>
          <w:tcPr>
            <w:tcW w:w="1840" w:type="dxa"/>
            <w:vAlign w:val="bottom"/>
          </w:tcPr>
          <w:p>
            <w:pPr>
              <w:jc w:val="center"/>
              <w:ind w:left="45"/>
              <w:spacing w:after="0"/>
              <w:rPr>
                <w:sz w:val="20"/>
                <w:szCs w:val="20"/>
                <w:color w:val="auto"/>
              </w:rPr>
            </w:pPr>
            <w:r>
              <w:rPr>
                <w:rFonts w:ascii="Arial" w:cs="Arial" w:eastAsia="Arial" w:hAnsi="Arial"/>
                <w:sz w:val="15"/>
                <w:szCs w:val="15"/>
                <w:color w:val="auto"/>
                <w:w w:val="88"/>
              </w:rPr>
              <w:t>Issuer</w:t>
            </w:r>
          </w:p>
        </w:tc>
        <w:tc>
          <w:tcPr>
            <w:tcW w:w="1860" w:type="dxa"/>
            <w:vAlign w:val="bottom"/>
          </w:tcPr>
          <w:p>
            <w:pPr>
              <w:jc w:val="center"/>
              <w:spacing w:after="0"/>
              <w:rPr>
                <w:sz w:val="20"/>
                <w:szCs w:val="20"/>
                <w:color w:val="auto"/>
              </w:rPr>
            </w:pPr>
            <w:r>
              <w:rPr>
                <w:rFonts w:ascii="Arial" w:cs="Arial" w:eastAsia="Arial" w:hAnsi="Arial"/>
                <w:sz w:val="15"/>
                <w:szCs w:val="15"/>
                <w:color w:val="auto"/>
                <w:w w:val="91"/>
              </w:rPr>
              <w:t>Guarantor</w:t>
            </w:r>
          </w:p>
        </w:tc>
      </w:tr>
      <w:tr>
        <w:trPr>
          <w:trHeight w:val="235"/>
        </w:trPr>
        <w:tc>
          <w:tcPr>
            <w:tcW w:w="3200" w:type="dxa"/>
            <w:vAlign w:val="bottom"/>
          </w:tcPr>
          <w:p>
            <w:pPr>
              <w:ind w:left="120"/>
              <w:spacing w:after="0"/>
              <w:rPr>
                <w:sz w:val="20"/>
                <w:szCs w:val="20"/>
                <w:color w:val="auto"/>
              </w:rPr>
            </w:pPr>
            <w:r>
              <w:rPr>
                <w:rFonts w:ascii="Arial" w:cs="Arial" w:eastAsia="Arial" w:hAnsi="Arial"/>
                <w:sz w:val="15"/>
                <w:szCs w:val="15"/>
                <w:color w:val="auto"/>
              </w:rPr>
              <w:t>Willis North America Inc.</w:t>
            </w:r>
          </w:p>
        </w:tc>
        <w:tc>
          <w:tcPr>
            <w:tcW w:w="2500" w:type="dxa"/>
            <w:vAlign w:val="bottom"/>
          </w:tcPr>
          <w:p>
            <w:pPr>
              <w:jc w:val="center"/>
              <w:spacing w:after="0"/>
              <w:rPr>
                <w:sz w:val="20"/>
                <w:szCs w:val="20"/>
                <w:color w:val="auto"/>
              </w:rPr>
            </w:pPr>
            <w:r>
              <w:rPr>
                <w:rFonts w:ascii="Arial" w:cs="Arial" w:eastAsia="Arial" w:hAnsi="Arial"/>
                <w:sz w:val="15"/>
                <w:szCs w:val="15"/>
                <w:color w:val="auto"/>
                <w:w w:val="91"/>
              </w:rPr>
              <w:t>Delaware</w:t>
            </w:r>
          </w:p>
        </w:tc>
        <w:tc>
          <w:tcPr>
            <w:tcW w:w="1840" w:type="dxa"/>
            <w:vAlign w:val="bottom"/>
          </w:tcPr>
          <w:p>
            <w:pPr>
              <w:jc w:val="center"/>
              <w:ind w:left="45"/>
              <w:spacing w:after="0"/>
              <w:rPr>
                <w:sz w:val="20"/>
                <w:szCs w:val="20"/>
                <w:color w:val="auto"/>
              </w:rPr>
            </w:pPr>
            <w:r>
              <w:rPr>
                <w:rFonts w:ascii="Arial" w:cs="Arial" w:eastAsia="Arial" w:hAnsi="Arial"/>
                <w:sz w:val="15"/>
                <w:szCs w:val="15"/>
                <w:color w:val="auto"/>
                <w:w w:val="88"/>
              </w:rPr>
              <w:t>Guarantor</w:t>
            </w:r>
          </w:p>
        </w:tc>
        <w:tc>
          <w:tcPr>
            <w:tcW w:w="1860" w:type="dxa"/>
            <w:vAlign w:val="bottom"/>
          </w:tcPr>
          <w:p>
            <w:pPr>
              <w:jc w:val="center"/>
              <w:spacing w:after="0"/>
              <w:rPr>
                <w:sz w:val="20"/>
                <w:szCs w:val="20"/>
                <w:color w:val="auto"/>
              </w:rPr>
            </w:pPr>
            <w:r>
              <w:rPr>
                <w:rFonts w:ascii="Arial" w:cs="Arial" w:eastAsia="Arial" w:hAnsi="Arial"/>
                <w:sz w:val="15"/>
                <w:szCs w:val="15"/>
                <w:color w:val="auto"/>
                <w:w w:val="88"/>
              </w:rPr>
              <w:t>Issuer</w:t>
            </w:r>
          </w:p>
        </w:tc>
      </w:tr>
      <w:tr>
        <w:trPr>
          <w:trHeight w:val="235"/>
        </w:trPr>
        <w:tc>
          <w:tcPr>
            <w:tcW w:w="3200" w:type="dxa"/>
            <w:vAlign w:val="bottom"/>
          </w:tcPr>
          <w:p>
            <w:pPr>
              <w:ind w:left="120"/>
              <w:spacing w:after="0"/>
              <w:rPr>
                <w:sz w:val="20"/>
                <w:szCs w:val="20"/>
                <w:color w:val="auto"/>
              </w:rPr>
            </w:pPr>
            <w:r>
              <w:rPr>
                <w:rFonts w:ascii="Arial" w:cs="Arial" w:eastAsia="Arial" w:hAnsi="Arial"/>
                <w:sz w:val="15"/>
                <w:szCs w:val="15"/>
                <w:color w:val="auto"/>
              </w:rPr>
              <w:t>Willis Investment UK Holdings Limited</w:t>
            </w:r>
          </w:p>
        </w:tc>
        <w:tc>
          <w:tcPr>
            <w:tcW w:w="2500" w:type="dxa"/>
            <w:vAlign w:val="bottom"/>
          </w:tcPr>
          <w:p>
            <w:pPr>
              <w:jc w:val="center"/>
              <w:spacing w:after="0"/>
              <w:rPr>
                <w:sz w:val="20"/>
                <w:szCs w:val="20"/>
                <w:color w:val="auto"/>
              </w:rPr>
            </w:pPr>
            <w:r>
              <w:rPr>
                <w:rFonts w:ascii="Arial" w:cs="Arial" w:eastAsia="Arial" w:hAnsi="Arial"/>
                <w:sz w:val="15"/>
                <w:szCs w:val="15"/>
                <w:color w:val="auto"/>
                <w:w w:val="93"/>
              </w:rPr>
              <w:t>United Kingdom</w:t>
            </w:r>
          </w:p>
        </w:tc>
        <w:tc>
          <w:tcPr>
            <w:tcW w:w="1840" w:type="dxa"/>
            <w:vAlign w:val="bottom"/>
          </w:tcPr>
          <w:p>
            <w:pPr>
              <w:jc w:val="center"/>
              <w:ind w:left="45"/>
              <w:spacing w:after="0"/>
              <w:rPr>
                <w:sz w:val="20"/>
                <w:szCs w:val="20"/>
                <w:color w:val="auto"/>
              </w:rPr>
            </w:pPr>
            <w:r>
              <w:rPr>
                <w:rFonts w:ascii="Arial" w:cs="Arial" w:eastAsia="Arial" w:hAnsi="Arial"/>
                <w:sz w:val="15"/>
                <w:szCs w:val="15"/>
                <w:color w:val="auto"/>
                <w:w w:val="88"/>
              </w:rPr>
              <w:t>Guarantor</w:t>
            </w:r>
          </w:p>
        </w:tc>
        <w:tc>
          <w:tcPr>
            <w:tcW w:w="1860" w:type="dxa"/>
            <w:vAlign w:val="bottom"/>
          </w:tcPr>
          <w:p>
            <w:pPr>
              <w:jc w:val="center"/>
              <w:spacing w:after="0"/>
              <w:rPr>
                <w:sz w:val="20"/>
                <w:szCs w:val="20"/>
                <w:color w:val="auto"/>
              </w:rPr>
            </w:pPr>
            <w:r>
              <w:rPr>
                <w:rFonts w:ascii="Arial" w:cs="Arial" w:eastAsia="Arial" w:hAnsi="Arial"/>
                <w:sz w:val="15"/>
                <w:szCs w:val="15"/>
                <w:color w:val="auto"/>
                <w:w w:val="91"/>
              </w:rPr>
              <w:t>Guarantor</w:t>
            </w:r>
          </w:p>
        </w:tc>
      </w:tr>
      <w:tr>
        <w:trPr>
          <w:trHeight w:val="235"/>
        </w:trPr>
        <w:tc>
          <w:tcPr>
            <w:tcW w:w="3200" w:type="dxa"/>
            <w:vAlign w:val="bottom"/>
          </w:tcPr>
          <w:p>
            <w:pPr>
              <w:ind w:left="120"/>
              <w:spacing w:after="0"/>
              <w:rPr>
                <w:sz w:val="20"/>
                <w:szCs w:val="20"/>
                <w:color w:val="auto"/>
              </w:rPr>
            </w:pPr>
            <w:r>
              <w:rPr>
                <w:rFonts w:ascii="Arial" w:cs="Arial" w:eastAsia="Arial" w:hAnsi="Arial"/>
                <w:sz w:val="15"/>
                <w:szCs w:val="15"/>
                <w:color w:val="auto"/>
              </w:rPr>
              <w:t>Willis Group Limited</w:t>
            </w:r>
          </w:p>
        </w:tc>
        <w:tc>
          <w:tcPr>
            <w:tcW w:w="2500" w:type="dxa"/>
            <w:vAlign w:val="bottom"/>
          </w:tcPr>
          <w:p>
            <w:pPr>
              <w:jc w:val="center"/>
              <w:spacing w:after="0"/>
              <w:rPr>
                <w:sz w:val="20"/>
                <w:szCs w:val="20"/>
                <w:color w:val="auto"/>
              </w:rPr>
            </w:pPr>
            <w:r>
              <w:rPr>
                <w:rFonts w:ascii="Arial" w:cs="Arial" w:eastAsia="Arial" w:hAnsi="Arial"/>
                <w:sz w:val="15"/>
                <w:szCs w:val="15"/>
                <w:color w:val="auto"/>
                <w:w w:val="93"/>
              </w:rPr>
              <w:t>United Kingdom</w:t>
            </w:r>
          </w:p>
        </w:tc>
        <w:tc>
          <w:tcPr>
            <w:tcW w:w="1840" w:type="dxa"/>
            <w:vAlign w:val="bottom"/>
          </w:tcPr>
          <w:p>
            <w:pPr>
              <w:jc w:val="center"/>
              <w:ind w:left="45"/>
              <w:spacing w:after="0"/>
              <w:rPr>
                <w:sz w:val="20"/>
                <w:szCs w:val="20"/>
                <w:color w:val="auto"/>
              </w:rPr>
            </w:pPr>
            <w:r>
              <w:rPr>
                <w:rFonts w:ascii="Arial" w:cs="Arial" w:eastAsia="Arial" w:hAnsi="Arial"/>
                <w:sz w:val="15"/>
                <w:szCs w:val="15"/>
                <w:color w:val="auto"/>
                <w:w w:val="88"/>
              </w:rPr>
              <w:t>Guarantor</w:t>
            </w:r>
          </w:p>
        </w:tc>
        <w:tc>
          <w:tcPr>
            <w:tcW w:w="1860" w:type="dxa"/>
            <w:vAlign w:val="bottom"/>
          </w:tcPr>
          <w:p>
            <w:pPr>
              <w:jc w:val="center"/>
              <w:spacing w:after="0"/>
              <w:rPr>
                <w:sz w:val="20"/>
                <w:szCs w:val="20"/>
                <w:color w:val="auto"/>
              </w:rPr>
            </w:pPr>
            <w:r>
              <w:rPr>
                <w:rFonts w:ascii="Arial" w:cs="Arial" w:eastAsia="Arial" w:hAnsi="Arial"/>
                <w:sz w:val="15"/>
                <w:szCs w:val="15"/>
                <w:color w:val="auto"/>
                <w:w w:val="91"/>
              </w:rPr>
              <w:t>Guarantor</w:t>
            </w:r>
          </w:p>
        </w:tc>
      </w:tr>
      <w:tr>
        <w:trPr>
          <w:trHeight w:val="235"/>
        </w:trPr>
        <w:tc>
          <w:tcPr>
            <w:tcW w:w="3200" w:type="dxa"/>
            <w:vAlign w:val="bottom"/>
          </w:tcPr>
          <w:p>
            <w:pPr>
              <w:ind w:left="120"/>
              <w:spacing w:after="0"/>
              <w:rPr>
                <w:sz w:val="20"/>
                <w:szCs w:val="20"/>
                <w:color w:val="auto"/>
              </w:rPr>
            </w:pPr>
            <w:r>
              <w:rPr>
                <w:rFonts w:ascii="Arial" w:cs="Arial" w:eastAsia="Arial" w:hAnsi="Arial"/>
                <w:sz w:val="15"/>
                <w:szCs w:val="15"/>
                <w:color w:val="auto"/>
              </w:rPr>
              <w:t>Willis Towers Watson Sub Holdings Unlimited</w:t>
            </w:r>
          </w:p>
        </w:tc>
        <w:tc>
          <w:tcPr>
            <w:tcW w:w="2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25"/>
        </w:trPr>
        <w:tc>
          <w:tcPr>
            <w:tcW w:w="3200" w:type="dxa"/>
            <w:vAlign w:val="bottom"/>
          </w:tcPr>
          <w:p>
            <w:pPr>
              <w:ind w:left="160"/>
              <w:spacing w:after="0"/>
              <w:rPr>
                <w:sz w:val="20"/>
                <w:szCs w:val="20"/>
                <w:color w:val="auto"/>
              </w:rPr>
            </w:pPr>
            <w:r>
              <w:rPr>
                <w:rFonts w:ascii="Arial" w:cs="Arial" w:eastAsia="Arial" w:hAnsi="Arial"/>
                <w:sz w:val="15"/>
                <w:szCs w:val="15"/>
                <w:color w:val="auto"/>
              </w:rPr>
              <w:t>Company</w:t>
            </w:r>
          </w:p>
        </w:tc>
        <w:tc>
          <w:tcPr>
            <w:tcW w:w="2500" w:type="dxa"/>
            <w:vAlign w:val="bottom"/>
          </w:tcPr>
          <w:p>
            <w:pPr>
              <w:jc w:val="center"/>
              <w:spacing w:after="0"/>
              <w:rPr>
                <w:sz w:val="20"/>
                <w:szCs w:val="20"/>
                <w:color w:val="auto"/>
              </w:rPr>
            </w:pPr>
            <w:r>
              <w:rPr>
                <w:rFonts w:ascii="Arial" w:cs="Arial" w:eastAsia="Arial" w:hAnsi="Arial"/>
                <w:sz w:val="15"/>
                <w:szCs w:val="15"/>
                <w:color w:val="auto"/>
                <w:w w:val="91"/>
              </w:rPr>
              <w:t>Ireland</w:t>
            </w:r>
          </w:p>
        </w:tc>
        <w:tc>
          <w:tcPr>
            <w:tcW w:w="1840" w:type="dxa"/>
            <w:vAlign w:val="bottom"/>
          </w:tcPr>
          <w:p>
            <w:pPr>
              <w:jc w:val="center"/>
              <w:ind w:left="45"/>
              <w:spacing w:after="0"/>
              <w:rPr>
                <w:sz w:val="20"/>
                <w:szCs w:val="20"/>
                <w:color w:val="auto"/>
              </w:rPr>
            </w:pPr>
            <w:r>
              <w:rPr>
                <w:rFonts w:ascii="Arial" w:cs="Arial" w:eastAsia="Arial" w:hAnsi="Arial"/>
                <w:sz w:val="15"/>
                <w:szCs w:val="15"/>
                <w:color w:val="auto"/>
                <w:w w:val="88"/>
              </w:rPr>
              <w:t>Guarantor</w:t>
            </w:r>
          </w:p>
        </w:tc>
        <w:tc>
          <w:tcPr>
            <w:tcW w:w="1860" w:type="dxa"/>
            <w:vAlign w:val="bottom"/>
          </w:tcPr>
          <w:p>
            <w:pPr>
              <w:jc w:val="center"/>
              <w:spacing w:after="0"/>
              <w:rPr>
                <w:sz w:val="20"/>
                <w:szCs w:val="20"/>
                <w:color w:val="auto"/>
              </w:rPr>
            </w:pPr>
            <w:r>
              <w:rPr>
                <w:rFonts w:ascii="Arial" w:cs="Arial" w:eastAsia="Arial" w:hAnsi="Arial"/>
                <w:sz w:val="15"/>
                <w:szCs w:val="15"/>
                <w:color w:val="auto"/>
                <w:w w:val="91"/>
              </w:rPr>
              <w:t>Guarantor</w:t>
            </w:r>
          </w:p>
        </w:tc>
      </w:tr>
      <w:tr>
        <w:trPr>
          <w:trHeight w:val="1910"/>
        </w:trPr>
        <w:tc>
          <w:tcPr>
            <w:tcW w:w="3200" w:type="dxa"/>
            <w:vAlign w:val="bottom"/>
            <w:tcBorders>
              <w:bottom w:val="single" w:sz="8" w:color="010101"/>
            </w:tcBorders>
          </w:tcPr>
          <w:p>
            <w:pPr>
              <w:spacing w:after="0"/>
              <w:rPr>
                <w:sz w:val="24"/>
                <w:szCs w:val="24"/>
                <w:color w:val="auto"/>
              </w:rPr>
            </w:pPr>
          </w:p>
        </w:tc>
        <w:tc>
          <w:tcPr>
            <w:tcW w:w="250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c>
          <w:tcPr>
            <w:tcW w:w="18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7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8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-5101590</wp:posOffset>
            </wp:positionV>
            <wp:extent cx="5967730" cy="390207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81">
                      <a:extLst>
                        <a:ext uri="{28A0092B-C50C-407E-A947-70E740481C1C}"/>
                      </a:extLst>
                    </a:blip>
                    <a:srcRect/>
                    <a:stretch>
                      <a:fillRect/>
                    </a:stretch>
                  </pic:blipFill>
                  <pic:spPr bwMode="auto">
                    <a:xfrm>
                      <a:off x="0" y="0"/>
                      <a:ext cx="5967730" cy="39020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-5101590</wp:posOffset>
            </wp:positionV>
            <wp:extent cx="5967730" cy="390207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82">
                      <a:extLst>
                        <a:ext uri="{28A0092B-C50C-407E-A947-70E740481C1C}"/>
                      </a:extLst>
                    </a:blip>
                    <a:srcRect/>
                    <a:stretch>
                      <a:fillRect/>
                    </a:stretch>
                  </pic:blipFill>
                  <pic:spPr bwMode="auto">
                    <a:xfrm>
                      <a:off x="0" y="0"/>
                      <a:ext cx="5967730" cy="39020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18</w:t>
      </w:r>
    </w:p>
    <w:p>
      <w:pPr>
        <w:sectPr>
          <w:pgSz w:w="11900" w:h="16838" w:orient="portrait"/>
          <w:cols w:equalWidth="0" w:num="1">
            <w:col w:w="9400"/>
          </w:cols>
          <w:pgMar w:left="1260" w:top="1440" w:right="1246" w:bottom="0" w:gutter="0" w:footer="0" w:header="0"/>
          <w:type w:val="continuous"/>
        </w:sectPr>
      </w:pPr>
    </w:p>
    <w:bookmarkStart w:id="325" w:name="page326"/>
    <w:bookmarkEnd w:id="3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 / 18</w:t>
      </w:r>
    </w:p>
    <w:p>
      <w:pPr>
        <w:sectPr>
          <w:pgSz w:w="11900" w:h="16838" w:orient="portrait"/>
          <w:cols w:equalWidth="0" w:num="1">
            <w:col w:w="9026"/>
          </w:cols>
          <w:pgMar w:left="1440" w:top="1440" w:right="1440" w:bottom="0" w:gutter="0" w:footer="0" w:header="0"/>
        </w:sectPr>
      </w:pPr>
    </w:p>
    <w:bookmarkStart w:id="326" w:name="page327"/>
    <w:bookmarkEnd w:id="3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23.1</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740"/>
        <w:spacing w:after="0" w:line="347" w:lineRule="auto"/>
        <w:rPr>
          <w:sz w:val="20"/>
          <w:szCs w:val="20"/>
          <w:color w:val="auto"/>
        </w:rPr>
      </w:pPr>
      <w:r>
        <w:rPr>
          <w:rFonts w:ascii="Arial" w:cs="Arial" w:eastAsia="Arial" w:hAnsi="Arial"/>
          <w:sz w:val="18"/>
          <w:szCs w:val="18"/>
          <w:color w:val="auto"/>
        </w:rPr>
        <w:t>We consent to the incorporation by reference in Registration Statement No. 333-285459 on Form S-3 and in Registration Statement Nos. 333-265478, 333-211967, 333-208876, 333-197706, 333-62780, 333-63186,</w:t>
      </w:r>
    </w:p>
    <w:p>
      <w:pPr>
        <w:spacing w:after="0" w:line="1" w:lineRule="exact"/>
        <w:rPr>
          <w:sz w:val="20"/>
          <w:szCs w:val="20"/>
          <w:color w:val="auto"/>
        </w:rPr>
      </w:pPr>
    </w:p>
    <w:p>
      <w:pPr>
        <w:ind w:right="60"/>
        <w:spacing w:after="0" w:line="330" w:lineRule="auto"/>
        <w:rPr>
          <w:sz w:val="20"/>
          <w:szCs w:val="20"/>
          <w:color w:val="auto"/>
        </w:rPr>
      </w:pPr>
      <w:r>
        <w:rPr>
          <w:rFonts w:ascii="Arial" w:cs="Arial" w:eastAsia="Arial" w:hAnsi="Arial"/>
          <w:sz w:val="19"/>
          <w:szCs w:val="19"/>
          <w:color w:val="auto"/>
        </w:rPr>
        <w:t>333-130605, 333-153202, 333-153770, 333-169961, 333-181150 and 333-293024 on Forms S-8 of our reports dated February 25, 2026, relating to the financial statements of Willis Towers Watson Public Limited Company and the effectiveness of Willis Towers Watson Public Limited Company's internal control over financial reporting appearing in this Annual Report on Form 10-K for the year ended December 31, 2025.</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Philadelphia, PA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1207135</wp:posOffset>
            </wp:positionV>
            <wp:extent cx="5967730" cy="190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8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18</w:t>
      </w:r>
    </w:p>
    <w:p>
      <w:pPr>
        <w:sectPr>
          <w:pgSz w:w="11900" w:h="16838" w:orient="portrait"/>
          <w:cols w:equalWidth="0" w:num="1">
            <w:col w:w="9400"/>
          </w:cols>
          <w:pgMar w:left="1260" w:top="1440" w:right="1246" w:bottom="0" w:gutter="0" w:footer="0" w:header="0"/>
          <w:type w:val="continuous"/>
        </w:sectPr>
      </w:pPr>
    </w:p>
    <w:bookmarkStart w:id="327" w:name="page328"/>
    <w:bookmarkEnd w:id="3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 / 18</w:t>
      </w:r>
    </w:p>
    <w:p>
      <w:pPr>
        <w:sectPr>
          <w:pgSz w:w="11900" w:h="16838" w:orient="portrait"/>
          <w:cols w:equalWidth="0" w:num="1">
            <w:col w:w="9026"/>
          </w:cols>
          <w:pgMar w:left="1440" w:top="1440" w:right="1440" w:bottom="0" w:gutter="0" w:footer="0" w:header="0"/>
        </w:sectPr>
      </w:pPr>
    </w:p>
    <w:bookmarkStart w:id="328" w:name="page329"/>
    <w:bookmarkEnd w:id="3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31.1</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CERTIFICATION OF THE CHIEF EXECUTIVE OFFICER</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PURSUANT TO SECURITIES EXCHANGE ACT RULES 13A-14(A) AND 15(D)-14(A),</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AS ADOPTED PURSUANT TO</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SECTION 302 OF THE SARBANES-OXLEY ACT OF 2002</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color w:val="auto"/>
        </w:rPr>
        <w:t>I, Carl A. Hess, certify that:</w:t>
      </w:r>
    </w:p>
    <w:p>
      <w:pPr>
        <w:spacing w:after="0" w:line="363" w:lineRule="exact"/>
        <w:rPr>
          <w:sz w:val="20"/>
          <w:szCs w:val="20"/>
          <w:color w:val="auto"/>
        </w:rPr>
      </w:pPr>
    </w:p>
    <w:p>
      <w:pPr>
        <w:ind w:left="306" w:right="320" w:hanging="306"/>
        <w:spacing w:after="0" w:line="320" w:lineRule="auto"/>
        <w:tabs>
          <w:tab w:leader="none" w:pos="623"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 have reviewed this annual report on Form 10-K for the year ended December 31, 2025 of Willis Towers Watson Public Limited Company;</w:t>
      </w:r>
    </w:p>
    <w:p>
      <w:pPr>
        <w:spacing w:after="0" w:line="286" w:lineRule="exact"/>
        <w:rPr>
          <w:rFonts w:ascii="Arial" w:cs="Arial" w:eastAsia="Arial" w:hAnsi="Arial"/>
          <w:sz w:val="20"/>
          <w:szCs w:val="20"/>
          <w:color w:val="auto"/>
        </w:rPr>
      </w:pPr>
    </w:p>
    <w:p>
      <w:pPr>
        <w:ind w:left="306" w:right="40" w:hanging="306"/>
        <w:spacing w:after="0" w:line="339" w:lineRule="auto"/>
        <w:tabs>
          <w:tab w:leader="none" w:pos="62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4" w:lineRule="exact"/>
        <w:rPr>
          <w:rFonts w:ascii="Arial" w:cs="Arial" w:eastAsia="Arial" w:hAnsi="Arial"/>
          <w:sz w:val="19"/>
          <w:szCs w:val="19"/>
          <w:color w:val="auto"/>
        </w:rPr>
      </w:pPr>
    </w:p>
    <w:p>
      <w:pPr>
        <w:ind w:left="626" w:hanging="626"/>
        <w:spacing w:after="0"/>
        <w:tabs>
          <w:tab w:leader="none" w:pos="62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w:t>
      </w:r>
    </w:p>
    <w:p>
      <w:pPr>
        <w:spacing w:after="0" w:line="98" w:lineRule="exact"/>
        <w:rPr>
          <w:rFonts w:ascii="Arial" w:cs="Arial" w:eastAsia="Arial" w:hAnsi="Arial"/>
          <w:sz w:val="19"/>
          <w:szCs w:val="19"/>
          <w:color w:val="auto"/>
        </w:rPr>
      </w:pPr>
    </w:p>
    <w:p>
      <w:pPr>
        <w:ind w:left="306" w:right="60"/>
        <w:spacing w:after="0" w:line="302" w:lineRule="auto"/>
        <w:rPr>
          <w:rFonts w:ascii="Arial" w:cs="Arial" w:eastAsia="Arial" w:hAnsi="Arial"/>
          <w:sz w:val="19"/>
          <w:szCs w:val="19"/>
          <w:color w:val="auto"/>
        </w:rPr>
      </w:pPr>
      <w:r>
        <w:rPr>
          <w:rFonts w:ascii="Arial" w:cs="Arial" w:eastAsia="Arial" w:hAnsi="Arial"/>
          <w:sz w:val="20"/>
          <w:szCs w:val="20"/>
          <w:color w:val="auto"/>
        </w:rPr>
        <w:t>fairly present in all material respects the financial condition, results of operations and cash flows of the registrant as of, and for, the periods presented in this report;</w:t>
      </w:r>
    </w:p>
    <w:p>
      <w:pPr>
        <w:spacing w:after="0" w:line="304" w:lineRule="exact"/>
        <w:rPr>
          <w:rFonts w:ascii="Arial" w:cs="Arial" w:eastAsia="Arial" w:hAnsi="Arial"/>
          <w:sz w:val="19"/>
          <w:szCs w:val="19"/>
          <w:color w:val="auto"/>
        </w:rPr>
      </w:pPr>
    </w:p>
    <w:p>
      <w:pPr>
        <w:ind w:left="306" w:right="260" w:hanging="306"/>
        <w:spacing w:after="0" w:line="365" w:lineRule="auto"/>
        <w:tabs>
          <w:tab w:leader="none" w:pos="6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ind w:left="846" w:right="20" w:hanging="421"/>
        <w:spacing w:after="0" w:line="372" w:lineRule="auto"/>
        <w:tabs>
          <w:tab w:leader="none" w:pos="846" w:val="left"/>
        </w:tabs>
        <w:numPr>
          <w:ilvl w:val="1"/>
          <w:numId w:val="11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20"/>
          <w:szCs w:val="20"/>
          <w:color w:val="auto"/>
        </w:rPr>
      </w:pPr>
    </w:p>
    <w:p>
      <w:pPr>
        <w:ind w:left="846" w:right="20" w:hanging="421"/>
        <w:spacing w:after="0" w:line="372" w:lineRule="auto"/>
        <w:tabs>
          <w:tab w:leader="none" w:pos="846" w:val="left"/>
        </w:tabs>
        <w:numPr>
          <w:ilvl w:val="1"/>
          <w:numId w:val="114"/>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20"/>
          <w:szCs w:val="20"/>
          <w:color w:val="auto"/>
        </w:rPr>
      </w:pPr>
    </w:p>
    <w:p>
      <w:pPr>
        <w:ind w:left="846" w:right="220" w:hanging="421"/>
        <w:spacing w:after="0" w:line="370" w:lineRule="auto"/>
        <w:tabs>
          <w:tab w:leader="none" w:pos="846" w:val="left"/>
        </w:tabs>
        <w:numPr>
          <w:ilvl w:val="1"/>
          <w:numId w:val="11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20"/>
          <w:szCs w:val="20"/>
          <w:color w:val="auto"/>
        </w:rPr>
      </w:pPr>
    </w:p>
    <w:p>
      <w:pPr>
        <w:ind w:left="846" w:right="20" w:hanging="421"/>
        <w:spacing w:after="0" w:line="372" w:lineRule="auto"/>
        <w:tabs>
          <w:tab w:leader="none" w:pos="846" w:val="left"/>
        </w:tabs>
        <w:numPr>
          <w:ilvl w:val="1"/>
          <w:numId w:val="11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9 / 18</w:t>
      </w:r>
    </w:p>
    <w:p>
      <w:pPr>
        <w:sectPr>
          <w:pgSz w:w="11900" w:h="16838" w:orient="portrait"/>
          <w:cols w:equalWidth="0" w:num="1">
            <w:col w:w="9406"/>
          </w:cols>
          <w:pgMar w:left="1254" w:top="1440" w:right="1246" w:bottom="0" w:gutter="0" w:footer="0" w:header="0"/>
          <w:type w:val="continuous"/>
        </w:sectPr>
      </w:pPr>
    </w:p>
    <w:bookmarkStart w:id="329" w:name="page330"/>
    <w:bookmarkEnd w:id="329"/>
    <w:p>
      <w:pPr>
        <w:ind w:left="306" w:right="100" w:hanging="306"/>
        <w:spacing w:after="0" w:line="316" w:lineRule="auto"/>
        <w:tabs>
          <w:tab w:leader="none" w:pos="623"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20"/>
          <w:szCs w:val="20"/>
          <w:color w:val="auto"/>
        </w:rPr>
      </w:pPr>
    </w:p>
    <w:p>
      <w:pPr>
        <w:ind w:left="846" w:right="380" w:hanging="421"/>
        <w:spacing w:after="0" w:line="370" w:lineRule="auto"/>
        <w:tabs>
          <w:tab w:leader="none" w:pos="846" w:val="left"/>
        </w:tabs>
        <w:numPr>
          <w:ilvl w:val="1"/>
          <w:numId w:val="11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20"/>
          <w:szCs w:val="20"/>
          <w:color w:val="auto"/>
        </w:rPr>
      </w:pPr>
    </w:p>
    <w:p>
      <w:pPr>
        <w:ind w:left="846" w:right="120" w:hanging="421"/>
        <w:spacing w:after="0" w:line="365" w:lineRule="auto"/>
        <w:tabs>
          <w:tab w:leader="none" w:pos="846" w:val="left"/>
        </w:tabs>
        <w:numPr>
          <w:ilvl w:val="1"/>
          <w:numId w:val="11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5" w:lineRule="exact"/>
        <w:rPr>
          <w:sz w:val="20"/>
          <w:szCs w:val="20"/>
          <w:color w:val="auto"/>
        </w:rPr>
      </w:pPr>
    </w:p>
    <w:p>
      <w:pPr>
        <w:ind w:left="6"/>
        <w:spacing w:after="0"/>
        <w:rPr>
          <w:sz w:val="20"/>
          <w:szCs w:val="20"/>
          <w:color w:val="auto"/>
        </w:rPr>
      </w:pPr>
      <w:r>
        <w:rPr>
          <w:rFonts w:ascii="Arial" w:cs="Arial" w:eastAsia="Arial" w:hAnsi="Arial"/>
          <w:sz w:val="20"/>
          <w:szCs w:val="20"/>
          <w:color w:val="auto"/>
        </w:rPr>
        <w:t>Date: February 25, 2026</w:t>
      </w:r>
    </w:p>
    <w:p>
      <w:pPr>
        <w:spacing w:after="0" w:line="200" w:lineRule="exact"/>
        <w:rPr>
          <w:sz w:val="20"/>
          <w:szCs w:val="20"/>
          <w:color w:val="auto"/>
        </w:rPr>
      </w:pPr>
    </w:p>
    <w:p>
      <w:pPr>
        <w:spacing w:after="0" w:line="260"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5660" w:type="dxa"/>
            <w:vAlign w:val="bottom"/>
          </w:tcPr>
          <w:p>
            <w:pPr>
              <w:ind w:left="4700"/>
              <w:spacing w:after="0"/>
              <w:rPr>
                <w:sz w:val="20"/>
                <w:szCs w:val="20"/>
                <w:color w:val="auto"/>
              </w:rPr>
            </w:pPr>
            <w:r>
              <w:rPr>
                <w:rFonts w:ascii="Arial" w:cs="Arial" w:eastAsia="Arial" w:hAnsi="Arial"/>
                <w:sz w:val="20"/>
                <w:szCs w:val="20"/>
                <w:color w:val="auto"/>
              </w:rPr>
              <w:t>By:</w:t>
            </w:r>
          </w:p>
        </w:tc>
        <w:tc>
          <w:tcPr>
            <w:tcW w:w="3740" w:type="dxa"/>
            <w:vAlign w:val="bottom"/>
          </w:tcPr>
          <w:p>
            <w:pPr>
              <w:jc w:val="center"/>
              <w:ind w:right="400"/>
              <w:spacing w:after="0"/>
              <w:rPr>
                <w:sz w:val="20"/>
                <w:szCs w:val="20"/>
                <w:color w:val="auto"/>
              </w:rPr>
            </w:pPr>
            <w:r>
              <w:rPr>
                <w:rFonts w:ascii="Arial" w:cs="Arial" w:eastAsia="Arial" w:hAnsi="Arial"/>
                <w:sz w:val="20"/>
                <w:szCs w:val="20"/>
                <w:color w:val="auto"/>
                <w:w w:val="92"/>
              </w:rPr>
              <w:t>/s/ Carl A. Hess</w:t>
            </w:r>
          </w:p>
        </w:tc>
      </w:tr>
      <w:tr>
        <w:trPr>
          <w:trHeight w:val="315"/>
        </w:trPr>
        <w:tc>
          <w:tcPr>
            <w:tcW w:w="5660" w:type="dxa"/>
            <w:vAlign w:val="bottom"/>
          </w:tcPr>
          <w:p>
            <w:pPr>
              <w:spacing w:after="0"/>
              <w:rPr>
                <w:sz w:val="24"/>
                <w:szCs w:val="24"/>
                <w:color w:val="auto"/>
              </w:rPr>
            </w:pPr>
          </w:p>
        </w:tc>
        <w:tc>
          <w:tcPr>
            <w:tcW w:w="3740" w:type="dxa"/>
            <w:vAlign w:val="bottom"/>
          </w:tcPr>
          <w:p>
            <w:pPr>
              <w:jc w:val="center"/>
              <w:ind w:right="400"/>
              <w:spacing w:after="0"/>
              <w:rPr>
                <w:sz w:val="20"/>
                <w:szCs w:val="20"/>
                <w:color w:val="auto"/>
              </w:rPr>
            </w:pPr>
            <w:r>
              <w:rPr>
                <w:rFonts w:ascii="Arial" w:cs="Arial" w:eastAsia="Arial" w:hAnsi="Arial"/>
                <w:sz w:val="20"/>
                <w:szCs w:val="20"/>
                <w:color w:val="auto"/>
                <w:w w:val="92"/>
              </w:rPr>
              <w:t>Carl A. Hess</w:t>
            </w:r>
          </w:p>
        </w:tc>
      </w:tr>
      <w:tr>
        <w:trPr>
          <w:trHeight w:val="300"/>
        </w:trPr>
        <w:tc>
          <w:tcPr>
            <w:tcW w:w="5660" w:type="dxa"/>
            <w:vAlign w:val="bottom"/>
          </w:tcPr>
          <w:p>
            <w:pPr>
              <w:spacing w:after="0"/>
              <w:rPr>
                <w:sz w:val="24"/>
                <w:szCs w:val="24"/>
                <w:color w:val="auto"/>
              </w:rPr>
            </w:pPr>
          </w:p>
        </w:tc>
        <w:tc>
          <w:tcPr>
            <w:tcW w:w="3740" w:type="dxa"/>
            <w:vAlign w:val="bottom"/>
          </w:tcPr>
          <w:p>
            <w:pPr>
              <w:jc w:val="center"/>
              <w:ind w:right="400"/>
              <w:spacing w:after="0"/>
              <w:rPr>
                <w:sz w:val="20"/>
                <w:szCs w:val="20"/>
                <w:color w:val="auto"/>
              </w:rPr>
            </w:pPr>
            <w:r>
              <w:rPr>
                <w:rFonts w:ascii="Arial" w:cs="Arial" w:eastAsia="Arial" w:hAnsi="Arial"/>
                <w:sz w:val="20"/>
                <w:szCs w:val="20"/>
                <w:i w:val="1"/>
                <w:iCs w:val="1"/>
                <w:color w:val="auto"/>
                <w:w w:val="92"/>
              </w:rPr>
              <w:t>Chief Executive Officer</w:t>
            </w:r>
          </w:p>
        </w:tc>
      </w:tr>
      <w:tr>
        <w:trPr>
          <w:trHeight w:val="1911"/>
        </w:trPr>
        <w:tc>
          <w:tcPr>
            <w:tcW w:w="5660" w:type="dxa"/>
            <w:vAlign w:val="bottom"/>
            <w:tcBorders>
              <w:bottom w:val="single" w:sz="8" w:color="010101"/>
            </w:tcBorders>
          </w:tcPr>
          <w:p>
            <w:pPr>
              <w:spacing w:after="0"/>
              <w:rPr>
                <w:sz w:val="24"/>
                <w:szCs w:val="24"/>
                <w:color w:val="auto"/>
              </w:rPr>
            </w:pPr>
          </w:p>
        </w:tc>
        <w:tc>
          <w:tcPr>
            <w:tcW w:w="3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9525" cy="190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84">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5958205</wp:posOffset>
            </wp:positionH>
            <wp:positionV relativeFrom="paragraph">
              <wp:posOffset>-18415</wp:posOffset>
            </wp:positionV>
            <wp:extent cx="9525" cy="190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85">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-1590040</wp:posOffset>
            </wp:positionV>
            <wp:extent cx="2685415" cy="952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86">
                      <a:extLst>
                        <a:ext uri="{28A0092B-C50C-407E-A947-70E740481C1C}"/>
                      </a:extLst>
                    </a:blip>
                    <a:srcRect/>
                    <a:stretch>
                      <a:fillRect/>
                    </a:stretch>
                  </pic:blipFill>
                  <pic:spPr bwMode="auto">
                    <a:xfrm>
                      <a:off x="0" y="0"/>
                      <a:ext cx="2685415" cy="9525"/>
                    </a:xfrm>
                    <a:prstGeom prst="rect">
                      <a:avLst/>
                    </a:prstGeom>
                    <a:noFill/>
                  </pic:spPr>
                </pic:pic>
              </a:graphicData>
            </a:graphic>
          </wp:anchor>
        </w:drawing>
      </w:r>
    </w:p>
    <w:p>
      <w:pPr>
        <w:sectPr>
          <w:pgSz w:w="11900" w:h="16838" w:orient="portrait"/>
          <w:cols w:equalWidth="0" w:num="1">
            <w:col w:w="9406"/>
          </w:cols>
          <w:pgMar w:left="1254" w:top="121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10 / 18</w:t>
      </w:r>
    </w:p>
    <w:p>
      <w:pPr>
        <w:sectPr>
          <w:pgSz w:w="11900" w:h="16838" w:orient="portrait"/>
          <w:cols w:equalWidth="0" w:num="1">
            <w:col w:w="9406"/>
          </w:cols>
          <w:pgMar w:left="1254" w:top="1216" w:right="1246" w:bottom="0" w:gutter="0" w:footer="0" w:header="0"/>
          <w:type w:val="continuous"/>
        </w:sectPr>
      </w:pPr>
    </w:p>
    <w:bookmarkStart w:id="330" w:name="page331"/>
    <w:bookmarkEnd w:id="3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11 / 18</w:t>
      </w:r>
    </w:p>
    <w:p>
      <w:pPr>
        <w:sectPr>
          <w:pgSz w:w="11900" w:h="16838" w:orient="portrait"/>
          <w:cols w:equalWidth="0" w:num="1">
            <w:col w:w="9026"/>
          </w:cols>
          <w:pgMar w:left="1440" w:top="1440" w:right="1440" w:bottom="0" w:gutter="0" w:footer="0" w:header="0"/>
        </w:sectPr>
      </w:pPr>
    </w:p>
    <w:bookmarkStart w:id="331" w:name="page332"/>
    <w:bookmarkEnd w:id="3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31.2</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CERTIFICATION OF THE CHIEF EXECUTIVE OFFICER</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PURSUANT TO SECURITIES EXCHANGE ACT RULES 13A-14(A) AND 15(D)-14(A),</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AS ADOPTED PURSUANT TO</w:t>
      </w:r>
    </w:p>
    <w:p>
      <w:pPr>
        <w:spacing w:after="0" w:line="7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SECTION 302 OF THE SARBANES-OXLEY ACT OF 2002</w:t>
      </w:r>
    </w:p>
    <w:p>
      <w:pPr>
        <w:spacing w:after="0" w:line="310" w:lineRule="exact"/>
        <w:rPr>
          <w:sz w:val="20"/>
          <w:szCs w:val="20"/>
          <w:color w:val="auto"/>
        </w:rPr>
      </w:pPr>
    </w:p>
    <w:p>
      <w:pPr>
        <w:ind w:left="6"/>
        <w:spacing w:after="0"/>
        <w:rPr>
          <w:sz w:val="20"/>
          <w:szCs w:val="20"/>
          <w:color w:val="auto"/>
        </w:rPr>
      </w:pPr>
      <w:r>
        <w:rPr>
          <w:rFonts w:ascii="Arial" w:cs="Arial" w:eastAsia="Arial" w:hAnsi="Arial"/>
          <w:sz w:val="20"/>
          <w:szCs w:val="20"/>
          <w:color w:val="auto"/>
        </w:rPr>
        <w:t>I, Andrew J. Krasner, certify that:</w:t>
      </w:r>
    </w:p>
    <w:p>
      <w:pPr>
        <w:spacing w:after="0" w:line="363" w:lineRule="exact"/>
        <w:rPr>
          <w:sz w:val="20"/>
          <w:szCs w:val="20"/>
          <w:color w:val="auto"/>
        </w:rPr>
      </w:pPr>
    </w:p>
    <w:p>
      <w:pPr>
        <w:ind w:left="306" w:right="320" w:hanging="306"/>
        <w:spacing w:after="0" w:line="320" w:lineRule="auto"/>
        <w:tabs>
          <w:tab w:leader="none" w:pos="623" w:val="left"/>
        </w:tabs>
        <w:numPr>
          <w:ilvl w:val="0"/>
          <w:numId w:val="116"/>
        </w:numPr>
        <w:rPr>
          <w:rFonts w:ascii="Arial" w:cs="Arial" w:eastAsia="Arial" w:hAnsi="Arial"/>
          <w:sz w:val="20"/>
          <w:szCs w:val="20"/>
          <w:color w:val="auto"/>
        </w:rPr>
      </w:pPr>
      <w:r>
        <w:rPr>
          <w:rFonts w:ascii="Arial" w:cs="Arial" w:eastAsia="Arial" w:hAnsi="Arial"/>
          <w:sz w:val="20"/>
          <w:szCs w:val="20"/>
          <w:color w:val="auto"/>
        </w:rPr>
        <w:t>I have reviewed this annual report on Form 10-K for the year ended December 31, 2025 of Willis Towers Watson Public Limited Company;</w:t>
      </w:r>
    </w:p>
    <w:p>
      <w:pPr>
        <w:spacing w:after="0" w:line="286" w:lineRule="exact"/>
        <w:rPr>
          <w:rFonts w:ascii="Arial" w:cs="Arial" w:eastAsia="Arial" w:hAnsi="Arial"/>
          <w:sz w:val="20"/>
          <w:szCs w:val="20"/>
          <w:color w:val="auto"/>
        </w:rPr>
      </w:pPr>
    </w:p>
    <w:p>
      <w:pPr>
        <w:ind w:left="306" w:right="40" w:hanging="306"/>
        <w:spacing w:after="0" w:line="339" w:lineRule="auto"/>
        <w:tabs>
          <w:tab w:leader="none" w:pos="623" w:val="left"/>
        </w:tabs>
        <w:numPr>
          <w:ilvl w:val="0"/>
          <w:numId w:val="116"/>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4" w:lineRule="exact"/>
        <w:rPr>
          <w:rFonts w:ascii="Arial" w:cs="Arial" w:eastAsia="Arial" w:hAnsi="Arial"/>
          <w:sz w:val="19"/>
          <w:szCs w:val="19"/>
          <w:color w:val="auto"/>
        </w:rPr>
      </w:pPr>
    </w:p>
    <w:p>
      <w:pPr>
        <w:ind w:left="626" w:hanging="626"/>
        <w:spacing w:after="0"/>
        <w:tabs>
          <w:tab w:leader="none" w:pos="62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w:t>
      </w:r>
    </w:p>
    <w:p>
      <w:pPr>
        <w:spacing w:after="0" w:line="98" w:lineRule="exact"/>
        <w:rPr>
          <w:rFonts w:ascii="Arial" w:cs="Arial" w:eastAsia="Arial" w:hAnsi="Arial"/>
          <w:sz w:val="19"/>
          <w:szCs w:val="19"/>
          <w:color w:val="auto"/>
        </w:rPr>
      </w:pPr>
    </w:p>
    <w:p>
      <w:pPr>
        <w:ind w:left="306" w:right="60"/>
        <w:spacing w:after="0" w:line="302" w:lineRule="auto"/>
        <w:rPr>
          <w:rFonts w:ascii="Arial" w:cs="Arial" w:eastAsia="Arial" w:hAnsi="Arial"/>
          <w:sz w:val="19"/>
          <w:szCs w:val="19"/>
          <w:color w:val="auto"/>
        </w:rPr>
      </w:pPr>
      <w:r>
        <w:rPr>
          <w:rFonts w:ascii="Arial" w:cs="Arial" w:eastAsia="Arial" w:hAnsi="Arial"/>
          <w:sz w:val="20"/>
          <w:szCs w:val="20"/>
          <w:color w:val="auto"/>
        </w:rPr>
        <w:t>fairly present in all material respects the financial condition, results of operations and cash flows of the registrant as of, and for, the periods presented in this report;</w:t>
      </w:r>
    </w:p>
    <w:p>
      <w:pPr>
        <w:spacing w:after="0" w:line="304" w:lineRule="exact"/>
        <w:rPr>
          <w:rFonts w:ascii="Arial" w:cs="Arial" w:eastAsia="Arial" w:hAnsi="Arial"/>
          <w:sz w:val="19"/>
          <w:szCs w:val="19"/>
          <w:color w:val="auto"/>
        </w:rPr>
      </w:pPr>
    </w:p>
    <w:p>
      <w:pPr>
        <w:ind w:left="306" w:right="260" w:hanging="306"/>
        <w:spacing w:after="0" w:line="365" w:lineRule="auto"/>
        <w:tabs>
          <w:tab w:leader="none" w:pos="62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ind w:left="846" w:right="20" w:hanging="421"/>
        <w:spacing w:after="0" w:line="372" w:lineRule="auto"/>
        <w:tabs>
          <w:tab w:leader="none" w:pos="846" w:val="left"/>
        </w:tabs>
        <w:numPr>
          <w:ilvl w:val="1"/>
          <w:numId w:val="11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20"/>
          <w:szCs w:val="20"/>
          <w:color w:val="auto"/>
        </w:rPr>
      </w:pPr>
    </w:p>
    <w:p>
      <w:pPr>
        <w:ind w:left="846" w:right="20" w:hanging="421"/>
        <w:spacing w:after="0" w:line="372" w:lineRule="auto"/>
        <w:tabs>
          <w:tab w:leader="none" w:pos="846" w:val="left"/>
        </w:tabs>
        <w:numPr>
          <w:ilvl w:val="1"/>
          <w:numId w:val="116"/>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20"/>
          <w:szCs w:val="20"/>
          <w:color w:val="auto"/>
        </w:rPr>
      </w:pPr>
    </w:p>
    <w:p>
      <w:pPr>
        <w:ind w:left="846" w:right="220" w:hanging="421"/>
        <w:spacing w:after="0" w:line="370" w:lineRule="auto"/>
        <w:tabs>
          <w:tab w:leader="none" w:pos="846" w:val="left"/>
        </w:tabs>
        <w:numPr>
          <w:ilvl w:val="1"/>
          <w:numId w:val="11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20"/>
          <w:szCs w:val="20"/>
          <w:color w:val="auto"/>
        </w:rPr>
      </w:pPr>
    </w:p>
    <w:p>
      <w:pPr>
        <w:ind w:left="846" w:right="20" w:hanging="421"/>
        <w:spacing w:after="0" w:line="372" w:lineRule="auto"/>
        <w:tabs>
          <w:tab w:leader="none" w:pos="846" w:val="left"/>
        </w:tabs>
        <w:numPr>
          <w:ilvl w:val="1"/>
          <w:numId w:val="11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12 / 18</w:t>
      </w:r>
    </w:p>
    <w:p>
      <w:pPr>
        <w:sectPr>
          <w:pgSz w:w="11900" w:h="16838" w:orient="portrait"/>
          <w:cols w:equalWidth="0" w:num="1">
            <w:col w:w="9406"/>
          </w:cols>
          <w:pgMar w:left="1254" w:top="1440" w:right="1246" w:bottom="0" w:gutter="0" w:footer="0" w:header="0"/>
          <w:type w:val="continuous"/>
        </w:sectPr>
      </w:pPr>
    </w:p>
    <w:bookmarkStart w:id="332" w:name="page333"/>
    <w:bookmarkEnd w:id="332"/>
    <w:p>
      <w:pPr>
        <w:ind w:left="306" w:right="100" w:hanging="306"/>
        <w:spacing w:after="0" w:line="316" w:lineRule="auto"/>
        <w:tabs>
          <w:tab w:leader="none" w:pos="623"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20"/>
          <w:szCs w:val="20"/>
          <w:color w:val="auto"/>
        </w:rPr>
      </w:pPr>
    </w:p>
    <w:p>
      <w:pPr>
        <w:ind w:left="846" w:right="380" w:hanging="421"/>
        <w:spacing w:after="0" w:line="370" w:lineRule="auto"/>
        <w:tabs>
          <w:tab w:leader="none" w:pos="846"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20"/>
          <w:szCs w:val="20"/>
          <w:color w:val="auto"/>
        </w:rPr>
      </w:pPr>
    </w:p>
    <w:p>
      <w:pPr>
        <w:ind w:left="846" w:right="120" w:hanging="421"/>
        <w:spacing w:after="0" w:line="365" w:lineRule="auto"/>
        <w:tabs>
          <w:tab w:leader="none" w:pos="846" w:val="left"/>
        </w:tabs>
        <w:numPr>
          <w:ilvl w:val="1"/>
          <w:numId w:val="11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5" w:lineRule="exact"/>
        <w:rPr>
          <w:sz w:val="20"/>
          <w:szCs w:val="20"/>
          <w:color w:val="auto"/>
        </w:rPr>
      </w:pPr>
    </w:p>
    <w:p>
      <w:pPr>
        <w:ind w:left="6"/>
        <w:spacing w:after="0"/>
        <w:rPr>
          <w:sz w:val="20"/>
          <w:szCs w:val="20"/>
          <w:color w:val="auto"/>
        </w:rPr>
      </w:pPr>
      <w:r>
        <w:rPr>
          <w:rFonts w:ascii="Arial" w:cs="Arial" w:eastAsia="Arial" w:hAnsi="Arial"/>
          <w:sz w:val="20"/>
          <w:szCs w:val="20"/>
          <w:color w:val="auto"/>
        </w:rPr>
        <w:t>Date: February 25, 2026</w:t>
      </w:r>
    </w:p>
    <w:p>
      <w:pPr>
        <w:spacing w:after="0" w:line="400"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5620" w:type="dxa"/>
            <w:vAlign w:val="bottom"/>
          </w:tcPr>
          <w:p>
            <w:pPr>
              <w:ind w:left="4700"/>
              <w:spacing w:after="0"/>
              <w:rPr>
                <w:sz w:val="20"/>
                <w:szCs w:val="20"/>
                <w:color w:val="auto"/>
              </w:rPr>
            </w:pPr>
            <w:r>
              <w:rPr>
                <w:rFonts w:ascii="Arial" w:cs="Arial" w:eastAsia="Arial" w:hAnsi="Arial"/>
                <w:sz w:val="20"/>
                <w:szCs w:val="20"/>
                <w:color w:val="auto"/>
              </w:rPr>
              <w:t>By:</w:t>
            </w:r>
          </w:p>
        </w:tc>
        <w:tc>
          <w:tcPr>
            <w:tcW w:w="3780" w:type="dxa"/>
            <w:vAlign w:val="bottom"/>
          </w:tcPr>
          <w:p>
            <w:pPr>
              <w:jc w:val="center"/>
              <w:ind w:right="560"/>
              <w:spacing w:after="0"/>
              <w:rPr>
                <w:sz w:val="20"/>
                <w:szCs w:val="20"/>
                <w:color w:val="auto"/>
              </w:rPr>
            </w:pPr>
            <w:r>
              <w:rPr>
                <w:rFonts w:ascii="Arial" w:cs="Arial" w:eastAsia="Arial" w:hAnsi="Arial"/>
                <w:sz w:val="20"/>
                <w:szCs w:val="20"/>
                <w:color w:val="auto"/>
                <w:w w:val="92"/>
              </w:rPr>
              <w:t>/s/ Andrew J. Krasner</w:t>
            </w:r>
          </w:p>
        </w:tc>
      </w:tr>
      <w:tr>
        <w:trPr>
          <w:trHeight w:val="315"/>
        </w:trPr>
        <w:tc>
          <w:tcPr>
            <w:tcW w:w="5620" w:type="dxa"/>
            <w:vAlign w:val="bottom"/>
          </w:tcPr>
          <w:p>
            <w:pPr>
              <w:spacing w:after="0"/>
              <w:rPr>
                <w:sz w:val="24"/>
                <w:szCs w:val="24"/>
                <w:color w:val="auto"/>
              </w:rPr>
            </w:pPr>
          </w:p>
        </w:tc>
        <w:tc>
          <w:tcPr>
            <w:tcW w:w="3780" w:type="dxa"/>
            <w:vAlign w:val="bottom"/>
          </w:tcPr>
          <w:p>
            <w:pPr>
              <w:jc w:val="center"/>
              <w:ind w:right="560"/>
              <w:spacing w:after="0"/>
              <w:rPr>
                <w:sz w:val="20"/>
                <w:szCs w:val="20"/>
                <w:color w:val="auto"/>
              </w:rPr>
            </w:pPr>
            <w:r>
              <w:rPr>
                <w:rFonts w:ascii="Arial" w:cs="Arial" w:eastAsia="Arial" w:hAnsi="Arial"/>
                <w:sz w:val="20"/>
                <w:szCs w:val="20"/>
                <w:color w:val="auto"/>
                <w:w w:val="92"/>
              </w:rPr>
              <w:t>Andrew J. Krasner</w:t>
            </w:r>
          </w:p>
        </w:tc>
      </w:tr>
      <w:tr>
        <w:trPr>
          <w:trHeight w:val="300"/>
        </w:trPr>
        <w:tc>
          <w:tcPr>
            <w:tcW w:w="5620" w:type="dxa"/>
            <w:vAlign w:val="bottom"/>
          </w:tcPr>
          <w:p>
            <w:pPr>
              <w:spacing w:after="0"/>
              <w:rPr>
                <w:sz w:val="24"/>
                <w:szCs w:val="24"/>
                <w:color w:val="auto"/>
              </w:rPr>
            </w:pPr>
          </w:p>
        </w:tc>
        <w:tc>
          <w:tcPr>
            <w:tcW w:w="3780" w:type="dxa"/>
            <w:vAlign w:val="bottom"/>
          </w:tcPr>
          <w:p>
            <w:pPr>
              <w:jc w:val="center"/>
              <w:ind w:right="560"/>
              <w:spacing w:after="0"/>
              <w:rPr>
                <w:sz w:val="20"/>
                <w:szCs w:val="20"/>
                <w:color w:val="auto"/>
              </w:rPr>
            </w:pPr>
            <w:r>
              <w:rPr>
                <w:rFonts w:ascii="Arial" w:cs="Arial" w:eastAsia="Arial" w:hAnsi="Arial"/>
                <w:sz w:val="20"/>
                <w:szCs w:val="20"/>
                <w:i w:val="1"/>
                <w:iCs w:val="1"/>
                <w:color w:val="auto"/>
                <w:w w:val="95"/>
              </w:rPr>
              <w:t>Chief Financial Officer</w:t>
            </w:r>
          </w:p>
        </w:tc>
      </w:tr>
      <w:tr>
        <w:trPr>
          <w:trHeight w:val="2071"/>
        </w:trPr>
        <w:tc>
          <w:tcPr>
            <w:tcW w:w="5620" w:type="dxa"/>
            <w:vAlign w:val="bottom"/>
            <w:tcBorders>
              <w:bottom w:val="single" w:sz="8" w:color="010101"/>
            </w:tcBorders>
          </w:tcPr>
          <w:p>
            <w:pPr>
              <w:spacing w:after="0"/>
              <w:rPr>
                <w:sz w:val="24"/>
                <w:szCs w:val="24"/>
                <w:color w:val="auto"/>
              </w:rPr>
            </w:pPr>
          </w:p>
        </w:tc>
        <w:tc>
          <w:tcPr>
            <w:tcW w:w="37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9525" cy="190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87">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5958205</wp:posOffset>
            </wp:positionH>
            <wp:positionV relativeFrom="paragraph">
              <wp:posOffset>-18415</wp:posOffset>
            </wp:positionV>
            <wp:extent cx="9525" cy="190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8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-1691640</wp:posOffset>
            </wp:positionV>
            <wp:extent cx="2578100" cy="952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89">
                      <a:extLst>
                        <a:ext uri="{28A0092B-C50C-407E-A947-70E740481C1C}"/>
                      </a:extLst>
                    </a:blip>
                    <a:srcRect/>
                    <a:stretch>
                      <a:fillRect/>
                    </a:stretch>
                  </pic:blipFill>
                  <pic:spPr bwMode="auto">
                    <a:xfrm>
                      <a:off x="0" y="0"/>
                      <a:ext cx="2578100" cy="9525"/>
                    </a:xfrm>
                    <a:prstGeom prst="rect">
                      <a:avLst/>
                    </a:prstGeom>
                    <a:noFill/>
                  </pic:spPr>
                </pic:pic>
              </a:graphicData>
            </a:graphic>
          </wp:anchor>
        </w:drawing>
      </w:r>
    </w:p>
    <w:p>
      <w:pPr>
        <w:sectPr>
          <w:pgSz w:w="11900" w:h="16838" w:orient="portrait"/>
          <w:cols w:equalWidth="0" w:num="1">
            <w:col w:w="9406"/>
          </w:cols>
          <w:pgMar w:left="1254" w:top="1216"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13 / 18</w:t>
      </w:r>
    </w:p>
    <w:p>
      <w:pPr>
        <w:sectPr>
          <w:pgSz w:w="11900" w:h="16838" w:orient="portrait"/>
          <w:cols w:equalWidth="0" w:num="1">
            <w:col w:w="9406"/>
          </w:cols>
          <w:pgMar w:left="1254" w:top="1216" w:right="1246" w:bottom="0" w:gutter="0" w:footer="0" w:header="0"/>
          <w:type w:val="continuous"/>
        </w:sectPr>
      </w:pPr>
    </w:p>
    <w:bookmarkStart w:id="333" w:name="page334"/>
    <w:bookmarkEnd w:id="3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14 / 18</w:t>
      </w:r>
    </w:p>
    <w:p>
      <w:pPr>
        <w:sectPr>
          <w:pgSz w:w="11900" w:h="16838" w:orient="portrait"/>
          <w:cols w:equalWidth="0" w:num="1">
            <w:col w:w="9026"/>
          </w:cols>
          <w:pgMar w:left="1440" w:top="1440" w:right="1440" w:bottom="0" w:gutter="0" w:footer="0" w:header="0"/>
        </w:sectPr>
      </w:pPr>
    </w:p>
    <w:bookmarkStart w:id="334" w:name="page335"/>
    <w:bookmarkEnd w:id="3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32.1</w:t>
      </w:r>
    </w:p>
    <w:p>
      <w:pPr>
        <w:spacing w:after="0" w:line="80" w:lineRule="exact"/>
        <w:rPr>
          <w:sz w:val="20"/>
          <w:szCs w:val="20"/>
          <w:color w:val="auto"/>
        </w:rPr>
      </w:pPr>
    </w:p>
    <w:p>
      <w:pPr>
        <w:jc w:val="center"/>
        <w:ind w:right="20"/>
        <w:spacing w:after="0" w:line="309" w:lineRule="auto"/>
        <w:rPr>
          <w:sz w:val="20"/>
          <w:szCs w:val="20"/>
          <w:color w:val="auto"/>
        </w:rPr>
      </w:pPr>
      <w:r>
        <w:rPr>
          <w:rFonts w:ascii="Arial" w:cs="Arial" w:eastAsia="Arial" w:hAnsi="Arial"/>
          <w:sz w:val="20"/>
          <w:szCs w:val="20"/>
          <w:b w:val="1"/>
          <w:bCs w:val="1"/>
          <w:color w:val="auto"/>
        </w:rPr>
        <w:t>CERTIFICATION OF THE CHIEF EXECUTIVE OFFICER PURSUANT TO 18 U.S.C. SECTION 1350, AS ADOPTED PURSUANT TO SECTION 906 OF THE SARBANES-OXLEY ACT OF 2002</w:t>
      </w:r>
    </w:p>
    <w:p>
      <w:pPr>
        <w:spacing w:after="0" w:line="256" w:lineRule="exact"/>
        <w:rPr>
          <w:sz w:val="20"/>
          <w:szCs w:val="20"/>
          <w:color w:val="auto"/>
        </w:rPr>
      </w:pPr>
    </w:p>
    <w:p>
      <w:pPr>
        <w:jc w:val="both"/>
        <w:ind w:right="60"/>
        <w:spacing w:after="0" w:line="309" w:lineRule="auto"/>
        <w:rPr>
          <w:sz w:val="20"/>
          <w:szCs w:val="20"/>
          <w:color w:val="auto"/>
        </w:rPr>
      </w:pPr>
      <w:r>
        <w:rPr>
          <w:rFonts w:ascii="Arial" w:cs="Arial" w:eastAsia="Arial" w:hAnsi="Arial"/>
          <w:sz w:val="20"/>
          <w:szCs w:val="20"/>
          <w:color w:val="auto"/>
        </w:rPr>
        <w:t>Pursuant to the requirement set forth in Rule 13a-14(b) of the Securities Exchange Act of 1934, as amended (the ‘Exchange Act’) and Section 1350 of Chapter 63 of Title 18 of the United States Code (18 U.S.C. §1350), Carl A. Hess, Chief Executive Officer of Willis Towers Watson Public Limited Company (the ‘Company’) hereby certifies that, to the best of his knowledge:</w:t>
      </w:r>
    </w:p>
    <w:p>
      <w:pPr>
        <w:spacing w:after="0" w:line="200" w:lineRule="exact"/>
        <w:rPr>
          <w:sz w:val="20"/>
          <w:szCs w:val="20"/>
          <w:color w:val="auto"/>
        </w:rPr>
      </w:pPr>
    </w:p>
    <w:p>
      <w:pPr>
        <w:spacing w:after="0" w:line="279" w:lineRule="exact"/>
        <w:rPr>
          <w:sz w:val="20"/>
          <w:szCs w:val="20"/>
          <w:color w:val="auto"/>
        </w:rPr>
      </w:pPr>
    </w:p>
    <w:p>
      <w:pPr>
        <w:ind w:left="620" w:right="240" w:hanging="302"/>
        <w:spacing w:after="0" w:line="320" w:lineRule="auto"/>
        <w:tabs>
          <w:tab w:leader="none" w:pos="1031"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66" w:lineRule="exact"/>
        <w:rPr>
          <w:rFonts w:ascii="Arial" w:cs="Arial" w:eastAsia="Arial" w:hAnsi="Arial"/>
          <w:sz w:val="20"/>
          <w:szCs w:val="20"/>
          <w:color w:val="auto"/>
        </w:rPr>
      </w:pPr>
    </w:p>
    <w:p>
      <w:pPr>
        <w:ind w:left="620" w:right="140" w:hanging="302"/>
        <w:spacing w:after="0" w:line="320" w:lineRule="auto"/>
        <w:tabs>
          <w:tab w:leader="none" w:pos="1031" w:val="left"/>
        </w:tabs>
        <w:numPr>
          <w:ilvl w:val="0"/>
          <w:numId w:val="11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25, 2026</w:t>
      </w:r>
    </w:p>
    <w:p>
      <w:pPr>
        <w:spacing w:after="0" w:line="200" w:lineRule="exact"/>
        <w:rPr>
          <w:sz w:val="20"/>
          <w:szCs w:val="20"/>
          <w:color w:val="auto"/>
        </w:rPr>
      </w:pPr>
    </w:p>
    <w:p>
      <w:pPr>
        <w:spacing w:after="0" w:line="260" w:lineRule="exact"/>
        <w:rPr>
          <w:sz w:val="20"/>
          <w:szCs w:val="20"/>
          <w:color w:val="auto"/>
        </w:rPr>
      </w:pPr>
    </w:p>
    <w:p>
      <w:pPr>
        <w:ind w:left="4700"/>
        <w:spacing w:after="0"/>
        <w:tabs>
          <w:tab w:leader="none" w:pos="66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26035</wp:posOffset>
            </wp:positionV>
            <wp:extent cx="2685415" cy="952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90">
                      <a:extLst>
                        <a:ext uri="{28A0092B-C50C-407E-A947-70E740481C1C}"/>
                      </a:extLst>
                    </a:blip>
                    <a:srcRect/>
                    <a:stretch>
                      <a:fillRect/>
                    </a:stretch>
                  </pic:blipFill>
                  <pic:spPr bwMode="auto">
                    <a:xfrm>
                      <a:off x="0" y="0"/>
                      <a:ext cx="2685415" cy="9525"/>
                    </a:xfrm>
                    <a:prstGeom prst="rect">
                      <a:avLst/>
                    </a:prstGeom>
                    <a:noFill/>
                  </pic:spPr>
                </pic:pic>
              </a:graphicData>
            </a:graphic>
          </wp:anchor>
        </w:drawing>
      </w:r>
    </w:p>
    <w:p>
      <w:pPr>
        <w:spacing w:after="0" w:line="65" w:lineRule="exact"/>
        <w:rPr>
          <w:sz w:val="20"/>
          <w:szCs w:val="20"/>
          <w:color w:val="auto"/>
        </w:rPr>
      </w:pPr>
    </w:p>
    <w:p>
      <w:pPr>
        <w:jc w:val="center"/>
        <w:ind w:left="5200"/>
        <w:spacing w:after="0"/>
        <w:rPr>
          <w:sz w:val="20"/>
          <w:szCs w:val="20"/>
          <w:color w:val="auto"/>
        </w:rPr>
      </w:pPr>
      <w:r>
        <w:rPr>
          <w:rFonts w:ascii="Arial" w:cs="Arial" w:eastAsia="Arial" w:hAnsi="Arial"/>
          <w:sz w:val="20"/>
          <w:szCs w:val="20"/>
          <w:color w:val="auto"/>
        </w:rPr>
        <w:t>Carl A. Hess</w:t>
      </w:r>
    </w:p>
    <w:p>
      <w:pPr>
        <w:spacing w:after="0" w:line="70" w:lineRule="exact"/>
        <w:rPr>
          <w:sz w:val="20"/>
          <w:szCs w:val="20"/>
          <w:color w:val="auto"/>
        </w:rPr>
      </w:pPr>
    </w:p>
    <w:p>
      <w:pPr>
        <w:jc w:val="center"/>
        <w:ind w:left="5200"/>
        <w:spacing w:after="0"/>
        <w:rPr>
          <w:sz w:val="20"/>
          <w:szCs w:val="20"/>
          <w:color w:val="auto"/>
        </w:rPr>
      </w:pPr>
      <w:r>
        <w:rPr>
          <w:rFonts w:ascii="Arial" w:cs="Arial" w:eastAsia="Arial" w:hAnsi="Arial"/>
          <w:sz w:val="20"/>
          <w:szCs w:val="20"/>
          <w:i w:val="1"/>
          <w:iCs w:val="1"/>
          <w:color w:val="auto"/>
        </w:rPr>
        <w:t>Chief Executive Officer</w:t>
      </w:r>
    </w:p>
    <w:p>
      <w:pPr>
        <w:spacing w:after="0" w:line="200" w:lineRule="exact"/>
        <w:rPr>
          <w:sz w:val="20"/>
          <w:szCs w:val="20"/>
          <w:color w:val="auto"/>
        </w:rPr>
      </w:pPr>
    </w:p>
    <w:p>
      <w:pPr>
        <w:spacing w:after="0" w:line="240"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A signed original of this written statement required by Section 906 has been provided to Willis Towers Watson plc and will be retained by Willis Towers Watson plc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976630</wp:posOffset>
            </wp:positionV>
            <wp:extent cx="5967730" cy="190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9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18</w:t>
      </w:r>
    </w:p>
    <w:p>
      <w:pPr>
        <w:sectPr>
          <w:pgSz w:w="11900" w:h="16838" w:orient="portrait"/>
          <w:cols w:equalWidth="0" w:num="1">
            <w:col w:w="9400"/>
          </w:cols>
          <w:pgMar w:left="1260" w:top="1440" w:right="1246" w:bottom="0" w:gutter="0" w:footer="0" w:header="0"/>
          <w:type w:val="continuous"/>
        </w:sectPr>
      </w:pPr>
    </w:p>
    <w:bookmarkStart w:id="335" w:name="page336"/>
    <w:bookmarkEnd w:id="3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16 / 18</w:t>
      </w:r>
    </w:p>
    <w:p>
      <w:pPr>
        <w:sectPr>
          <w:pgSz w:w="11900" w:h="16838" w:orient="portrait"/>
          <w:cols w:equalWidth="0" w:num="1">
            <w:col w:w="9026"/>
          </w:cols>
          <w:pgMar w:left="1440" w:top="1440" w:right="1440" w:bottom="0" w:gutter="0" w:footer="0" w:header="0"/>
        </w:sectPr>
      </w:pPr>
    </w:p>
    <w:bookmarkStart w:id="336" w:name="page337"/>
    <w:bookmarkEnd w:id="3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32.2</w:t>
      </w:r>
    </w:p>
    <w:p>
      <w:pPr>
        <w:spacing w:after="0" w:line="80" w:lineRule="exact"/>
        <w:rPr>
          <w:sz w:val="20"/>
          <w:szCs w:val="20"/>
          <w:color w:val="auto"/>
        </w:rPr>
      </w:pPr>
    </w:p>
    <w:p>
      <w:pPr>
        <w:jc w:val="center"/>
        <w:ind w:right="20"/>
        <w:spacing w:after="0" w:line="309" w:lineRule="auto"/>
        <w:rPr>
          <w:sz w:val="20"/>
          <w:szCs w:val="20"/>
          <w:color w:val="auto"/>
        </w:rPr>
      </w:pPr>
      <w:r>
        <w:rPr>
          <w:rFonts w:ascii="Arial" w:cs="Arial" w:eastAsia="Arial" w:hAnsi="Arial"/>
          <w:sz w:val="20"/>
          <w:szCs w:val="20"/>
          <w:b w:val="1"/>
          <w:bCs w:val="1"/>
          <w:color w:val="auto"/>
        </w:rPr>
        <w:t>CERTIFICATION OF THE CHIEF EXECUTIVE OFFICER PURSUANT TO 18 U.S.C. SECTION 1350, AS ADOPTED PURSUANT TO SECTION 906 OF THE SARBANES-OXLEY ACT OF 2002</w:t>
      </w:r>
    </w:p>
    <w:p>
      <w:pPr>
        <w:spacing w:after="0" w:line="256" w:lineRule="exact"/>
        <w:rPr>
          <w:sz w:val="20"/>
          <w:szCs w:val="20"/>
          <w:color w:val="auto"/>
        </w:rPr>
      </w:pPr>
    </w:p>
    <w:p>
      <w:pPr>
        <w:jc w:val="both"/>
        <w:ind w:right="40"/>
        <w:spacing w:after="0" w:line="309" w:lineRule="auto"/>
        <w:rPr>
          <w:sz w:val="20"/>
          <w:szCs w:val="20"/>
          <w:color w:val="auto"/>
        </w:rPr>
      </w:pPr>
      <w:r>
        <w:rPr>
          <w:rFonts w:ascii="Arial" w:cs="Arial" w:eastAsia="Arial" w:hAnsi="Arial"/>
          <w:sz w:val="20"/>
          <w:szCs w:val="20"/>
          <w:color w:val="auto"/>
        </w:rPr>
        <w:t>Pursuant to the requirement set forth in Rule 13a-14(b) of the Securities Exchange Act of 1934, as amended (the ‘Exchange Act’) and Section 1350 of Chapter 63 of Title 18 of the United States Code (18 U.S.C. §1350), Andrew J. Krasner, Chief Financial Officer of Willis Towers Watson Public Limited Company (the ‘Company’) hereby certifies that, to the best of his knowledge:</w:t>
      </w:r>
    </w:p>
    <w:p>
      <w:pPr>
        <w:spacing w:after="0" w:line="179" w:lineRule="exact"/>
        <w:rPr>
          <w:sz w:val="20"/>
          <w:szCs w:val="20"/>
          <w:color w:val="auto"/>
        </w:rPr>
      </w:pPr>
    </w:p>
    <w:p>
      <w:pPr>
        <w:ind w:left="620" w:right="240" w:hanging="302"/>
        <w:spacing w:after="0" w:line="320" w:lineRule="auto"/>
        <w:tabs>
          <w:tab w:leader="none" w:pos="1031"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66" w:lineRule="exact"/>
        <w:rPr>
          <w:rFonts w:ascii="Arial" w:cs="Arial" w:eastAsia="Arial" w:hAnsi="Arial"/>
          <w:sz w:val="20"/>
          <w:szCs w:val="20"/>
          <w:color w:val="auto"/>
        </w:rPr>
      </w:pPr>
    </w:p>
    <w:p>
      <w:pPr>
        <w:ind w:left="620" w:right="140" w:hanging="302"/>
        <w:spacing w:after="0" w:line="320" w:lineRule="auto"/>
        <w:tabs>
          <w:tab w:leader="none" w:pos="1031"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25, 2026</w:t>
      </w:r>
    </w:p>
    <w:p>
      <w:pPr>
        <w:spacing w:after="0" w:line="200" w:lineRule="exact"/>
        <w:rPr>
          <w:sz w:val="20"/>
          <w:szCs w:val="20"/>
          <w:color w:val="auto"/>
        </w:rPr>
      </w:pPr>
    </w:p>
    <w:p>
      <w:pPr>
        <w:spacing w:after="0" w:line="260" w:lineRule="exact"/>
        <w:rPr>
          <w:sz w:val="20"/>
          <w:szCs w:val="20"/>
          <w:color w:val="auto"/>
        </w:rPr>
      </w:pPr>
    </w:p>
    <w:p>
      <w:pPr>
        <w:ind w:left="4700"/>
        <w:spacing w:after="0"/>
        <w:tabs>
          <w:tab w:leader="none" w:pos="64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26035</wp:posOffset>
            </wp:positionV>
            <wp:extent cx="2685415" cy="952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92">
                      <a:extLst>
                        <a:ext uri="{28A0092B-C50C-407E-A947-70E740481C1C}"/>
                      </a:extLst>
                    </a:blip>
                    <a:srcRect/>
                    <a:stretch>
                      <a:fillRect/>
                    </a:stretch>
                  </pic:blipFill>
                  <pic:spPr bwMode="auto">
                    <a:xfrm>
                      <a:off x="0" y="0"/>
                      <a:ext cx="2685415" cy="9525"/>
                    </a:xfrm>
                    <a:prstGeom prst="rect">
                      <a:avLst/>
                    </a:prstGeom>
                    <a:noFill/>
                  </pic:spPr>
                </pic:pic>
              </a:graphicData>
            </a:graphic>
          </wp:anchor>
        </w:drawing>
      </w:r>
    </w:p>
    <w:p>
      <w:pPr>
        <w:spacing w:after="0" w:line="65" w:lineRule="exact"/>
        <w:rPr>
          <w:sz w:val="20"/>
          <w:szCs w:val="20"/>
          <w:color w:val="auto"/>
        </w:rPr>
      </w:pPr>
    </w:p>
    <w:p>
      <w:pPr>
        <w:jc w:val="center"/>
        <w:ind w:left="5200"/>
        <w:spacing w:after="0"/>
        <w:rPr>
          <w:sz w:val="20"/>
          <w:szCs w:val="20"/>
          <w:color w:val="auto"/>
        </w:rPr>
      </w:pPr>
      <w:r>
        <w:rPr>
          <w:rFonts w:ascii="Arial" w:cs="Arial" w:eastAsia="Arial" w:hAnsi="Arial"/>
          <w:sz w:val="20"/>
          <w:szCs w:val="20"/>
          <w:color w:val="auto"/>
        </w:rPr>
        <w:t>Andrew J. Krasner</w:t>
      </w:r>
    </w:p>
    <w:p>
      <w:pPr>
        <w:spacing w:after="0" w:line="70" w:lineRule="exact"/>
        <w:rPr>
          <w:sz w:val="20"/>
          <w:szCs w:val="20"/>
          <w:color w:val="auto"/>
        </w:rPr>
      </w:pPr>
    </w:p>
    <w:p>
      <w:pPr>
        <w:jc w:val="center"/>
        <w:ind w:left="5200"/>
        <w:spacing w:after="0"/>
        <w:rPr>
          <w:sz w:val="20"/>
          <w:szCs w:val="20"/>
          <w:color w:val="auto"/>
        </w:rPr>
      </w:pPr>
      <w:r>
        <w:rPr>
          <w:rFonts w:ascii="Arial" w:cs="Arial" w:eastAsia="Arial" w:hAnsi="Arial"/>
          <w:sz w:val="20"/>
          <w:szCs w:val="20"/>
          <w:i w:val="1"/>
          <w:iCs w:val="1"/>
          <w:color w:val="auto"/>
        </w:rPr>
        <w:t>Chief Financial Officer</w:t>
      </w:r>
    </w:p>
    <w:p>
      <w:pPr>
        <w:spacing w:after="0" w:line="200" w:lineRule="exact"/>
        <w:rPr>
          <w:sz w:val="20"/>
          <w:szCs w:val="20"/>
          <w:color w:val="auto"/>
        </w:rPr>
      </w:pPr>
    </w:p>
    <w:p>
      <w:pPr>
        <w:spacing w:after="0" w:line="240" w:lineRule="exact"/>
        <w:rPr>
          <w:sz w:val="20"/>
          <w:szCs w:val="20"/>
          <w:color w:val="auto"/>
        </w:rPr>
      </w:pPr>
    </w:p>
    <w:p>
      <w:pPr>
        <w:jc w:val="both"/>
        <w:ind w:right="60"/>
        <w:spacing w:after="0" w:line="307" w:lineRule="auto"/>
        <w:rPr>
          <w:sz w:val="20"/>
          <w:szCs w:val="20"/>
          <w:color w:val="auto"/>
        </w:rPr>
      </w:pPr>
      <w:r>
        <w:rPr>
          <w:rFonts w:ascii="Arial" w:cs="Arial" w:eastAsia="Arial" w:hAnsi="Arial"/>
          <w:sz w:val="20"/>
          <w:szCs w:val="20"/>
          <w:color w:val="auto"/>
        </w:rPr>
        <w:t>A signed original of this written statement required by Section 906 has been provided to Willis Towers Watson plc and will be retained by Willis Towers Watson plc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976630</wp:posOffset>
            </wp:positionV>
            <wp:extent cx="5967730" cy="190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9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18</w:t>
      </w:r>
    </w:p>
    <w:p>
      <w:pPr>
        <w:sectPr>
          <w:pgSz w:w="11900" w:h="16838" w:orient="portrait"/>
          <w:cols w:equalWidth="0" w:num="1">
            <w:col w:w="9400"/>
          </w:cols>
          <w:pgMar w:left="1260" w:top="1440" w:right="1246" w:bottom="0" w:gutter="0" w:footer="0" w:header="0"/>
          <w:type w:val="continuous"/>
        </w:sectPr>
      </w:pPr>
    </w:p>
    <w:bookmarkStart w:id="337" w:name="page338"/>
    <w:bookmarkEnd w:id="3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18 / 18</w:t>
      </w:r>
    </w:p>
    <w:sectPr>
      <w:pgSz w:w="11900" w:h="16838" w:orient="portrait"/>
      <w:cols w:equalWidth="0" w:num="1">
        <w:col w:w="9026"/>
      </w:cols>
      <w:pgMar w:left="1440" w:top="1440"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lvl w:ilvl="1">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endash "/>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amp;"/>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1)"/>
      <w:numFmt w:val="lowerRoman"/>
      <w:start w:val="1"/>
    </w:lvl>
  </w:abstractNum>
  <w:abstractNum w:abstractNumId="29">
    <w:nsid w:val="540A471C"/>
    <w:multiLevelType w:val="hybridMultilevel"/>
    <w:lvl w:ilvl="0">
      <w:lvlJc w:val="left"/>
      <w:lvlText w:val="(%1)"/>
      <w:numFmt w:val="lowerRoman"/>
      <w:start w:val="1"/>
    </w:lvl>
  </w:abstractNum>
  <w:abstractNum w:abstractNumId="30">
    <w:nsid w:val="7BD3EE7B"/>
    <w:multiLevelType w:val="hybridMultilevel"/>
    <w:lvl w:ilvl="0">
      <w:lvlJc w:val="left"/>
      <w:lvlText w:val="(%1)"/>
      <w:numFmt w:val="lowerRoman"/>
      <w:start w:val="1"/>
    </w:lvl>
  </w:abstractNum>
  <w:abstractNum w:abstractNumId="31">
    <w:nsid w:val="51D9C564"/>
    <w:multiLevelType w:val="hybridMultilevel"/>
    <w:lvl w:ilvl="0">
      <w:lvlJc w:val="left"/>
      <w:lvlText w:val="%1)"/>
      <w:numFmt w:val="lowerLetter"/>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1)"/>
      <w:numFmt w:val="lowerRoman"/>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1)"/>
      <w:numFmt w:val="lowerRoman"/>
      <w:start w:val="1"/>
    </w:lvl>
  </w:abstractNum>
  <w:abstractNum w:abstractNumId="39">
    <w:nsid w:val="3B0FD379"/>
    <w:multiLevelType w:val="hybridMultilevel"/>
    <w:lvl w:ilvl="0">
      <w:lvlJc w:val="left"/>
      <w:lvlText w:val="(%1)"/>
      <w:numFmt w:val="lowerRoman"/>
      <w:start w:val="1"/>
    </w:lvl>
  </w:abstractNum>
  <w:abstractNum w:abstractNumId="40">
    <w:nsid w:val="68EB2F63"/>
    <w:multiLevelType w:val="hybridMultilevel"/>
    <w:lvl w:ilvl="0">
      <w:lvlJc w:val="left"/>
      <w:lvlText w:val="(%1)"/>
      <w:numFmt w:val="lowerRoman"/>
      <w:start w:val="1"/>
    </w:lvl>
  </w:abstractNum>
  <w:abstractNum w:abstractNumId="41">
    <w:nsid w:val="4962813B"/>
    <w:multiLevelType w:val="hybridMultilevel"/>
    <w:lvl w:ilvl="0">
      <w:lvlJc w:val="left"/>
      <w:lvlText w:val="(%1)"/>
      <w:numFmt w:val="lowerRoman"/>
      <w:start w:val="1"/>
    </w:lvl>
  </w:abstractNum>
  <w:abstractNum w:abstractNumId="42">
    <w:nsid w:val="60B6DF70"/>
    <w:multiLevelType w:val="hybridMultilevel"/>
    <w:lvl w:ilvl="0">
      <w:lvlJc w:val="left"/>
      <w:lvlText w:val="(%1)"/>
      <w:numFmt w:val="lowerRoman"/>
      <w:start w:val="1"/>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1)"/>
      <w:numFmt w:val="lowerRoman"/>
      <w:start w:val="1"/>
    </w:lvl>
  </w:abstractNum>
  <w:abstractNum w:abstractNumId="46">
    <w:nsid w:val="1A27709E"/>
    <w:multiLevelType w:val="hybridMultilevel"/>
    <w:lvl w:ilvl="0">
      <w:lvlJc w:val="left"/>
      <w:lvlText w:val="•"/>
      <w:numFmt w:val="bullet"/>
      <w:start w:val="1"/>
    </w:lvl>
  </w:abstractNum>
  <w:abstractNum w:abstractNumId="47">
    <w:nsid w:val="71EA1109"/>
    <w:multiLevelType w:val="hybridMultilevel"/>
    <w:lvl w:ilvl="0">
      <w:lvlJc w:val="left"/>
      <w:lvlText w:val="•"/>
      <w:numFmt w:val="bullet"/>
      <w:start w:val="1"/>
    </w:lvl>
  </w:abstractNum>
  <w:abstractNum w:abstractNumId="48">
    <w:nsid w:val="100F59DC"/>
    <w:multiLevelType w:val="hybridMultilevel"/>
    <w:lvl w:ilvl="0">
      <w:lvlJc w:val="left"/>
      <w:lvlText w:val="(%1)"/>
      <w:numFmt w:val="lowerRoman"/>
      <w:start w:val="1"/>
    </w:lvl>
  </w:abstractNum>
  <w:abstractNum w:abstractNumId="49">
    <w:nsid w:val="7FB7E0AA"/>
    <w:multiLevelType w:val="hybridMultilevel"/>
    <w:lvl w:ilvl="0">
      <w:lvlJc w:val="left"/>
      <w:lvlText w:val="(%1)"/>
      <w:numFmt w:val="lowerRoman"/>
      <w:start w:val="1"/>
    </w:lvl>
  </w:abstractNum>
  <w:abstractNum w:abstractNumId="50">
    <w:nsid w:val="6EB5BD4"/>
    <w:multiLevelType w:val="hybridMultilevel"/>
    <w:lvl w:ilvl="0">
      <w:lvlJc w:val="left"/>
      <w:lvlText w:val="(%1)"/>
      <w:numFmt w:val="lowerRoman"/>
      <w:start w:val="1"/>
    </w:lvl>
  </w:abstractNum>
  <w:abstractNum w:abstractNumId="51">
    <w:nsid w:val="6F6DD9AC"/>
    <w:multiLevelType w:val="hybridMultilevel"/>
    <w:lvl w:ilvl="0">
      <w:lvlJc w:val="left"/>
      <w:lvlText w:val="•"/>
      <w:numFmt w:val="bullet"/>
      <w:start w:val="1"/>
    </w:lvl>
  </w:abstractNum>
  <w:abstractNum w:abstractNumId="52">
    <w:nsid w:val="94211F2"/>
    <w:multiLevelType w:val="hybridMultilevel"/>
    <w:lvl w:ilvl="0">
      <w:lvlJc w:val="left"/>
      <w:lvlText w:val="•"/>
      <w:numFmt w:val="bullet"/>
      <w:start w:val="1"/>
    </w:lvl>
  </w:abstractNum>
  <w:abstractNum w:abstractNumId="53">
    <w:nsid w:val="885E1B"/>
    <w:multiLevelType w:val="hybridMultilevel"/>
    <w:lvl w:ilvl="0">
      <w:lvlJc w:val="left"/>
      <w:lvlText w:val="•"/>
      <w:numFmt w:val="bullet"/>
      <w:start w:val="1"/>
    </w:lvl>
  </w:abstractNum>
  <w:abstractNum w:abstractNumId="54">
    <w:nsid w:val="76272110"/>
    <w:multiLevelType w:val="hybridMultilevel"/>
    <w:lvl w:ilvl="0">
      <w:lvlJc w:val="left"/>
      <w:lvlText w:val="•"/>
      <w:numFmt w:val="bullet"/>
      <w:start w:val="1"/>
    </w:lvl>
  </w:abstractNum>
  <w:abstractNum w:abstractNumId="55">
    <w:nsid w:val="4C04A8AF"/>
    <w:multiLevelType w:val="hybridMultilevel"/>
    <w:lvl w:ilvl="0">
      <w:lvlJc w:val="left"/>
      <w:lvlText w:val="\emdash "/>
      <w:numFmt w:val="bullet"/>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1)"/>
      <w:numFmt w:val="lowerRoman"/>
      <w:start w:val="1"/>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1)"/>
      <w:numFmt w:val="lowerRoman"/>
      <w:start w:val="1"/>
    </w:lvl>
  </w:abstractNum>
  <w:abstractNum w:abstractNumId="60">
    <w:nsid w:val="68EBC550"/>
    <w:multiLevelType w:val="hybridMultilevel"/>
    <w:lvl w:ilvl="0">
      <w:lvlJc w:val="left"/>
      <w:lvlText w:val="•"/>
      <w:numFmt w:val="bullet"/>
      <w:start w:val="1"/>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1)"/>
      <w:numFmt w:val="lowerRoman"/>
      <w:start w:val="3"/>
    </w:lvl>
  </w:abstractNum>
  <w:abstractNum w:abstractNumId="63">
    <w:nsid w:val="4A2AC315"/>
    <w:multiLevelType w:val="hybridMultilevel"/>
    <w:lvl w:ilvl="0">
      <w:lvlJc w:val="left"/>
      <w:lvlText w:val="(%1)"/>
      <w:numFmt w:val="lowerRoman"/>
      <w:start w:val="1"/>
    </w:lvl>
  </w:abstractNum>
  <w:abstractNum w:abstractNumId="64">
    <w:nsid w:val="39EE015C"/>
    <w:multiLevelType w:val="hybridMultilevel"/>
    <w:lvl w:ilvl="0">
      <w:lvlJc w:val="left"/>
      <w:lvlText w:val="•"/>
      <w:numFmt w:val="bullet"/>
      <w:start w:val="1"/>
    </w:lvl>
  </w:abstractNum>
  <w:abstractNum w:abstractNumId="65">
    <w:nsid w:val="57FC4FBB"/>
    <w:multiLevelType w:val="hybridMultilevel"/>
    <w:lvl w:ilvl="0">
      <w:lvlJc w:val="left"/>
      <w:lvlText w:val="(%1)"/>
      <w:numFmt w:val="lowerRoman"/>
      <w:start w:val="1"/>
    </w:lvl>
  </w:abstractNum>
  <w:abstractNum w:abstractNumId="66">
    <w:nsid w:val="CC1016F"/>
    <w:multiLevelType w:val="hybridMultilevel"/>
    <w:lvl w:ilvl="0">
      <w:lvlJc w:val="left"/>
      <w:lvlText w:val="(%1)"/>
      <w:numFmt w:val="lowerRoman"/>
      <w:start w:val="1"/>
    </w:lvl>
  </w:abstractNum>
  <w:abstractNum w:abstractNumId="67">
    <w:nsid w:val="43F18422"/>
    <w:multiLevelType w:val="hybridMultilevel"/>
    <w:lvl w:ilvl="0">
      <w:lvlJc w:val="left"/>
      <w:lvlText w:val="(%1)"/>
      <w:numFmt w:val="lowerRoman"/>
      <w:start w:val="1"/>
    </w:lvl>
  </w:abstractNum>
  <w:abstractNum w:abstractNumId="68">
    <w:nsid w:val="60EF0119"/>
    <w:multiLevelType w:val="hybridMultilevel"/>
    <w:lvl w:ilvl="0">
      <w:lvlJc w:val="left"/>
      <w:lvlText w:val="•"/>
      <w:numFmt w:val="bullet"/>
      <w:start w:val="1"/>
    </w:lvl>
  </w:abstractNum>
  <w:abstractNum w:abstractNumId="69">
    <w:nsid w:val="26F324BA"/>
    <w:multiLevelType w:val="hybridMultilevel"/>
    <w:lvl w:ilvl="0">
      <w:lvlJc w:val="left"/>
      <w:lvlText w:val="•"/>
      <w:numFmt w:val="bullet"/>
      <w:start w:val="1"/>
    </w:lvl>
  </w:abstractNum>
  <w:abstractNum w:abstractNumId="70">
    <w:nsid w:val="7F01579B"/>
    <w:multiLevelType w:val="hybridMultilevel"/>
    <w:lvl w:ilvl="0">
      <w:lvlJc w:val="left"/>
      <w:lvlText w:val="•"/>
      <w:numFmt w:val="bullet"/>
      <w:start w:val="1"/>
    </w:lvl>
  </w:abstractNum>
  <w:abstractNum w:abstractNumId="71">
    <w:nsid w:val="49DA307D"/>
    <w:multiLevelType w:val="hybridMultilevel"/>
    <w:lvl w:ilvl="0">
      <w:lvlJc w:val="left"/>
      <w:lvlText w:val="•"/>
      <w:numFmt w:val="bullet"/>
      <w:start w:val="1"/>
    </w:lvl>
  </w:abstractNum>
  <w:abstractNum w:abstractNumId="72">
    <w:nsid w:val="7055A5F5"/>
    <w:multiLevelType w:val="hybridMultilevel"/>
    <w:lvl w:ilvl="0">
      <w:lvlJc w:val="left"/>
      <w:lvlText w:val="•"/>
      <w:numFmt w:val="bullet"/>
      <w:start w:val="1"/>
    </w:lvl>
  </w:abstractNum>
  <w:abstractNum w:abstractNumId="73">
    <w:nsid w:val="5FB8370B"/>
    <w:multiLevelType w:val="hybridMultilevel"/>
    <w:lvl w:ilvl="0">
      <w:lvlJc w:val="left"/>
      <w:lvlText w:val="(%1)"/>
      <w:numFmt w:val="lowerRoman"/>
      <w:start w:val="1"/>
    </w:lvl>
  </w:abstractNum>
  <w:abstractNum w:abstractNumId="74">
    <w:nsid w:val="50801EE1"/>
    <w:multiLevelType w:val="hybridMultilevel"/>
    <w:lvl w:ilvl="0">
      <w:lvlJc w:val="left"/>
      <w:lvlText w:val="(%1)"/>
      <w:numFmt w:val="lowerRoman"/>
      <w:start w:val="5"/>
    </w:lvl>
  </w:abstractNum>
  <w:abstractNum w:abstractNumId="75">
    <w:nsid w:val="488AC1A"/>
    <w:multiLevelType w:val="hybridMultilevel"/>
    <w:lvl w:ilvl="0">
      <w:lvlJc w:val="left"/>
      <w:lvlText w:val="(%1)"/>
      <w:numFmt w:val="lowerRoman"/>
      <w:start w:val="1"/>
    </w:lvl>
  </w:abstractNum>
  <w:abstractNum w:abstractNumId="76">
    <w:nsid w:val="5FB8011C"/>
    <w:multiLevelType w:val="hybridMultilevel"/>
    <w:lvl w:ilvl="0">
      <w:lvlJc w:val="left"/>
      <w:lvlText w:val="(%1)"/>
      <w:numFmt w:val="lowerRoman"/>
      <w:start w:val="1"/>
    </w:lvl>
  </w:abstractNum>
  <w:abstractNum w:abstractNumId="77">
    <w:nsid w:val="6AA78F7F"/>
    <w:multiLevelType w:val="hybridMultilevel"/>
    <w:lvl w:ilvl="0">
      <w:lvlJc w:val="left"/>
      <w:lvlText w:val="•"/>
      <w:numFmt w:val="bullet"/>
      <w:start w:val="1"/>
    </w:lvl>
  </w:abstractNum>
  <w:abstractNum w:abstractNumId="78">
    <w:nsid w:val="7672BD23"/>
    <w:multiLevelType w:val="hybridMultilevel"/>
    <w:lvl w:ilvl="0">
      <w:lvlJc w:val="left"/>
      <w:lvlText w:val="(%1)"/>
      <w:numFmt w:val="lowerRoman"/>
      <w:start w:val="1"/>
    </w:lvl>
  </w:abstractNum>
  <w:abstractNum w:abstractNumId="79">
    <w:nsid w:val="6FC75AF8"/>
    <w:multiLevelType w:val="hybridMultilevel"/>
    <w:lvl w:ilvl="0">
      <w:lvlJc w:val="left"/>
      <w:lvlText w:val="\emdash "/>
      <w:numFmt w:val="bullet"/>
      <w:start w:val="1"/>
    </w:lvl>
  </w:abstractNum>
  <w:abstractNum w:abstractNumId="80">
    <w:nsid w:val="6A5F7029"/>
    <w:multiLevelType w:val="hybridMultilevel"/>
    <w:lvl w:ilvl="0">
      <w:lvlJc w:val="left"/>
      <w:lvlText w:val="(%1)"/>
      <w:numFmt w:val="decimal"/>
      <w:start w:val="1"/>
    </w:lvl>
  </w:abstractNum>
  <w:abstractNum w:abstractNumId="81">
    <w:nsid w:val="7D5E18F8"/>
    <w:multiLevelType w:val="hybridMultilevel"/>
    <w:lvl w:ilvl="0">
      <w:lvlJc w:val="left"/>
      <w:lvlText w:val="%1)"/>
      <w:numFmt w:val="lowerLetter"/>
      <w:start w:val="2"/>
    </w:lvl>
  </w:abstractNum>
  <w:abstractNum w:abstractNumId="82">
    <w:nsid w:val="5F3534A4"/>
    <w:multiLevelType w:val="hybridMultilevel"/>
    <w:lvl w:ilvl="0">
      <w:lvlJc w:val="left"/>
      <w:lvlText w:val="**"/>
      <w:numFmt w:val="bullet"/>
      <w:start w:val="1"/>
    </w:lvl>
  </w:abstractNum>
  <w:abstractNum w:abstractNumId="83">
    <w:nsid w:val="73A1821B"/>
    <w:multiLevelType w:val="hybridMultilevel"/>
    <w:lvl w:ilvl="0">
      <w:lvlJc w:val="left"/>
      <w:lvlText w:val="%1."/>
      <w:numFmt w:val="upperLetter"/>
      <w:start w:val="9"/>
    </w:lvl>
  </w:abstractNum>
  <w:abstractNum w:abstractNumId="84">
    <w:nsid w:val="7DE67713"/>
    <w:multiLevelType w:val="hybridMultilevel"/>
    <w:lvl w:ilvl="0">
      <w:lvlJc w:val="left"/>
      <w:lvlText w:val="%1."/>
      <w:numFmt w:val="upperLetter"/>
      <w:start w:val="1"/>
    </w:lvl>
  </w:abstractNum>
  <w:abstractNum w:abstractNumId="85">
    <w:nsid w:val="555C55B5"/>
    <w:multiLevelType w:val="hybridMultilevel"/>
    <w:lvl w:ilvl="0">
      <w:lvlJc w:val="left"/>
      <w:lvlText w:val="%1."/>
      <w:numFmt w:val="upperLetter"/>
      <w:start w:val="2"/>
    </w:lvl>
  </w:abstractNum>
  <w:abstractNum w:abstractNumId="86">
    <w:nsid w:val="3FA62ACA"/>
    <w:multiLevelType w:val="hybridMultilevel"/>
    <w:lvl w:ilvl="0">
      <w:lvlJc w:val="left"/>
      <w:lvlText w:val="•"/>
      <w:numFmt w:val="bullet"/>
      <w:start w:val="1"/>
    </w:lvl>
  </w:abstractNum>
  <w:abstractNum w:abstractNumId="87">
    <w:nsid w:val="14FCE74E"/>
    <w:multiLevelType w:val="hybridMultilevel"/>
    <w:lvl w:ilvl="0">
      <w:lvlJc w:val="left"/>
      <w:lvlText w:val="%1."/>
      <w:numFmt w:val="upperLetter"/>
      <w:start w:val="3"/>
    </w:lvl>
  </w:abstractNum>
  <w:abstractNum w:abstractNumId="88">
    <w:nsid w:val="6A3DD3E8"/>
    <w:multiLevelType w:val="hybridMultilevel"/>
    <w:lvl w:ilvl="0">
      <w:lvlJc w:val="left"/>
      <w:lvlText w:val="%1."/>
      <w:numFmt w:val="upperLetter"/>
      <w:start w:val="4"/>
    </w:lvl>
  </w:abstractNum>
  <w:abstractNum w:abstractNumId="89">
    <w:nsid w:val="71C91298"/>
    <w:multiLevelType w:val="hybridMultilevel"/>
    <w:lvl w:ilvl="0">
      <w:lvlJc w:val="left"/>
      <w:lvlText w:val="•"/>
      <w:numFmt w:val="bullet"/>
      <w:start w:val="1"/>
    </w:lvl>
  </w:abstractNum>
  <w:abstractNum w:abstractNumId="90">
    <w:nsid w:val="9DAF632"/>
    <w:multiLevelType w:val="hybridMultilevel"/>
    <w:lvl w:ilvl="0">
      <w:lvlJc w:val="left"/>
      <w:lvlText w:val="•"/>
      <w:numFmt w:val="bullet"/>
      <w:start w:val="1"/>
    </w:lvl>
    <w:lvl w:ilvl="1">
      <w:lvlJc w:val="left"/>
      <w:lvlText w:val="%2"/>
      <w:numFmt w:val="upperLetter"/>
      <w:start w:val="1"/>
    </w:lvl>
  </w:abstractNum>
  <w:abstractNum w:abstractNumId="91">
    <w:nsid w:val="53299938"/>
    <w:multiLevelType w:val="hybridMultilevel"/>
    <w:lvl w:ilvl="0">
      <w:lvlJc w:val="left"/>
      <w:lvlText w:val="•"/>
      <w:numFmt w:val="bullet"/>
      <w:start w:val="1"/>
    </w:lvl>
  </w:abstractNum>
  <w:abstractNum w:abstractNumId="92">
    <w:nsid w:val="1FBFE8E0"/>
    <w:multiLevelType w:val="hybridMultilevel"/>
    <w:lvl w:ilvl="0">
      <w:lvlJc w:val="left"/>
      <w:lvlText w:val="•"/>
      <w:numFmt w:val="bullet"/>
      <w:start w:val="1"/>
    </w:lvl>
  </w:abstractNum>
  <w:abstractNum w:abstractNumId="93">
    <w:nsid w:val="5092CA79"/>
    <w:multiLevelType w:val="hybridMultilevel"/>
    <w:lvl w:ilvl="0">
      <w:lvlJc w:val="left"/>
      <w:lvlText w:val="%1."/>
      <w:numFmt w:val="upperLetter"/>
      <w:start w:val="35"/>
    </w:lvl>
  </w:abstractNum>
  <w:abstractNum w:abstractNumId="94">
    <w:nsid w:val="1D545C4D"/>
    <w:multiLevelType w:val="hybridMultilevel"/>
    <w:lvl w:ilvl="0">
      <w:lvlJc w:val="left"/>
      <w:lvlText w:val="%1."/>
      <w:numFmt w:val="upperLetter"/>
      <w:start w:val="61"/>
    </w:lvl>
  </w:abstractNum>
  <w:abstractNum w:abstractNumId="95">
    <w:nsid w:val="59ADEA3D"/>
    <w:multiLevelType w:val="hybridMultilevel"/>
    <w:lvl w:ilvl="0">
      <w:lvlJc w:val="left"/>
      <w:lvlText w:val="•"/>
      <w:numFmt w:val="bullet"/>
      <w:start w:val="1"/>
    </w:lvl>
  </w:abstractNum>
  <w:abstractNum w:abstractNumId="96">
    <w:nsid w:val="288F1A34"/>
    <w:multiLevelType w:val="hybridMultilevel"/>
    <w:lvl w:ilvl="0">
      <w:lvlJc w:val="left"/>
      <w:lvlText w:val="•"/>
      <w:numFmt w:val="bullet"/>
      <w:start w:val="1"/>
    </w:lvl>
  </w:abstractNum>
  <w:abstractNum w:abstractNumId="97">
    <w:nsid w:val="2A155DBC"/>
    <w:multiLevelType w:val="hybridMultilevel"/>
    <w:lvl w:ilvl="0">
      <w:lvlJc w:val="left"/>
      <w:lvlText w:val="%1."/>
      <w:numFmt w:val="upperLetter"/>
      <w:start w:val="22"/>
    </w:lvl>
  </w:abstractNum>
  <w:abstractNum w:abstractNumId="98">
    <w:nsid w:val="1D9F6E5F"/>
    <w:multiLevelType w:val="hybridMultilevel"/>
    <w:lvl w:ilvl="0">
      <w:lvlJc w:val="left"/>
      <w:lvlText w:val="•"/>
      <w:numFmt w:val="bullet"/>
      <w:start w:val="1"/>
    </w:lvl>
  </w:abstractNum>
  <w:abstractNum w:abstractNumId="99">
    <w:nsid w:val="97E1B4E"/>
    <w:multiLevelType w:val="hybridMultilevel"/>
    <w:lvl w:ilvl="0">
      <w:lvlJc w:val="left"/>
      <w:lvlText w:val="•"/>
      <w:numFmt w:val="bullet"/>
      <w:start w:val="1"/>
    </w:lvl>
  </w:abstractNum>
  <w:abstractNum w:abstractNumId="100">
    <w:nsid w:val="51088277"/>
    <w:multiLevelType w:val="hybridMultilevel"/>
    <w:lvl w:ilvl="0">
      <w:lvlJc w:val="left"/>
      <w:lvlText w:val="%1:"/>
      <w:numFmt w:val="upperLetter"/>
      <w:start w:val="1"/>
    </w:lvl>
    <w:lvl w:ilvl="1">
      <w:lvlJc w:val="left"/>
      <w:lvlText w:val="•"/>
      <w:numFmt w:val="bullet"/>
      <w:start w:val="1"/>
    </w:lvl>
  </w:abstractNum>
  <w:abstractNum w:abstractNumId="101">
    <w:nsid w:val="1CA0C5FA"/>
    <w:multiLevelType w:val="hybridMultilevel"/>
    <w:lvl w:ilvl="0">
      <w:lvlJc w:val="left"/>
      <w:lvlText w:val="•"/>
      <w:numFmt w:val="bullet"/>
      <w:start w:val="1"/>
    </w:lvl>
  </w:abstractNum>
  <w:abstractNum w:abstractNumId="102">
    <w:nsid w:val="53584BCB"/>
    <w:multiLevelType w:val="hybridMultilevel"/>
    <w:lvl w:ilvl="0">
      <w:lvlJc w:val="left"/>
      <w:lvlText w:val="%1:"/>
      <w:numFmt w:val="upperLetter"/>
      <w:start w:val="1"/>
    </w:lvl>
  </w:abstractNum>
  <w:abstractNum w:abstractNumId="103">
    <w:nsid w:val="415E286C"/>
    <w:multiLevelType w:val="hybridMultilevel"/>
    <w:lvl w:ilvl="0">
      <w:lvlJc w:val="left"/>
      <w:lvlText w:val="%1:"/>
      <w:numFmt w:val="upperLetter"/>
      <w:start w:val="1"/>
    </w:lvl>
  </w:abstractNum>
  <w:abstractNum w:abstractNumId="104">
    <w:nsid w:val="7C58FD05"/>
    <w:multiLevelType w:val="hybridMultilevel"/>
    <w:lvl w:ilvl="0">
      <w:lvlJc w:val="left"/>
      <w:lvlText w:val="%1:"/>
      <w:numFmt w:val="upperLetter"/>
      <w:start w:val="1"/>
    </w:lvl>
  </w:abstractNum>
  <w:abstractNum w:abstractNumId="105">
    <w:nsid w:val="23D86AAC"/>
    <w:multiLevelType w:val="hybridMultilevel"/>
    <w:lvl w:ilvl="0">
      <w:lvlJc w:val="left"/>
      <w:lvlText w:val="%1:"/>
      <w:numFmt w:val="upperLetter"/>
      <w:start w:val="1"/>
    </w:lvl>
  </w:abstractNum>
  <w:abstractNum w:abstractNumId="106">
    <w:nsid w:val="45E6D486"/>
    <w:multiLevelType w:val="hybridMultilevel"/>
    <w:lvl w:ilvl="0">
      <w:lvlJc w:val="left"/>
      <w:lvlText w:val="%1:"/>
      <w:numFmt w:val="upperLetter"/>
      <w:start w:val="1"/>
    </w:lvl>
  </w:abstractNum>
  <w:abstractNum w:abstractNumId="107">
    <w:nsid w:val="5C10FE21"/>
    <w:multiLevelType w:val="hybridMultilevel"/>
    <w:lvl w:ilvl="0">
      <w:lvlJc w:val="left"/>
      <w:lvlText w:val="%1:"/>
      <w:numFmt w:val="upperLetter"/>
      <w:start w:val="1"/>
    </w:lvl>
    <w:lvl w:ilvl="1">
      <w:lvlJc w:val="left"/>
      <w:lvlText w:val="•"/>
      <w:numFmt w:val="bullet"/>
      <w:start w:val="1"/>
    </w:lvl>
  </w:abstractNum>
  <w:abstractNum w:abstractNumId="108">
    <w:nsid w:val="E7FFA2B"/>
    <w:multiLevelType w:val="hybridMultilevel"/>
    <w:lvl w:ilvl="0">
      <w:lvlJc w:val="left"/>
      <w:lvlText w:val="•"/>
      <w:numFmt w:val="bullet"/>
      <w:start w:val="1"/>
    </w:lvl>
  </w:abstractNum>
  <w:abstractNum w:abstractNumId="109">
    <w:nsid w:val="3C5991AA"/>
    <w:multiLevelType w:val="hybridMultilevel"/>
    <w:lvl w:ilvl="0">
      <w:lvlJc w:val="left"/>
      <w:lvlText w:val="•"/>
      <w:numFmt w:val="bullet"/>
      <w:start w:val="1"/>
    </w:lvl>
  </w:abstractNum>
  <w:abstractNum w:abstractNumId="110">
    <w:nsid w:val="4BD8591A"/>
    <w:multiLevelType w:val="hybridMultilevel"/>
    <w:lvl w:ilvl="0">
      <w:lvlJc w:val="left"/>
      <w:lvlText w:val="•"/>
      <w:numFmt w:val="bullet"/>
      <w:start w:val="1"/>
    </w:lvl>
    <w:lvl w:ilvl="1">
      <w:lvlJc w:val="left"/>
      <w:lvlText w:val="•"/>
      <w:numFmt w:val="bullet"/>
      <w:start w:val="1"/>
    </w:lvl>
  </w:abstractNum>
  <w:abstractNum w:abstractNumId="111">
    <w:nsid w:val="78DF6A55"/>
    <w:multiLevelType w:val="hybridMultilevel"/>
    <w:lvl w:ilvl="0">
      <w:lvlJc w:val="left"/>
      <w:lvlText w:val="(%1)"/>
      <w:numFmt w:val="lowerLetter"/>
      <w:start w:val="1"/>
    </w:lvl>
  </w:abstractNum>
  <w:abstractNum w:abstractNumId="112">
    <w:nsid w:val="39B7AAA2"/>
    <w:multiLevelType w:val="hybridMultilevel"/>
    <w:lvl w:ilvl="0">
      <w:lvlJc w:val="left"/>
      <w:lvlText w:val="•"/>
      <w:numFmt w:val="bullet"/>
      <w:start w:val="1"/>
    </w:lvl>
  </w:abstractNum>
  <w:abstractNum w:abstractNumId="113">
    <w:nsid w:val="2B0D8DBE"/>
    <w:multiLevelType w:val="hybridMultilevel"/>
    <w:lvl w:ilvl="0">
      <w:lvlJc w:val="left"/>
      <w:lvlText w:val="%1."/>
      <w:numFmt w:val="decimal"/>
      <w:start w:val="1"/>
    </w:lvl>
    <w:lvl w:ilvl="1">
      <w:lvlJc w:val="left"/>
      <w:lvlText w:val="%2)"/>
      <w:numFmt w:val="lowerLetter"/>
      <w:start w:val="1"/>
    </w:lvl>
  </w:abstractNum>
  <w:abstractNum w:abstractNumId="114">
    <w:nsid w:val="6C80EC70"/>
    <w:multiLevelType w:val="hybridMultilevel"/>
    <w:lvl w:ilvl="0">
      <w:lvlJc w:val="left"/>
      <w:lvlText w:val="%1."/>
      <w:numFmt w:val="decimal"/>
      <w:start w:val="5"/>
    </w:lvl>
    <w:lvl w:ilvl="1">
      <w:lvlJc w:val="left"/>
      <w:lvlText w:val="%2)"/>
      <w:numFmt w:val="lowerLetter"/>
      <w:start w:val="1"/>
    </w:lvl>
  </w:abstractNum>
  <w:abstractNum w:abstractNumId="115">
    <w:nsid w:val="379E21B5"/>
    <w:multiLevelType w:val="hybridMultilevel"/>
    <w:lvl w:ilvl="0">
      <w:lvlJc w:val="left"/>
      <w:lvlText w:val="%1."/>
      <w:numFmt w:val="decimal"/>
      <w:start w:val="1"/>
    </w:lvl>
    <w:lvl w:ilvl="1">
      <w:lvlJc w:val="left"/>
      <w:lvlText w:val="%2)"/>
      <w:numFmt w:val="lowerLetter"/>
      <w:start w:val="1"/>
    </w:lvl>
  </w:abstractNum>
  <w:abstractNum w:abstractNumId="116">
    <w:nsid w:val="69E373"/>
    <w:multiLevelType w:val="hybridMultilevel"/>
    <w:lvl w:ilvl="0">
      <w:lvlJc w:val="left"/>
      <w:lvlText w:val="%1."/>
      <w:numFmt w:val="decimal"/>
      <w:start w:val="5"/>
    </w:lvl>
    <w:lvl w:ilvl="1">
      <w:lvlJc w:val="left"/>
      <w:lvlText w:val="%2)"/>
      <w:numFmt w:val="lowerLetter"/>
      <w:start w:val="1"/>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50" Type="http://schemas.openxmlformats.org/officeDocument/2006/relationships/image" Target="media/image639.png"/><Relationship Id="rId651" Type="http://schemas.openxmlformats.org/officeDocument/2006/relationships/image" Target="media/image640.png"/><Relationship Id="rId667" Type="http://schemas.openxmlformats.org/officeDocument/2006/relationships/image" Target="media/image641.png"/><Relationship Id="rId668" Type="http://schemas.openxmlformats.org/officeDocument/2006/relationships/image" Target="media/image642.png"/><Relationship Id="rId672" Type="http://schemas.openxmlformats.org/officeDocument/2006/relationships/image" Target="media/image643.png"/><Relationship Id="rId673" Type="http://schemas.openxmlformats.org/officeDocument/2006/relationships/image" Target="media/image644.png"/><Relationship Id="rId681" Type="http://schemas.openxmlformats.org/officeDocument/2006/relationships/image" Target="media/image645.png"/><Relationship Id="rId682" Type="http://schemas.openxmlformats.org/officeDocument/2006/relationships/image" Target="media/image646.png"/><Relationship Id="rId689" Type="http://schemas.openxmlformats.org/officeDocument/2006/relationships/image" Target="media/image647.png"/><Relationship Id="rId690" Type="http://schemas.openxmlformats.org/officeDocument/2006/relationships/image" Target="media/image648.png"/><Relationship Id="rId706" Type="http://schemas.openxmlformats.org/officeDocument/2006/relationships/image" Target="media/image649.png"/><Relationship Id="rId707" Type="http://schemas.openxmlformats.org/officeDocument/2006/relationships/image" Target="media/image650.png"/><Relationship Id="rId716" Type="http://schemas.openxmlformats.org/officeDocument/2006/relationships/image" Target="media/image651.png"/><Relationship Id="rId717" Type="http://schemas.openxmlformats.org/officeDocument/2006/relationships/image" Target="media/image652.png"/><Relationship Id="rId730" Type="http://schemas.openxmlformats.org/officeDocument/2006/relationships/image" Target="media/image653.png"/><Relationship Id="rId731" Type="http://schemas.openxmlformats.org/officeDocument/2006/relationships/image" Target="media/image654.png"/><Relationship Id="rId738" Type="http://schemas.openxmlformats.org/officeDocument/2006/relationships/image" Target="media/image655.png"/><Relationship Id="rId739" Type="http://schemas.openxmlformats.org/officeDocument/2006/relationships/image" Target="media/image656.png"/><Relationship Id="rId741" Type="http://schemas.openxmlformats.org/officeDocument/2006/relationships/image" Target="media/image657.png"/><Relationship Id="rId742" Type="http://schemas.openxmlformats.org/officeDocument/2006/relationships/image" Target="media/image658.png"/><Relationship Id="rId743" Type="http://schemas.openxmlformats.org/officeDocument/2006/relationships/image" Target="media/image659.png"/><Relationship Id="rId744" Type="http://schemas.openxmlformats.org/officeDocument/2006/relationships/image" Target="media/image660.png"/><Relationship Id="rId745" Type="http://schemas.openxmlformats.org/officeDocument/2006/relationships/image" Target="media/image661.png"/><Relationship Id="rId746" Type="http://schemas.openxmlformats.org/officeDocument/2006/relationships/image" Target="media/image662.png"/><Relationship Id="rId747" Type="http://schemas.openxmlformats.org/officeDocument/2006/relationships/image" Target="media/image663.png"/><Relationship Id="rId748" Type="http://schemas.openxmlformats.org/officeDocument/2006/relationships/image" Target="media/image664.png"/><Relationship Id="rId749" Type="http://schemas.openxmlformats.org/officeDocument/2006/relationships/image" Target="media/image665.png"/><Relationship Id="rId750" Type="http://schemas.openxmlformats.org/officeDocument/2006/relationships/image" Target="media/image666.png"/><Relationship Id="rId751" Type="http://schemas.openxmlformats.org/officeDocument/2006/relationships/image" Target="media/image667.png"/><Relationship Id="rId752" Type="http://schemas.openxmlformats.org/officeDocument/2006/relationships/image" Target="media/image668.png"/><Relationship Id="rId753" Type="http://schemas.openxmlformats.org/officeDocument/2006/relationships/image" Target="media/image669.png"/><Relationship Id="rId754" Type="http://schemas.openxmlformats.org/officeDocument/2006/relationships/image" Target="media/image670.png"/><Relationship Id="rId755" Type="http://schemas.openxmlformats.org/officeDocument/2006/relationships/image" Target="media/image671.png"/><Relationship Id="rId756" Type="http://schemas.openxmlformats.org/officeDocument/2006/relationships/image" Target="media/image672.png"/><Relationship Id="rId757" Type="http://schemas.openxmlformats.org/officeDocument/2006/relationships/image" Target="media/image673.png"/><Relationship Id="rId758" Type="http://schemas.openxmlformats.org/officeDocument/2006/relationships/image" Target="media/image674.png"/><Relationship Id="rId759" Type="http://schemas.openxmlformats.org/officeDocument/2006/relationships/image" Target="media/image675.png"/><Relationship Id="rId760" Type="http://schemas.openxmlformats.org/officeDocument/2006/relationships/image" Target="media/image676.png"/><Relationship Id="rId761" Type="http://schemas.openxmlformats.org/officeDocument/2006/relationships/image" Target="media/image677.png"/><Relationship Id="rId762" Type="http://schemas.openxmlformats.org/officeDocument/2006/relationships/image" Target="media/image678.png"/><Relationship Id="rId763" Type="http://schemas.openxmlformats.org/officeDocument/2006/relationships/image" Target="media/image679.png"/><Relationship Id="rId764" Type="http://schemas.openxmlformats.org/officeDocument/2006/relationships/image" Target="media/image680.png"/><Relationship Id="rId765" Type="http://schemas.openxmlformats.org/officeDocument/2006/relationships/image" Target="media/image681.png"/><Relationship Id="rId766" Type="http://schemas.openxmlformats.org/officeDocument/2006/relationships/image" Target="media/image682.png"/><Relationship Id="rId767" Type="http://schemas.openxmlformats.org/officeDocument/2006/relationships/image" Target="media/image683.png"/><Relationship Id="rId768" Type="http://schemas.openxmlformats.org/officeDocument/2006/relationships/image" Target="media/image684.png"/><Relationship Id="rId769" Type="http://schemas.openxmlformats.org/officeDocument/2006/relationships/image" Target="media/image685.png"/><Relationship Id="rId770" Type="http://schemas.openxmlformats.org/officeDocument/2006/relationships/image" Target="media/image686.png"/><Relationship Id="rId771" Type="http://schemas.openxmlformats.org/officeDocument/2006/relationships/image" Target="media/image687.png"/><Relationship Id="rId772" Type="http://schemas.openxmlformats.org/officeDocument/2006/relationships/image" Target="media/image688.png"/><Relationship Id="rId773" Type="http://schemas.openxmlformats.org/officeDocument/2006/relationships/image" Target="media/image689.png"/><Relationship Id="rId774" Type="http://schemas.openxmlformats.org/officeDocument/2006/relationships/image" Target="media/image690.png"/><Relationship Id="rId775" Type="http://schemas.openxmlformats.org/officeDocument/2006/relationships/image" Target="media/image691.png"/><Relationship Id="rId776" Type="http://schemas.openxmlformats.org/officeDocument/2006/relationships/image" Target="media/image692.png"/><Relationship Id="rId777" Type="http://schemas.openxmlformats.org/officeDocument/2006/relationships/image" Target="media/image693.png"/><Relationship Id="rId778" Type="http://schemas.openxmlformats.org/officeDocument/2006/relationships/image" Target="media/image694.png"/><Relationship Id="rId779" Type="http://schemas.openxmlformats.org/officeDocument/2006/relationships/image" Target="media/image695.png"/><Relationship Id="rId780" Type="http://schemas.openxmlformats.org/officeDocument/2006/relationships/image" Target="media/image696.png"/><Relationship Id="rId781" Type="http://schemas.openxmlformats.org/officeDocument/2006/relationships/image" Target="media/image697.png"/><Relationship Id="rId782" Type="http://schemas.openxmlformats.org/officeDocument/2006/relationships/image" Target="media/image698.png"/><Relationship Id="rId783" Type="http://schemas.openxmlformats.org/officeDocument/2006/relationships/image" Target="media/image699.png"/><Relationship Id="rId784" Type="http://schemas.openxmlformats.org/officeDocument/2006/relationships/image" Target="media/image700.png"/><Relationship Id="rId785" Type="http://schemas.openxmlformats.org/officeDocument/2006/relationships/image" Target="media/image701.png"/><Relationship Id="rId786" Type="http://schemas.openxmlformats.org/officeDocument/2006/relationships/image" Target="media/image702.png"/><Relationship Id="rId787" Type="http://schemas.openxmlformats.org/officeDocument/2006/relationships/image" Target="media/image703.png"/><Relationship Id="rId788" Type="http://schemas.openxmlformats.org/officeDocument/2006/relationships/image" Target="media/image704.png"/><Relationship Id="rId789" Type="http://schemas.openxmlformats.org/officeDocument/2006/relationships/image" Target="media/image705.png"/><Relationship Id="rId790" Type="http://schemas.openxmlformats.org/officeDocument/2006/relationships/image" Target="media/image706.png"/><Relationship Id="rId791" Type="http://schemas.openxmlformats.org/officeDocument/2006/relationships/image" Target="media/image707.png"/><Relationship Id="rId792" Type="http://schemas.openxmlformats.org/officeDocument/2006/relationships/image" Target="media/image708.png"/><Relationship Id="rId793" Type="http://schemas.openxmlformats.org/officeDocument/2006/relationships/image" Target="media/image709.png"/><Relationship Id="rId646" Type="http://schemas.openxmlformats.org/officeDocument/2006/relationships/hyperlink" Target="https://www.sec.gov/Archives/edgar/data/1140536/000119312515240148/d948067dex21.htm" TargetMode="External"/><Relationship Id="rId647" Type="http://schemas.openxmlformats.org/officeDocument/2006/relationships/hyperlink" Target="https://www.sec.gov/Archives/edgar/data/1140536/000119312515383814/d43997dex21.htm" TargetMode="External"/><Relationship Id="rId648" Type="http://schemas.openxmlformats.org/officeDocument/2006/relationships/hyperlink" Target="https://www.sec.gov/Archives/edgar/data/1140536/000119312517203660/d397380dex31.htm" TargetMode="External"/><Relationship Id="rId649" Type="http://schemas.openxmlformats.org/officeDocument/2006/relationships/hyperlink" Target="https://www.sec.gov/Archives/edgar/data/1140536/000095012310000028/h69179exv3w2.htm" TargetMode="External"/><Relationship Id="rId652" Type="http://schemas.openxmlformats.org/officeDocument/2006/relationships/hyperlink" Target="https://www.sec.gov/Archives/edgar/data/1140536/000156459020006736/wltw-ex41_331.htm" TargetMode="External"/><Relationship Id="rId653" Type="http://schemas.openxmlformats.org/officeDocument/2006/relationships/hyperlink" Target="https://www.sec.gov/Archives/edgar/data/1140536/000119312513336388/d583725dex41.htm" TargetMode="External"/><Relationship Id="rId654" Type="http://schemas.openxmlformats.org/officeDocument/2006/relationships/hyperlink" Target="https://www.sec.gov/Archives/edgar/data/1140536/000119312513336388/d583725dex42.htm" TargetMode="External"/><Relationship Id="rId655" Type="http://schemas.openxmlformats.org/officeDocument/2006/relationships/hyperlink" Target="https://www.sec.gov/Archives/edgar/data/1140536/000119312516498760/d154455dex43.htm" TargetMode="External"/><Relationship Id="rId656" Type="http://schemas.openxmlformats.org/officeDocument/2006/relationships/hyperlink" Target="https://www.sec.gov/Archives/edgar/data/1140536/000119312516513317/d142137dex41.htm" TargetMode="External"/><Relationship Id="rId657" Type="http://schemas.openxmlformats.org/officeDocument/2006/relationships/hyperlink" Target="https://www.sec.gov/Archives/edgar/data/1140536/000119312516603834/d198510dex41.htm" TargetMode="External"/><Relationship Id="rId658" Type="http://schemas.openxmlformats.org/officeDocument/2006/relationships/hyperlink" Target="https://www.sec.gov/Archives/edgar/data/1140536/000119312517259394/d442942dex43.htm" TargetMode="External"/><Relationship Id="rId659" Type="http://schemas.openxmlformats.org/officeDocument/2006/relationships/hyperlink" Target="https://www.sec.gov/Archives/edgar/data/1140536/000095017025026278/wtw-ex4_8.htm" TargetMode="External"/><Relationship Id="rId660" Type="http://schemas.openxmlformats.org/officeDocument/2006/relationships/hyperlink" Target="https://www.sec.gov/Archives/edgar/data/1140536/000119312517172295/d384531dex41.htm" TargetMode="External"/><Relationship Id="rId661" Type="http://schemas.openxmlformats.org/officeDocument/2006/relationships/hyperlink" Target="https://www.sec.gov/Archives/edgar/data/1140536/000119312517172295/d384531dex42.htm" TargetMode="External"/><Relationship Id="rId662" Type="http://schemas.openxmlformats.org/officeDocument/2006/relationships/hyperlink" Target="https://www.sec.gov/Archives/edgar/data/1140536/000119312517259394/d442942dex44.htm" TargetMode="External"/><Relationship Id="rId663" Type="http://schemas.openxmlformats.org/officeDocument/2006/relationships/hyperlink" Target="https://www.sec.gov/Archives/edgar/data/1140536/000119312518270074/d620014dex41.htm" TargetMode="External"/><Relationship Id="rId664" Type="http://schemas.openxmlformats.org/officeDocument/2006/relationships/hyperlink" Target="https://www.sec.gov/Archives/edgar/data/1140536/000119312519242058/d773448dex41.htm" TargetMode="External"/><Relationship Id="rId665" Type="http://schemas.openxmlformats.org/officeDocument/2006/relationships/hyperlink" Target="https://www.sec.gov/Archives/edgar/data/1140536/000119312522155083/d307569dex41.htm" TargetMode="External"/><Relationship Id="rId666" Type="http://schemas.openxmlformats.org/officeDocument/2006/relationships/hyperlink" Target="https://www.sec.gov/Archives/edgar/data/1140536/000119312523147140/d240713dex41.htm" TargetMode="External"/><Relationship Id="rId669" Type="http://schemas.openxmlformats.org/officeDocument/2006/relationships/hyperlink" Target="https://www.sec.gov/Archives/edgar/data/1140536/000119312524059380/d790296dex41.htm" TargetMode="External"/><Relationship Id="rId670" Type="http://schemas.openxmlformats.org/officeDocument/2006/relationships/hyperlink" Target="https://www.sec.gov/Archives/edgar/data/1140536/000095017025026278/wtw-ex4_17.htm" TargetMode="External"/><Relationship Id="rId671" Type="http://schemas.openxmlformats.org/officeDocument/2006/relationships/hyperlink" Target="https://www.sec.gov/Archives/edgar/data/1140536/000119312525328864/d62193dex41.htm" TargetMode="External"/><Relationship Id="rId674" Type="http://schemas.openxmlformats.org/officeDocument/2006/relationships/hyperlink" Target="https://www.sec.gov/Archives/edgar/data/1140536/000119312520155900/d937873dex41.htm" TargetMode="External"/><Relationship Id="rId675" Type="http://schemas.openxmlformats.org/officeDocument/2006/relationships/hyperlink" Target="https://www.sec.gov/Archives/edgar/data/1076532/000119312522058006/d252728dex46.htm" TargetMode="External"/><Relationship Id="rId676" Type="http://schemas.openxmlformats.org/officeDocument/2006/relationships/hyperlink" Target="https://www.sec.gov/Archives/edgar/data/1140536/000119312521294224/d214769dex101.htm" TargetMode="External"/><Relationship Id="rId677" Type="http://schemas.openxmlformats.org/officeDocument/2006/relationships/hyperlink" Target="https://www.sec.gov/Archives/edgar/data/1140536/000119312521294224/d214769dex102.htm" TargetMode="External"/><Relationship Id="rId678" Type="http://schemas.openxmlformats.org/officeDocument/2006/relationships/hyperlink" Target="https://www.sec.gov/Archives/edgar/data/1140536/000095017023035063/wtw-ex10_1.htm" TargetMode="External"/><Relationship Id="rId679" Type="http://schemas.openxmlformats.org/officeDocument/2006/relationships/hyperlink" Target="https://www.sec.gov/Archives/edgar/data/1140536/000119312525243617/d35058dex101.htm" TargetMode="External"/><Relationship Id="rId680" Type="http://schemas.openxmlformats.org/officeDocument/2006/relationships/hyperlink" Target="https://www.sec.gov/Archives/edgar/data/1140536/000119312525243617/d35058dex102.htm" TargetMode="External"/><Relationship Id="rId683" Type="http://schemas.openxmlformats.org/officeDocument/2006/relationships/hyperlink" Target="https://www.sec.gov/Archives/edgar/data/1140536/000119312526009009/d80722dex101.htm" TargetMode="External"/><Relationship Id="rId684" Type="http://schemas.openxmlformats.org/officeDocument/2006/relationships/hyperlink" Target="https://www.sec.gov/Archives/edgar/data/1140536/000095012310000028/h69179exv10w4.htm" TargetMode="External"/><Relationship Id="rId685" Type="http://schemas.openxmlformats.org/officeDocument/2006/relationships/hyperlink" Target="https://www.sec.gov/Archives/edgar/data/1140536/000119312521246964/d218523dex101.htm" TargetMode="External"/><Relationship Id="rId686" Type="http://schemas.openxmlformats.org/officeDocument/2006/relationships/hyperlink" Target="https://www.sec.gov/Archives/edgar/data/1140536/000119312521349136/d414791dex101.htm" TargetMode="External"/><Relationship Id="rId687" Type="http://schemas.openxmlformats.org/officeDocument/2006/relationships/hyperlink" Target="https://www.sec.gov/Archives/edgar/data/1140536/000095017025057769/wtw-ex10_1.htm" TargetMode="External"/><Relationship Id="rId688" Type="http://schemas.openxmlformats.org/officeDocument/2006/relationships/hyperlink" Target="https://www.sec.gov/Archives/edgar/data/1140536/000119312512346209/d352817dex101.htm" TargetMode="External"/><Relationship Id="rId691" Type="http://schemas.openxmlformats.org/officeDocument/2006/relationships/hyperlink" Target="https://www.sec.gov/Archives/edgar/data/1140536/000095017022001932/wtw-ex10_9.htm" TargetMode="External"/><Relationship Id="rId692" Type="http://schemas.openxmlformats.org/officeDocument/2006/relationships/hyperlink" Target="https://www.sec.gov/Archives/edgar/data/1140536/000144530513000389/exhibit1032.htm" TargetMode="External"/><Relationship Id="rId693" Type="http://schemas.openxmlformats.org/officeDocument/2006/relationships/hyperlink" Target="https://www.sec.gov/Archives/edgar/data/1140536/000129993309004633/exhibit1.htm" TargetMode="External"/><Relationship Id="rId694" Type="http://schemas.openxmlformats.org/officeDocument/2006/relationships/hyperlink" Target="https://www.sec.gov/Archives/edgar/data/1140536/000095012311074829/u10790exv10w1.htm" TargetMode="External"/><Relationship Id="rId695" Type="http://schemas.openxmlformats.org/officeDocument/2006/relationships/hyperlink" Target="https://www.sec.gov/Archives/edgar/data/1140536/000114053613000015/exhibit106.htm" TargetMode="External"/><Relationship Id="rId696" Type="http://schemas.openxmlformats.org/officeDocument/2006/relationships/hyperlink" Target="https://www.sec.gov/Archives/edgar/data/1140536/000114053618000008/wltw-ex1034_20171231.htm" TargetMode="External"/><Relationship Id="rId697" Type="http://schemas.openxmlformats.org/officeDocument/2006/relationships/hyperlink" Target="https://www.sec.gov/Archives/edgar/data/1140536/000156459019039341/wltw-ex102_76.htm" TargetMode="External"/><Relationship Id="rId698" Type="http://schemas.openxmlformats.org/officeDocument/2006/relationships/hyperlink" Target="https://www.sec.gov/Archives/edgar/data/1140536/000119312516420642/d113564dex101.htm" TargetMode="External"/><Relationship Id="rId699" Type="http://schemas.openxmlformats.org/officeDocument/2006/relationships/hyperlink" Target="https://www.sec.gov/Archives/edgar/data/1140536/000119312516420642/d113564dex102.htm" TargetMode="External"/><Relationship Id="rId700" Type="http://schemas.openxmlformats.org/officeDocument/2006/relationships/hyperlink" Target="https://www.sec.gov/Archives/edgar/data/1140536/000156459021052630/wltw-ex104_93.htm" TargetMode="External"/><Relationship Id="rId701" Type="http://schemas.openxmlformats.org/officeDocument/2006/relationships/hyperlink" Target="https://www.sec.gov/Archives/edgar/data/1140536/000156459021052630/wltw-ex105_94.htm" TargetMode="External"/><Relationship Id="rId702" Type="http://schemas.openxmlformats.org/officeDocument/2006/relationships/hyperlink" Target="https://www.sec.gov/Archives/edgar/data/1140536/000095017022001932/wtw-ex10_45.htm" TargetMode="External"/><Relationship Id="rId703" Type="http://schemas.openxmlformats.org/officeDocument/2006/relationships/hyperlink" Target="https://www.sec.gov/Archives/edgar/data/1140536/000095017025026278/wtw-ex10_21.htm" TargetMode="External"/><Relationship Id="rId704" Type="http://schemas.openxmlformats.org/officeDocument/2006/relationships/hyperlink" Target="https://www.sec.gov/Archives/edgar/data/1140536/000095017025026278/wtw-ex10_22.htm" TargetMode="External"/><Relationship Id="rId705" Type="http://schemas.openxmlformats.org/officeDocument/2006/relationships/hyperlink" Target="https://www.sec.gov/Archives/edgar/data/1140536/000095017025026278/wtw-ex10_23.htm" TargetMode="External"/><Relationship Id="rId708" Type="http://schemas.openxmlformats.org/officeDocument/2006/relationships/hyperlink" Target="https://www.sec.gov/Archives/edgar/data/1140536/000095017025026278/wtw-ex10_24.htm" TargetMode="External"/><Relationship Id="rId709" Type="http://schemas.openxmlformats.org/officeDocument/2006/relationships/hyperlink" Target="https://www.sec.gov/Archives/edgar/data/1140536/000119312521030287/d109756dex101.htm" TargetMode="External"/><Relationship Id="rId710" Type="http://schemas.openxmlformats.org/officeDocument/2006/relationships/hyperlink" Target="https://www.sec.gov/Archives/edgar/data/1140536/000119312516421492/d113853dex991.htm" TargetMode="External"/><Relationship Id="rId711" Type="http://schemas.openxmlformats.org/officeDocument/2006/relationships/hyperlink" Target="https://www.sec.gov/Archives/edgar/data/1103126/000110465906058914/a06-18179_1ex10d21.htm" TargetMode="External"/><Relationship Id="rId712" Type="http://schemas.openxmlformats.org/officeDocument/2006/relationships/hyperlink" Target="https://www.sec.gov/Archives/edgar/data/1103126/000110465906058914/a06-18179_1ex10d22.htm" TargetMode="External"/><Relationship Id="rId713" Type="http://schemas.openxmlformats.org/officeDocument/2006/relationships/hyperlink" Target="https://www.sec.gov/Archives/edgar/data/1470215/000119312512374298/d403185dex1010.htm" TargetMode="External"/><Relationship Id="rId714" Type="http://schemas.openxmlformats.org/officeDocument/2006/relationships/hyperlink" Target="https://www.sec.gov/Archives/edgar/data/1140536/000114053616000074/wtw-ex101_20160930.htm" TargetMode="External"/><Relationship Id="rId715" Type="http://schemas.openxmlformats.org/officeDocument/2006/relationships/hyperlink" Target="https://www.sec.gov/Archives/edgar/data/1140536/000119312518220684/d542210dex993.htm" TargetMode="External"/><Relationship Id="rId718" Type="http://schemas.openxmlformats.org/officeDocument/2006/relationships/hyperlink" Target="https://www.sec.gov/Archives/edgar/data/1140536/000156459021007578/wltw-ex1062_44.htm" TargetMode="External"/><Relationship Id="rId719" Type="http://schemas.openxmlformats.org/officeDocument/2006/relationships/hyperlink" Target="https://www.sec.gov/Archives/edgar/data/1140536/000095017025026278/wtw-ex10_33.htm" TargetMode="External"/><Relationship Id="rId720" Type="http://schemas.openxmlformats.org/officeDocument/2006/relationships/hyperlink" Target="https://www.sec.gov/Archives/edgar/data/1140536/000095017024018575/wtw-ex10_31.htm" TargetMode="External"/><Relationship Id="rId721" Type="http://schemas.openxmlformats.org/officeDocument/2006/relationships/hyperlink" Target="https://www.sec.gov/Archives/edgar/data/1140536/000095017025026278/wtw-ex10_35.htm" TargetMode="External"/><Relationship Id="rId722" Type="http://schemas.openxmlformats.org/officeDocument/2006/relationships/hyperlink" Target="https://www.sec.gov/Archives/edgar/data/1140536/000119312522058337/d452103dex101.htm" TargetMode="External"/><Relationship Id="rId723" Type="http://schemas.openxmlformats.org/officeDocument/2006/relationships/hyperlink" Target="https://www.sec.gov/Archives/edgar/data/1140536/000119312522058337/d452103dex102.htm" TargetMode="External"/><Relationship Id="rId724" Type="http://schemas.openxmlformats.org/officeDocument/2006/relationships/hyperlink" Target="https://www.sec.gov/Archives/edgar/data/1140536/000095017023015309/wtw-ex10_1.htm" TargetMode="External"/><Relationship Id="rId725" Type="http://schemas.openxmlformats.org/officeDocument/2006/relationships/hyperlink" Target="https://www.sec.gov/Archives/edgar/data/1140536/000095017023015309/wtw-ex10_2.htm" TargetMode="External"/><Relationship Id="rId726" Type="http://schemas.openxmlformats.org/officeDocument/2006/relationships/hyperlink" Target="https://www.sec.gov/Archives/edgar/data/1140536/000095017024048159/wtw-ex10_1.htm" TargetMode="External"/><Relationship Id="rId727" Type="http://schemas.openxmlformats.org/officeDocument/2006/relationships/hyperlink" Target="https://www.sec.gov/Archives/edgar/data/1140536/000095017024048159/wtw-ex10_2.htm" TargetMode="External"/><Relationship Id="rId728" Type="http://schemas.openxmlformats.org/officeDocument/2006/relationships/hyperlink" Target="https://www.sec.gov/Archives/edgar/data/1140536/000095017025101355/wtw-ex10_1.htm" TargetMode="External"/><Relationship Id="rId729" Type="http://schemas.openxmlformats.org/officeDocument/2006/relationships/hyperlink" Target="https://www.sec.gov/Archives/edgar/data/1140536/000095017025101355/wtw-ex10_2.htm" TargetMode="External"/><Relationship Id="rId732" Type="http://schemas.openxmlformats.org/officeDocument/2006/relationships/hyperlink" Target="https://www.sec.gov/Archives/edgar/data/1140536/000119312522058337/d452103dex103.htm" TargetMode="External"/><Relationship Id="rId733" Type="http://schemas.openxmlformats.org/officeDocument/2006/relationships/hyperlink" Target="https://www.sec.gov/Archives/edgar/data/1140536/000119312522058337/d452103dex104.htm" TargetMode="External"/><Relationship Id="rId734" Type="http://schemas.openxmlformats.org/officeDocument/2006/relationships/hyperlink" Target="https://www.sec.gov/Archives/edgar/data/1140536/000095017025026278/wtw-ex10_46.htm" TargetMode="External"/><Relationship Id="rId735" Type="http://schemas.openxmlformats.org/officeDocument/2006/relationships/hyperlink" Target="https://www.sec.gov/Archives/edgar/data/1140536/000095017024048159/wtw-ex10_3.htm" TargetMode="External"/><Relationship Id="rId736" Type="http://schemas.openxmlformats.org/officeDocument/2006/relationships/hyperlink" Target="https://www.sec.gov/Archives/edgar/data/1140536/000095017025026278/wtw-ex19_2.htm" TargetMode="External"/><Relationship Id="rId737" Type="http://schemas.openxmlformats.org/officeDocument/2006/relationships/hyperlink" Target="https://www.sec.gov/Archives/edgar/data/1140536/000095017025026278/wtw-ex19_3.htm" TargetMode="External"/><Relationship Id="rId740" Type="http://schemas.openxmlformats.org/officeDocument/2006/relationships/hyperlink" Target="https://www.sec.gov/Archives/edgar/data/1140536/000095017024018575/wtw-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2026-02-25T10:34:01Z</dcterms:created>
  <dcterms:modified xsi:type="dcterms:W3CDTF">2026-02-25T10:34:01Z</dcterms:modified>
</cp:coreProperties>
</file>