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Faber Alexis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WILLIS GROUP LIMITED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LIME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EC3M 7DQ</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WILLIS TOWERS WATSON PLC</w:t>
              </w:r>
            </w:hyperlink>
            <w:r>
              <w:rPr/>
              <w:t xml:space="preserve"> [ </w:t>
            </w:r>
            <w:r>
              <w:rPr>
                <w:rFonts w:ascii="Times;serif" w:hAnsi="Times;serif"/>
                <w:color w:val="0000FF"/>
                <w:sz w:val="24"/>
                <w:shd w:fill="FFFFFF" w:val="clear"/>
              </w:rPr>
              <w:t>WTW</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8"/>
        <w:gridCol w:w="906"/>
        <w:gridCol w:w="778"/>
        <w:gridCol w:w="602"/>
        <w:gridCol w:w="336"/>
        <w:gridCol w:w="752"/>
        <w:gridCol w:w="416"/>
        <w:gridCol w:w="580"/>
        <w:gridCol w:w="1378"/>
        <w:gridCol w:w="952"/>
        <w:gridCol w:w="11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74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5.25</w:t>
            </w:r>
            <w:r>
              <w:rPr>
                <w:rFonts w:ascii="Times;serif" w:hAnsi="Times;serif"/>
                <w:color w:val="008000"/>
                <w:position w:val="7"/>
                <w:sz w:val="16"/>
                <w:sz w:val="20"/>
                <w:shd w:fill="FFFFFF" w:val="clear"/>
              </w:rPr>
              <w:t>(1)</w:t>
            </w:r>
          </w:p>
        </w:tc>
        <w:tc>
          <w:tcPr>
            <w:tcW w:w="4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10,754.382</w:t>
            </w:r>
            <w:r>
              <w:rPr>
                <w:rFonts w:ascii="Times;serif" w:hAnsi="Times;serif"/>
                <w:color w:val="008000"/>
                <w:position w:val="7"/>
                <w:sz w:val="16"/>
                <w:sz w:val="20"/>
                <w:shd w:fill="FFFFFF" w:val="clear"/>
              </w:rPr>
              <w:t>(2)</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nominal value $0.000304635 per share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w:t>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Directly held by immediate family member.</w:t>
            </w:r>
          </w:p>
        </w:tc>
      </w:tr>
    </w:tbl>
    <w:tbl>
      <w:tblPr>
        <w:tblW w:w="1283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1341"/>
        <w:gridCol w:w="801"/>
        <w:gridCol w:w="801"/>
        <w:gridCol w:w="1071"/>
        <w:gridCol w:w="831"/>
        <w:gridCol w:w="846"/>
      </w:tblGrid>
      <w:tr>
        <w:trPr>
          <w:tblHeader w:val="true"/>
        </w:trPr>
        <w:tc>
          <w:tcPr>
            <w:tcW w:w="128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8.0573</w:t>
            </w:r>
            <w:r>
              <w:rPr>
                <w:rFonts w:ascii="Times;serif" w:hAnsi="Times;serif"/>
                <w:color w:val="008000"/>
                <w:position w:val="7"/>
                <w:sz w:val="16"/>
                <w:sz w:val="20"/>
                <w:shd w:fill="FFFFFF" w:val="clear"/>
              </w:rPr>
              <w:t>(4)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8.0573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2,659.4085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3.3036</w:t>
            </w:r>
            <w:r>
              <w:rPr>
                <w:rFonts w:ascii="Times;serif" w:hAnsi="Times;serif"/>
                <w:color w:val="008000"/>
                <w:position w:val="7"/>
                <w:sz w:val="16"/>
                <w:sz w:val="20"/>
                <w:shd w:fill="FFFFFF" w:val="clear"/>
              </w:rPr>
              <w:t>(6)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 nominal value $0.000304635 per share</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3.3036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1,076.1688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the reporting person's previously reported restricted share unit awards and will vest based on the same vesting schedule applicable to the underlying award. Each dividend equivalent right is the economic equivalent of one WTW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Amount corrects a nominal overstatement of the number of shares received in a prior dividend.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share units settle for Ordinary Shares, nominal value $0.000304635 per share, on a 1:1 basis 6 months after the reporting person's termination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dividends acquired pursuant to the Willis Towers Watson Non-Qualified Deferred Savings Plan for U.S. Employees (the "Plan"), including the participant's deferral election under the Plan and the Company's matching contribution on the participant's deferral election credited to the participant's account in the form of restricted share units under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Vested shares under the Willis Towers Watson Non-Qualified Stable Value Excess Plan for U.S. Employees settle for Ordinary Shares, nominal value $0.000304635 per share, on a 1:1 basis on the first business day of the month on which the NASDAQ Stock Market is open for business following the earlier of (i) the date that is 6 months after the reporting person's separation from service and (ii) the date that is 30 days after the reporting person's death.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dividends acquired pursuant to the Willis Towers Watson Non-Qualified Stable Value Excess Plan for U.S. Employees (the "Excess Plan"), including the participant's deferral election under the Excess Plan and the Company's matching contribution on the participant's deferral election credited to the participant's account in the form of restricted share units under the Excess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Alexis Faber by Gary Pang, Attorney-in-Fact (power of attorney previously filed)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2149" TargetMode="External"/><Relationship Id="rId5" Type="http://schemas.openxmlformats.org/officeDocument/2006/relationships/hyperlink" Target="http://www.sec.gov/cgi-bin/browse-edgar?action=getcompany&amp;CIK=00011405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907</Words>
  <Characters>5000</Characters>
  <CharactersWithSpaces>5806</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