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158750</wp:posOffset>
            </wp:positionV>
            <wp:extent cx="2860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83"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3"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31"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-5080</wp:posOffset>
            </wp:positionV>
            <wp:extent cx="57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156845</wp:posOffset>
            </wp:positionV>
            <wp:extent cx="2851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115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302260</wp:posOffset>
            </wp:positionV>
            <wp:extent cx="1198880" cy="385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8880"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146050</wp:posOffset>
            </wp:positionV>
            <wp:extent cx="2851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1180" w:type="dxa"/>
        <w:tblCellMar>
          <w:top w:w="0" w:type="dxa"/>
          <w:left w:w="0" w:type="dxa"/>
          <w:bottom w:w="0" w:type="dxa"/>
          <w:right w:w="0" w:type="dxa"/>
        </w:tblCellMar>
      </w:tblPr>
      <w:tr>
        <w:trPr>
          <w:trHeight w:val="205"/>
        </w:trPr>
        <w:tc>
          <w:tcPr>
            <w:tcW w:w="4500" w:type="dxa"/>
            <w:vAlign w:val="bottom"/>
          </w:tcPr>
          <w:p>
            <w:pPr>
              <w:jc w:val="center"/>
              <w:ind w:right="1264"/>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4400" w:type="dxa"/>
            <w:vAlign w:val="bottom"/>
          </w:tcPr>
          <w:p>
            <w:pPr>
              <w:jc w:val="right"/>
              <w:ind w:right="1065"/>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162"/>
        </w:trPr>
        <w:tc>
          <w:tcPr>
            <w:tcW w:w="4500" w:type="dxa"/>
            <w:vAlign w:val="bottom"/>
          </w:tcPr>
          <w:p>
            <w:pPr>
              <w:jc w:val="center"/>
              <w:ind w:right="1264"/>
              <w:spacing w:after="0"/>
              <w:rPr>
                <w:sz w:val="20"/>
                <w:szCs w:val="20"/>
                <w:color w:val="auto"/>
              </w:rPr>
            </w:pPr>
            <w:r>
              <w:rPr>
                <w:rFonts w:ascii="Times New Roman" w:cs="Times New Roman" w:eastAsia="Times New Roman" w:hAnsi="Times New Roman"/>
                <w:sz w:val="14"/>
                <w:szCs w:val="14"/>
                <w:i w:val="1"/>
                <w:iCs w:val="1"/>
                <w:color w:val="auto"/>
              </w:rPr>
              <w:t>(Jurisdiction of</w:t>
            </w:r>
          </w:p>
        </w:tc>
        <w:tc>
          <w:tcPr>
            <w:tcW w:w="4400" w:type="dxa"/>
            <w:vAlign w:val="bottom"/>
          </w:tcPr>
          <w:p>
            <w:pPr>
              <w:jc w:val="center"/>
              <w:ind w:left="1265"/>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tcPr>
          <w:p>
            <w:pPr>
              <w:jc w:val="center"/>
              <w:ind w:right="1264"/>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4400" w:type="dxa"/>
            <w:vAlign w:val="bottom"/>
          </w:tcPr>
          <w:p>
            <w:pPr>
              <w:ind w:left="230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293"/>
        </w:trPr>
        <w:tc>
          <w:tcPr>
            <w:tcW w:w="4500" w:type="dxa"/>
            <w:vAlign w:val="bottom"/>
          </w:tcPr>
          <w:p>
            <w:pPr>
              <w:jc w:val="center"/>
              <w:ind w:right="1264"/>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4400" w:type="dxa"/>
            <w:vAlign w:val="bottom"/>
            <w:vMerge w:val="restart"/>
          </w:tcPr>
          <w:p>
            <w:pPr>
              <w:jc w:val="right"/>
              <w:ind w:right="705"/>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66"/>
        </w:trPr>
        <w:tc>
          <w:tcPr>
            <w:tcW w:w="4500" w:type="dxa"/>
            <w:vAlign w:val="bottom"/>
          </w:tcPr>
          <w:p>
            <w:pPr>
              <w:jc w:val="center"/>
              <w:ind w:right="1264"/>
              <w:spacing w:after="0" w:line="167" w:lineRule="exact"/>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4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00" w:type="dxa"/>
            <w:vAlign w:val="bottom"/>
          </w:tcPr>
          <w:p>
            <w:pPr>
              <w:jc w:val="center"/>
              <w:ind w:right="1264"/>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4400" w:type="dxa"/>
            <w:vAlign w:val="bottom"/>
          </w:tcPr>
          <w:p>
            <w:pPr>
              <w:jc w:val="center"/>
              <w:ind w:left="1265"/>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bl>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38" w:lineRule="exact"/>
        <w:rPr>
          <w:sz w:val="24"/>
          <w:szCs w:val="24"/>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59"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No</w:t>
      </w:r>
    </w:p>
    <w:p>
      <w:pPr>
        <w:spacing w:after="0" w:line="45" w:lineRule="exact"/>
        <w:rPr>
          <w:sz w:val="24"/>
          <w:szCs w:val="24"/>
          <w:color w:val="auto"/>
        </w:rPr>
      </w:pPr>
    </w:p>
    <w:p>
      <w:pPr>
        <w:ind w:right="54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2" w:right="339" w:bottom="1440" w:gutter="0" w:footer="0" w:header="0"/>
        </w:sectPr>
      </w:pPr>
    </w:p>
    <w:p>
      <w:pPr>
        <w:spacing w:after="0" w:line="18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0" w:lineRule="exact"/>
        <w:rPr>
          <w:sz w:val="24"/>
          <w:szCs w:val="24"/>
          <w:color w:val="auto"/>
        </w:rPr>
      </w:pPr>
    </w:p>
    <w:p>
      <w:pPr>
        <w:sectPr>
          <w:pgSz w:w="11900" w:h="16838" w:orient="portrait"/>
          <w:cols w:equalWidth="0" w:num="5">
            <w:col w:w="2560" w:space="720"/>
            <w:col w:w="1680" w:space="720"/>
            <w:col w:w="2240" w:space="720"/>
            <w:col w:w="1620" w:space="720"/>
            <w:col w:w="260"/>
          </w:cols>
          <w:pgMar w:left="320" w:top="692" w:right="339" w:bottom="1440" w:gutter="0" w:footer="0" w:header="0"/>
          <w:type w:val="continuous"/>
        </w:sectPr>
      </w:pPr>
    </w:p>
    <w:p>
      <w:pPr>
        <w:spacing w:after="0" w:line="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2">
            <w:col w:w="1640" w:space="720"/>
            <w:col w:w="8880"/>
          </w:cols>
          <w:pgMar w:left="320" w:top="692" w:right="339" w:bottom="1440" w:gutter="0" w:footer="0" w:header="0"/>
          <w:type w:val="continuous"/>
        </w:sectPr>
      </w:pPr>
    </w:p>
    <w:p>
      <w:pPr>
        <w:spacing w:after="0" w:line="278"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5" w:lineRule="exact"/>
        <w:rPr>
          <w:sz w:val="24"/>
          <w:szCs w:val="24"/>
          <w:color w:val="auto"/>
        </w:rPr>
      </w:pPr>
    </w:p>
    <w:p>
      <w:pPr>
        <w:spacing w:after="0" w:line="161" w:lineRule="exact"/>
        <w:tabs>
          <w:tab w:leader="none" w:pos="6740" w:val="left"/>
          <w:tab w:leader="none" w:pos="74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25, 2022, there were outstanding 109,965,562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 the Three and Six Months Ended June 30,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Certain Definitions</w:t>
            </w:r>
          </w:p>
        </w:tc>
        <w:tc>
          <w:tcPr>
            <w:tcW w:w="9240" w:type="dxa"/>
            <w:vAlign w:val="bottom"/>
            <w:gridSpan w:val="22"/>
            <w:vMerge w:val="restart"/>
          </w:tcPr>
          <w:p>
            <w:pPr>
              <w:spacing w:after="0"/>
              <w:rPr>
                <w:sz w:val="16"/>
                <w:szCs w:val="16"/>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1400" w:type="dxa"/>
            <w:vAlign w:val="bottom"/>
            <w:tcBorders>
              <w:bottom w:val="single" w:sz="8" w:color="0000FF"/>
            </w:tcBorders>
            <w:gridSpan w:val="5"/>
            <w:vMerge w:val="continue"/>
          </w:tcPr>
          <w:p>
            <w:pPr>
              <w:spacing w:after="0"/>
              <w:rPr>
                <w:sz w:val="14"/>
                <w:szCs w:val="14"/>
                <w:color w:val="auto"/>
              </w:rPr>
            </w:pPr>
          </w:p>
        </w:tc>
        <w:tc>
          <w:tcPr>
            <w:tcW w:w="9240" w:type="dxa"/>
            <w:vAlign w:val="bottom"/>
            <w:gridSpan w:val="22"/>
            <w:vMerge w:val="continue"/>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64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11"/>
        </w:trPr>
        <w:tc>
          <w:tcPr>
            <w:tcW w:w="40" w:type="dxa"/>
            <w:vAlign w:val="bottom"/>
          </w:tcPr>
          <w:p>
            <w:pPr>
              <w:spacing w:after="0"/>
              <w:rPr>
                <w:sz w:val="24"/>
                <w:szCs w:val="24"/>
                <w:color w:val="auto"/>
              </w:rPr>
            </w:pPr>
          </w:p>
        </w:tc>
        <w:tc>
          <w:tcPr>
            <w:tcW w:w="36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96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20" w:type="dxa"/>
            <w:vAlign w:val="bottom"/>
            <w:tcBorders>
              <w:bottom w:val="single" w:sz="8" w:color="0000EE"/>
            </w:tcBorders>
          </w:tcPr>
          <w:p>
            <w:pPr>
              <w:spacing w:after="0"/>
              <w:rPr>
                <w:sz w:val="17"/>
                <w:szCs w:val="17"/>
                <w:color w:val="auto"/>
              </w:rPr>
            </w:pPr>
          </w:p>
        </w:tc>
        <w:tc>
          <w:tcPr>
            <w:tcW w:w="7480" w:type="dxa"/>
            <w:vAlign w:val="bottom"/>
            <w:gridSpan w:val="12"/>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25"/>
          </w:tcPr>
          <w:p>
            <w:pPr>
              <w:spacing w:after="0" w:line="195"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 Three and Six Months Ended June 30, 2022 and 2021</w:t>
            </w: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80" w:type="dxa"/>
            <w:vAlign w:val="bottom"/>
            <w:tcBorders>
              <w:top w:val="single" w:sz="8" w:color="0000FF"/>
            </w:tcBorders>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Condensed Consolidated Balance Sheets - June 30, 2022 and December 31, 2021</w:t>
            </w:r>
          </w:p>
        </w:tc>
        <w:tc>
          <w:tcPr>
            <w:tcW w:w="1700" w:type="dxa"/>
            <w:vAlign w:val="bottom"/>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tcBorders>
              <w:bottom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 Six Months Ended June 30, 2022 and 2021</w:t>
            </w:r>
          </w:p>
        </w:tc>
        <w:tc>
          <w:tcPr>
            <w:tcW w:w="20" w:type="dxa"/>
            <w:vAlign w:val="bottom"/>
            <w:tcBorders>
              <w:bottom w:val="single" w:sz="8" w:color="0000EE"/>
            </w:tcBorders>
          </w:tcPr>
          <w:p>
            <w:pPr>
              <w:spacing w:after="0"/>
              <w:rPr>
                <w:sz w:val="17"/>
                <w:szCs w:val="17"/>
                <w:color w:val="auto"/>
              </w:rPr>
            </w:pPr>
          </w:p>
        </w:tc>
        <w:tc>
          <w:tcPr>
            <w:tcW w:w="3300" w:type="dxa"/>
            <w:vAlign w:val="bottom"/>
            <w:gridSpan w:val="3"/>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40" w:type="dxa"/>
            <w:vAlign w:val="bottom"/>
            <w:tcBorders>
              <w:bottom w:val="single" w:sz="8" w:color="0000FF"/>
            </w:tcBorders>
            <w:gridSpan w:val="23"/>
          </w:tcPr>
          <w:p>
            <w:pPr>
              <w:spacing w:after="0" w:line="195"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Equity - Six Months Ended June 30, 2022 and 2021</w:t>
            </w:r>
          </w:p>
        </w:tc>
        <w:tc>
          <w:tcPr>
            <w:tcW w:w="2840" w:type="dxa"/>
            <w:vAlign w:val="bottom"/>
            <w:gridSpan w:val="2"/>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FF"/>
            </w:tcBorders>
            <w:gridSpan w:val="15"/>
          </w:tcPr>
          <w:p>
            <w:pPr>
              <w:spacing w:after="0" w:line="195" w:lineRule="exact"/>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7"/>
                <w:szCs w:val="17"/>
                <w:color w:val="auto"/>
              </w:rPr>
            </w:pPr>
          </w:p>
        </w:tc>
        <w:tc>
          <w:tcPr>
            <w:tcW w:w="6000" w:type="dxa"/>
            <w:vAlign w:val="bottom"/>
            <w:gridSpan w:val="9"/>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tcBorders>
              <w:bottom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460" w:type="dxa"/>
            <w:vAlign w:val="bottom"/>
            <w:gridSpan w:val="5"/>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bottom w:val="single" w:sz="8" w:color="0000FF"/>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560" w:type="dxa"/>
            <w:vAlign w:val="bottom"/>
            <w:gridSpan w:val="7"/>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FF"/>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17"/>
                <w:szCs w:val="17"/>
                <w:color w:val="auto"/>
              </w:rPr>
            </w:pPr>
          </w:p>
        </w:tc>
        <w:tc>
          <w:tcPr>
            <w:tcW w:w="8120" w:type="dxa"/>
            <w:vAlign w:val="bottom"/>
            <w:gridSpan w:val="17"/>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411"/>
        </w:trPr>
        <w:tc>
          <w:tcPr>
            <w:tcW w:w="40" w:type="dxa"/>
            <w:vAlign w:val="bottom"/>
          </w:tcPr>
          <w:p>
            <w:pPr>
              <w:spacing w:after="0"/>
              <w:rPr>
                <w:sz w:val="24"/>
                <w:szCs w:val="24"/>
                <w:color w:val="auto"/>
              </w:rPr>
            </w:pPr>
          </w:p>
        </w:tc>
        <w:tc>
          <w:tcPr>
            <w:tcW w:w="2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8060" w:type="dxa"/>
            <w:vAlign w:val="bottom"/>
            <w:gridSpan w:val="1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Borders>
              <w:bottom w:val="single" w:sz="8" w:color="0000FF"/>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w w:val="98"/>
              </w:rPr>
              <w:t>Item 1. Legal Proceedings</w:t>
            </w:r>
          </w:p>
        </w:tc>
        <w:tc>
          <w:tcPr>
            <w:tcW w:w="8580" w:type="dxa"/>
            <w:vAlign w:val="bottom"/>
            <w:gridSpan w:val="19"/>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880" w:type="dxa"/>
            <w:vAlign w:val="bottom"/>
            <w:gridSpan w:val="21"/>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6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tcBorders>
              <w:top w:val="single" w:sz="8" w:color="0000FF"/>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580" w:type="dxa"/>
            <w:vAlign w:val="bottom"/>
            <w:gridSpan w:val="8"/>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gridSpan w:val="4"/>
          </w:tcPr>
          <w:p>
            <w:pPr>
              <w:spacing w:after="0"/>
              <w:rPr>
                <w:sz w:val="17"/>
                <w:szCs w:val="17"/>
                <w:color w:val="auto"/>
              </w:rPr>
            </w:pPr>
          </w:p>
        </w:tc>
        <w:tc>
          <w:tcPr>
            <w:tcW w:w="7600" w:type="dxa"/>
            <w:vAlign w:val="bottom"/>
            <w:gridSpan w:val="14"/>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bottom w:val="single" w:sz="8" w:color="0000FF"/>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w w:val="98"/>
              </w:rPr>
              <w:t>Item 5. Other Information</w:t>
            </w:r>
          </w:p>
        </w:tc>
        <w:tc>
          <w:tcPr>
            <w:tcW w:w="8600" w:type="dxa"/>
            <w:vAlign w:val="bottom"/>
            <w:gridSpan w:val="20"/>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6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4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614"/>
        </w:trPr>
        <w:tc>
          <w:tcPr>
            <w:tcW w:w="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440" w:type="dxa"/>
            <w:vAlign w:val="bottom"/>
            <w:gridSpan w:val="18"/>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definitions apply throughout this quarterly report unless the context requires otherwise:</w:t>
      </w:r>
    </w:p>
    <w:p>
      <w:pPr>
        <w:sectPr>
          <w:pgSz w:w="11900" w:h="16838" w:orient="portrait"/>
          <w:cols w:equalWidth="0" w:num="1">
            <w:col w:w="10840"/>
          </w:cols>
          <w:pgMar w:left="320" w:top="319" w:right="739" w:bottom="1440" w:gutter="0" w:footer="0" w:header="0"/>
        </w:sectPr>
      </w:pPr>
    </w:p>
    <w:p>
      <w:pPr>
        <w:spacing w:after="0" w:line="209" w:lineRule="exact"/>
        <w:rPr>
          <w:sz w:val="20"/>
          <w:szCs w:val="20"/>
          <w:color w:val="auto"/>
        </w:rPr>
      </w:pPr>
    </w:p>
    <w:p>
      <w:pPr>
        <w:ind w:left="480"/>
        <w:spacing w:after="0" w:line="279" w:lineRule="auto"/>
        <w:rPr>
          <w:sz w:val="20"/>
          <w:szCs w:val="20"/>
          <w:color w:val="auto"/>
        </w:rPr>
      </w:pPr>
      <w:r>
        <w:rPr>
          <w:rFonts w:ascii="Times New Roman" w:cs="Times New Roman" w:eastAsia="Times New Roman" w:hAnsi="Times New Roman"/>
          <w:sz w:val="17"/>
          <w:szCs w:val="17"/>
          <w:color w:val="auto"/>
        </w:rPr>
        <w:t>‘We’, ‘Us’, ‘Company’, ‘Willis Towers Watson’, ‘Our’, ‘Willis Towers Watson plc’ or ‘WTW’</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 Ireland, and its subsidiaries</w:t>
      </w:r>
    </w:p>
    <w:p>
      <w:pPr>
        <w:spacing w:after="0" w:line="108" w:lineRule="exact"/>
        <w:rPr>
          <w:sz w:val="20"/>
          <w:szCs w:val="20"/>
          <w:color w:val="auto"/>
        </w:rPr>
      </w:pPr>
    </w:p>
    <w:p>
      <w:pPr>
        <w:sectPr>
          <w:pgSz w:w="11900" w:h="16838" w:orient="portrait"/>
          <w:cols w:equalWidth="0" w:num="2">
            <w:col w:w="4000" w:space="500"/>
            <w:col w:w="6340"/>
          </w:cols>
          <w:pgMar w:left="320" w:top="319" w:right="7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ind w:right="140"/>
        <w:spacing w:after="0" w:line="250" w:lineRule="auto"/>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 $0.000304635 per share</w:t>
      </w:r>
    </w:p>
    <w:p>
      <w:pPr>
        <w:spacing w:after="0" w:line="108" w:lineRule="exact"/>
        <w:rPr>
          <w:sz w:val="20"/>
          <w:szCs w:val="20"/>
          <w:color w:val="auto"/>
        </w:rPr>
      </w:pPr>
    </w:p>
    <w:p>
      <w:pPr>
        <w:sectPr>
          <w:pgSz w:w="11900" w:h="16838" w:orient="portrait"/>
          <w:cols w:equalWidth="0" w:num="2">
            <w:col w:w="3780" w:space="720"/>
            <w:col w:w="6340"/>
          </w:cols>
          <w:pgMar w:left="320" w:top="319" w:right="7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‘Miller’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Miller Insurance Services LLP and its subsidiaries</w:t>
      </w:r>
    </w:p>
    <w:p>
      <w:pPr>
        <w:spacing w:after="0" w:line="144" w:lineRule="exact"/>
        <w:rPr>
          <w:sz w:val="20"/>
          <w:szCs w:val="20"/>
          <w:color w:val="auto"/>
        </w:rPr>
      </w:pPr>
    </w:p>
    <w:p>
      <w:pPr>
        <w:sectPr>
          <w:pgSz w:w="11900" w:h="16838" w:orient="portrait"/>
          <w:cols w:equalWidth="0" w:num="2">
            <w:col w:w="3740" w:space="720"/>
            <w:col w:w="6380"/>
          </w:cols>
          <w:pgMar w:left="320" w:top="319" w:right="7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w:t>
      </w:r>
    </w:p>
    <w:p>
      <w:pPr>
        <w:spacing w:after="0" w:line="155" w:lineRule="exact"/>
        <w:rPr>
          <w:sz w:val="20"/>
          <w:szCs w:val="20"/>
          <w:color w:val="auto"/>
        </w:rPr>
      </w:pPr>
    </w:p>
    <w:p>
      <w:pPr>
        <w:sectPr>
          <w:pgSz w:w="11900" w:h="16838" w:orient="portrait"/>
          <w:cols w:equalWidth="0" w:num="2">
            <w:col w:w="3740" w:space="720"/>
            <w:col w:w="6380"/>
          </w:cols>
          <w:pgMar w:left="320" w:top="319" w:right="7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95" w:lineRule="exact"/>
        <w:rPr>
          <w:sz w:val="20"/>
          <w:szCs w:val="20"/>
          <w:color w:val="auto"/>
        </w:rPr>
      </w:pPr>
    </w:p>
    <w:p>
      <w:pPr>
        <w:sectPr>
          <w:pgSz w:w="11900" w:h="16838" w:orient="portrait"/>
          <w:cols w:equalWidth="0" w:num="2">
            <w:col w:w="3780" w:space="720"/>
            <w:col w:w="6340"/>
          </w:cols>
          <w:pgMar w:left="320" w:top="319" w:right="7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‘Brexit’</w:t>
      </w:r>
    </w:p>
    <w:p>
      <w:pPr>
        <w:spacing w:after="0" w:line="20" w:lineRule="exact"/>
        <w:rPr>
          <w:sz w:val="20"/>
          <w:szCs w:val="20"/>
          <w:color w:val="auto"/>
        </w:rPr>
      </w:pPr>
      <w:r>
        <w:rPr>
          <w:sz w:val="20"/>
          <w:szCs w:val="20"/>
          <w:color w:val="auto"/>
        </w:rPr>
        <w:br w:type="column"/>
      </w:r>
    </w:p>
    <w:p>
      <w:pPr>
        <w:ind w:right="180"/>
        <w:spacing w:after="0" w:line="250" w:lineRule="auto"/>
        <w:rPr>
          <w:sz w:val="20"/>
          <w:szCs w:val="20"/>
          <w:color w:val="auto"/>
        </w:rPr>
      </w:pPr>
      <w:r>
        <w:rPr>
          <w:rFonts w:ascii="Times New Roman" w:cs="Times New Roman" w:eastAsia="Times New Roman" w:hAnsi="Times New Roman"/>
          <w:sz w:val="18"/>
          <w:szCs w:val="18"/>
          <w:color w:val="auto"/>
        </w:rPr>
        <w:t>The United Kingdom’s exit from the European Union, which occurred on January 31, 2020.</w:t>
      </w:r>
    </w:p>
    <w:p>
      <w:pPr>
        <w:spacing w:after="0" w:line="108" w:lineRule="exact"/>
        <w:rPr>
          <w:sz w:val="20"/>
          <w:szCs w:val="20"/>
          <w:color w:val="auto"/>
        </w:rPr>
      </w:pPr>
    </w:p>
    <w:p>
      <w:pPr>
        <w:sectPr>
          <w:pgSz w:w="11900" w:h="16838" w:orient="portrait"/>
          <w:cols w:equalWidth="0" w:num="2">
            <w:col w:w="3780" w:space="720"/>
            <w:col w:w="6340"/>
          </w:cols>
          <w:pgMar w:left="320" w:top="319" w:right="7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‘E.U.’</w:t>
      </w:r>
    </w:p>
    <w:p>
      <w:pPr>
        <w:spacing w:after="0" w:line="20" w:lineRule="exact"/>
        <w:rPr>
          <w:sz w:val="20"/>
          <w:szCs w:val="20"/>
          <w:color w:val="auto"/>
        </w:rPr>
      </w:pPr>
      <w:r>
        <w:rPr>
          <w:sz w:val="20"/>
          <w:szCs w:val="20"/>
          <w:color w:val="auto"/>
        </w:rPr>
        <w:br w:type="column"/>
      </w:r>
    </w:p>
    <w:p>
      <w:pPr>
        <w:ind w:right="80"/>
        <w:spacing w:after="0" w:line="250" w:lineRule="auto"/>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 United Kingdom’s exit)</w:t>
      </w:r>
    </w:p>
    <w:p>
      <w:pPr>
        <w:spacing w:after="0" w:line="108" w:lineRule="exact"/>
        <w:rPr>
          <w:sz w:val="20"/>
          <w:szCs w:val="20"/>
          <w:color w:val="auto"/>
        </w:rPr>
      </w:pPr>
    </w:p>
    <w:p>
      <w:pPr>
        <w:sectPr>
          <w:pgSz w:w="11900" w:h="16838" w:orient="portrait"/>
          <w:cols w:equalWidth="0" w:num="2">
            <w:col w:w="3740" w:space="720"/>
            <w:col w:w="6380"/>
          </w:cols>
          <w:pgMar w:left="320" w:top="319" w:right="7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 Generally Accepted Accounting Principles</w:t>
      </w:r>
    </w:p>
    <w:p>
      <w:pPr>
        <w:spacing w:after="0" w:line="195" w:lineRule="exact"/>
        <w:rPr>
          <w:sz w:val="20"/>
          <w:szCs w:val="20"/>
          <w:color w:val="auto"/>
        </w:rPr>
      </w:pPr>
    </w:p>
    <w:p>
      <w:pPr>
        <w:sectPr>
          <w:pgSz w:w="11900" w:h="16838" w:orient="portrait"/>
          <w:cols w:equalWidth="0" w:num="2">
            <w:col w:w="3780" w:space="720"/>
            <w:col w:w="6340"/>
          </w:cols>
          <w:pgMar w:left="320" w:top="319" w:right="7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‘FASB’</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Times New Roman" w:cs="Times New Roman" w:eastAsia="Times New Roman" w:hAnsi="Times New Roman"/>
          <w:sz w:val="17"/>
          <w:szCs w:val="17"/>
          <w:color w:val="auto"/>
        </w:rPr>
        <w:t>Financial Accounting Standards Board</w:t>
      </w:r>
    </w:p>
    <w:p>
      <w:pPr>
        <w:spacing w:after="0" w:line="196" w:lineRule="exact"/>
        <w:rPr>
          <w:sz w:val="20"/>
          <w:szCs w:val="20"/>
          <w:color w:val="auto"/>
        </w:rPr>
      </w:pPr>
    </w:p>
    <w:p>
      <w:pPr>
        <w:sectPr>
          <w:pgSz w:w="11900" w:h="16838" w:orient="portrait"/>
          <w:cols w:equalWidth="0" w:num="2">
            <w:col w:w="3780" w:space="720"/>
            <w:col w:w="6340"/>
          </w:cols>
          <w:pgMar w:left="320" w:top="319" w:right="7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‘ASC’</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Times New Roman" w:cs="Times New Roman" w:eastAsia="Times New Roman" w:hAnsi="Times New Roman"/>
          <w:sz w:val="17"/>
          <w:szCs w:val="17"/>
          <w:color w:val="auto"/>
        </w:rPr>
        <w:t>Accounting Standards Codification</w:t>
      </w:r>
    </w:p>
    <w:p>
      <w:pPr>
        <w:spacing w:after="0" w:line="195" w:lineRule="exact"/>
        <w:rPr>
          <w:sz w:val="20"/>
          <w:szCs w:val="20"/>
          <w:color w:val="auto"/>
        </w:rPr>
      </w:pPr>
    </w:p>
    <w:p>
      <w:pPr>
        <w:sectPr>
          <w:pgSz w:w="11900" w:h="16838" w:orient="portrait"/>
          <w:cols w:equalWidth="0" w:num="2">
            <w:col w:w="3780" w:space="720"/>
            <w:col w:w="6340"/>
          </w:cols>
          <w:pgMar w:left="320" w:top="319" w:right="7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Accounting Standards Update</w:t>
      </w:r>
    </w:p>
    <w:p>
      <w:pPr>
        <w:spacing w:after="0" w:line="195" w:lineRule="exact"/>
        <w:rPr>
          <w:sz w:val="20"/>
          <w:szCs w:val="20"/>
          <w:color w:val="auto"/>
        </w:rPr>
      </w:pPr>
    </w:p>
    <w:p>
      <w:pPr>
        <w:sectPr>
          <w:pgSz w:w="11900" w:h="16838" w:orient="portrait"/>
          <w:cols w:equalWidth="0" w:num="2">
            <w:col w:w="3780" w:space="720"/>
            <w:col w:w="6340"/>
          </w:cols>
          <w:pgMar w:left="320" w:top="319" w:right="7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 Securities and Exchange Commission</w:t>
      </w:r>
    </w:p>
    <w:p>
      <w:pPr>
        <w:spacing w:after="0" w:line="211" w:lineRule="exact"/>
        <w:rPr>
          <w:sz w:val="20"/>
          <w:szCs w:val="20"/>
          <w:color w:val="auto"/>
        </w:rPr>
      </w:pPr>
    </w:p>
    <w:p>
      <w:pPr>
        <w:sectPr>
          <w:pgSz w:w="11900" w:h="16838" w:orient="portrait"/>
          <w:cols w:equalWidth="0" w:num="2">
            <w:col w:w="3780" w:space="720"/>
            <w:col w:w="6340"/>
          </w:cols>
          <w:pgMar w:left="320" w:top="319"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19" w:right="7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impact of the global pandemic on our business, future capital expenditures, ongoing working capital efforts, future share repurchases, financial results (including our revenue, costs or margins), the impact of changes to tax laws on our financial results, existing and evolving business strategies and acquisitions and dispositions, including the sale of Willis Re to Arthur J. Gallagher &amp; Co. (‘Gallagher’), demand for our services and competitive strengths, goals, the benefits of new initiatives, growth of our business and operations, our ability to successfully manage ongoing leadership, organizational and technology changes, including investments in improving systems and processes, our ability to implement and realize anticipated benefits of any cost-savings initiatives including the multi-year operational Transformation program, and plans and references to future successes, including our future financial and operating results, plans, objectives, expectations and intentions are forward-looking statements. Also, when we use words such as ‘may,’ ‘will,’ ‘would,’ ‘anticipate,’ ‘believe,’ ‘estimate,’ ‘expect,’ ‘intend,’ ‘plan,’ ‘continues,’ ‘seek,’ ‘target,’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6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anticipated benefits of our growth strategy;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deploy cost-mitigation measures and achieve longer-term offsets;</w:t>
      </w:r>
    </w:p>
    <w:p>
      <w:pPr>
        <w:spacing w:after="0" w:line="116" w:lineRule="exact"/>
        <w:rPr>
          <w:rFonts w:ascii="Times New Roman" w:cs="Times New Roman" w:eastAsia="Times New Roman" w:hAnsi="Times New Roman"/>
          <w:sz w:val="18"/>
          <w:szCs w:val="18"/>
          <w:color w:val="auto"/>
        </w:rPr>
      </w:pPr>
    </w:p>
    <w:p>
      <w:pPr>
        <w:ind w:left="760" w:right="4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(including a possible recession), business and political conditions, including changes in the financial markets and inflation;</w:t>
      </w:r>
    </w:p>
    <w:p>
      <w:pPr>
        <w:spacing w:after="0" w:line="53" w:lineRule="exact"/>
        <w:rPr>
          <w:rFonts w:ascii="Times New Roman" w:cs="Times New Roman" w:eastAsia="Times New Roman" w:hAnsi="Times New Roman"/>
          <w:sz w:val="18"/>
          <w:szCs w:val="18"/>
          <w:color w:val="auto"/>
        </w:rPr>
      </w:pPr>
    </w:p>
    <w:p>
      <w:pPr>
        <w:jc w:val="both"/>
        <w:ind w:left="760" w:right="24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business, financial condition and results of operations that may be materially adversely affected by any negative impact on the global economy and capital markets resulting from the conflict in Ukraine or any other geopolitical tensions and the intended withdrawal from our businesses in Russia;</w:t>
      </w:r>
    </w:p>
    <w:p>
      <w:pPr>
        <w:spacing w:after="0" w:line="60"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the ongoing COVID-19 pandemic, including supply chain, workforce availability, vaccination rates, new or emerging variants and further social-distancing orders in jurisdictions where we do business, on the demand for our products and services, our cash flows and our business operations, including increased demand on our information technology resources and systems and related risks of cybersecurity breaches or incidents;</w:t>
      </w:r>
    </w:p>
    <w:p>
      <w:pPr>
        <w:spacing w:after="0" w:line="67"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sale of Willis Re to Gallagher, including incremental business, operational and regulatory risks created by transitional arrangements and pending transactions;</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protect client data or breaches of information systems or insufficient safeguards against cybersecurity breaches or incidents;</w:t>
      </w:r>
    </w:p>
    <w:p>
      <w:pPr>
        <w:spacing w:after="0" w:line="103"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our new and existing products and services, and expectations, intentions and outcomes relating to outstanding litigation;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litigation or investigation matters;</w:t>
      </w:r>
    </w:p>
    <w:p>
      <w:pPr>
        <w:spacing w:after="0" w:line="103"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claims, government inquiries or investigations or the potential for regulatory action;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or acquisitions and our ability to integrate or manage such acquired businesses;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and cyber security;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ongoing organizational changes, including investments in improving systems and processes;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Brexit;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enhance our billing, collection and other working capital efforts, and thereby increase our free cash flow;</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anticipated replacement of the London Interbank Offered Rate (‘LIBOR’);</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a large number of employees and any rehiring;</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exchange rates;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03"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(such as sanctions imposed on Russia) and related counter-sanctions;</w:t>
      </w:r>
    </w:p>
    <w:p>
      <w:pPr>
        <w:spacing w:after="0" w:line="41"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apply technology, data and analytics changes for internal operations, maintaining industry standards and meeting client preferences;</w:t>
      </w:r>
    </w:p>
    <w:p>
      <w:pPr>
        <w:spacing w:after="0" w:line="6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and any legislative actions from the current U.S. Congress;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the Company’s intellectual property rights, or the potential infringement upon the intellectual property rights of others;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w:t>
      </w:r>
    </w:p>
    <w:p>
      <w:pPr>
        <w:spacing w:after="0" w:line="103"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including indebtedness amounts, the limitations imposed by the covenants in the documents governing such indebtedness and the maintenance of the financial and disclosure controls and procedures of each;</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03" w:lineRule="exact"/>
        <w:rPr>
          <w:rFonts w:ascii="Times New Roman" w:cs="Times New Roman" w:eastAsia="Times New Roman" w:hAnsi="Times New Roman"/>
          <w:sz w:val="18"/>
          <w:szCs w:val="18"/>
          <w:color w:val="auto"/>
        </w:rPr>
      </w:pPr>
    </w:p>
    <w:p>
      <w:pPr>
        <w:jc w:val="both"/>
        <w:ind w:left="760" w:right="8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U.S. or foreign laws and the enactment of additional, or the revision of existing, state, federal, and/or foreign laws and regulations, recent judicial decisions and the development of case law, other regulations and any policy changes and legislative actions, including the impact of such changes on our effective tax rate;</w:t>
      </w:r>
    </w:p>
    <w:p>
      <w:pPr>
        <w:spacing w:after="0" w:line="6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 than expected expenses;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6"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 w:name="page6"/>
    <w:bookmarkEnd w:id="5"/>
    <w:p>
      <w:pPr>
        <w:spacing w:after="0" w:line="250"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3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1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16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8"/>
              </w:rPr>
              <w:t>2,031</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2,091</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8"/>
              </w:rPr>
              <w:t>1,259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1,317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4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7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8"/>
              </w:rPr>
              <w:t>1,894</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1,921</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3,938</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155"/>
        </w:trPr>
        <w:tc>
          <w:tcPr>
            <w:tcW w:w="57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FROM CONTINUING OPERATIONS BEFORE</w:t>
            </w: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162"/>
        </w:trPr>
        <w:tc>
          <w:tcPr>
            <w:tcW w:w="57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(LOSS)/INCOME FROM DISCONTINUED OPERATIONS,</w:t>
            </w:r>
          </w:p>
        </w:tc>
        <w:tc>
          <w:tcPr>
            <w:tcW w:w="7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per share</w:t>
            </w:r>
          </w:p>
        </w:tc>
        <w:tc>
          <w:tcPr>
            <w:tcW w:w="74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1.38</w:t>
            </w:r>
          </w:p>
        </w:tc>
        <w:tc>
          <w:tcPr>
            <w:tcW w:w="8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shd w:val="clear" w:color="auto" w:fill="CCEEFF"/>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per share</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(0.41 )</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4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0.97</w:t>
            </w: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per share</w:t>
            </w:r>
          </w:p>
        </w:tc>
        <w:tc>
          <w:tcPr>
            <w:tcW w:w="74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1.38</w:t>
            </w:r>
          </w:p>
        </w:tc>
        <w:tc>
          <w:tcPr>
            <w:tcW w:w="8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shd w:val="clear" w:color="auto" w:fill="CCEEFF"/>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per share</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(0.41 )</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4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0.97</w:t>
            </w: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(loss)/income before non-controlling interests</w:t>
            </w:r>
          </w:p>
        </w:tc>
        <w:tc>
          <w:tcPr>
            <w:tcW w:w="74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8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(loss)/income attributable to WTW</w:t>
            </w:r>
          </w:p>
        </w:tc>
        <w:tc>
          <w:tcPr>
            <w:tcW w:w="74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-4803140</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-4803140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-4803140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-3689985</wp:posOffset>
            </wp:positionV>
            <wp:extent cx="93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-3689985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-3689985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-2045970</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-2028825</wp:posOffset>
            </wp:positionV>
            <wp:extent cx="93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-2045970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-2028825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-2045970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-2028825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-1189355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-1172210</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-1189355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-1172210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-1189355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-1172210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-607060</wp:posOffset>
            </wp:positionV>
            <wp:extent cx="93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-589915</wp:posOffset>
            </wp:positionV>
            <wp:extent cx="93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-607060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-589915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-607060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-589915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93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93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millions of U.S. dollars, except share data)</w:t>
      </w: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1,920</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assets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11,988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11,014</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2,370</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16,370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18,488</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 net</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10,158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10,183</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2,555</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benefits assets</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1,202</w:t>
            </w:r>
          </w:p>
        </w:tc>
      </w:tr>
      <w:tr>
        <w:trPr>
          <w:trHeight w:val="209"/>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16,139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16,482</w:t>
            </w:r>
          </w:p>
        </w:tc>
      </w:tr>
      <w:tr>
        <w:trPr>
          <w:trHeight w:val="249"/>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32,509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34,970</w:t>
            </w:r>
          </w:p>
        </w:tc>
      </w:tr>
      <w:tr>
        <w:trPr>
          <w:trHeight w:val="196"/>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108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11,988</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11,014</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1,926</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14,692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14,724</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3,974</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r>
      <w:tr>
        <w:trPr>
          <w:trHeight w:val="209"/>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7,400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6,938</w:t>
            </w: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22,092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21,662</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10,855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10,804</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4,645</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(2,186 )</w:t>
            </w: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 at cost, 128,391 shares in 2022 and 17,519 in 2021</w:t>
            </w: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10,337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13,260</w:t>
            </w: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10,417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13,308</w:t>
            </w:r>
          </w:p>
        </w:tc>
      </w:tr>
      <w:tr>
        <w:trPr>
          <w:trHeight w:val="249"/>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80" w:type="dxa"/>
            <w:vAlign w:val="bottom"/>
            <w:tcBorders>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32,509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-3955415</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-3663950</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-3646805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-1711960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-598805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-316230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11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400" w:hanging="272"/>
        <w:spacing w:after="0" w:line="278" w:lineRule="auto"/>
        <w:tabs>
          <w:tab w:leader="none" w:pos="2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110,207,079 (2022) and 122,055,815 (2021); Outstanding 110,096,207 (2022) and 122,055,815 (2021) and (b) Preference shares, $0.000115 nominal value; Authorized 1,000,000,000 and Issued none in 2022 and 2021.</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ind w:left="320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millions of U.S. dollars)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8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total net cash from 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restructuring charges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periodic benefit of defined benefit pension plans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doubtful receivables from clients</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from)/provision for deferred income taxes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loss/(gain) on disposal of operations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foreign exchange gain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8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170"/>
        </w:trPr>
        <w:tc>
          <w:tcPr>
            <w:tcW w:w="85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4"/>
        </w:trPr>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8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8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(506 )</w:t>
            </w: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8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366</w:t>
            </w:r>
          </w:p>
        </w:tc>
      </w:tr>
      <w:tr>
        <w:trPr>
          <w:trHeight w:val="20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to fixed assets and software for internal use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 of operations, net of cash acquired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operations</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fiduciary funds transferred in sale of operations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investments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374</w:t>
            </w:r>
          </w:p>
        </w:tc>
      </w:tr>
      <w:tr>
        <w:trPr>
          <w:trHeight w:val="20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notes issued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debt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(515 )</w:t>
            </w: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shares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proceeds/(payments) from fiduciary funds held for clients</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16"/>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deferred and contingent consideration related to acquisitions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employee taxes on withholding shares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and dividends paid to non-controlling interests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9"/>
        </w:trPr>
        <w:tc>
          <w:tcPr>
            <w:tcW w:w="8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(1,067 )</w:t>
            </w:r>
          </w:p>
        </w:tc>
      </w:tr>
      <w:tr>
        <w:trPr>
          <w:trHeight w:val="209"/>
        </w:trPr>
        <w:tc>
          <w:tcPr>
            <w:tcW w:w="8520" w:type="dxa"/>
            <w:vAlign w:val="bottom"/>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DECREASE IN CASH, CASH EQUIVALENTS AND RESTRICTED CASH </w:t>
            </w:r>
            <w:r>
              <w:rPr>
                <w:rFonts w:ascii="Times New Roman" w:cs="Times New Roman" w:eastAsia="Times New Roman" w:hAnsi="Times New Roman"/>
                <w:sz w:val="24"/>
                <w:szCs w:val="24"/>
                <w:color w:val="auto"/>
                <w:vertAlign w:val="superscript"/>
              </w:rPr>
              <w:t>(i)</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16"/>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8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7,691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6,301</w:t>
            </w:r>
          </w:p>
        </w:tc>
      </w:tr>
      <w:tr>
        <w:trPr>
          <w:trHeight w:val="249"/>
        </w:trPr>
        <w:tc>
          <w:tcPr>
            <w:tcW w:w="8520" w:type="dxa"/>
            <w:vAlign w:val="bottom"/>
            <w:tcBorders>
              <w:bottom w:val="single" w:sz="8" w:color="CFF0FC"/>
            </w:tcBorders>
            <w:shd w:val="clear" w:color="auto" w:fill="CFF0FC"/>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5,108</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-3364230</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-2251075</wp:posOffset>
            </wp:positionV>
            <wp:extent cx="111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-589915</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111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160" w:hanging="272"/>
        <w:spacing w:after="0" w:line="262"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5"/>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Six Months Ended June 30, 2022</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360"/>
              <w:spacing w:after="0" w:line="107" w:lineRule="exact"/>
              <w:rPr>
                <w:sz w:val="20"/>
                <w:szCs w:val="20"/>
                <w:color w:val="auto"/>
              </w:rPr>
            </w:pPr>
            <w:r>
              <w:rPr>
                <w:rFonts w:ascii="Times New Roman" w:cs="Times New Roman" w:eastAsia="Times New Roman" w:hAnsi="Times New Roman"/>
                <w:sz w:val="12"/>
                <w:szCs w:val="12"/>
                <w:color w:val="auto"/>
                <w:w w:val="95"/>
              </w:rPr>
              <w:t>Total WTW</w:t>
            </w: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1040" w:type="dxa"/>
            <w:vAlign w:val="bottom"/>
            <w:gridSpan w:val="2"/>
          </w:tcPr>
          <w:p>
            <w:pPr>
              <w:jc w:val="right"/>
              <w:ind w:right="500"/>
              <w:spacing w:after="0" w:line="122" w:lineRule="exact"/>
              <w:rPr>
                <w:sz w:val="20"/>
                <w:szCs w:val="20"/>
                <w:color w:val="auto"/>
              </w:rPr>
            </w:pPr>
            <w:r>
              <w:rPr>
                <w:rFonts w:ascii="Times New Roman" w:cs="Times New Roman" w:eastAsia="Times New Roman" w:hAnsi="Times New Roman"/>
                <w:sz w:val="12"/>
                <w:szCs w:val="12"/>
                <w:color w:val="auto"/>
              </w:rPr>
              <w:t>Shares</w:t>
            </w:r>
          </w:p>
        </w:tc>
        <w:tc>
          <w:tcPr>
            <w:tcW w:w="8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w w:val="96"/>
              </w:rPr>
              <w:t>Additional paid-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line="122" w:lineRule="exact"/>
              <w:rPr>
                <w:sz w:val="20"/>
                <w:szCs w:val="20"/>
                <w:color w:val="auto"/>
              </w:rPr>
            </w:pPr>
            <w:r>
              <w:rPr>
                <w:rFonts w:ascii="Times New Roman" w:cs="Times New Roman" w:eastAsia="Times New Roman" w:hAnsi="Times New Roman"/>
                <w:sz w:val="12"/>
                <w:szCs w:val="12"/>
                <w:color w:val="auto"/>
              </w:rPr>
              <w:t>Retained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337"/>
              <w:spacing w:after="0"/>
              <w:rPr>
                <w:sz w:val="20"/>
                <w:szCs w:val="20"/>
                <w:color w:val="auto"/>
              </w:rPr>
            </w:pPr>
            <w:r>
              <w:rPr>
                <w:rFonts w:ascii="Times New Roman" w:cs="Times New Roman" w:eastAsia="Times New Roman" w:hAnsi="Times New Roman"/>
                <w:sz w:val="12"/>
                <w:szCs w:val="12"/>
                <w:color w:val="auto"/>
                <w:w w:val="97"/>
              </w:rPr>
              <w:t xml:space="preserve">AOCL </w:t>
            </w:r>
            <w:r>
              <w:rPr>
                <w:rFonts w:ascii="Times New Roman" w:cs="Times New Roman" w:eastAsia="Times New Roman" w:hAnsi="Times New Roman"/>
                <w:sz w:val="15"/>
                <w:szCs w:val="15"/>
                <w:color w:val="auto"/>
                <w:w w:val="97"/>
                <w:vertAlign w:val="superscript"/>
              </w:rPr>
              <w:t>(i)</w:t>
            </w:r>
          </w:p>
        </w:tc>
        <w:tc>
          <w:tcPr>
            <w:tcW w:w="80" w:type="dxa"/>
            <w:vAlign w:val="bottom"/>
          </w:tcPr>
          <w:p>
            <w:pPr>
              <w:spacing w:after="0"/>
              <w:rPr>
                <w:sz w:val="10"/>
                <w:szCs w:val="10"/>
                <w:color w:val="auto"/>
              </w:rPr>
            </w:pPr>
          </w:p>
        </w:tc>
        <w:tc>
          <w:tcPr>
            <w:tcW w:w="96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2"/>
                <w:szCs w:val="12"/>
                <w:color w:val="auto"/>
                <w:w w:val="95"/>
              </w:rPr>
              <w:t>shareholders’</w:t>
            </w:r>
          </w:p>
        </w:tc>
        <w:tc>
          <w:tcPr>
            <w:tcW w:w="60" w:type="dxa"/>
            <w:vAlign w:val="bottom"/>
          </w:tcPr>
          <w:p>
            <w:pPr>
              <w:spacing w:after="0"/>
              <w:rPr>
                <w:sz w:val="10"/>
                <w:szCs w:val="10"/>
                <w:color w:val="auto"/>
              </w:rPr>
            </w:pPr>
          </w:p>
        </w:tc>
        <w:tc>
          <w:tcPr>
            <w:tcW w:w="108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2"/>
                <w:szCs w:val="12"/>
                <w:color w:val="auto"/>
                <w:w w:val="95"/>
              </w:rPr>
              <w:t>Non-controlling</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outstanding</w:t>
            </w:r>
          </w:p>
        </w:tc>
        <w:tc>
          <w:tcPr>
            <w:tcW w:w="14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2"/>
                <w:szCs w:val="12"/>
                <w:color w:val="auto"/>
              </w:rPr>
              <w:t>in capital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earnings</w:t>
            </w:r>
          </w:p>
        </w:tc>
        <w:tc>
          <w:tcPr>
            <w:tcW w:w="80" w:type="dxa"/>
            <w:vAlign w:val="bottom"/>
          </w:tcPr>
          <w:p>
            <w:pPr>
              <w:spacing w:after="0"/>
              <w:rPr>
                <w:sz w:val="13"/>
                <w:szCs w:val="13"/>
                <w:color w:val="auto"/>
              </w:rPr>
            </w:pPr>
          </w:p>
        </w:tc>
        <w:tc>
          <w:tcPr>
            <w:tcW w:w="104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w w:val="95"/>
              </w:rPr>
              <w:t>Treasury shares</w:t>
            </w: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3"/>
              </w:rPr>
              <w:t>equity</w:t>
            </w:r>
          </w:p>
        </w:tc>
        <w:tc>
          <w:tcPr>
            <w:tcW w:w="6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interests</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9"/>
              </w:rPr>
              <w:t>Total equity</w:t>
            </w:r>
          </w:p>
        </w:tc>
        <w:tc>
          <w:tcPr>
            <w:tcW w:w="0" w:type="dxa"/>
            <w:vAlign w:val="bottom"/>
          </w:tcPr>
          <w:p>
            <w:pPr>
              <w:spacing w:after="0"/>
              <w:rPr>
                <w:sz w:val="1"/>
                <w:szCs w:val="1"/>
                <w:color w:val="auto"/>
              </w:rPr>
            </w:pPr>
          </w:p>
        </w:tc>
      </w:tr>
      <w:tr>
        <w:trPr>
          <w:trHeight w:val="15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2021</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122,056</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10,804</w:t>
            </w: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4,645</w:t>
            </w:r>
          </w:p>
        </w:tc>
        <w:tc>
          <w:tcPr>
            <w:tcW w:w="2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13,260</w:t>
            </w:r>
          </w:p>
        </w:tc>
        <w:tc>
          <w:tcPr>
            <w:tcW w:w="22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13,308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(9,860 )</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(2,250 )</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(2,250 )</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(2,250 )</w:t>
            </w: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($0.82 per share)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(94 )</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(94 )</w:t>
            </w: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(56 )</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(56 )</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(56 )</w:t>
            </w:r>
          </w:p>
        </w:tc>
        <w:tc>
          <w:tcPr>
            <w:tcW w:w="0" w:type="dxa"/>
            <w:vAlign w:val="bottom"/>
          </w:tcPr>
          <w:p>
            <w:pPr>
              <w:spacing w:after="0"/>
              <w:rPr>
                <w:sz w:val="1"/>
                <w:szCs w:val="1"/>
                <w:color w:val="auto"/>
              </w:rPr>
            </w:pPr>
          </w:p>
        </w:tc>
      </w:tr>
      <w:tr>
        <w:trPr>
          <w:trHeight w:val="117"/>
        </w:trPr>
        <w:tc>
          <w:tcPr>
            <w:tcW w:w="288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Acquisition of non-controlling interests</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2022</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112,213</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10,826</w:t>
            </w: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2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11,004</w:t>
            </w:r>
          </w:p>
        </w:tc>
        <w:tc>
          <w:tcPr>
            <w:tcW w:w="22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(2,144 )</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(471 )</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(471 )</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(471 )</w:t>
            </w: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($0.82 per share)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(90 )</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(90 )</w:t>
            </w: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(244 )</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(244 )</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(244 )</w:t>
            </w:r>
          </w:p>
        </w:tc>
        <w:tc>
          <w:tcPr>
            <w:tcW w:w="0" w:type="dxa"/>
            <w:vAlign w:val="bottom"/>
          </w:tcPr>
          <w:p>
            <w:pPr>
              <w:spacing w:after="0"/>
              <w:rPr>
                <w:sz w:val="1"/>
                <w:szCs w:val="1"/>
                <w:color w:val="auto"/>
              </w:rPr>
            </w:pPr>
          </w:p>
        </w:tc>
      </w:tr>
      <w:tr>
        <w:trPr>
          <w:trHeight w:val="117"/>
        </w:trPr>
        <w:tc>
          <w:tcPr>
            <w:tcW w:w="288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 of non-controlling interests</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2022</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110,096</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10,855</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(2,486</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10,337</w:t>
            </w:r>
          </w:p>
        </w:tc>
        <w:tc>
          <w:tcPr>
            <w:tcW w:w="2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10,417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-24765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-24765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color w:val="auto"/>
        </w:rPr>
        <w:t>(i)</w:t>
        <w:tab/>
        <w:t>Accumulated other comprehensive loss, net of tax (‘AOCL’).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jc w:val="center"/>
        <w:spacing w:after="0" w:line="228" w:lineRule="auto"/>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5"/>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Six Months Ended June 30, 2021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color w:val="auto"/>
                <w:w w:val="95"/>
              </w:rPr>
              <w:t>Total WTW</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rPr>
                <w:sz w:val="10"/>
                <w:szCs w:val="10"/>
                <w:color w:val="auto"/>
              </w:rPr>
            </w:pPr>
          </w:p>
        </w:tc>
        <w:tc>
          <w:tcPr>
            <w:tcW w:w="780" w:type="dxa"/>
            <w:vAlign w:val="bottom"/>
          </w:tcPr>
          <w:p>
            <w:pPr>
              <w:jc w:val="right"/>
              <w:ind w:right="178"/>
              <w:spacing w:after="0" w:line="122" w:lineRule="exact"/>
              <w:rPr>
                <w:sz w:val="20"/>
                <w:szCs w:val="20"/>
                <w:color w:val="auto"/>
              </w:rPr>
            </w:pPr>
            <w:r>
              <w:rPr>
                <w:rFonts w:ascii="Times New Roman" w:cs="Times New Roman" w:eastAsia="Times New Roman" w:hAnsi="Times New Roman"/>
                <w:sz w:val="12"/>
                <w:szCs w:val="12"/>
                <w:color w:val="auto"/>
              </w:rPr>
              <w:t>Shares</w:t>
            </w:r>
          </w:p>
        </w:tc>
        <w:tc>
          <w:tcPr>
            <w:tcW w:w="240" w:type="dxa"/>
            <w:vAlign w:val="bottom"/>
          </w:tcPr>
          <w:p>
            <w:pPr>
              <w:spacing w:after="0"/>
              <w:rPr>
                <w:sz w:val="10"/>
                <w:szCs w:val="10"/>
                <w:color w:val="auto"/>
              </w:rPr>
            </w:pPr>
          </w:p>
        </w:tc>
        <w:tc>
          <w:tcPr>
            <w:tcW w:w="10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2"/>
                <w:szCs w:val="12"/>
                <w:color w:val="auto"/>
              </w:rPr>
              <w:t>Additional paid-</w:t>
            </w:r>
          </w:p>
        </w:tc>
        <w:tc>
          <w:tcPr>
            <w:tcW w:w="120" w:type="dxa"/>
            <w:vAlign w:val="bottom"/>
          </w:tcPr>
          <w:p>
            <w:pPr>
              <w:spacing w:after="0"/>
              <w:rPr>
                <w:sz w:val="10"/>
                <w:szCs w:val="10"/>
                <w:color w:val="auto"/>
              </w:rPr>
            </w:pPr>
          </w:p>
        </w:tc>
        <w:tc>
          <w:tcPr>
            <w:tcW w:w="920" w:type="dxa"/>
            <w:vAlign w:val="bottom"/>
            <w:gridSpan w:val="2"/>
          </w:tcPr>
          <w:p>
            <w:pPr>
              <w:jc w:val="right"/>
              <w:ind w:right="440"/>
              <w:spacing w:after="0" w:line="122" w:lineRule="exact"/>
              <w:rPr>
                <w:sz w:val="20"/>
                <w:szCs w:val="20"/>
                <w:color w:val="auto"/>
              </w:rPr>
            </w:pPr>
            <w:r>
              <w:rPr>
                <w:rFonts w:ascii="Times New Roman" w:cs="Times New Roman" w:eastAsia="Times New Roman" w:hAnsi="Times New Roman"/>
                <w:sz w:val="12"/>
                <w:szCs w:val="12"/>
                <w:color w:val="auto"/>
              </w:rPr>
              <w:t>Retained</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2"/>
                <w:szCs w:val="12"/>
                <w:color w:val="auto"/>
                <w:w w:val="97"/>
              </w:rPr>
              <w:t xml:space="preserve">AOCL </w:t>
            </w:r>
            <w:r>
              <w:rPr>
                <w:rFonts w:ascii="Times New Roman" w:cs="Times New Roman" w:eastAsia="Times New Roman" w:hAnsi="Times New Roman"/>
                <w:sz w:val="15"/>
                <w:szCs w:val="15"/>
                <w:color w:val="auto"/>
                <w:w w:val="97"/>
                <w:vertAlign w:val="superscript"/>
              </w:rPr>
              <w:t>(i)</w:t>
            </w:r>
          </w:p>
        </w:tc>
        <w:tc>
          <w:tcPr>
            <w:tcW w:w="80" w:type="dxa"/>
            <w:vAlign w:val="bottom"/>
          </w:tcPr>
          <w:p>
            <w:pPr>
              <w:spacing w:after="0"/>
              <w:rPr>
                <w:sz w:val="10"/>
                <w:szCs w:val="10"/>
                <w:color w:val="auto"/>
              </w:rPr>
            </w:pPr>
          </w:p>
        </w:tc>
        <w:tc>
          <w:tcPr>
            <w:tcW w:w="9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2"/>
                <w:szCs w:val="12"/>
                <w:color w:val="auto"/>
                <w:w w:val="95"/>
              </w:rPr>
              <w:t>shareholders’</w:t>
            </w:r>
          </w:p>
        </w:tc>
        <w:tc>
          <w:tcPr>
            <w:tcW w:w="1100" w:type="dxa"/>
            <w:vAlign w:val="bottom"/>
            <w:gridSpan w:val="3"/>
          </w:tcPr>
          <w:p>
            <w:pPr>
              <w:jc w:val="right"/>
              <w:ind w:right="280"/>
              <w:spacing w:after="0" w:line="122" w:lineRule="exact"/>
              <w:rPr>
                <w:sz w:val="20"/>
                <w:szCs w:val="20"/>
                <w:color w:val="auto"/>
              </w:rPr>
            </w:pPr>
            <w:r>
              <w:rPr>
                <w:rFonts w:ascii="Times New Roman" w:cs="Times New Roman" w:eastAsia="Times New Roman" w:hAnsi="Times New Roman"/>
                <w:sz w:val="12"/>
                <w:szCs w:val="12"/>
                <w:color w:val="auto"/>
              </w:rPr>
              <w:t>Non-controlling</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outstanding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in capital</w:t>
            </w:r>
          </w:p>
        </w:tc>
        <w:tc>
          <w:tcPr>
            <w:tcW w:w="12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earnings</w:t>
            </w:r>
          </w:p>
        </w:tc>
        <w:tc>
          <w:tcPr>
            <w:tcW w:w="80" w:type="dxa"/>
            <w:vAlign w:val="bottom"/>
          </w:tcPr>
          <w:p>
            <w:pPr>
              <w:spacing w:after="0"/>
              <w:rPr>
                <w:sz w:val="13"/>
                <w:szCs w:val="13"/>
                <w:color w:val="auto"/>
              </w:rPr>
            </w:pPr>
          </w:p>
        </w:tc>
        <w:tc>
          <w:tcPr>
            <w:tcW w:w="108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w w:val="97"/>
              </w:rPr>
              <w:t>Treasury shares</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3"/>
              </w:rPr>
              <w:t>equity</w:t>
            </w:r>
          </w:p>
        </w:tc>
        <w:tc>
          <w:tcPr>
            <w:tcW w:w="16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interests</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9"/>
              </w:rPr>
              <w:t>Total equity</w:t>
            </w:r>
          </w:p>
        </w:tc>
        <w:tc>
          <w:tcPr>
            <w:tcW w:w="0" w:type="dxa"/>
            <w:vAlign w:val="bottom"/>
          </w:tcPr>
          <w:p>
            <w:pPr>
              <w:spacing w:after="0"/>
              <w:rPr>
                <w:sz w:val="1"/>
                <w:szCs w:val="1"/>
                <w:color w:val="auto"/>
              </w:rPr>
            </w:pPr>
          </w:p>
        </w:tc>
      </w:tr>
      <w:tr>
        <w:trPr>
          <w:trHeight w:val="155"/>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2020</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128,965</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10,748</w:t>
            </w: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(2,359</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10,820</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declared ($0.71 per share)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(92 )</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(92 )</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(17 )</w:t>
            </w: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98"/>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37"/>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(52 )</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(52 )</w:t>
            </w:r>
          </w:p>
        </w:tc>
        <w:tc>
          <w:tcPr>
            <w:tcW w:w="0" w:type="dxa"/>
            <w:vAlign w:val="bottom"/>
          </w:tcPr>
          <w:p>
            <w:pPr>
              <w:spacing w:after="0"/>
              <w:rPr>
                <w:sz w:val="1"/>
                <w:szCs w:val="1"/>
                <w:color w:val="auto"/>
              </w:rPr>
            </w:pPr>
          </w:p>
        </w:tc>
      </w:tr>
      <w:tr>
        <w:trPr>
          <w:trHeight w:val="162"/>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128,974</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10,765</w:t>
            </w:r>
          </w:p>
        </w:tc>
        <w:tc>
          <w:tcPr>
            <w:tcW w:w="24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(3 )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(2,311 )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11,526</w:t>
            </w:r>
          </w:p>
        </w:tc>
        <w:tc>
          <w:tcPr>
            <w:tcW w:w="200" w:type="dxa"/>
            <w:vAlign w:val="bottom"/>
          </w:tcPr>
          <w:p>
            <w:pPr>
              <w:spacing w:after="0"/>
              <w:rPr>
                <w:sz w:val="13"/>
                <w:szCs w:val="13"/>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($0.71 per share)</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4"/>
                <w:szCs w:val="14"/>
                <w:color w:val="auto"/>
              </w:rPr>
            </w:pP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(93 )</w:t>
            </w: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(93 )</w:t>
            </w: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9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9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080" w:type="dxa"/>
            <w:vAlign w:val="bottom"/>
            <w:gridSpan w:val="2"/>
          </w:tcPr>
          <w:p>
            <w:pPr>
              <w:jc w:val="right"/>
              <w:ind w:right="198"/>
              <w:spacing w:after="0" w:line="11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40" w:type="dxa"/>
            <w:vAlign w:val="bottom"/>
            <w:gridSpan w:val="2"/>
          </w:tcPr>
          <w:p>
            <w:pPr>
              <w:jc w:val="right"/>
              <w:ind w:right="137"/>
              <w:spacing w:after="0" w:line="11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74"/>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(1 )</w:t>
            </w: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202"/>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2021</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128,988</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10,785</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3,166</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bottom w:val="single" w:sz="8" w:color="CFF0FC"/>
            </w:tcBorders>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20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11,670</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-1463675</wp:posOffset>
            </wp:positionV>
            <wp:extent cx="713232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-1155065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-1155065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-1155065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-1155065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-1155065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-1155065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-1155065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-24765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7"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hanging="272"/>
        <w:spacing w:after="0"/>
        <w:tabs>
          <w:tab w:leader="none" w:pos="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our less than wholly-owned Miller subsidiary.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Willis Towers Watson public limited company is a leading global advisory, broking and solutions company that provides data-driven, insight-led solutions in the areas of people, risk and capital. The Company has more than 44,000 colleagues serving more than 140 countries and markets.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8"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Our risk management services include strategic risk consulting (including providing actuarial analysis), a variety of due diligence services, the provision of practical on-site risk control services (such as health and safety and property loss control consulting), advisory services, leading-edge technology solutions, and unparalleled analytical and modeling capabilities (such as hazard modeling). We also assist our clients with planning for addressing incidents or crises when they occur. These services include contingency planning, security audits and product tampering plans.</w:t>
      </w:r>
    </w:p>
    <w:p>
      <w:pPr>
        <w:spacing w:after="0" w:line="12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help our clients enhance business performance by delivering consulting services, technology and solutions that effectively deliver valuable benefits and create an engaging employee experience. Our services and solutions encompass such areas as employee benefits, total rewards, talent, wellbeing and benefits outsourcing. In addition, we provide investment advice to help our clients develop disciplined and efficient strategies to meet their investment goals and expand the power of capital.</w:t>
      </w:r>
    </w:p>
    <w:p>
      <w:pPr>
        <w:spacing w:after="0" w:line="13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unrestricted access to the global insurance market.</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35"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Reorganization</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January 1, 2022, WTW realigned to provide its comprehensive offering of services and solutions to clients across two business segments: Health, Wealth &amp; Career (‘HWC’), and Risk &amp; Broking (‘R&amp;B’). These changes were made in conjunction with changes in the WTW leadership team, including the appointment of a new chief executive officer who succeeded the prior CEO as the chief operating decision maker on that date. Prior to January 1, 2022, we operated across four segments: Human Capital and Benefits; Corporate Risk and Broking; Investment, Risk and Reinsurance; and Benefits Delivery and Administration. Following the realignment, the two new segments consist of the following businesses:</w:t>
      </w:r>
    </w:p>
    <w:p>
      <w:pPr>
        <w:spacing w:after="0" w:line="68" w:lineRule="exact"/>
        <w:rPr>
          <w:sz w:val="20"/>
          <w:szCs w:val="20"/>
          <w:color w:val="auto"/>
        </w:rPr>
      </w:pPr>
    </w:p>
    <w:p>
      <w:pPr>
        <w:ind w:left="760" w:right="880" w:hanging="378"/>
        <w:spacing w:after="0" w:line="295"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HWC segment includes businesses previously aligned under the Human Capital and Benefits segment, the Benefits Delivery and Administration segment, and the Investment business, which was previously under the Investment, Risk and Reinsurance segment.</w:t>
      </w:r>
    </w:p>
    <w:p>
      <w:pPr>
        <w:spacing w:after="0" w:line="45" w:lineRule="exact"/>
        <w:rPr>
          <w:rFonts w:ascii="Times New Roman" w:cs="Times New Roman" w:eastAsia="Times New Roman" w:hAnsi="Times New Roman"/>
          <w:sz w:val="17"/>
          <w:szCs w:val="17"/>
          <w:color w:val="auto"/>
        </w:rPr>
      </w:pPr>
    </w:p>
    <w:p>
      <w:pPr>
        <w:ind w:left="760" w:right="22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R&amp;B segment includes businesses previously aligned under the Corporate Risk and Broking segment, as well as the Insurance Consulting and Technology business, which was previously under the Investment, Risk and Reinsurance segment.</w:t>
      </w:r>
    </w:p>
    <w:p>
      <w:pPr>
        <w:spacing w:after="0" w:line="10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In addition, effective January 1, 2022, the Company manages its businesses across three geographical areas: North America, Europe (including Great Britain) and International.</w:t>
      </w:r>
    </w:p>
    <w:p>
      <w:pPr>
        <w:spacing w:after="0" w:line="9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Certain Investment, Risk and Reinsurance businesses that were part of the results from continuing operations in the prior-year period presented were divested during 2021. The revenue and income from operations for these businesses have been included as ‘divested businesses’ in the reconciliations between the total segment results and the consolidated results of the Company. However, the results of the divested Willis Re treaty-reinsurance business is presented as discontinued operations and is therefore excluded from the divested businesses presented in the segment reconciliations.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xml:space="preserve">Segment results herein are presented on a retrospective basis to reflect the reorganization. See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Revenue,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Note 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Restructuring Costs and Note 8</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Goodwill and Other Intangible Assets for the Company's segment-based presentations.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We have reclassified certain prior period amounts to conform to the current period presentation due to the recognition of discontinued operations and assets and liabilities as held-for-sale (see below for further discussion). Additionally, certain amounts on the condensed consolidated statements of cash flows have been revised from their prior period classifications. See Note 19</w:t>
      </w:r>
    </w:p>
    <w:p>
      <w:pPr>
        <w:spacing w:after="0" w:line="2" w:lineRule="exact"/>
        <w:rPr>
          <w:sz w:val="20"/>
          <w:szCs w:val="20"/>
          <w:color w:val="auto"/>
        </w:rPr>
      </w:pPr>
    </w:p>
    <w:p>
      <w:pPr>
        <w:ind w:right="20" w:firstLine="8"/>
        <w:spacing w:after="0"/>
        <w:tabs>
          <w:tab w:leader="none" w:pos="1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Disclosures of Cash Flow Information for more information as to the nature of the revision and the amounts. In the opinion of management, these condensed consolidated financial statements reflect all adjustments, consisting of normal recurring adjustments, which are necessary for a fair presentation of the condensed consolidated financial statements and results for the interim periods. All intercompany accounts and transactions have been eliminated in consolidation. The condensed consolidated financial statements should be read together with the Company’s Annual Report on Form 10-K, filed with the SEC on February 24, 2022, and may be accessed via EDGAR on the SEC’s web site at www.sec.gov.</w:t>
      </w:r>
    </w:p>
    <w:p>
      <w:pPr>
        <w:spacing w:after="0" w:line="14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2022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 of the Economic Environment Caused by the Pandemic</w:t>
      </w:r>
    </w:p>
    <w:p>
      <w:pPr>
        <w:spacing w:after="0" w:line="10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particularly on the global supply chain and workforce availability, and has contributed to significant volatility in the global financial markets including, among other effects, occasional declines in the equity markets, changes in interest rates and reduced liquidity on a global basis.</w:t>
      </w:r>
    </w:p>
    <w:p>
      <w:pPr>
        <w:spacing w:after="0" w:line="11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Supply and labor market disruptions caused by COVID-19 as well as other factors, such as accommodative monetary and fiscal policy and the Russian invasion of Ukraine, have contributed to significant inflation in many of the markets in which we operate. This impacts not only the costs to attract and retain employees but also other costs to run and invest in our business. If our costs grow significantly in excess of our ability to raise revenue, our margins and results of operations may be materially and adversely impacted and we may not be able to achieve our strategic and financial objectives.</w:t>
      </w:r>
    </w:p>
    <w:p>
      <w:pPr>
        <w:spacing w:after="0" w:line="12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Although we believe we have adapted to the unique challenges posed by the pandemic surrounding how and where we do our work, we are also impacted by the negative effect on workforce availability, which could hamper our ability to grow our capacity on pace with increasing demand for our services. We expect the market for talent to remain highly competitive for at least the next several months. We will continue to monitor the situation and assess any implications to our business and our stakeholders.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0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completed acquisitions during the six months ended June 30, 2022 for cash payments of $106 million and contingent considerations with estimated fair values totaling $22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Divestment of Russian Business</w:t>
      </w:r>
    </w:p>
    <w:p>
      <w:pPr>
        <w:spacing w:after="0" w:line="10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During the first quarter of 2022, WTW announced its intention to transfer ownership of its Russian subsidiaries to local management who will operate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 million, which includes an allocation of Risk &amp; Broking goodwill, and was recognized as a loss on disposal of a business within other income, net on our condensed consolidated statement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are held outside of our Russian entities,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13" w:name="page14"/>
    <w:bookmarkEnd w:id="13"/>
    <w:p>
      <w:pPr>
        <w:ind w:right="460"/>
        <w:spacing w:after="0" w:line="281" w:lineRule="auto"/>
        <w:rPr>
          <w:sz w:val="20"/>
          <w:szCs w:val="20"/>
          <w:color w:val="auto"/>
        </w:rPr>
      </w:pPr>
      <w:r>
        <w:rPr>
          <w:rFonts w:ascii="Times New Roman" w:cs="Times New Roman" w:eastAsia="Times New Roman" w:hAnsi="Times New Roman"/>
          <w:sz w:val="18"/>
          <w:szCs w:val="18"/>
          <w:color w:val="auto"/>
        </w:rPr>
        <w:t>were $81 million during the three months ended March 31, 2022. This impairment charge was recorded in other operating expenses on our condensed consolidated statement of comprehensive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Willis Re Divestiture</w:t>
      </w:r>
    </w:p>
    <w:p>
      <w:pPr>
        <w:spacing w:after="0" w:line="10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August 13, 2021, the Company entered into a definitive agreement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 (‘Principal Closing’). Although the majority of the Willis Re businesses transferred to Gallagher at Principal Closing, the assets and liabilities of certain Willis Re businesses were not transferred to Gallagher at the time due to local territory restrictions (‘Deferred Closing’). The Deferred Closing for all but one business was completed during the second quarter of 2022, and all net earnings of the Deferred Closing businesses accumulated between the Principal Closing and Deferred Closing remain payable to Gallagher at June 30, 2022. The Company recognized a preliminary pre-tax gain of $2.3 billion upon completion of the sale in 2021, and during the second quarter of 2022, WTW recognized a $60 million reduction to the pre-tax gain related to an updated estimate of the working capital transferred upon disposal. The final purchase price adjustment is still pending commercial settlement with Gallagher, and further adjustments to the gain may be recognized. The gain is subject to tax in certain jurisdictions, mainly in the U.S., and is predominantly tax-exempt in the U.K.</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 connection with the transaction, the Company reclassified the results of its Willis Re operations as discontinued operations on its condensed consolidated statements of comprehensive income and reclassified Willis Re assets and liabilities as held for sale on its condensed consolidated balance sheets. The condensed consolidated cash flow statements were not adjusted for the divestiture. Willis Re was previously included in the Company's former Investment, Risk and Reinsurance segment. The amounts owed as part of the Deferred Closing continue to be presented as held for sale on the condensed consolidated balance sheets at June 30, 2022 and December 31, 2021, and the results of these businesses following the Principal Closing until their respective Deferred Closing dates have been included in income from discontinued operations on the condensed consolidated statements of comprehensive income.</w:t>
      </w:r>
    </w:p>
    <w:p>
      <w:pPr>
        <w:spacing w:after="0" w:line="12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will account for the earnout as a gain contingency and therefore did not record any receivables upon close. Rather, the earnout will be recognized in the Company’s condensed consolidated financial statements, if it is received, in 2025.</w:t>
      </w:r>
    </w:p>
    <w:p>
      <w:pPr>
        <w:spacing w:after="0" w:line="10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A number of services are continuing under a cost reimbursement Transition Services Agreement (‘TSA’) in which WTW is providing Gallagher support including real estate leases, information technology, payroll, human resources and accounting. These services are expected to be provided for a period not to exceed two years from the Principal Closing. Fees earned under the TSA were $11 million and $23 million during the three and six months ended June 30, 2022 and have been recognized as a reduction to the costs incurred to service the TSA and are included in continuing operations within other operating expenses on the condensed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selected financial information relates to the operations of Willis Re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2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discontinued operations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8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 to gain on disposal of Willis Re</w:t>
            </w:r>
          </w:p>
        </w:tc>
        <w:tc>
          <w:tcPr>
            <w:tcW w:w="8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(61 )</w:t>
            </w: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(63 )</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170"/>
        </w:trPr>
        <w:tc>
          <w:tcPr>
            <w:tcW w:w="5760" w:type="dxa"/>
            <w:vAlign w:val="bottom"/>
            <w:shd w:val="clear" w:color="auto" w:fill="CFF0FC"/>
          </w:tcPr>
          <w:p>
            <w:pPr>
              <w:ind w:left="120"/>
              <w:spacing w:after="0" w:line="170" w:lineRule="exact"/>
              <w:rPr>
                <w:sz w:val="20"/>
                <w:szCs w:val="20"/>
                <w:color w:val="auto"/>
              </w:rPr>
            </w:pPr>
            <w:r>
              <w:rPr>
                <w:rFonts w:ascii="Times New Roman" w:cs="Times New Roman" w:eastAsia="Times New Roman" w:hAnsi="Times New Roman"/>
                <w:sz w:val="18"/>
                <w:szCs w:val="18"/>
                <w:color w:val="auto"/>
              </w:rPr>
              <w:t>Net income receivable/(payable) to Gallagher on Deferred</w:t>
            </w:r>
          </w:p>
        </w:tc>
        <w:tc>
          <w:tcPr>
            <w:tcW w:w="840" w:type="dxa"/>
            <w:vAlign w:val="bottom"/>
            <w:shd w:val="clear" w:color="auto" w:fill="CFF0FC"/>
          </w:tcPr>
          <w:p>
            <w:pPr>
              <w:spacing w:after="0"/>
              <w:rPr>
                <w:sz w:val="14"/>
                <w:szCs w:val="14"/>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Closing</w:t>
            </w:r>
          </w:p>
        </w:tc>
        <w:tc>
          <w:tcPr>
            <w:tcW w:w="840" w:type="dxa"/>
            <w:vAlign w:val="bottom"/>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(46 )</w:t>
            </w: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-1129665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-1129665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-1129665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-838200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-838200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-838200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-170815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expense amounts reflected above represent only the direct costs attributable to the Willis Re business and exclude allocations of corporate costs that will be retained following the sale. Neither the discontinued operations presented above, nor the unallocated corporate costs, reflect the impact of any cost reimbursement that will be received under the TSA.</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4" w:name="page15"/>
    <w:bookmarkEnd w:id="14"/>
    <w:p>
      <w:pPr>
        <w:ind w:right="20"/>
        <w:spacing w:after="0" w:line="244" w:lineRule="auto"/>
        <w:rPr>
          <w:sz w:val="20"/>
          <w:szCs w:val="20"/>
          <w:color w:val="auto"/>
        </w:rPr>
      </w:pPr>
      <w:r>
        <w:rPr>
          <w:rFonts w:ascii="Times New Roman" w:cs="Times New Roman" w:eastAsia="Times New Roman" w:hAnsi="Times New Roman"/>
          <w:sz w:val="18"/>
          <w:szCs w:val="18"/>
          <w:color w:val="auto"/>
        </w:rPr>
        <w:t>Amounts classified as held for sale within our condensed consolidated balance sheets at both June 30, 2022 and December 31, 2021 are related to amounts payable as part of the Deferred Closing as well as the estimated purchase price adjustment at June 30, 2022. Certain amounts included in the condensed consolidated balance sheets have been excluded from the held-for-sale balances disclosed since the assets are not transferring under the terms of the sale agreement, and instead will be settled by the Company. At June 30, 2022 and December 31, 2021, the amounts of significant assets and liabilities related to the Willis Re businesses which were not transferred in the sale and are therefore not classified as held for sale on the condensed consolidated balance sheets are $3.9 billion and $2.6 billion of fiduciary assets and liabilities, $66 million and $71 million of accounts receivable and $127 million and $91 million of other current liabilities,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Miller Divestiture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March 1, 2021, the Company completed the transaction to sell its U.K.-based, majority-owned wholesale subsidiary Miller for final total consideration of GBP 623</w:t>
      </w:r>
    </w:p>
    <w:p>
      <w:pPr>
        <w:spacing w:after="0" w:line="26" w:lineRule="exact"/>
        <w:rPr>
          <w:sz w:val="20"/>
          <w:szCs w:val="20"/>
          <w:color w:val="auto"/>
        </w:rPr>
      </w:pPr>
    </w:p>
    <w:p>
      <w:pPr>
        <w:jc w:val="both"/>
        <w:ind w:right="200"/>
        <w:spacing w:after="0" w:line="243" w:lineRule="auto"/>
        <w:rPr>
          <w:sz w:val="20"/>
          <w:szCs w:val="20"/>
          <w:color w:val="auto"/>
        </w:rPr>
      </w:pPr>
      <w:r>
        <w:rPr>
          <w:rFonts w:ascii="Times New Roman" w:cs="Times New Roman" w:eastAsia="Times New Roman" w:hAnsi="Times New Roman"/>
          <w:sz w:val="18"/>
          <w:szCs w:val="18"/>
          <w:color w:val="auto"/>
        </w:rPr>
        <w:t>million ($818 million), which includes amounts paid to the minority shareholder. The $356 million net tax-exempt gain on the sale was included in Other income, net in the condensed consolidated statement of comprehensive income during the six months ended June 30, 2021. Prior to disposal, Miller was included within the Company's former Investment, Risk and Reinsurance segment.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07"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The prior-year period presented has been recast to exclude the revenue of Willis Re, which has been reclassified as discontinued operations on the Company’s condensed consolidated financial statements (see Note 3 – Acquisitions and Divestitures).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5"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tables present revenue by service offering and segment, as well as reconciliations to total revenue for the three and six months ended June 30, 2022 and 2021. Along with reimbursable expenses and other, total revenue by service offering represents our revenue from customer contracts. The prior year segment information has been retrospectively adjusted to conform to the current year presentation.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69"/>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Divested Businesses</w:t>
            </w:r>
          </w:p>
        </w:tc>
        <w:tc>
          <w:tcPr>
            <w:tcW w:w="140" w:type="dxa"/>
            <w:vAlign w:val="bottom"/>
          </w:tcPr>
          <w:p>
            <w:pPr>
              <w:spacing w:after="0"/>
              <w:rPr>
                <w:sz w:val="14"/>
                <w:szCs w:val="14"/>
                <w:color w:val="auto"/>
              </w:rPr>
            </w:pPr>
          </w:p>
        </w:tc>
        <w:tc>
          <w:tcPr>
            <w:tcW w:w="1180" w:type="dxa"/>
            <w:vAlign w:val="bottom"/>
            <w:gridSpan w:val="4"/>
          </w:tcPr>
          <w:p>
            <w:pPr>
              <w:jc w:val="right"/>
              <w:ind w:right="12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Broking</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206</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661</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3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FF0FC"/>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8"/>
                <w:szCs w:val="18"/>
                <w:color w:val="auto"/>
              </w:rPr>
            </w:pPr>
          </w:p>
        </w:tc>
      </w:tr>
      <w:tr>
        <w:trPr>
          <w:trHeight w:val="216"/>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Outsourced administration</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FF0FC"/>
          </w:tcPr>
          <w:p>
            <w:pPr>
              <w:spacing w:after="0"/>
              <w:rPr>
                <w:sz w:val="18"/>
                <w:szCs w:val="18"/>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7"/>
                <w:szCs w:val="17"/>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100" w:type="dxa"/>
            <w:vAlign w:val="bottom"/>
            <w:tcBorders>
              <w:top w:val="single" w:sz="8" w:color="auto"/>
            </w:tcBorders>
            <w:shd w:val="clear" w:color="auto" w:fill="CFF0FC"/>
          </w:tcPr>
          <w:p>
            <w:pPr>
              <w:spacing w:after="0"/>
              <w:rPr>
                <w:sz w:val="18"/>
                <w:szCs w:val="18"/>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auto"/>
            </w:tcBorders>
          </w:tcPr>
          <w:p>
            <w:pPr>
              <w:spacing w:after="0"/>
              <w:rPr>
                <w:sz w:val="17"/>
                <w:szCs w:val="17"/>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1,153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1,189</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818</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3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shd w:val="clear" w:color="auto" w:fill="CFF0FC"/>
          </w:tcPr>
          <w:p>
            <w:pPr>
              <w:spacing w:after="0"/>
              <w:rPr>
                <w:sz w:val="18"/>
                <w:szCs w:val="18"/>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Interest and other income </w:t>
            </w:r>
            <w:r>
              <w:rPr>
                <w:rFonts w:ascii="Times New Roman" w:cs="Times New Roman" w:eastAsia="Times New Roman" w:hAnsi="Times New Roman"/>
                <w:sz w:val="7"/>
                <w:szCs w:val="7"/>
                <w:color w:val="auto"/>
              </w:rPr>
              <w:t>(ii)</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r>
      <w:tr>
        <w:trPr>
          <w:trHeight w:val="209"/>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1,193</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r>
      <w:tr>
        <w:trPr>
          <w:trHeight w:val="574"/>
        </w:trPr>
        <w:tc>
          <w:tcPr>
            <w:tcW w:w="2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HWC</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Divested Businesses</w:t>
            </w:r>
          </w:p>
        </w:tc>
        <w:tc>
          <w:tcPr>
            <w:tcW w:w="140" w:type="dxa"/>
            <w:vAlign w:val="bottom"/>
          </w:tcPr>
          <w:p>
            <w:pPr>
              <w:spacing w:after="0"/>
              <w:rPr>
                <w:sz w:val="14"/>
                <w:szCs w:val="14"/>
                <w:color w:val="auto"/>
              </w:rPr>
            </w:pPr>
          </w:p>
        </w:tc>
        <w:tc>
          <w:tcPr>
            <w:tcW w:w="1180" w:type="dxa"/>
            <w:vAlign w:val="bottom"/>
            <w:gridSpan w:val="4"/>
          </w:tcPr>
          <w:p>
            <w:pPr>
              <w:jc w:val="right"/>
              <w:ind w:right="12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74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Broking</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6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4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40" w:type="dxa"/>
            <w:vAlign w:val="bottom"/>
            <w:shd w:val="clear" w:color="auto" w:fill="CFF0FC"/>
          </w:tcPr>
          <w:p>
            <w:pPr>
              <w:spacing w:after="0"/>
              <w:rPr>
                <w:sz w:val="18"/>
                <w:szCs w:val="18"/>
                <w:color w:val="auto"/>
              </w:rPr>
            </w:pPr>
          </w:p>
        </w:tc>
        <w:tc>
          <w:tcPr>
            <w:tcW w:w="3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shd w:val="clear" w:color="auto" w:fill="CFF0FC"/>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tcPr>
          <w:p>
            <w:pPr>
              <w:spacing w:after="0"/>
              <w:rPr>
                <w:sz w:val="18"/>
                <w:szCs w:val="18"/>
                <w:color w:val="auto"/>
              </w:rPr>
            </w:pPr>
          </w:p>
        </w:tc>
      </w:tr>
      <w:tr>
        <w:trPr>
          <w:trHeight w:val="216"/>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Outsourced administration</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FF0FC"/>
          </w:tcPr>
          <w:p>
            <w:pPr>
              <w:spacing w:after="0"/>
              <w:rPr>
                <w:sz w:val="18"/>
                <w:szCs w:val="18"/>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7"/>
                <w:szCs w:val="17"/>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00" w:type="dxa"/>
            <w:vAlign w:val="bottom"/>
            <w:shd w:val="clear" w:color="auto" w:fill="CFF0FC"/>
          </w:tcPr>
          <w:p>
            <w:pPr>
              <w:spacing w:after="0"/>
              <w:rPr>
                <w:sz w:val="18"/>
                <w:szCs w:val="18"/>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100" w:type="dxa"/>
            <w:vAlign w:val="bottom"/>
            <w:shd w:val="clear" w:color="auto" w:fill="CFF0FC"/>
          </w:tcPr>
          <w:p>
            <w:pPr>
              <w:spacing w:after="0"/>
              <w:rPr>
                <w:sz w:val="18"/>
                <w:szCs w:val="18"/>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Interest and other income </w:t>
            </w:r>
            <w:r>
              <w:rPr>
                <w:rFonts w:ascii="Times New Roman" w:cs="Times New Roman" w:eastAsia="Times New Roman" w:hAnsi="Times New Roman"/>
                <w:sz w:val="7"/>
                <w:szCs w:val="7"/>
                <w:color w:val="auto"/>
              </w:rPr>
              <w:t>(ii)</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7"/>
                <w:szCs w:val="17"/>
                <w:color w:val="auto"/>
              </w:rPr>
            </w:pPr>
          </w:p>
        </w:tc>
      </w:tr>
      <w:tr>
        <w:trPr>
          <w:trHeight w:val="209"/>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-1883410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-1866265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-1883410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-1866265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-1883410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-1866265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-1883410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-1866265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-1883410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-1866265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-1883410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-1866265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-1883410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-1866265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-1883410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-1866265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-1883410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-1866265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-24765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880" w:hanging="272"/>
        <w:spacing w:after="0" w:line="271" w:lineRule="auto"/>
        <w:tabs>
          <w:tab w:leader="none" w:pos="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and impacts from hedged revenue transactions.</w:t>
      </w:r>
    </w:p>
    <w:p>
      <w:pPr>
        <w:ind w:left="280" w:right="60" w:hanging="272"/>
        <w:spacing w:after="0" w:line="260" w:lineRule="auto"/>
        <w:tabs>
          <w:tab w:leader="none" w:pos="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4"/>
          <w:szCs w:val="14"/>
          <w:color w:val="auto"/>
        </w:rPr>
        <w:t>nterest and other income is included in segment revenue and total revenue, however it has been presented separately in the above tables because it does not arise directly from contracts with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customers. In 2022, both HWC and R&amp;B’s interest and other income resulted primarily from book-of-business settlements. For HWC, these amounts totaled $15 million and $18 million, respectively, for three and six months ended June 30, 2022. For R&amp;B, these amounts totaled $30 million for both the three and six months ended June 30, 2022. In the three and six months ended 2021, HWC had no significant settlements, and R&amp;B had settlements totaling $31 million and $47 million, respectively.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tables present revenue by the geography where our work is performed for the three and six months ended June 30, 2022 and 2021.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to total revenue on our condensed consolidated statements of comprehensive income and to segment revenue are shown in the table above.</w:t>
      </w:r>
    </w:p>
    <w:p>
      <w:pPr>
        <w:spacing w:after="0"/>
        <w:rPr>
          <w:sz w:val="20"/>
          <w:szCs w:val="20"/>
          <w:color w:val="auto"/>
        </w:rPr>
      </w:pPr>
      <w:r>
        <w:rPr>
          <w:rFonts w:ascii="Times New Roman" w:cs="Times New Roman" w:eastAsia="Times New Roman" w:hAnsi="Times New Roman"/>
          <w:sz w:val="18"/>
          <w:szCs w:val="18"/>
          <w:color w:val="auto"/>
        </w:rPr>
        <w:t>The prior year geographic information has been retrospectively adjusted to conform to the current year presentation.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69"/>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HWC</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Divested Businesses</w:t>
            </w:r>
          </w:p>
        </w:tc>
        <w:tc>
          <w:tcPr>
            <w:tcW w:w="160" w:type="dxa"/>
            <w:vAlign w:val="bottom"/>
          </w:tcPr>
          <w:p>
            <w:pPr>
              <w:spacing w:after="0"/>
              <w:rPr>
                <w:sz w:val="14"/>
                <w:szCs w:val="14"/>
                <w:color w:val="auto"/>
              </w:rPr>
            </w:pPr>
          </w:p>
        </w:tc>
        <w:tc>
          <w:tcPr>
            <w:tcW w:w="120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4"/>
                <w:szCs w:val="14"/>
                <w:color w:val="auto"/>
              </w:rPr>
            </w:pPr>
          </w:p>
        </w:tc>
      </w:tr>
      <w:tr>
        <w:trPr>
          <w:trHeight w:val="169"/>
        </w:trPr>
        <w:tc>
          <w:tcPr>
            <w:tcW w:w="2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756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1,091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1,072</w:t>
            </w: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4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736</w:t>
            </w:r>
          </w:p>
        </w:tc>
      </w:tr>
      <w:tr>
        <w:trPr>
          <w:trHeight w:val="202"/>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230</w:t>
            </w:r>
          </w:p>
        </w:tc>
      </w:tr>
      <w:tr>
        <w:trPr>
          <w:trHeight w:val="169"/>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54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1,961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2,038</w:t>
            </w:r>
          </w:p>
        </w:tc>
      </w:tr>
      <w:tr>
        <w:trPr>
          <w:trHeight w:val="20"/>
        </w:trPr>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-144780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-144780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-144780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-144780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-144780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-144780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-144780</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-144780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-144780</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HWC</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6"/>
              </w:rPr>
              <w:t>R&amp;B</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Divested Businesses</w:t>
            </w:r>
          </w:p>
        </w:tc>
        <w:tc>
          <w:tcPr>
            <w:tcW w:w="120" w:type="dxa"/>
            <w:vAlign w:val="bottom"/>
          </w:tcPr>
          <w:p>
            <w:pPr>
              <w:spacing w:after="0"/>
              <w:rPr>
                <w:sz w:val="14"/>
                <w:szCs w:val="14"/>
                <w:color w:val="auto"/>
              </w:rPr>
            </w:pPr>
          </w:p>
        </w:tc>
        <w:tc>
          <w:tcPr>
            <w:tcW w:w="120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7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shd w:val="clear" w:color="auto" w:fill="CFF0FC"/>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Pr>
          <w:p>
            <w:pPr>
              <w:spacing w:after="0"/>
              <w:rPr>
                <w:sz w:val="18"/>
                <w:szCs w:val="18"/>
                <w:color w:val="auto"/>
              </w:rPr>
            </w:pPr>
          </w:p>
        </w:tc>
      </w:tr>
      <w:tr>
        <w:trPr>
          <w:trHeight w:val="202"/>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00" w:type="dxa"/>
            <w:vAlign w:val="bottom"/>
          </w:tcPr>
          <w:p>
            <w:pPr>
              <w:spacing w:after="0"/>
              <w:rPr>
                <w:sz w:val="14"/>
                <w:szCs w:val="14"/>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-144780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-144780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-144780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-144780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-144780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-144780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-144780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-144780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-144780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05"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 which includes billed and unbilled receivables and current contract assets. In addition to accounts receivable, net, the Company had the following non-current contract assets and deferred revenue balances at June 30, 2022 and December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$46 million and $45 million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8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8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contract assets</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435</w:t>
            </w:r>
          </w:p>
        </w:tc>
      </w:tr>
      <w:tr>
        <w:trPr>
          <w:trHeight w:val="209"/>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2,370</w:t>
            </w:r>
          </w:p>
        </w:tc>
      </w:tr>
      <w:tr>
        <w:trPr>
          <w:trHeight w:val="20"/>
        </w:trPr>
        <w:tc>
          <w:tcPr>
            <w:tcW w:w="8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1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Non-current accounts receivable, net</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532</w:t>
            </w:r>
          </w:p>
        </w:tc>
      </w:tr>
      <w:tr>
        <w:trPr>
          <w:trHeight w:val="209"/>
        </w:trPr>
        <w:tc>
          <w:tcPr>
            <w:tcW w:w="8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6075680</wp:posOffset>
            </wp:positionH>
            <wp:positionV relativeFrom="paragraph">
              <wp:posOffset>-607060</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-299085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2022, revenue of $59 million and $310 million, respectively, was recognized that was reflected as deferred revenue at December 31, 2021. During the three months ended June 30, 2022, revenue of $222 million was recognized that was reflected as deferred revenue at March 31, 2022.</w:t>
      </w:r>
    </w:p>
    <w:p>
      <w:pPr>
        <w:spacing w:after="0" w:line="11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revenue of $2 million and $5 million, respectively, related to performance obligations satisfied prior to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0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June 30, 2022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66"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 onward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expected to be recognized on contracts as of June 30,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June 30, 2022 have been excluded from the table above.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03"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7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For the disclosures below, the prior-year periods presented have been recast to exclude the results of Willis Re, which has been reclassified as discontinued operations on the Company’s condensed consolidated financial statements (see Note 3 – Acquisitions and Divestitures).</w:t>
      </w:r>
    </w:p>
    <w:p>
      <w:pPr>
        <w:spacing w:after="0" w:line="9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three months ended June 30, 2022 and 2021. The prior year information has been retrospectively adjusted to conform to the current year presentation.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69"/>
        </w:trPr>
        <w:tc>
          <w:tcPr>
            <w:tcW w:w="3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7"/>
              </w:rPr>
              <w:t>HWC</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Borders>
              <w:bottom w:val="single" w:sz="8" w:color="auto"/>
            </w:tcBorders>
          </w:tcPr>
          <w:p>
            <w:pPr>
              <w:spacing w:after="0"/>
              <w:rPr>
                <w:sz w:val="14"/>
                <w:szCs w:val="14"/>
                <w:color w:val="auto"/>
              </w:rPr>
            </w:pPr>
          </w:p>
        </w:tc>
      </w:tr>
      <w:tr>
        <w:trPr>
          <w:trHeight w:val="169"/>
        </w:trPr>
        <w:tc>
          <w:tcPr>
            <w:tcW w:w="3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9"/>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2,064</w:t>
            </w:r>
          </w:p>
        </w:tc>
      </w:tr>
      <w:tr>
        <w:trPr>
          <w:trHeight w:val="196"/>
        </w:trPr>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3027680</wp:posOffset>
            </wp:positionH>
            <wp:positionV relativeFrom="paragraph">
              <wp:posOffset>-324485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-307340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-324485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-307340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-324485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-307340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-324485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-307340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-324485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-307340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-24765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-7620</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-24765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-24765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six months ended June 30, 2022 and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prior year information has been retrospectively adjusted to conform to the current year presentation.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HWC</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49"/>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FF0FC"/>
          </w:tcPr>
          <w:p>
            <w:pPr>
              <w:spacing w:after="0"/>
              <w:rPr>
                <w:sz w:val="22"/>
                <w:szCs w:val="22"/>
                <w:color w:val="auto"/>
              </w:rPr>
            </w:pPr>
          </w:p>
        </w:tc>
      </w:tr>
      <w:tr>
        <w:trPr>
          <w:trHeight w:val="587"/>
        </w:trPr>
        <w:tc>
          <w:tcPr>
            <w:tcW w:w="36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88"/>
        </w:trPr>
        <w:tc>
          <w:tcPr>
            <w:tcW w:w="36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-778510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-761365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-778510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-761365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-778510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-761365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-778510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-761365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-778510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-761365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-761365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-478790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-461645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-478790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-461645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-478790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-461645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-478790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-461645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-478790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-461645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7" w:name="page18"/>
    <w:bookmarkEnd w:id="17"/>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condensed consolidated statements of comprehensive income amounts reported for the three and six months ended June 30,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20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r>
      <w:tr>
        <w:trPr>
          <w:trHeight w:val="187"/>
        </w:trPr>
        <w:tc>
          <w:tcPr>
            <w:tcW w:w="57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0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revenue</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8"/>
              </w:rPr>
              <w:t>2,011</w:t>
            </w:r>
          </w:p>
        </w:tc>
        <w:tc>
          <w:tcPr>
            <w:tcW w:w="9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2,064</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4,146</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4,221</w:t>
            </w: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Divested businesses</w:t>
            </w: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r>
      <w:tr>
        <w:trPr>
          <w:trHeight w:val="249"/>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2,031</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2,091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4,319</w:t>
            </w:r>
          </w:p>
        </w:tc>
      </w:tr>
      <w:tr>
        <w:trPr>
          <w:trHeight w:val="196"/>
        </w:trPr>
        <w:tc>
          <w:tcPr>
            <w:tcW w:w="5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385</w:t>
            </w:r>
          </w:p>
        </w:tc>
        <w:tc>
          <w:tcPr>
            <w:tcW w:w="90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834</w:t>
            </w:r>
          </w:p>
        </w:tc>
        <w:tc>
          <w:tcPr>
            <w:tcW w:w="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867</w:t>
            </w:r>
          </w:p>
        </w:tc>
      </w:tr>
      <w:tr>
        <w:trPr>
          <w:trHeight w:val="164"/>
        </w:trPr>
        <w:tc>
          <w:tcPr>
            <w:tcW w:w="572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Divested businesses</w:t>
            </w:r>
          </w:p>
        </w:tc>
        <w:tc>
          <w:tcPr>
            <w:tcW w:w="740" w:type="dxa"/>
            <w:vAlign w:val="bottom"/>
          </w:tcPr>
          <w:p>
            <w:pPr>
              <w:spacing w:after="0"/>
              <w:rPr>
                <w:sz w:val="14"/>
                <w:szCs w:val="14"/>
                <w:color w:val="auto"/>
              </w:rPr>
            </w:pPr>
          </w:p>
        </w:tc>
        <w:tc>
          <w:tcPr>
            <w:tcW w:w="560" w:type="dxa"/>
            <w:vAlign w:val="bottom"/>
          </w:tcPr>
          <w:p>
            <w:pPr>
              <w:jc w:val="right"/>
              <w:ind w:right="51"/>
              <w:spacing w:after="0" w:line="16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3"/>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(29 )</w:t>
            </w:r>
          </w:p>
        </w:tc>
      </w:tr>
      <w:tr>
        <w:trPr>
          <w:trHeight w:val="268"/>
        </w:trPr>
        <w:tc>
          <w:tcPr>
            <w:tcW w:w="572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4"/>
                <w:szCs w:val="24"/>
                <w:color w:val="auto"/>
                <w:vertAlign w:val="superscript"/>
              </w:rPr>
              <w:t>(i)</w:t>
            </w:r>
          </w:p>
        </w:tc>
        <w:tc>
          <w:tcPr>
            <w:tcW w:w="740" w:type="dxa"/>
            <w:vAlign w:val="bottom"/>
          </w:tcPr>
          <w:p>
            <w:pPr>
              <w:spacing w:after="0"/>
              <w:rPr>
                <w:sz w:val="23"/>
                <w:szCs w:val="23"/>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164"/>
        </w:trPr>
        <w:tc>
          <w:tcPr>
            <w:tcW w:w="572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(56 )</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ind w:right="5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31"/>
              <w:spacing w:after="0" w:line="164"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Transaction and transformation, net </w:t>
            </w:r>
            <w:r>
              <w:rPr>
                <w:rFonts w:ascii="Times New Roman" w:cs="Times New Roman" w:eastAsia="Times New Roman" w:hAnsi="Times New Roman"/>
                <w:sz w:val="24"/>
                <w:szCs w:val="24"/>
                <w:color w:val="auto"/>
                <w:vertAlign w:val="superscript"/>
              </w:rPr>
              <w:t>(ii)</w:t>
            </w:r>
          </w:p>
        </w:tc>
        <w:tc>
          <w:tcPr>
            <w:tcW w:w="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68"/>
        </w:trPr>
        <w:tc>
          <w:tcPr>
            <w:tcW w:w="572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(iii)</w:t>
            </w:r>
          </w:p>
        </w:tc>
        <w:tc>
          <w:tcPr>
            <w:tcW w:w="7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9"/>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r>
      <w:tr>
        <w:trPr>
          <w:trHeight w:val="249"/>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-1711960</wp:posOffset>
            </wp:positionV>
            <wp:extent cx="939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-1694815</wp:posOffset>
            </wp:positionV>
            <wp:extent cx="939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-1711960</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-1694815</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-1711960</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-1694815</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-24765</wp:posOffset>
            </wp:positionV>
            <wp:extent cx="939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939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impairment related to the net assets of our Russian business that are held outside of our Russian entities (see Note 3 — Acquisitions and Divestitures for further information).</w:t>
      </w:r>
    </w:p>
    <w:p>
      <w:pPr>
        <w:spacing w:after="0" w:line="41" w:lineRule="exact"/>
        <w:rPr>
          <w:rFonts w:ascii="Times New Roman" w:cs="Times New Roman" w:eastAsia="Times New Roman" w:hAnsi="Times New Roman"/>
          <w:sz w:val="14"/>
          <w:szCs w:val="14"/>
          <w:color w:val="auto"/>
        </w:rPr>
      </w:pPr>
    </w:p>
    <w:p>
      <w:pPr>
        <w:ind w:left="280" w:right="120" w:hanging="272"/>
        <w:spacing w:after="0" w:line="271" w:lineRule="auto"/>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2022, in addition to legal fees and other transaction costs, includes primarily consulting fees related to the Transformation program (see Note 6 — Restructuring Costs). In 2021, includes fees related to our then-proposed Aon combination.</w:t>
      </w:r>
    </w:p>
    <w:p>
      <w:pPr>
        <w:ind w:left="280" w:right="100" w:hanging="272"/>
        <w:spacing w:after="0" w:line="278" w:lineRule="auto"/>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17" w:lineRule="exact"/>
        <w:rPr>
          <w:sz w:val="20"/>
          <w:szCs w:val="20"/>
          <w:color w:val="auto"/>
        </w:rPr>
      </w:pPr>
    </w:p>
    <w:p>
      <w:pPr>
        <w:ind w:right="460"/>
        <w:spacing w:after="0" w:line="367" w:lineRule="auto"/>
        <w:rPr>
          <w:sz w:val="20"/>
          <w:szCs w:val="20"/>
          <w:color w:val="auto"/>
        </w:rPr>
      </w:pPr>
      <w:r>
        <w:rPr>
          <w:rFonts w:ascii="Times New Roman" w:cs="Times New Roman" w:eastAsia="Times New Roman" w:hAnsi="Times New Roman"/>
          <w:sz w:val="18"/>
          <w:szCs w:val="18"/>
          <w:color w:val="auto"/>
        </w:rPr>
        <w:t xml:space="preserve">The Company does not currently provide asset information by reportable segment as it does not routinely evaluate the total asset position by segment. </w:t>
      </w:r>
      <w:r>
        <w:rPr>
          <w:rFonts w:ascii="Times New Roman" w:cs="Times New Roman" w:eastAsia="Times New Roman" w:hAnsi="Times New Roman"/>
          <w:sz w:val="18"/>
          <w:szCs w:val="18"/>
          <w:b w:val="1"/>
          <w:bCs w:val="1"/>
          <w:color w:val="auto"/>
        </w:rPr>
        <w:t>Note 6 — Restructuring Costs</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The program is expected to generate annual cost savings of approximately $300 million by the end of 2024. The program is expected to include cumulative costs of approximately $490 million and capital expenditures of approximately $260 million, for a total investment of $750 million. The main categories of charges will be in the following four areas:</w:t>
      </w:r>
    </w:p>
    <w:p>
      <w:pPr>
        <w:spacing w:after="0" w:line="68" w:lineRule="exact"/>
        <w:rPr>
          <w:sz w:val="20"/>
          <w:szCs w:val="20"/>
          <w:color w:val="auto"/>
        </w:rPr>
      </w:pPr>
    </w:p>
    <w:p>
      <w:pPr>
        <w:ind w:left="760" w:right="32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the new ways of working (hybrid work) and includes breakage fees and the impairment of right-of-use assets and other related leasehold assets.</w:t>
      </w:r>
    </w:p>
    <w:p>
      <w:pPr>
        <w:spacing w:after="0" w:line="4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60"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81"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8" w:name="page19"/>
    <w:bookmarkEnd w:id="18"/>
    <w:p>
      <w:pPr>
        <w:spacing w:after="0" w:line="270" w:lineRule="auto"/>
        <w:rPr>
          <w:sz w:val="20"/>
          <w:szCs w:val="20"/>
          <w:color w:val="auto"/>
        </w:rPr>
      </w:pPr>
      <w:r>
        <w:rPr>
          <w:rFonts w:ascii="Times New Roman" w:cs="Times New Roman" w:eastAsia="Times New Roman" w:hAnsi="Times New Roman"/>
          <w:sz w:val="17"/>
          <w:szCs w:val="17"/>
          <w:color w:val="auto"/>
        </w:rPr>
        <w:t xml:space="preserve">Certain costs under the Transformation program are accounted for under ASC 420, </w:t>
      </w:r>
      <w:r>
        <w:rPr>
          <w:rFonts w:ascii="Times New Roman" w:cs="Times New Roman" w:eastAsia="Times New Roman" w:hAnsi="Times New Roman"/>
          <w:sz w:val="17"/>
          <w:szCs w:val="17"/>
          <w:i w:val="1"/>
          <w:iCs w:val="1"/>
          <w:color w:val="auto"/>
        </w:rPr>
        <w:t>Exit or Disposal Cost Obligation,</w:t>
      </w:r>
      <w:r>
        <w:rPr>
          <w:rFonts w:ascii="Times New Roman" w:cs="Times New Roman" w:eastAsia="Times New Roman" w:hAnsi="Times New Roman"/>
          <w:sz w:val="17"/>
          <w:szCs w:val="17"/>
          <w:color w:val="auto"/>
        </w:rPr>
        <w:t xml:space="preserve"> and are included as restructuring costs in the condensed consolidated statements of comprehensive income. Other costs incurred under the Transformation program are included in transaction and transformation, net and were $26 million and $31 million for the three and six months ended June 30, 2022, respectively. An analysis of total restructuring costs incurred under the Transformation program by category and by segment and corporate functions, from commencement to June 30, 2022,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HWC</w:t>
            </w: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R&amp;B</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0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-170815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-170815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1140" w:type="dxa"/>
            <w:vAlign w:val="bottom"/>
            <w:tcBorders>
              <w:top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9"/>
        </w:trPr>
        <w:tc>
          <w:tcPr>
            <w:tcW w:w="4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26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8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140" w:type="dxa"/>
            <w:vAlign w:val="bottom"/>
            <w:tcBorders>
              <w:top w:val="single" w:sz="8" w:color="auto"/>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-589915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-589915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-589915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-589915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-24765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8"/>
          <w:szCs w:val="18"/>
          <w:color w:val="auto"/>
        </w:rPr>
        <w:t>Provision for income taxes for the three and six months ended June 30, 2022 was $19 million and $62 million, respectively, compared to $75 million and $119 million for the three and six months ended June 30, 2021, respectively. The effective tax rates were 10.5% and 18.4% for the three and six months ended June 30, 2022, respectively, and 38.9% and 15.2% for the three and six months ended June 30, 2021, respectively. These effective tax rates are calculated using extended values from the Company’s condensed consolidated statements of comprehensive income and are, therefore, more precise tax rates than can be calculated from rounded values. The prior-year quarter effective tax rate was higher due to the discrete tax effect of the U.K. tax-rate increase enacted in the second quarter of 2021. Accordingly, the Company remeasured its U.K. deferred tax assets and liabilities, which resulted in a $40 million deferred tax expense in the prior-year period. Additionally, the current quarter effective tax rate includes certain discrete tax benefits primarily related to return-to-provision true ups.</w:t>
      </w:r>
    </w:p>
    <w:p>
      <w:pPr>
        <w:spacing w:after="0" w:line="13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The Company records valuation allowances against net deferred tax assets based on whether it is more likely than not that the deferred tax assets will be realized. It has liabilities for uncertain tax positions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$37 million, excluding interest and penalties. The Company believes the outcomes that are reasonably possible within the next 12 months may result in a reduction in the liability for uncertain tax positions of approximately $3 million to $6 million, excluding interest and penalties.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components of goodwill are outlined below for the six months ended June 30, 2022. The prior year segment information has been retrospectively adjusted to conform to the current year presentation.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7,904</w:t>
            </w:r>
          </w:p>
        </w:tc>
        <w:tc>
          <w:tcPr>
            <w:tcW w:w="10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2,771</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10,675</w:t>
            </w:r>
          </w:p>
        </w:tc>
      </w:tr>
      <w:tr>
        <w:trPr>
          <w:trHeight w:val="216"/>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2021</w:t>
            </w:r>
          </w:p>
        </w:tc>
        <w:tc>
          <w:tcPr>
            <w:tcW w:w="88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7,774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10,183</w:t>
            </w: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disposals</w:t>
            </w:r>
          </w:p>
        </w:tc>
        <w:tc>
          <w:tcPr>
            <w:tcW w:w="88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7,869</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10,650</w:t>
            </w: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49"/>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June 30, 2022</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7,739</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2,419</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-1146810</wp:posOffset>
            </wp:positionV>
            <wp:extent cx="102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-1146810</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-589915</wp:posOffset>
            </wp:positionV>
            <wp:extent cx="1028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-589915</wp:posOffset>
            </wp:positionV>
            <wp:extent cx="102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-24765</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1028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1028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w:t>
      </w:r>
      <w:r>
        <w:rPr>
          <w:rFonts w:ascii="Times New Roman" w:cs="Times New Roman" w:eastAsia="Times New Roman" w:hAnsi="Times New Roman"/>
          <w:sz w:val="17"/>
          <w:szCs w:val="17"/>
          <w:color w:val="auto"/>
        </w:rPr>
        <w:t>g table reflects changes in the net carrying amounts of the components of finite-lived intangible assets for the six months ended June 30,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80" w:type="dxa"/>
            <w:vAlign w:val="bottom"/>
          </w:tcPr>
          <w:p>
            <w:pPr>
              <w:spacing w:after="0"/>
              <w:rPr>
                <w:sz w:val="13"/>
                <w:szCs w:val="13"/>
                <w:color w:val="auto"/>
              </w:rPr>
            </w:pPr>
          </w:p>
        </w:tc>
        <w:tc>
          <w:tcPr>
            <w:tcW w:w="120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3,794</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1,039</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(2,118 )</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(3,122 )</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2021</w:t>
            </w:r>
          </w:p>
        </w:tc>
        <w:tc>
          <w:tcPr>
            <w:tcW w:w="1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disposals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3,760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(2,176 )</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(3,209 )</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June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1,584</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761</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-1283970</wp:posOffset>
            </wp:positionV>
            <wp:extent cx="1885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-1283970</wp:posOffset>
            </wp:positionV>
            <wp:extent cx="1797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-1283970</wp:posOffset>
            </wp:positionV>
            <wp:extent cx="1797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-1283970</wp:posOffset>
            </wp:positionV>
            <wp:extent cx="1797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-170815</wp:posOffset>
            </wp:positionV>
            <wp:extent cx="1885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-170815</wp:posOffset>
            </wp:positionV>
            <wp:extent cx="1797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-170815</wp:posOffset>
            </wp:positionV>
            <wp:extent cx="1797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-170815</wp:posOffset>
            </wp:positionV>
            <wp:extent cx="1797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June 30, 2022 was 12.7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2022 and for subsequent years: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56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1,365</w:t>
            </w: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2,408</w:t>
            </w:r>
          </w:p>
        </w:tc>
      </w:tr>
      <w:tr>
        <w:trPr>
          <w:trHeight w:val="587"/>
        </w:trPr>
        <w:tc>
          <w:tcPr>
            <w:tcW w:w="3480" w:type="dxa"/>
            <w:vAlign w:val="bottom"/>
          </w:tcPr>
          <w:p>
            <w:pPr>
              <w:spacing w:after="0"/>
              <w:rPr>
                <w:sz w:val="24"/>
                <w:szCs w:val="24"/>
                <w:color w:val="auto"/>
              </w:rPr>
            </w:pPr>
          </w:p>
        </w:tc>
        <w:tc>
          <w:tcPr>
            <w:tcW w:w="5680" w:type="dxa"/>
            <w:vAlign w:val="bottom"/>
          </w:tcPr>
          <w:p>
            <w:pPr>
              <w:jc w:val="right"/>
              <w:ind w:right="335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1"/>
        </w:trPr>
        <w:tc>
          <w:tcPr>
            <w:tcW w:w="3480" w:type="dxa"/>
            <w:vAlign w:val="bottom"/>
            <w:tcBorders>
              <w:bottom w:val="single" w:sz="8" w:color="9A9A9A"/>
            </w:tcBorders>
          </w:tcPr>
          <w:p>
            <w:pPr>
              <w:spacing w:after="0"/>
              <w:rPr>
                <w:sz w:val="8"/>
                <w:szCs w:val="8"/>
                <w:color w:val="auto"/>
              </w:rPr>
            </w:pPr>
          </w:p>
        </w:tc>
        <w:tc>
          <w:tcPr>
            <w:tcW w:w="56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Note 17 — Accumulated Other Comprehensive Loss.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Risk</w:t>
      </w:r>
    </w:p>
    <w:p>
      <w:pPr>
        <w:spacing w:after="0" w:line="1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Certain non-U.S</w:t>
      </w:r>
      <w:r>
        <w:rPr>
          <w:rFonts w:ascii="Times New Roman" w:cs="Times New Roman" w:eastAsia="Times New Roman" w:hAnsi="Times New Roman"/>
          <w:sz w:val="17"/>
          <w:szCs w:val="17"/>
          <w:color w:val="auto"/>
        </w:rPr>
        <w:t>. subsidiaries receive revenue and incur expenses in currencies other than their functional currency, and as a result, the foreign subsidiary’s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 To reduce such variability, we use foreign exchange contracts to hedge against this currency risk.</w:t>
      </w:r>
    </w:p>
    <w:p>
      <w:pPr>
        <w:spacing w:after="0" w:line="32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June 30, 2022 and December 31, 2021 had total notional amounts of $134 million and $155 million, respectively, and had a net liability fair value of $5 million and a net asset fair value of $3 million, respectively.</w:t>
      </w:r>
    </w:p>
    <w:p>
      <w:pPr>
        <w:spacing w:after="0" w:line="10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At June 30, 2022, the Company estimates, based on current exchange rates, there will be $4 million of net derivative losses on forward exchange rates reclassified from accumulated other comprehensive loss into earnings within the next twelve months as the forecast transactions affect earnings. At June 30, 2022, our longest outstanding maturity was 1.7 years.</w:t>
      </w:r>
    </w:p>
    <w:p>
      <w:pPr>
        <w:spacing w:after="0" w:line="129"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and six months ended June 30, 2022 and 2021 are below. Amounts pertaining to the ineffective portion of hedging instruments and those excluded from effectiveness testing were immaterial for the three and six months ended June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(Loss)/gain recognized in OCI (effective element)</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40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30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080" w:type="dxa"/>
            <w:vAlign w:val="bottom"/>
            <w:tcBorders>
              <w:top w:val="single" w:sz="8" w:color="auto"/>
              <w:bottom w:val="single" w:sz="8" w:color="auto"/>
            </w:tcBorders>
            <w:shd w:val="clear" w:color="auto" w:fill="CFF0FC"/>
          </w:tcPr>
          <w:p>
            <w:pPr>
              <w:jc w:val="right"/>
              <w:ind w:right="92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-7620</wp:posOffset>
            </wp:positionV>
            <wp:extent cx="137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1282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1282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p>
      <w:pPr>
        <w:spacing w:after="0" w:line="312"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b w:val="1"/>
          <w:bCs w:val="1"/>
          <w:color w:val="auto"/>
        </w:rPr>
        <w:t>Location of 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6543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54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16510</wp:posOffset>
            </wp:positionV>
            <wp:extent cx="42729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3900" w:space="520"/>
            <w:col w:w="6820"/>
          </w:cols>
          <w:pgMar w:left="320" w:top="319"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288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44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(1 )</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r>
      <w:tr>
        <w:trPr>
          <w:trHeight w:val="22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(1 )</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19"/>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10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6"/>
        </w:trPr>
        <w:tc>
          <w:tcPr>
            <w:tcW w:w="440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r>
      <w:tr>
        <w:trPr>
          <w:trHeight w:val="20"/>
        </w:trPr>
        <w:tc>
          <w:tcPr>
            <w:tcW w:w="4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-161925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-161925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-161925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We also enter into foreign currency transactions, primarily to hedge certain intercompany loans and other balance sheet exposures in currencies other than the functional currency of a given entity. These derivatives are not generally designated as hedging instruments, and at June 30, 2022 and December 31, 2021, we had notional amounts of $2.0 billion and $2.9 billion, respectively. At June 30, 2022 and December 31, 2021, we had a net liability fair value of $11 million and a net asset fair value of $15 million, respectively.</w:t>
      </w:r>
    </w:p>
    <w:p>
      <w:pPr>
        <w:spacing w:after="0" w:line="13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and six months ended June 30, 2022 and 2021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Loss recognized in income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gridSpan w:val="6"/>
          </w:tcPr>
          <w:p>
            <w:pPr>
              <w:jc w:val="center"/>
              <w:ind w:right="679"/>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gridSpan w:val="4"/>
          </w:tcPr>
          <w:p>
            <w:pPr>
              <w:jc w:val="center"/>
              <w:ind w:right="304"/>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0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40" w:type="dxa"/>
            <w:vAlign w:val="bottom"/>
          </w:tcPr>
          <w:p>
            <w:pPr>
              <w:spacing w:after="0"/>
              <w:rPr>
                <w:sz w:val="11"/>
                <w:szCs w:val="11"/>
                <w:color w:val="auto"/>
              </w:rPr>
            </w:pPr>
          </w:p>
        </w:tc>
        <w:tc>
          <w:tcPr>
            <w:tcW w:w="23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Location of loss</w:t>
            </w:r>
          </w:p>
        </w:tc>
        <w:tc>
          <w:tcPr>
            <w:tcW w:w="240" w:type="dxa"/>
            <w:vAlign w:val="bottom"/>
          </w:tcPr>
          <w:p>
            <w:pPr>
              <w:spacing w:after="0"/>
              <w:rPr>
                <w:sz w:val="11"/>
                <w:szCs w:val="11"/>
                <w:color w:val="auto"/>
              </w:rPr>
            </w:pPr>
          </w:p>
        </w:tc>
        <w:tc>
          <w:tcPr>
            <w:tcW w:w="98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7"/>
        </w:trPr>
        <w:tc>
          <w:tcPr>
            <w:tcW w:w="36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4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-24765</wp:posOffset>
            </wp:positionV>
            <wp:extent cx="939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-7620</wp:posOffset>
            </wp:positionV>
            <wp:extent cx="939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-24765</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-7620</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54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FF0FC"/>
            </w:tcBorders>
            <w:shd w:val="clear" w:color="auto" w:fill="CFF0FC"/>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2.125% senior notes due 2022 </w:t>
            </w:r>
            <w:r>
              <w:rPr>
                <w:rFonts w:ascii="Times New Roman" w:cs="Times New Roman" w:eastAsia="Times New Roman" w:hAnsi="Times New Roman"/>
                <w:sz w:val="24"/>
                <w:szCs w:val="24"/>
                <w:color w:val="auto"/>
                <w:vertAlign w:val="superscript"/>
              </w:rPr>
              <w:t>(i)</w:t>
            </w:r>
          </w:p>
        </w:tc>
        <w:tc>
          <w:tcPr>
            <w:tcW w:w="1180" w:type="dxa"/>
            <w:vAlign w:val="bottom"/>
            <w:tcBorders>
              <w:bottom w:val="single" w:sz="8" w:color="auto"/>
            </w:tcBorders>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1180" w:type="dxa"/>
            <w:vAlign w:val="bottom"/>
            <w:gridSpan w:val="2"/>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540" w:type="dxa"/>
            <w:vAlign w:val="bottom"/>
          </w:tcPr>
          <w:p>
            <w:pPr>
              <w:spacing w:after="0"/>
              <w:rPr>
                <w:sz w:val="16"/>
                <w:szCs w:val="16"/>
                <w:color w:val="auto"/>
              </w:rPr>
            </w:pP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gridSpan w:val="2"/>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4.625% senior notes due 2023</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3.600% senior notes due 2024</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9"/>
        </w:trPr>
        <w:tc>
          <w:tcPr>
            <w:tcW w:w="75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-2319655</wp:posOffset>
            </wp:positionV>
            <wp:extent cx="111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1200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1200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Notes issued in Euro (€540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0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On May 19, 2022, the Company, together with its wholly-owned subsidiary, Willis North America Inc. as issuer, completed an offering of $750 million aggregate principal amount of 4.650% senior notes due 2027 (‘2027 senior notes’). The effective interest rate of the 2027 senior notes is 4.79%, which includes the impact of the discount upon issuance. The 2027 senior notes will mature on June 15, 2027. Interest on the 2027 senior notes accrues from May 19, 2022 and will be paid in cash on June 15 and December 15 of each year, commencing on December 15, 2022. The net proceeds from this offering, after deducting the underwriting discount and estimated offering expenses, were approximately $744 million and were used to fully repay the €540 million ($582 million on the date of repayment) aggregate principal amount of the 2.125% Senior Notes due 2022 and related accrued interest, and for general corporate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and December 31, 2021, we were in compliance with all financial covenants.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are classified as Level 1 because we use quoted market prices in determining the fair value of these securities.</w:t>
      </w:r>
    </w:p>
    <w:p>
      <w:pPr>
        <w:spacing w:after="0" w:line="103" w:lineRule="exact"/>
        <w:rPr>
          <w:rFonts w:ascii="Times New Roman" w:cs="Times New Roman" w:eastAsia="Times New Roman" w:hAnsi="Times New Roman"/>
          <w:sz w:val="18"/>
          <w:szCs w:val="18"/>
          <w:color w:val="auto"/>
        </w:rPr>
      </w:pPr>
    </w:p>
    <w:p>
      <w:pPr>
        <w:ind w:left="760" w:right="80" w:hanging="378"/>
        <w:spacing w:after="0" w:line="258"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 of forward foreign exchange contracts based on estimated amounts the Company would receive or have to pay to terminate the agreements, taking into account observable information about the current foreign currency forward rates. Such financial instruments are classified as Level 2 in the fair value hierarchy.</w:t>
      </w:r>
    </w:p>
    <w:p>
      <w:pPr>
        <w:spacing w:after="0" w:line="60" w:lineRule="exact"/>
        <w:rPr>
          <w:rFonts w:ascii="Times New Roman" w:cs="Times New Roman" w:eastAsia="Times New Roman" w:hAnsi="Times New Roman"/>
          <w:sz w:val="18"/>
          <w:szCs w:val="18"/>
          <w:color w:val="auto"/>
        </w:rPr>
      </w:pPr>
    </w:p>
    <w:p>
      <w:pPr>
        <w:ind w:left="760" w:right="60" w:hanging="378"/>
        <w:spacing w:after="0" w:line="25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The following tables present our assets and liabilities measured at fair value on a recurring basis at June 30, 2022 and December 31, 2021:</w:t>
      </w:r>
    </w:p>
    <w:p>
      <w:pPr>
        <w:sectPr>
          <w:pgSz w:w="11900" w:h="16838" w:orient="portrait"/>
          <w:cols w:equalWidth="0" w:num="1">
            <w:col w:w="11240"/>
          </w:cols>
          <w:pgMar w:left="320" w:top="48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33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Mutual funds / exchange traded funds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Fiduciary assets</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80"/>
              <w:spacing w:after="0" w:line="190" w:lineRule="exact"/>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86"/>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86"/>
        </w:trPr>
        <w:tc>
          <w:tcPr>
            <w:tcW w:w="3460" w:type="dxa"/>
            <w:vAlign w:val="bottom"/>
            <w:vMerge w:val="continue"/>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(ii)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3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0" w:type="dxa"/>
            <w:vAlign w:val="bottom"/>
          </w:tcPr>
          <w:p>
            <w:pPr>
              <w:spacing w:after="0"/>
              <w:rPr>
                <w:sz w:val="1"/>
                <w:szCs w:val="1"/>
                <w:color w:val="auto"/>
              </w:rPr>
            </w:pPr>
          </w:p>
        </w:tc>
      </w:tr>
      <w:tr>
        <w:trPr>
          <w:trHeight w:val="666"/>
        </w:trPr>
        <w:tc>
          <w:tcPr>
            <w:tcW w:w="3460" w:type="dxa"/>
            <w:vAlign w:val="bottom"/>
          </w:tcPr>
          <w:p>
            <w:pPr>
              <w:spacing w:after="0"/>
              <w:rPr>
                <w:sz w:val="24"/>
                <w:szCs w:val="24"/>
                <w:color w:val="auto"/>
              </w:rPr>
            </w:pPr>
          </w:p>
        </w:tc>
        <w:tc>
          <w:tcPr>
            <w:tcW w:w="33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Mutual funds / exchange traded funds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Fiduciary assets</w:t>
            </w:r>
          </w:p>
        </w:tc>
        <w:tc>
          <w:tcPr>
            <w:tcW w:w="0" w:type="dxa"/>
            <w:vAlign w:val="bottom"/>
          </w:tcPr>
          <w:p>
            <w:pPr>
              <w:spacing w:after="0"/>
              <w:rPr>
                <w:sz w:val="1"/>
                <w:szCs w:val="1"/>
                <w:color w:val="auto"/>
              </w:rPr>
            </w:pPr>
          </w:p>
        </w:tc>
      </w:tr>
      <w:tr>
        <w:trPr>
          <w:trHeight w:val="187"/>
        </w:trPr>
        <w:tc>
          <w:tcPr>
            <w:tcW w:w="3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Certificates of deposit/term deposits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86"/>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77"/>
        </w:trPr>
        <w:tc>
          <w:tcPr>
            <w:tcW w:w="346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80"/>
              <w:spacing w:after="0" w:line="176" w:lineRule="exact"/>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86"/>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86"/>
        </w:trPr>
        <w:tc>
          <w:tcPr>
            <w:tcW w:w="3460" w:type="dxa"/>
            <w:vAlign w:val="bottom"/>
            <w:vMerge w:val="continue"/>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60" w:type="dxa"/>
            <w:vAlign w:val="bottom"/>
          </w:tcPr>
          <w:p>
            <w:pPr>
              <w:ind w:left="180"/>
              <w:spacing w:after="0" w:line="228" w:lineRule="exact"/>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(ii)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0" w:type="dxa"/>
            <w:vAlign w:val="bottom"/>
          </w:tcPr>
          <w:p>
            <w:pPr>
              <w:spacing w:after="0"/>
              <w:rPr>
                <w:sz w:val="1"/>
                <w:szCs w:val="1"/>
                <w:color w:val="auto"/>
              </w:rPr>
            </w:pPr>
          </w:p>
        </w:tc>
      </w:tr>
      <w:tr>
        <w:trPr>
          <w:trHeight w:val="204"/>
        </w:trPr>
        <w:tc>
          <w:tcPr>
            <w:tcW w:w="34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-3938905</wp:posOffset>
            </wp:positionV>
            <wp:extent cx="7132320" cy="1282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-3682365</wp:posOffset>
            </wp:positionV>
            <wp:extent cx="7132320" cy="2057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-3339465</wp:posOffset>
            </wp:positionV>
            <wp:extent cx="713232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-2997200</wp:posOffset>
            </wp:positionV>
            <wp:extent cx="71323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-2723515</wp:posOffset>
            </wp:positionV>
            <wp:extent cx="71323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-2449195</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-1858645</wp:posOffset>
            </wp:positionV>
            <wp:extent cx="7132320" cy="1282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-1601470</wp:posOffset>
            </wp:positionV>
            <wp:extent cx="7132320" cy="205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2057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2057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9505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June 30, 2022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70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60" w:type="dxa"/>
            <w:vAlign w:val="bottom"/>
          </w:tcPr>
          <w:p>
            <w:pPr>
              <w:spacing w:after="0"/>
              <w:rPr>
                <w:sz w:val="20"/>
                <w:szCs w:val="20"/>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w:t>
            </w:r>
          </w:p>
        </w:tc>
      </w:tr>
      <w:tr>
        <w:trPr>
          <w:trHeight w:val="53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r>
      <w:tr>
        <w:trPr>
          <w:trHeight w:val="64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r>
      <w:tr>
        <w:trPr>
          <w:trHeight w:val="431"/>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r>
      <w:tr>
        <w:trPr>
          <w:trHeight w:val="334"/>
        </w:trPr>
        <w:tc>
          <w:tcPr>
            <w:tcW w:w="160" w:type="dxa"/>
            <w:vAlign w:val="bottom"/>
          </w:tcPr>
          <w:p>
            <w:pPr>
              <w:spacing w:after="0"/>
              <w:rPr>
                <w:sz w:val="24"/>
                <w:szCs w:val="24"/>
                <w:color w:val="auto"/>
              </w:rPr>
            </w:pPr>
          </w:p>
        </w:tc>
        <w:tc>
          <w:tcPr>
            <w:tcW w:w="3400" w:type="dxa"/>
            <w:vAlign w:val="bottom"/>
            <w:gridSpan w:val="9"/>
          </w:tcPr>
          <w:p>
            <w:pPr>
              <w:jc w:val="center"/>
              <w:ind w:left="375"/>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tc>
        <w:tc>
          <w:tcPr>
            <w:tcW w:w="720" w:type="dxa"/>
            <w:vAlign w:val="bottom"/>
          </w:tcPr>
          <w:p>
            <w:pPr>
              <w:spacing w:after="0"/>
              <w:rPr>
                <w:sz w:val="24"/>
                <w:szCs w:val="24"/>
                <w:color w:val="auto"/>
              </w:rPr>
            </w:pPr>
          </w:p>
        </w:tc>
      </w:tr>
      <w:tr>
        <w:trPr>
          <w:trHeight w:val="178"/>
        </w:trPr>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69"/>
        </w:trPr>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70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60" w:type="dxa"/>
            <w:vAlign w:val="bottom"/>
          </w:tcPr>
          <w:p>
            <w:pPr>
              <w:spacing w:after="0"/>
              <w:rPr>
                <w:sz w:val="20"/>
                <w:szCs w:val="20"/>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152</w:t>
            </w:r>
          </w:p>
        </w:tc>
      </w:tr>
      <w:tr>
        <w:trPr>
          <w:trHeight w:val="324"/>
        </w:trPr>
        <w:tc>
          <w:tcPr>
            <w:tcW w:w="160" w:type="dxa"/>
            <w:vAlign w:val="bottom"/>
          </w:tcPr>
          <w:p>
            <w:pPr>
              <w:spacing w:after="0"/>
              <w:rPr>
                <w:sz w:val="24"/>
                <w:szCs w:val="24"/>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r>
      <w:tr>
        <w:trPr>
          <w:trHeight w:val="53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r>
      <w:tr>
        <w:trPr>
          <w:trHeight w:val="64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w:t>
            </w:r>
          </w:p>
        </w:tc>
      </w:tr>
      <w:tr>
        <w:trPr>
          <w:trHeight w:val="431"/>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bl>
    <w:p>
      <w:pPr>
        <w:spacing w:after="0" w:line="241" w:lineRule="exact"/>
        <w:rPr>
          <w:sz w:val="20"/>
          <w:szCs w:val="20"/>
          <w:color w:val="auto"/>
        </w:rPr>
      </w:pPr>
    </w:p>
    <w:p>
      <w:pPr>
        <w:sectPr>
          <w:pgSz w:w="11900" w:h="16838" w:orient="portrait"/>
          <w:cols w:equalWidth="0" w:num="2">
            <w:col w:w="6840" w:space="120"/>
            <w:col w:w="4280"/>
          </w:cols>
          <w:pgMar w:left="320" w:top="485" w:right="339" w:bottom="1440" w:gutter="0" w:footer="0" w:header="0"/>
          <w:type w:val="continuous"/>
        </w:sectPr>
      </w:pPr>
    </w:p>
    <w:p>
      <w:pPr>
        <w:spacing w:after="0" w:line="18"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investments.</w:t>
      </w:r>
    </w:p>
    <w:p>
      <w:pPr>
        <w:spacing w:after="0" w:line="27" w:lineRule="exact"/>
        <w:rPr>
          <w:rFonts w:ascii="Times New Roman" w:cs="Times New Roman" w:eastAsia="Times New Roman" w:hAnsi="Times New Roman"/>
          <w:sz w:val="14"/>
          <w:szCs w:val="14"/>
          <w:color w:val="auto"/>
        </w:rPr>
      </w:pPr>
    </w:p>
    <w:p>
      <w:pPr>
        <w:ind w:left="280" w:right="40" w:hanging="272"/>
        <w:spacing w:after="0" w:line="269"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12.00% and 11.92% at June 30, 2022 and December 31, 2021, respectively. The range of these discount rates was 3.53% - 13.80% at June 30, 2022. Using different probability weightings and discount rates could result in an increase or decrease of the contingent consideration payable.</w:t>
      </w:r>
    </w:p>
    <w:p>
      <w:pPr>
        <w:sectPr>
          <w:pgSz w:w="11900" w:h="16838" w:orient="portrait"/>
          <w:cols w:equalWidth="0" w:num="1">
            <w:col w:w="11240"/>
          </w:cols>
          <w:pgMar w:left="320" w:top="485" w:right="33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Obligations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line="229" w:lineRule="auto"/>
        <w:rPr>
          <w:sz w:val="20"/>
          <w:szCs w:val="20"/>
          <w:color w:val="auto"/>
        </w:rPr>
      </w:pPr>
      <w:r>
        <w:rPr>
          <w:rFonts w:ascii="Times New Roman" w:cs="Times New Roman" w:eastAsia="Times New Roman" w:hAnsi="Times New Roman"/>
          <w:sz w:val="18"/>
          <w:szCs w:val="18"/>
          <w:color w:val="auto"/>
        </w:rPr>
        <w:t>Payments</w:t>
      </w:r>
    </w:p>
    <w:p>
      <w:pPr>
        <w:ind w:left="200"/>
        <w:spacing w:after="0" w:line="224" w:lineRule="auto"/>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Foreign exchange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05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191"/>
        </w:trPr>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51</w:t>
            </w:r>
          </w:p>
        </w:tc>
      </w:tr>
      <w:tr>
        <w:trPr>
          <w:trHeight w:val="216"/>
        </w:trPr>
        <w:tc>
          <w:tcPr>
            <w:tcW w:w="28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28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80" w:space="720"/>
            <w:col w:w="2040"/>
          </w:cols>
          <w:pgMar w:left="320" w:top="485" w:right="339" w:bottom="1440" w:gutter="0" w:footer="0" w:header="0"/>
          <w:type w:val="continuous"/>
        </w:sectPr>
      </w:pPr>
    </w:p>
    <w:p>
      <w:pPr>
        <w:spacing w:after="0" w:line="47" w:lineRule="exact"/>
        <w:rPr>
          <w:sz w:val="20"/>
          <w:szCs w:val="20"/>
          <w:color w:val="auto"/>
        </w:rPr>
      </w:pPr>
    </w:p>
    <w:p>
      <w:pPr>
        <w:ind w:left="280" w:right="740" w:hanging="272"/>
        <w:spacing w:after="0" w:line="278" w:lineRule="auto"/>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to or from Level 3 in the six months ended June 30, 2022.</w:t>
      </w:r>
    </w:p>
    <w:p>
      <w:pPr>
        <w:spacing w:after="0" w:line="1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Fair value information about financial instruments not measured at fair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w:t>
      </w:r>
      <w:r>
        <w:rPr>
          <w:rFonts w:ascii="Times New Roman" w:cs="Times New Roman" w:eastAsia="Times New Roman" w:hAnsi="Times New Roman"/>
          <w:sz w:val="17"/>
          <w:szCs w:val="17"/>
          <w:color w:val="auto"/>
        </w:rPr>
        <w:t>owing tables present our liabilities not measured at fair value on a recurring basis at June 30, 2022 and December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580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note receivable</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4,720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4,465</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3,974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4,453</w:t>
            </w:r>
          </w:p>
        </w:tc>
      </w:tr>
    </w:tbl>
    <w:p>
      <w:pPr>
        <w:spacing w:after="0" w:line="19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 and Post-retirement Welfare Plans</w:t>
      </w:r>
    </w:p>
    <w:p>
      <w:pPr>
        <w:spacing w:after="0" w:line="10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and other post-retirement welfare (‘PRW’)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99% of WTW’s pension and PRW obligations and are disclosed herein.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Components of Net Periodic Benefit (Income)/Cost for Defined Benefit Pension and Post-retirement Welfare Plans</w:t>
      </w:r>
    </w:p>
    <w:p>
      <w:pPr>
        <w:spacing w:after="0" w:line="110"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6"/>
          <w:szCs w:val="16"/>
          <w:color w:val="auto"/>
        </w:rPr>
        <w:t>The foll</w:t>
      </w:r>
      <w:r>
        <w:rPr>
          <w:rFonts w:ascii="Times New Roman" w:cs="Times New Roman" w:eastAsia="Times New Roman" w:hAnsi="Times New Roman"/>
          <w:sz w:val="17"/>
          <w:szCs w:val="17"/>
          <w:color w:val="auto"/>
        </w:rPr>
        <w:t>owing tables set forth the components of net periodic benefit (income)/cost for the Company’s defined benefit pension and PRW plans for the three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and six months ended June 30, 2022 and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69"/>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69"/>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U.K.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PRW</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U.K.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PRW</w:t>
            </w:r>
          </w:p>
        </w:tc>
      </w:tr>
      <w:tr>
        <w:trPr>
          <w:trHeight w:val="19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2"/>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36"/>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r>
      <w:tr>
        <w:trPr>
          <w:trHeight w:val="358"/>
        </w:trPr>
        <w:tc>
          <w:tcPr>
            <w:tcW w:w="3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82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U.K.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PRW</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PRW</w:t>
            </w:r>
          </w:p>
        </w:tc>
        <w:tc>
          <w:tcPr>
            <w:tcW w:w="100" w:type="dxa"/>
            <w:vAlign w:val="bottom"/>
          </w:tcPr>
          <w:p>
            <w:pPr>
              <w:spacing w:after="0"/>
              <w:rPr>
                <w:sz w:val="14"/>
                <w:szCs w:val="14"/>
                <w:color w:val="auto"/>
              </w:rPr>
            </w:pPr>
          </w:p>
        </w:tc>
      </w:tr>
      <w:tr>
        <w:trPr>
          <w:trHeight w:val="19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2"/>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(165 )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(76 )</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(86 )</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(19 )</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r>
      <w:tr>
        <w:trPr>
          <w:trHeight w:val="236"/>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-1446530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-1429385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-1446530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-1429385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-1446530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-1429385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-1446530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-1429385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-1446530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-1429385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-1446530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-1429385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-1446530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-1429385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-24765</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-7620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-24765</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-7620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-24765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-7620</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0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did not make any contributions to its U.S. plans during the six months ended June 30, 2022 and currently does not anticipate making contributions over the remainder of the fiscal year. The Company made contributions of $16 million to its U.K. plans for the six months ended June 30, 2022 and anticipates making additional contributions of $23 million for the remainder of the fiscal year. The Company made contributions of $18 million to its other plans for the six months ended June 30, 2022 and anticipates making additional contributions of $6 million for the remainder of the fiscal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0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Company made contributions to its defined contribution plans of $38 million and $80 million during the three and six months ended June 30, 2022, respectively, and $39 million and $82 million during the three and six months ended June 30, 2021, respectively.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lease costs recorded on our condensed consolidated statements of comprehensive income for the three and six months ended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544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9"/>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 net</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5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-170815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-170815</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-170815</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condensed consolidated statements of comprehensive income. Amortization of the finance lease right-of-use assets is included in depreciation, while the interest cost component of these finance leases is included in interest expense. All other costs are included in other operating expenses, with the exception of $26 million and $31 million, respectively, incurred during the three and six months ended June 30, 2022 that was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acceleration of amortization of certain abandoned right-of-use assets and the payment of early termination fees. There are no significant lease costs that have been included as discontinued operations in the condensed consolidated statements of comprehensive income during the three and six months ended June 30, 2022 and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0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We expect the impact of claims or demands not described below to be immaterial to the Company’s condensed consolidated financial statements. The Company also receives subpoenas in the ordinary course of business and, from time to time, receives requests for information in connection with governmental investigations.</w:t>
      </w:r>
    </w:p>
    <w:p>
      <w:pPr>
        <w:spacing w:after="0" w:line="12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June 30, 2022 and December 31, 2021 in the condensed consolidated balance sheets.</w:t>
      </w:r>
    </w:p>
    <w:p>
      <w:pPr>
        <w:spacing w:after="0" w:line="12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particular quarterly or annual periods. In addition, given the early stages of some litigation or regulatory proceedings described below, it may not be possible to predict their outcomes or resolutions, and it is possible that any one or more of these events may have a material adverse effect on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25" w:name="page26"/>
    <w:bookmarkEnd w:id="25"/>
    <w:p>
      <w:pPr>
        <w:ind w:right="200"/>
        <w:spacing w:after="0" w:line="281"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40" w:lineRule="exact"/>
        <w:rPr>
          <w:sz w:val="20"/>
          <w:szCs w:val="20"/>
          <w:color w:val="auto"/>
        </w:rPr>
      </w:pPr>
    </w:p>
    <w:p>
      <w:pPr>
        <w:ind w:right="5440"/>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Note 15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Prepaid and other current assets consist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640" w:type="dxa"/>
            <w:vAlign w:val="bottom"/>
            <w:gridSpan w:val="4"/>
          </w:tcPr>
          <w:p>
            <w:pPr>
              <w:jc w:val="center"/>
              <w:ind w:left="28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480" w:type="dxa"/>
            <w:vAlign w:val="bottom"/>
            <w:shd w:val="clear" w:color="auto" w:fill="CFF0FC"/>
          </w:tcPr>
          <w:p>
            <w:pPr>
              <w:spacing w:after="0"/>
              <w:rPr>
                <w:sz w:val="18"/>
                <w:szCs w:val="18"/>
                <w:color w:val="auto"/>
              </w:rPr>
            </w:pPr>
          </w:p>
        </w:tc>
        <w:tc>
          <w:tcPr>
            <w:tcW w:w="1160" w:type="dxa"/>
            <w:vAlign w:val="bottom"/>
            <w:tcBorders>
              <w:top w:val="single" w:sz="8" w:color="auto"/>
            </w:tcBorders>
            <w:gridSpan w:val="3"/>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2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4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gridSpan w:val="3"/>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accrued expenses consist of the following:</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64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accrued liabilities and deferred income</w:t>
            </w:r>
          </w:p>
        </w:tc>
        <w:tc>
          <w:tcPr>
            <w:tcW w:w="2520" w:type="dxa"/>
            <w:vAlign w:val="bottom"/>
            <w:gridSpan w:val="2"/>
            <w:shd w:val="clear" w:color="auto" w:fill="CFF0FC"/>
          </w:tcPr>
          <w:p>
            <w:pPr>
              <w:spacing w:after="0"/>
              <w:rPr>
                <w:sz w:val="18"/>
                <w:szCs w:val="18"/>
                <w:color w:val="auto"/>
              </w:rPr>
            </w:pPr>
          </w:p>
        </w:tc>
        <w:tc>
          <w:tcPr>
            <w:tcW w:w="1120" w:type="dxa"/>
            <w:vAlign w:val="bottom"/>
            <w:tcBorders>
              <w:top w:val="single" w:sz="8" w:color="auto"/>
            </w:tcBorders>
            <w:gridSpan w:val="2"/>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gridSpan w:val="2"/>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2520" w:type="dxa"/>
            <w:vAlign w:val="bottom"/>
            <w:tcBorders>
              <w:bottom w:val="single" w:sz="8" w:color="CFF0FC"/>
            </w:tcBorders>
            <w:gridSpan w:val="2"/>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1,534</w:t>
            </w:r>
          </w:p>
        </w:tc>
        <w:tc>
          <w:tcPr>
            <w:tcW w:w="4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64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2560" w:type="dxa"/>
            <w:vAlign w:val="bottom"/>
            <w:gridSpan w:val="3"/>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gridSpan w:val="3"/>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provisions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2560" w:type="dxa"/>
            <w:vAlign w:val="bottom"/>
            <w:tcBorders>
              <w:bottom w:val="single" w:sz="8" w:color="CFF0FC"/>
            </w:tcBorders>
            <w:gridSpan w:val="3"/>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gridSpan w:val="3"/>
            <w:shd w:val="clear" w:color="auto" w:fill="CFF0FC"/>
          </w:tcPr>
          <w:p>
            <w:pPr>
              <w:spacing w:after="0"/>
              <w:rPr>
                <w:sz w:val="21"/>
                <w:szCs w:val="21"/>
                <w:color w:val="auto"/>
              </w:rPr>
            </w:pPr>
          </w:p>
        </w:tc>
        <w:tc>
          <w:tcPr>
            <w:tcW w:w="26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consists of the following:</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640" w:type="dxa"/>
            <w:vAlign w:val="bottom"/>
            <w:gridSpan w:val="4"/>
          </w:tcPr>
          <w:p>
            <w:pPr>
              <w:jc w:val="center"/>
              <w:ind w:left="28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2480" w:type="dxa"/>
            <w:vAlign w:val="bottom"/>
            <w:shd w:val="clear" w:color="auto" w:fill="CFF0FC"/>
          </w:tcPr>
          <w:p>
            <w:pPr>
              <w:spacing w:after="0"/>
              <w:rPr>
                <w:sz w:val="18"/>
                <w:szCs w:val="18"/>
                <w:color w:val="auto"/>
              </w:rPr>
            </w:pPr>
          </w:p>
        </w:tc>
        <w:tc>
          <w:tcPr>
            <w:tcW w:w="1160" w:type="dxa"/>
            <w:vAlign w:val="bottom"/>
            <w:tcBorders>
              <w:top w:val="single" w:sz="8" w:color="auto"/>
            </w:tcBorders>
            <w:gridSpan w:val="3"/>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180" w:type="dxa"/>
            <w:vAlign w:val="bottom"/>
            <w:gridSpan w:val="3"/>
            <w:shd w:val="clear" w:color="auto" w:fill="CFF0FC"/>
          </w:tcPr>
          <w:p>
            <w:pPr>
              <w:spacing w:after="0"/>
              <w:rPr>
                <w:sz w:val="18"/>
                <w:szCs w:val="18"/>
                <w:color w:val="auto"/>
              </w:rPr>
            </w:pPr>
          </w:p>
        </w:tc>
        <w:tc>
          <w:tcPr>
            <w:tcW w:w="300" w:type="dxa"/>
            <w:vAlign w:val="bottom"/>
            <w:tcBorders>
              <w:top w:val="single" w:sz="8" w:color="auto"/>
            </w:tcBorders>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for uncertain tax positions</w:t>
            </w:r>
          </w:p>
        </w:tc>
        <w:tc>
          <w:tcPr>
            <w:tcW w:w="2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640" w:type="dxa"/>
            <w:vAlign w:val="bottom"/>
            <w:gridSpan w:val="4"/>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48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80" w:type="dxa"/>
            <w:vAlign w:val="bottom"/>
            <w:vMerge w:val="restart"/>
          </w:tcPr>
          <w:p>
            <w:pPr>
              <w:jc w:val="right"/>
              <w:ind w:right="1782"/>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51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0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-4297680</wp:posOffset>
            </wp:positionV>
            <wp:extent cx="1200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-4280535</wp:posOffset>
            </wp:positionV>
            <wp:extent cx="1200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-3004820</wp:posOffset>
            </wp:positionV>
            <wp:extent cx="1200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-2987675</wp:posOffset>
            </wp:positionV>
            <wp:extent cx="1200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-1951355</wp:posOffset>
            </wp:positionV>
            <wp:extent cx="1200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-1934210</wp:posOffset>
            </wp:positionV>
            <wp:extent cx="1200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-633095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16 — Other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8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87"/>
        </w:trPr>
        <w:tc>
          <w:tcPr>
            <w:tcW w:w="5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57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7"/>
                <w:szCs w:val="17"/>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9"/>
        </w:trPr>
        <w:tc>
          <w:tcPr>
            <w:tcW w:w="5740" w:type="dxa"/>
            <w:vAlign w:val="bottom"/>
            <w:shd w:val="clear" w:color="auto" w:fill="CFF0FC"/>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Gain/(loss) on disposal of operations </w:t>
            </w:r>
            <w:r>
              <w:rPr>
                <w:rFonts w:ascii="Times New Roman" w:cs="Times New Roman" w:eastAsia="Times New Roman" w:hAnsi="Times New Roman"/>
                <w:sz w:val="24"/>
                <w:szCs w:val="24"/>
                <w:color w:val="auto"/>
                <w:vertAlign w:val="superscript"/>
              </w:rPr>
              <w:t>(i)</w:t>
            </w: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postretirement benefit credits</w:t>
            </w:r>
          </w:p>
        </w:tc>
        <w:tc>
          <w:tcPr>
            <w:tcW w:w="860" w:type="dxa"/>
            <w:vAlign w:val="bottom"/>
          </w:tcPr>
          <w:p>
            <w:pPr>
              <w:spacing w:after="0"/>
              <w:rPr>
                <w:sz w:val="18"/>
                <w:szCs w:val="18"/>
                <w:color w:val="auto"/>
              </w:rPr>
            </w:pP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 earnings of associates and other investments</w:t>
            </w: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9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120</w:t>
            </w:r>
          </w:p>
        </w:tc>
        <w:tc>
          <w:tcPr>
            <w:tcW w:w="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512</w:t>
            </w:r>
          </w:p>
        </w:tc>
      </w:tr>
      <w:tr>
        <w:trPr>
          <w:trHeight w:val="20"/>
        </w:trPr>
        <w:tc>
          <w:tcPr>
            <w:tcW w:w="5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-170815</wp:posOffset>
            </wp:positionV>
            <wp:extent cx="857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-170815</wp:posOffset>
            </wp:positionV>
            <wp:extent cx="857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-170815</wp:posOffset>
            </wp:positionV>
            <wp:extent cx="857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4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For both the three and six months ended June 30, 2022, includes a $24 million non-cash revaluation gain related to an acquisition completed in stages.</w:t>
      </w:r>
    </w:p>
    <w:p>
      <w:pPr>
        <w:spacing w:after="0" w:line="2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prior-year period amounts within the table above have been reclassified to discontinued operations within the condensed consolidated statements of comprehensive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21"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color w:val="auto"/>
        </w:rPr>
        <w:t>Changes in accumulated other comprehensive loss, net of non-controlling interests, and net of tax are provided in the following tables for the three and six months ended June 30, 2022 and 2021. These tables exclude amounts attributable to non-controlling interests, which are not material for further disclosure.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500"/>
              <w:spacing w:after="0" w:line="203" w:lineRule="exact"/>
              <w:rPr>
                <w:sz w:val="20"/>
                <w:szCs w:val="20"/>
                <w:color w:val="auto"/>
              </w:rPr>
            </w:pPr>
            <w:r>
              <w:rPr>
                <w:rFonts w:ascii="Times New Roman" w:cs="Times New Roman" w:eastAsia="Times New Roman" w:hAnsi="Times New Roman"/>
                <w:sz w:val="14"/>
                <w:szCs w:val="14"/>
                <w:b w:val="1"/>
                <w:bCs w:val="1"/>
                <w:color w:val="2C2C2C"/>
              </w:rPr>
              <w:t xml:space="preserve">translation </w:t>
            </w:r>
            <w:r>
              <w:rPr>
                <w:rFonts w:ascii="Times New Roman" w:cs="Times New Roman" w:eastAsia="Times New Roman" w:hAnsi="Times New Roman"/>
                <w:sz w:val="19"/>
                <w:szCs w:val="19"/>
                <w:b w:val="1"/>
                <w:bCs w:val="1"/>
                <w:color w:val="2C2C2C"/>
                <w:vertAlign w:val="superscript"/>
              </w:rPr>
              <w:t>(i)</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79"/>
              <w:spacing w:after="0" w:line="203" w:lineRule="exact"/>
              <w:rPr>
                <w:sz w:val="20"/>
                <w:szCs w:val="20"/>
                <w:color w:val="auto"/>
              </w:rPr>
            </w:pPr>
            <w:r>
              <w:rPr>
                <w:rFonts w:ascii="Times New Roman" w:cs="Times New Roman" w:eastAsia="Times New Roman" w:hAnsi="Times New Roman"/>
                <w:sz w:val="14"/>
                <w:szCs w:val="14"/>
                <w:b w:val="1"/>
                <w:bCs w:val="1"/>
                <w:color w:val="2C2C2C"/>
              </w:rPr>
              <w:t xml:space="preserve">instruments </w:t>
            </w:r>
            <w:r>
              <w:rPr>
                <w:rFonts w:ascii="Times New Roman" w:cs="Times New Roman" w:eastAsia="Times New Roman" w:hAnsi="Times New Roman"/>
                <w:sz w:val="19"/>
                <w:szCs w:val="19"/>
                <w:b w:val="1"/>
                <w:bCs w:val="1"/>
                <w:color w:val="2C2C2C"/>
                <w:vertAlign w:val="superscript"/>
              </w:rPr>
              <w:t>(i)</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center"/>
              <w:ind w:right="180"/>
              <w:spacing w:after="0" w:line="203" w:lineRule="exact"/>
              <w:rPr>
                <w:sz w:val="20"/>
                <w:szCs w:val="20"/>
                <w:color w:val="auto"/>
              </w:rPr>
            </w:pPr>
            <w:r>
              <w:rPr>
                <w:rFonts w:ascii="Times New Roman" w:cs="Times New Roman" w:eastAsia="Times New Roman" w:hAnsi="Times New Roman"/>
                <w:sz w:val="14"/>
                <w:szCs w:val="14"/>
                <w:b w:val="1"/>
                <w:bCs w:val="1"/>
                <w:color w:val="2C2C2C"/>
                <w:w w:val="99"/>
              </w:rPr>
              <w:t xml:space="preserve">benefit costs </w:t>
            </w:r>
            <w:r>
              <w:rPr>
                <w:rFonts w:ascii="Times New Roman" w:cs="Times New Roman" w:eastAsia="Times New Roman" w:hAnsi="Times New Roman"/>
                <w:sz w:val="19"/>
                <w:szCs w:val="19"/>
                <w:b w:val="1"/>
                <w:bCs w:val="1"/>
                <w:color w:val="2C2C2C"/>
                <w:w w:val="99"/>
                <w:vertAlign w:val="superscript"/>
              </w:rPr>
              <w:t>(ii)</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2C2C2C"/>
              </w:rPr>
              <w:t>Total</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2C2C2C"/>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2C2C2C"/>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2C2C2C"/>
              </w:rPr>
              <w:t>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C2C2C"/>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2C2C2C"/>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2C2C2C"/>
              </w:rPr>
              <w:t>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2C2C2C"/>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2C2C2C"/>
              </w:rPr>
              <w:t>2021</w:t>
            </w: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Quarter-to-date activity:</w:t>
            </w: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Balance at March 31, 2022 and 2021,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(548 )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(398 )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8</w:t>
            </w:r>
          </w:p>
        </w:tc>
        <w:tc>
          <w:tcPr>
            <w:tcW w:w="6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2C2C2C"/>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(1,702 )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(1,928 )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(2,242 )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(2,311 )</w:t>
            </w:r>
          </w:p>
        </w:tc>
        <w:tc>
          <w:tcPr>
            <w:tcW w:w="0" w:type="dxa"/>
            <w:vAlign w:val="bottom"/>
          </w:tcPr>
          <w:p>
            <w:pPr>
              <w:spacing w:after="0"/>
              <w:rPr>
                <w:sz w:val="1"/>
                <w:szCs w:val="1"/>
                <w:color w:val="auto"/>
              </w:rPr>
            </w:pPr>
          </w:p>
        </w:tc>
      </w:tr>
      <w:tr>
        <w:trPr>
          <w:trHeight w:val="139"/>
        </w:trPr>
        <w:tc>
          <w:tcPr>
            <w:tcW w:w="36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2C2C2C"/>
              </w:rPr>
              <w:t>Other comprehensive (loss)/income before</w:t>
            </w:r>
          </w:p>
        </w:tc>
        <w:tc>
          <w:tcPr>
            <w:tcW w:w="16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(246 )</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22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(2 )</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(4 )</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(1 )</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(252 )</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22</w:t>
            </w:r>
          </w:p>
        </w:tc>
        <w:tc>
          <w:tcPr>
            <w:tcW w:w="0" w:type="dxa"/>
            <w:vAlign w:val="bottom"/>
          </w:tcPr>
          <w:p>
            <w:pPr>
              <w:spacing w:after="0"/>
              <w:rPr>
                <w:sz w:val="1"/>
                <w:szCs w:val="1"/>
                <w:color w:val="auto"/>
              </w:rPr>
            </w:pPr>
          </w:p>
        </w:tc>
      </w:tr>
      <w:tr>
        <w:trPr>
          <w:trHeight w:val="185"/>
        </w:trPr>
        <w:tc>
          <w:tcPr>
            <w:tcW w:w="3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2C2C2C"/>
              </w:rPr>
              <w:t>reclassifications</w:t>
            </w:r>
          </w:p>
        </w:tc>
        <w:tc>
          <w:tcPr>
            <w:tcW w:w="16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2C2C2C"/>
              </w:rPr>
              <w:t>(Gain)/loss reclassified from accumulated 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160" w:type="dxa"/>
            <w:vAlign w:val="bottom"/>
          </w:tcPr>
          <w:p>
            <w:pPr>
              <w:spacing w:after="0"/>
              <w:rPr>
                <w:sz w:val="12"/>
                <w:szCs w:val="12"/>
                <w:color w:val="auto"/>
              </w:rPr>
            </w:pPr>
          </w:p>
        </w:tc>
        <w:tc>
          <w:tcPr>
            <w:tcW w:w="7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(3 )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2C2C2C"/>
              </w:rPr>
              <w:t>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11</w:t>
            </w:r>
          </w:p>
        </w:tc>
        <w:tc>
          <w:tcPr>
            <w:tcW w:w="0" w:type="dxa"/>
            <w:vAlign w:val="bottom"/>
          </w:tcPr>
          <w:p>
            <w:pPr>
              <w:spacing w:after="0"/>
              <w:rPr>
                <w:sz w:val="1"/>
                <w:szCs w:val="1"/>
                <w:color w:val="auto"/>
              </w:rPr>
            </w:pPr>
          </w:p>
        </w:tc>
      </w:tr>
      <w:tr>
        <w:trPr>
          <w:trHeight w:val="185"/>
        </w:trPr>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$1 and $1, respectively)</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2C2C2C"/>
              </w:rPr>
              <w:t>Net current-period other comprehensive</w:t>
            </w:r>
          </w:p>
        </w:tc>
        <w:tc>
          <w:tcPr>
            <w:tcW w:w="16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(246 )</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22</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(2 )</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4</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13</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(244 )</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33</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2C2C2C"/>
              </w:rPr>
              <w:t>(loss)/income</w:t>
            </w: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Balance at June 30, 2022 and 2021,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(794 )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(376 )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6</w:t>
            </w:r>
          </w:p>
        </w:tc>
        <w:tc>
          <w:tcPr>
            <w:tcW w:w="6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2C2C2C"/>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(1,698 )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(1,915 )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(2,486 )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(2,278 )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Year-to-date activity:</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December 31, 2021 and 2020, respectively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(489 )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(400 )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7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11</w:t>
            </w:r>
          </w:p>
        </w:tc>
        <w:tc>
          <w:tcPr>
            <w:tcW w:w="68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2C2C2C"/>
              </w:rPr>
              <w:t>$</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(1,708 )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(1,968 )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(2,186 )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(2,359 )</w:t>
            </w:r>
          </w:p>
        </w:tc>
        <w:tc>
          <w:tcPr>
            <w:tcW w:w="0" w:type="dxa"/>
            <w:vAlign w:val="bottom"/>
          </w:tcPr>
          <w:p>
            <w:pPr>
              <w:spacing w:after="0"/>
              <w:rPr>
                <w:sz w:val="1"/>
                <w:szCs w:val="1"/>
                <w:color w:val="auto"/>
              </w:rPr>
            </w:pPr>
          </w:p>
        </w:tc>
      </w:tr>
      <w:tr>
        <w:trPr>
          <w:trHeight w:val="139"/>
        </w:trPr>
        <w:tc>
          <w:tcPr>
            <w:tcW w:w="3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2C2C2C"/>
              </w:rPr>
              <w:t>Other comprehensive (loss)/income before</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(305 )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(20 )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(3 )</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2C2C2C"/>
              </w:rPr>
              <w:t>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(2 )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(310 )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(12 )</w:t>
            </w:r>
          </w:p>
        </w:tc>
        <w:tc>
          <w:tcPr>
            <w:tcW w:w="0" w:type="dxa"/>
            <w:vAlign w:val="bottom"/>
          </w:tcPr>
          <w:p>
            <w:pPr>
              <w:spacing w:after="0"/>
              <w:rPr>
                <w:sz w:val="1"/>
                <w:szCs w:val="1"/>
                <w:color w:val="auto"/>
              </w:rPr>
            </w:pPr>
          </w:p>
        </w:tc>
      </w:tr>
      <w:tr>
        <w:trPr>
          <w:trHeight w:val="185"/>
        </w:trPr>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reclassifications</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2C2C2C"/>
              </w:rPr>
              <w:t>Loss/(gain) reclassified from accumulated other</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16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44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(2 )</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(4 )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12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53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10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93</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FF0FC"/>
            </w:tcBorders>
            <w:shd w:val="clear" w:color="auto" w:fill="CFF0FC"/>
          </w:tcPr>
          <w:p>
            <w:pPr>
              <w:ind w:left="120"/>
              <w:spacing w:after="0" w:line="189" w:lineRule="exact"/>
              <w:rPr>
                <w:sz w:val="20"/>
                <w:szCs w:val="20"/>
                <w:color w:val="auto"/>
              </w:rPr>
            </w:pPr>
            <w:r>
              <w:rPr>
                <w:rFonts w:ascii="Times New Roman" w:cs="Times New Roman" w:eastAsia="Times New Roman" w:hAnsi="Times New Roman"/>
                <w:sz w:val="14"/>
                <w:szCs w:val="14"/>
                <w:color w:val="2C2C2C"/>
              </w:rPr>
              <w:t xml:space="preserve">$4 and $7, respectively) </w:t>
            </w:r>
            <w:r>
              <w:rPr>
                <w:rFonts w:ascii="Times New Roman" w:cs="Times New Roman" w:eastAsia="Times New Roman" w:hAnsi="Times New Roman"/>
                <w:sz w:val="19"/>
                <w:szCs w:val="19"/>
                <w:color w:val="2C2C2C"/>
                <w:vertAlign w:val="superscript"/>
              </w:rPr>
              <w:t>(iii)</w:t>
            </w: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2C2C2C"/>
              </w:rPr>
              <w:t>Net current-period other comprehensive</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(305 )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2C2C2C"/>
              </w:rPr>
              <w:t>24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(5 )</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2C2C2C"/>
              </w:rPr>
              <w:t>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2C2C2C"/>
              </w:rPr>
              <w:t>10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53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(300 )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81</w:t>
            </w:r>
          </w:p>
        </w:tc>
        <w:tc>
          <w:tcPr>
            <w:tcW w:w="0" w:type="dxa"/>
            <w:vAlign w:val="bottom"/>
          </w:tcPr>
          <w:p>
            <w:pPr>
              <w:spacing w:after="0"/>
              <w:rPr>
                <w:sz w:val="1"/>
                <w:szCs w:val="1"/>
                <w:color w:val="auto"/>
              </w:rPr>
            </w:pPr>
          </w:p>
        </w:tc>
      </w:tr>
      <w:tr>
        <w:trPr>
          <w:trHeight w:val="171"/>
        </w:trPr>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(loss)/income</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June 30, 2022 and 2021, respectively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(794 )</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(376 )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6</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2C2C2C"/>
                <w:w w:val="99"/>
              </w:rPr>
              <w:t>$</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(1,698 )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(1,915 )</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(2,486 )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(2,278 )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-1437640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-1437640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-1437640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-1437640</wp:posOffset>
            </wp:positionV>
            <wp:extent cx="596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-1437640</wp:posOffset>
            </wp:positionV>
            <wp:extent cx="59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-1437640</wp:posOffset>
            </wp:positionV>
            <wp:extent cx="596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-1437640</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-367665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-367665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-367665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-367665</wp:posOffset>
            </wp:positionV>
            <wp:extent cx="596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-367665</wp:posOffset>
            </wp:positionV>
            <wp:extent cx="596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-367665</wp:posOffset>
            </wp:positionV>
            <wp:extent cx="596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-367665</wp:posOffset>
            </wp:positionV>
            <wp:extent cx="596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596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596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596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59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596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-24765</wp:posOffset>
            </wp:positionV>
            <wp:extent cx="59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-7620</wp:posOffset>
            </wp:positionV>
            <wp:extent cx="596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80" w:hanging="272"/>
        <w:spacing w:after="0" w:line="266" w:lineRule="auto"/>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169" w:lineRule="exact"/>
        <w:rPr>
          <w:rFonts w:ascii="Times New Roman" w:cs="Times New Roman" w:eastAsia="Times New Roman" w:hAnsi="Times New Roman"/>
          <w:sz w:val="14"/>
          <w:szCs w:val="14"/>
          <w:color w:val="auto"/>
        </w:rPr>
      </w:pPr>
    </w:p>
    <w:p>
      <w:pPr>
        <w:ind w:left="280" w:right="680" w:hanging="272"/>
        <w:spacing w:after="0" w:line="281" w:lineRule="auto"/>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are included in the computation of net periodic pension cost (see Note 12 — Retirement Benefits). These components are included in Other income, net in the accompanying condensed consolidated statements of comprehensive income.</w:t>
      </w:r>
    </w:p>
    <w:p>
      <w:pPr>
        <w:ind w:left="280" w:right="40" w:hanging="272"/>
        <w:spacing w:after="0" w:line="259" w:lineRule="auto"/>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reclassifications in 2021 of $44 million and $31 million of foreign currency translation and defined pension and post-retirement benefit costs, respectively, attributable to the gain on disposal of our Miller business (see Note 3 — Acquisitions and Divestitures). The net gain on disposal is included in Other income, net in the accompanying condensed consolidated statements of comprehensive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12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Basic and diluted earnings per share from continuing operations attributable to WTW and discontinued operations, net of tax are calculated by dividing net income from continuing operations attributable to WTW and discontinued operations, net of tax, respectively, by the average number of ordinary shares outstanding during each period. The computation of diluted earnings per share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7" w:name="page28"/>
    <w:bookmarkEnd w:id="27"/>
    <w:p>
      <w:pPr>
        <w:ind w:right="120"/>
        <w:spacing w:after="0" w:line="281" w:lineRule="auto"/>
        <w:rPr>
          <w:sz w:val="20"/>
          <w:szCs w:val="20"/>
          <w:color w:val="auto"/>
        </w:rPr>
      </w:pPr>
      <w:r>
        <w:rPr>
          <w:rFonts w:ascii="Times New Roman" w:cs="Times New Roman" w:eastAsia="Times New Roman" w:hAnsi="Times New Roman"/>
          <w:sz w:val="18"/>
          <w:szCs w:val="18"/>
          <w:color w:val="auto"/>
        </w:rPr>
        <w:t>reflects the potential dilution that could occur if dilutive securities and other contracts to issue shares were exercised or converted into shares or resulted in the issuance of shares that then shared in the net income of the Company.</w:t>
      </w:r>
    </w:p>
    <w:p>
      <w:pPr>
        <w:spacing w:after="0" w:line="9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At June 30, 2022 and 2021, there were 0.1 million and 0.3 million performance-based options outstanding, respectively, and 0.7 million and 0.6 million restricted performance-based stock units outstanding, respectively. At June 30, 2022, there were 0.4 million restricted time-based stock units outstanding; restricted time-based stock units were immaterial at June 30, 2021. The Company’s time-based share options were immaterial at June 30, 2022; there were 0.1 million time-based share options outstanding at June 30,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20" w:type="dxa"/>
            <w:vAlign w:val="bottom"/>
            <w:tcBorders>
              <w:top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income attributable to non-controllable interests</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9"/>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attributable to WTW</w:t>
            </w:r>
          </w:p>
        </w:tc>
        <w:tc>
          <w:tcPr>
            <w:tcW w:w="820" w:type="dxa"/>
            <w:vAlign w:val="bottom"/>
            <w:tcBorders>
              <w:bottom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820" w:type="dxa"/>
            <w:vAlign w:val="bottom"/>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98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gridSpan w:val="2"/>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8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96"/>
        </w:trPr>
        <w:tc>
          <w:tcPr>
            <w:tcW w:w="554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8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5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Basic earnings per share from continuing operations attributable</w:t>
            </w:r>
          </w:p>
        </w:tc>
        <w:tc>
          <w:tcPr>
            <w:tcW w:w="8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WTW</w:t>
            </w:r>
          </w:p>
        </w:tc>
        <w:tc>
          <w:tcPr>
            <w:tcW w:w="820" w:type="dxa"/>
            <w:vAlign w:val="bottom"/>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98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0.89</w:t>
            </w:r>
          </w:p>
        </w:tc>
        <w:tc>
          <w:tcPr>
            <w:tcW w:w="880" w:type="dxa"/>
            <w:vAlign w:val="bottom"/>
            <w:gridSpan w:val="2"/>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88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(0.01 )</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(0.02 )</w:t>
            </w:r>
          </w:p>
        </w:tc>
        <w:tc>
          <w:tcPr>
            <w:tcW w:w="0" w:type="dxa"/>
            <w:vAlign w:val="bottom"/>
          </w:tcPr>
          <w:p>
            <w:pPr>
              <w:spacing w:after="0"/>
              <w:rPr>
                <w:sz w:val="1"/>
                <w:szCs w:val="1"/>
                <w:color w:val="auto"/>
              </w:rPr>
            </w:pPr>
          </w:p>
        </w:tc>
      </w:tr>
      <w:tr>
        <w:trPr>
          <w:trHeight w:val="164"/>
        </w:trPr>
        <w:tc>
          <w:tcPr>
            <w:tcW w:w="554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820" w:type="dxa"/>
            <w:vAlign w:val="bottom"/>
            <w:vMerge w:val="restart"/>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980" w:type="dxa"/>
            <w:vAlign w:val="bottom"/>
            <w:gridSpan w:val="2"/>
            <w:vMerge w:val="restart"/>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880" w:type="dxa"/>
            <w:vAlign w:val="bottom"/>
            <w:gridSpan w:val="2"/>
            <w:vMerge w:val="restart"/>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880" w:type="dxa"/>
            <w:vAlign w:val="bottom"/>
            <w:gridSpan w:val="2"/>
            <w:vMerge w:val="restart"/>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4"/>
        </w:trPr>
        <w:tc>
          <w:tcPr>
            <w:tcW w:w="5540" w:type="dxa"/>
            <w:vAlign w:val="bottom"/>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attributable to WTW</w:t>
            </w:r>
          </w:p>
        </w:tc>
        <w:tc>
          <w:tcPr>
            <w:tcW w:w="82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540" w:type="dxa"/>
            <w:vAlign w:val="bottom"/>
            <w:vMerge w:val="continue"/>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5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Basic (loss)/earnings per share from discontinued operations,</w:t>
            </w:r>
          </w:p>
        </w:tc>
        <w:tc>
          <w:tcPr>
            <w:tcW w:w="8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820" w:type="dxa"/>
            <w:vAlign w:val="bottom"/>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98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880" w:type="dxa"/>
            <w:vAlign w:val="bottom"/>
            <w:gridSpan w:val="2"/>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(0.30 )</w:t>
            </w:r>
          </w:p>
        </w:tc>
        <w:tc>
          <w:tcPr>
            <w:tcW w:w="88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554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Diluted (loss)/earnings per share from discontinued operations,</w:t>
            </w:r>
          </w:p>
        </w:tc>
        <w:tc>
          <w:tcPr>
            <w:tcW w:w="820" w:type="dxa"/>
            <w:vAlign w:val="bottom"/>
            <w:vMerge w:val="restart"/>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60" w:type="dxa"/>
            <w:vAlign w:val="bottom"/>
            <w:vMerge w:val="restart"/>
            <w:shd w:val="clear" w:color="auto" w:fill="CFF0FC"/>
          </w:tcPr>
          <w:p>
            <w:pPr>
              <w:spacing w:after="0"/>
              <w:rPr>
                <w:sz w:val="14"/>
                <w:szCs w:val="14"/>
                <w:color w:val="auto"/>
              </w:rPr>
            </w:pPr>
          </w:p>
        </w:tc>
        <w:tc>
          <w:tcPr>
            <w:tcW w:w="820" w:type="dxa"/>
            <w:vAlign w:val="bottom"/>
            <w:vMerge w:val="restart"/>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vMerge w:val="restart"/>
            <w:shd w:val="clear" w:color="auto" w:fill="CFF0FC"/>
          </w:tcPr>
          <w:p>
            <w:pPr>
              <w:spacing w:after="0"/>
              <w:rPr>
                <w:sz w:val="14"/>
                <w:szCs w:val="14"/>
                <w:color w:val="auto"/>
              </w:rPr>
            </w:pPr>
          </w:p>
        </w:tc>
        <w:tc>
          <w:tcPr>
            <w:tcW w:w="740" w:type="dxa"/>
            <w:vAlign w:val="bottom"/>
            <w:vMerge w:val="restart"/>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(0.30 )</w:t>
            </w:r>
          </w:p>
        </w:tc>
        <w:tc>
          <w:tcPr>
            <w:tcW w:w="140" w:type="dxa"/>
            <w:vAlign w:val="bottom"/>
            <w:vMerge w:val="restart"/>
            <w:shd w:val="clear" w:color="auto" w:fill="CFF0FC"/>
          </w:tcPr>
          <w:p>
            <w:pPr>
              <w:spacing w:after="0"/>
              <w:rPr>
                <w:sz w:val="14"/>
                <w:szCs w:val="14"/>
                <w:color w:val="auto"/>
              </w:rPr>
            </w:pPr>
          </w:p>
        </w:tc>
        <w:tc>
          <w:tcPr>
            <w:tcW w:w="740" w:type="dxa"/>
            <w:vAlign w:val="bottom"/>
            <w:vMerge w:val="restart"/>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4"/>
        </w:trPr>
        <w:tc>
          <w:tcPr>
            <w:tcW w:w="554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net of tax</w:t>
            </w: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-2499360</wp:posOffset>
            </wp:positionV>
            <wp:extent cx="939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-2482215</wp:posOffset>
            </wp:positionV>
            <wp:extent cx="939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-2499360</wp:posOffset>
            </wp:positionV>
            <wp:extent cx="857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-2482215</wp:posOffset>
            </wp:positionV>
            <wp:extent cx="857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-2499360</wp:posOffset>
            </wp:positionV>
            <wp:extent cx="857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-2482215</wp:posOffset>
            </wp:positionV>
            <wp:extent cx="85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-2199640</wp:posOffset>
            </wp:positionV>
            <wp:extent cx="939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-2182495</wp:posOffset>
            </wp:positionV>
            <wp:extent cx="939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-2199640</wp:posOffset>
            </wp:positionV>
            <wp:extent cx="857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-2182495</wp:posOffset>
            </wp:positionV>
            <wp:extent cx="857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-2199640</wp:posOffset>
            </wp:positionV>
            <wp:extent cx="857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-2182495</wp:posOffset>
            </wp:positionV>
            <wp:extent cx="857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-1617345</wp:posOffset>
            </wp:positionV>
            <wp:extent cx="939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-1600835</wp:posOffset>
            </wp:positionV>
            <wp:extent cx="939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-1617345</wp:posOffset>
            </wp:positionV>
            <wp:extent cx="857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-1600835</wp:posOffset>
            </wp:positionV>
            <wp:extent cx="857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-1617345</wp:posOffset>
            </wp:positionV>
            <wp:extent cx="857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-1600835</wp:posOffset>
            </wp:positionV>
            <wp:extent cx="857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-821055</wp:posOffset>
            </wp:positionV>
            <wp:extent cx="939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-804545</wp:posOffset>
            </wp:positionV>
            <wp:extent cx="939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-821055</wp:posOffset>
            </wp:positionV>
            <wp:extent cx="857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-804545</wp:posOffset>
            </wp:positionV>
            <wp:extent cx="857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-821055</wp:posOffset>
            </wp:positionV>
            <wp:extent cx="857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-804545</wp:posOffset>
            </wp:positionV>
            <wp:extent cx="857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-24765</wp:posOffset>
            </wp:positionV>
            <wp:extent cx="939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939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857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857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857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June 30, 2022, 0.3 million and 0.2 million restricted stock units, respectively, were not included in the computation of the dilutive effect of potentially issuable shares because their effect was anti-dilutive. For both the three and six months ended June 30, 2021, 0.2 million restricted stock units were not included in the computation of the dilutive effect of potentially issuable shares because their effect was anti-dilutive. There were no anti-dilutive options for the three and six months ended June 30, 2022 and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Supplemental Disclosures of Cash Flow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1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80" w:type="dxa"/>
            <w:vAlign w:val="bottom"/>
          </w:tcPr>
          <w:p>
            <w:pPr>
              <w:spacing w:after="0"/>
              <w:rPr>
                <w:sz w:val="18"/>
                <w:szCs w:val="18"/>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1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Cash and cash equivalents and fiduciary funds (included in current assets held</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sale)</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restricted cash (included in prepaids and other current assets)</w:t>
            </w:r>
          </w:p>
        </w:tc>
        <w:tc>
          <w:tcPr>
            <w:tcW w:w="8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8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(Decrease)/increase in cash, cash equivalents and other restricted cash</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(2,515 )</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Increase/(decrease) in fiduciary funds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0"/>
        </w:trPr>
        <w:tc>
          <w:tcPr>
            <w:tcW w:w="8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(2,413 )</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81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1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6033135</wp:posOffset>
            </wp:positionH>
            <wp:positionV relativeFrom="paragraph">
              <wp:posOffset>-1206500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-624205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8" w:name="page29"/>
    <w:bookmarkEnd w:id="28"/>
    <w:p>
      <w:pPr>
        <w:ind w:right="1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Revision of previously issued financial statements </w:t>
      </w:r>
      <w:r>
        <w:rPr>
          <w:rFonts w:ascii="Times New Roman" w:cs="Times New Roman" w:eastAsia="Times New Roman" w:hAnsi="Times New Roman"/>
          <w:sz w:val="18"/>
          <w:szCs w:val="18"/>
          <w:color w:val="auto"/>
        </w:rPr>
        <w:t>- During the six months ended June 30, 2022, to reflect the guidance on restricted cash presentation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FASB ASC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WTW corrected the classification of its fiduciary funds balances, in the amounts shown in the table above, on our condensed consolidated statements of cash flows, by including these amounts in the total cash, cash equivalents and restricted cash amounts held at each balance sheet date. As a result, cash, cash equivalents and restricted cash balances of $2.2 billion and $2.1 billion at June 30, 2021 and December 31, 2020, respectively, have been revised to $5.9 billion and $6.3 billion, respectively. Additionally, the effect of exchange rate changes on cash, cash equivalents and restricted cash has been updated to include the effect of exchange rate changes on the fiduciary funds balances.</w:t>
      </w:r>
    </w:p>
    <w:p>
      <w:pPr>
        <w:spacing w:after="0" w:line="18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Prior to this correction, the changes in fiduciary funds were presented in fiduciary assets and liabilities on a gross basis in the cash flows from operating activities, where the amounts fully offset each period. In the current presentation, an additional line item, net (payments)/proceeds from fiduciary funds held for clients, has been included within cash flows from financing activities to represent the change in fiduciary funds balances during the periods. The remaining fiduciary assets and fiduciary liabilities, in equal and offsetting amounts, are no longer presented in the cash flows from operating activities. There was no impact to the total cash flows from operating activities as a result of these changes.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6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1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modest but definite increase in pricing in the market.</w:t>
      </w:r>
    </w:p>
    <w:p>
      <w:pPr>
        <w:spacing w:after="0" w:line="124"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7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firm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we expect this trend may continue.</w:t>
      </w:r>
    </w:p>
    <w:p>
      <w:pPr>
        <w:spacing w:after="0" w:line="13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From time to time, including but not limited to the period after the announcement of the proposed Aon combination through the period that has followed the termination of the proposed combination, we have lost (and may in the future continue to lose) colleagues who manage substantial client relationships or possess substantial experience or expertise; when we lose colleagues such as those, it often results in such colleagues competing against us. Further, the full impact of this competition may be delayed due to the timing of restrictive covenants or client renewals. We believe that this dynamic, which was most pronounced in our Risk &amp; Broking segment during 2021, has caused the segment’s recent near-term and expected growth rates for the remainder of 2022 to be meaningfully slower than other competitors. This dynamic may be difficult to predict, given that the adverse impact in future periods is more significant than in the periods in which employees departed. Growth has been and will be adversely affected by the fact that 2021 performance in a number of businesses, particularly commercial risk broking and health &amp; benefits broking, benefited from revenue</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30" w:name="page31"/>
    <w:bookmarkEnd w:id="30"/>
    <w:p>
      <w:pPr>
        <w:ind w:right="60"/>
        <w:spacing w:after="0" w:line="258" w:lineRule="auto"/>
        <w:rPr>
          <w:sz w:val="20"/>
          <w:szCs w:val="20"/>
          <w:color w:val="auto"/>
        </w:rPr>
      </w:pPr>
      <w:r>
        <w:rPr>
          <w:rFonts w:ascii="Times New Roman" w:cs="Times New Roman" w:eastAsia="Times New Roman" w:hAnsi="Times New Roman"/>
          <w:sz w:val="18"/>
          <w:szCs w:val="18"/>
          <w:color w:val="auto"/>
        </w:rPr>
        <w:t>from book sales, which is non-repeatable revenue. It is possible that growth could be different than expected and our results of operations could be significantly and adversely impacted. See Part I, Item 1A ‘Risk Factors’ in our Annual Report on Form 10-K, filed with the SEC on February 24, 2022, for a discussion of risks that may affect our ability to compete.</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transferred ownership of our Russian subsidiaries to our local management team on the agreed-upon terms. The Russian entities comprised approximately 1% of consolidated WTW revenue for 2021, primarily within our Risk &amp; Broking segment. The lost profits from our Russia operations will, overall, create a modest margin headwind for the Company in 2022 and beyond. However, with the goal of offsetting this, we have taken action to deploy near-term cost-mitigation measures and to identify longer-term offsets. See ‘Disclaimer Regarding Forward-looking Statements’ and Part II, Item 1A ‘Risk Factors’ of this Quarterly Report on Form 10-Q for a discussion of the risks associated with expense 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 Caused by the Pandemic</w:t>
      </w:r>
    </w:p>
    <w:p>
      <w:pPr>
        <w:spacing w:after="0" w:line="16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particularly on the global supply chain and workforce availability, and has contributed to significant volatility in the global financial markets including, among other effects, occasional declines in the equity markets, changes in interest rates and reduced liquidity on a global basis.</w:t>
      </w:r>
    </w:p>
    <w:p>
      <w:pPr>
        <w:spacing w:after="0" w:line="11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Supply and labor market disruptions caused by COVID-19 as well as other factors, such as accommodative monetary and fiscal policy and the Russian invasion of Ukraine, have contributed to significant inflation in many of the markets in which we operate. This impacts not only the costs to attract and retain employees but also other costs to run and invest in our business. If our costs grow significantly in excess of our ability to raise revenue, our margins and results of operations may be materially and adversely impacted, and we may not be able to achieve our strategic and financial objectives.</w:t>
      </w:r>
    </w:p>
    <w:p>
      <w:pPr>
        <w:spacing w:after="0" w:line="12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Although we believe we have adapted to the unique challenges posed by the pandemic surrounding how and where we do our work, we are also impacted by the negative effect on workforce availability, which could hamper our ability to grow our capacity on pace with increasing demand for our services. We expect the market for talent to remain highly competitive for at least the next several months. We will continue to monitor the situation and assess any implications to our business and our stakeholders.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Reorganization</w:t>
      </w:r>
    </w:p>
    <w:p>
      <w:pPr>
        <w:spacing w:after="0" w:line="16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January 1, 2022, WTW realigned to provide its comprehensive offering of services and solutions to clients across two business segments: Health, Wealth &amp; Career and Risk &amp; Broking. These changes were made in conjunction with changes in the WTW leadership team, including the appointment of a new chief executive officer who succeeded the prior CEO as the chief operating decision maker on that date. Prior to January 1, 2022, we operated across four segments: Human Capital and Benefits; Corporate Risk and Broking; Investment, Risk and Reinsurance; and Benefits Delivery and Administration. Following the realignment, the two new segments consist of the following businesses:</w:t>
      </w:r>
    </w:p>
    <w:p>
      <w:pPr>
        <w:spacing w:after="0" w:line="72" w:lineRule="exact"/>
        <w:rPr>
          <w:sz w:val="20"/>
          <w:szCs w:val="20"/>
          <w:color w:val="auto"/>
        </w:rPr>
      </w:pPr>
    </w:p>
    <w:p>
      <w:pPr>
        <w:ind w:left="760" w:right="80" w:hanging="378"/>
        <w:spacing w:after="0" w:line="312" w:lineRule="auto"/>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Wealth &amp; Career segment includes businesses previously aligned under the Human Capital and Benefits segment, the Benefits Delivery and Administration segment, and the Investment business, which was previously under the Investment, Risk and Reinsurance segment.</w:t>
      </w:r>
    </w:p>
    <w:p>
      <w:pPr>
        <w:spacing w:after="0" w:line="17"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&amp; Broking segment includes businesses previously aligned under the Corporate Risk and Broking segment, as well as the Insurance Consulting and Technology business, which was previously under the Investment, Risk and Reinsurance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descriptions of our reorganized segments: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61"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 the interrelated challenges that the management teams of our clients face across human resources (‘HR’) and finance.</w:t>
      </w:r>
    </w:p>
    <w:p>
      <w:pPr>
        <w:spacing w:after="0" w:line="115"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w:t>
      </w:r>
    </w:p>
    <w:p>
      <w:pPr>
        <w:spacing w:after="0" w:line="15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Health &amp; Benefits (‘H&amp;B’) business provides strategy and design consulting, plan management service and support, broking and administration across the full spectrum of health, wellbeing and other group benefit programs, including medical, dental, disability, life, voluntary benefits and other coverage. Our reach extends from small/mid-market clients to large-market and multinational clients, across the full geographic footprint of the Company, and to most industries. We can address our clients’ needs in more than 140 countries.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31" w:name="page32"/>
    <w:bookmarkEnd w:id="31"/>
    <w:p>
      <w:pPr>
        <w:ind w:right="380"/>
        <w:spacing w:after="0" w:line="250" w:lineRule="auto"/>
        <w:rPr>
          <w:sz w:val="20"/>
          <w:szCs w:val="20"/>
          <w:color w:val="auto"/>
        </w:rPr>
      </w:pPr>
      <w:r>
        <w:rPr>
          <w:rFonts w:ascii="Times New Roman" w:cs="Times New Roman" w:eastAsia="Times New Roman" w:hAnsi="Times New Roman"/>
          <w:sz w:val="18"/>
          <w:szCs w:val="18"/>
          <w:color w:val="auto"/>
        </w:rPr>
        <w:t>Our consultants help clients make strategic decisions on topics such as optimizing program spend; evaluating emerging vendors, point solutions and coverage options (including publicly-subsidized health insurance exchanges and private exchanges in the U.S.); and dealing with above-inflation-rate increases in healthcare costs. We also assist clients in selecting the appropriate insurance carriers to cover benefit risks and administer the programs. In addition to our consulting and broking services, we manage a number of collective purchasing initiatives, such as pharmacy and stop-loss, that allow employers to realize greater value from third-party service providers than they can achieve on their own.</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With Global Benefits Management, our suite of global services supporting medical, dental and risk (e.g., life, disability) programs, we have a tailored offering for multinationals. This offering includes a flexible set of ready-made solutions, proven technology and an integrated approach to service delivery that translates to a globally consistent, high-quality experience for our clients.</w:t>
      </w:r>
    </w:p>
    <w:p>
      <w:pPr>
        <w:spacing w:after="0" w:line="1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meaningful portion of revenue in this business is from recurring work, though contracts may be annual or multi-year. Given the balance of revenue across consulting, broking and solutions, our revenue is somewhat weighted to the first quarter.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i w:val="1"/>
          <w:iCs w:val="1"/>
          <w:color w:val="auto"/>
        </w:rPr>
        <w:t>ealth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wealth-related businesses include Retirement and Investment.</w:t>
      </w:r>
    </w:p>
    <w:p>
      <w:pPr>
        <w:spacing w:after="0" w:line="15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Retirement business provides actuarial support, plan design, and administrative services for all forms of pension and retirement savings plans. Our colleagues help our clients assess the costs and risks of retirement plans on cash flow, earnings and the balance sheet, the effects of changing workforce demographics on their retirement plans, and retiree benefit adequacy and security. We offer clients a full range of integrated retirement consulting services and solutions to meet the needs of all types of employers, including those that continue to offer defined benefit plans and those that are reexamining their retirement benefit strategies. We help multinationals coordinate plan design and actuarial services across their complex global plans. We bring in-depth data analysis and perspective to their decision process, because we have tracked the retirement designs and financing strategies of companies around the world over many decades.</w:t>
      </w:r>
    </w:p>
    <w:p>
      <w:pPr>
        <w:spacing w:after="0" w:line="13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clients that want to outsource some or all of their pension plan management, we offer broking services, as well as integrated solutions that can combine investment discretionary management, pension administration, core actuarial services, and communication and change management assistance.</w:t>
      </w:r>
    </w:p>
    <w:p>
      <w:pPr>
        <w:spacing w:after="0" w:line="9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Retirement relationships are generally long-term in nature, and client retention rates for this business are high. A significant portion of the revenue in this business is from recurring work, with multi-year contracts that are driven by the heavily regulated nature of pension plans and our clients’ annual needs for these services. Revenue for the Retirement business in some geographies is somewhat seasonal, as much of our work pertains to calendar-year plan administration, financing, reporting and compliance; thus, revenue is typically more weighted to the first and fourth quarters of the fiscal year.</w:t>
      </w:r>
    </w:p>
    <w:p>
      <w:pPr>
        <w:spacing w:after="0" w:line="12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Our Investment business provides advice and discretionary investment management solutions to defined benefit and defined contribution pension plans as well as to a range of other client types including insurers, endowments and foundations, and private wealth investors. We provide a solution to a significant business problem faced by our clients, namely sustaining the resources and skills required to deliver a financial services product in highly competitive capital markets. We offer a flexible approach that adapts to a wide range of client needs and circumstances, with the objective of higher returns, lower risk and lower costs within each client’s unique situation.</w:t>
      </w:r>
    </w:p>
    <w:p>
      <w:pPr>
        <w:spacing w:after="0" w:line="1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solutions range from single asset class activity, through complete management of entire pension plan assets including sophisticated liability hedging programs.</w:t>
      </w:r>
    </w:p>
    <w:p>
      <w:pPr>
        <w:spacing w:after="0" w:line="108"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We bring together a broad array of specialist investment knowledge and skills across all asset classes, a high-quality execution platform, a cost advantage through our scale, and expert advisors with experience across all client types from the largest plans in the world to small corporate pension plans.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long-term relationships with our Investment clients, with the majority of our revenue driven by retainer contracts.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Career</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Our career-related offerings include advice, data, software and products to address clients’ total rewards and talent issues across the globe delivered through our </w:t>
      </w:r>
      <w:r>
        <w:rPr>
          <w:rFonts w:ascii="Times New Roman" w:cs="Times New Roman" w:eastAsia="Times New Roman" w:hAnsi="Times New Roman"/>
          <w:sz w:val="18"/>
          <w:szCs w:val="18"/>
          <w:i w:val="1"/>
          <w:iCs w:val="1"/>
          <w:color w:val="auto"/>
        </w:rPr>
        <w:t>Work &amp; Rewards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Employee Experience</w:t>
      </w:r>
      <w:r>
        <w:rPr>
          <w:rFonts w:ascii="Times New Roman" w:cs="Times New Roman" w:eastAsia="Times New Roman" w:hAnsi="Times New Roman"/>
          <w:sz w:val="18"/>
          <w:szCs w:val="18"/>
          <w:color w:val="auto"/>
        </w:rPr>
        <w:t xml:space="preserve"> businesses.</w:t>
      </w:r>
    </w:p>
    <w:p>
      <w:pPr>
        <w:spacing w:after="0" w:line="108" w:lineRule="exact"/>
        <w:rPr>
          <w:sz w:val="20"/>
          <w:szCs w:val="20"/>
          <w:color w:val="auto"/>
        </w:rPr>
      </w:pPr>
    </w:p>
    <w:p>
      <w:pPr>
        <w:jc w:val="both"/>
        <w:ind w:right="480"/>
        <w:spacing w:after="0" w:line="258" w:lineRule="auto"/>
        <w:rPr>
          <w:sz w:val="20"/>
          <w:szCs w:val="20"/>
          <w:color w:val="auto"/>
        </w:rPr>
      </w:pPr>
      <w:r>
        <w:rPr>
          <w:rFonts w:ascii="Times New Roman" w:cs="Times New Roman" w:eastAsia="Times New Roman" w:hAnsi="Times New Roman"/>
          <w:sz w:val="18"/>
          <w:szCs w:val="18"/>
          <w:color w:val="auto"/>
        </w:rPr>
        <w:t>Within our Work &amp; Rewards business, we help clients determine the best ways to get work done, the skills needed for jobs, and how to reward it. We address executive compensation and broad-based rewards. We advise our clients’ management and boards of directors on all aspects of executive pay programs, including base pay, annual bonuses, long-term incentives, perquisites and other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2" w:name="page33"/>
    <w:bookmarkEnd w:id="32"/>
    <w:p>
      <w:pPr>
        <w:ind w:right="20"/>
        <w:spacing w:after="0" w:line="281" w:lineRule="auto"/>
        <w:rPr>
          <w:sz w:val="20"/>
          <w:szCs w:val="20"/>
          <w:color w:val="auto"/>
        </w:rPr>
      </w:pPr>
      <w:r>
        <w:rPr>
          <w:rFonts w:ascii="Times New Roman" w:cs="Times New Roman" w:eastAsia="Times New Roman" w:hAnsi="Times New Roman"/>
          <w:sz w:val="18"/>
          <w:szCs w:val="18"/>
          <w:color w:val="auto"/>
        </w:rPr>
        <w:t>benefits. Our focus is on aligning pay plans with an organization’s business strategy and driving desired performance. Our solutions incorporate proprietary market benchmarking data and software to support compensation administration.</w:t>
      </w:r>
    </w:p>
    <w:p>
      <w:pPr>
        <w:spacing w:after="0" w:line="9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Our Employee Experience business focuses on the provision of solutions including employee insight and listening tools, talent assessment tools and services, communication and change management services.</w:t>
      </w:r>
    </w:p>
    <w:p>
      <w:pPr>
        <w:spacing w:after="0" w:line="12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Revenue for our career-related businesses is partly seasonal in nature, with heightened activity in the second half of the calendar year during the annual compensation, benefits, and survey cycles. While these businesses enjoy long-term relationships with many clients, work in several practices is often project-based and can be sensitive to economic changes. The businesses benefit from regulatory changes affecting our clients that require strategic advice, program changes and communication, as well as the focus on ESG as a component of executive and board pay, the redefinition of jobs, work location and career paths as technology disaggregates work, and the recalibration of pay and the employee experience amidst shifting labor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Delivery &amp; Outsourcing</w:t>
      </w:r>
    </w:p>
    <w:p>
      <w:pPr>
        <w:spacing w:after="0" w:line="15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Our Benefits Delivery &amp; Outsourcing businesses include Benefits Delivery &amp; Administration (‘BDA’) and Technology and Administration Solutions (‘TAS’).</w:t>
      </w:r>
    </w:p>
    <w:p>
      <w:pPr>
        <w:spacing w:after="0" w:line="9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BDA business provides primary medical and ancillary benefit exchange and outsourcing services to active employees and retirees across both the group and individual markets, primarily in the U.S.</w:t>
      </w:r>
    </w:p>
    <w:p>
      <w:pPr>
        <w:spacing w:after="0" w:line="12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 significant portion of the revenue in this business is recurring in nature, driven by either the commissions from the policies we sell, or from long-term service contracts with our clients that typically range from three to five years. Revenue across this business is seasonal and is generally higher in the fourth quarter as it is driven when typical annual enrollment activity occurs.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BDA provides services via two related offerings:</w:t>
      </w:r>
    </w:p>
    <w:p>
      <w:pPr>
        <w:spacing w:after="0" w:line="15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Benefits Outsourcing </w:t>
      </w:r>
      <w:r>
        <w:rPr>
          <w:rFonts w:ascii="Times New Roman" w:cs="Times New Roman" w:eastAsia="Times New Roman" w:hAnsi="Times New Roman"/>
          <w:sz w:val="17"/>
          <w:szCs w:val="17"/>
          <w:color w:val="auto"/>
        </w:rPr>
        <w:t>is focused on serving active employee groups for clients across the U.S. Working closely with other HWC businesses, we use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proprietary technology to provide a suite of health and welfare and pension administration outsourcing services, including tools to enable benefit modeling, decision support, enrollment and benefit choice. Drawing on expertise in H&amp;B and Retirement to create high-performing benefit plan designs, we believe we are well-positioned to help clients of all sizes simplify their benefits delivery, while lowering the total costs of benefits and related administration.</w:t>
      </w:r>
    </w:p>
    <w:p>
      <w:pPr>
        <w:spacing w:after="0" w:line="10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Individual Marketplace </w:t>
      </w:r>
      <w:r>
        <w:rPr>
          <w:rFonts w:ascii="Times New Roman" w:cs="Times New Roman" w:eastAsia="Times New Roman" w:hAnsi="Times New Roman"/>
          <w:sz w:val="18"/>
          <w:szCs w:val="18"/>
          <w:color w:val="auto"/>
        </w:rPr>
        <w:t>offers decision support processes and tools to connect consumers with insurance carriers in private individual and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Individual Marketplace serves both employer-based and direct-to-consumer populations through its end-to-end consumer acquisition and engagement platforms, which tightly integrate call routing technology, an efficient quoting and enrollment engine, a customer relations management system and deep links with insurance carriers. By leveraging its multiple distribution channels and diverse product portfolio, Individual Marketplace offers solutions to a broad consumer base, helping individuals compare, purchase and use health insurance products, tools and information for life.</w:t>
      </w:r>
    </w:p>
    <w:p>
      <w:pPr>
        <w:spacing w:after="0" w:line="14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TAS business provides pension outsourcing services to hundreds of clients across multiple industries. Our TAS team focuses on clients outside of the U.S. where our services are supported by high quality administration teams using robust technology platforms. Given the nature of the work, our revenue is distributed generally evenly across the year.</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With ongoing servicing requirements and multi-year contracts in place, we have high client retention rates. We are the leading administrator among the 200 largest pension plans in the U.K., as well as a leader in Germany.</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For both our defined benefit and defined contribution administration services, we use highly-automated processes and technology to enable benefit plan members to access and manage their records, perform self-service functions and improve their understanding of their benefits. Our technology also provides trustees and HR teams with timely management information to monitor activity and service levels and reduce administration costs.</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 comprises two primary businesses: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Risk &amp; Broking (‘CRB’)</w:t>
      </w:r>
    </w:p>
    <w:p>
      <w:pPr>
        <w:spacing w:after="0" w:line="157"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CRB’ business places more than $25 billion of premiums into the insurance markets on an annual basis, and delivers integrated global solutions tailored to client needs, underpinned by data and analytics through a balanced matrix of global lines of business across all of the Company’s three geographical areas: North America, Europe (including Great Britain) and International.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lines of business include:</w:t>
      </w:r>
    </w:p>
    <w:p>
      <w:pPr>
        <w:spacing w:after="0" w:line="155" w:lineRule="exact"/>
        <w:rPr>
          <w:sz w:val="20"/>
          <w:szCs w:val="20"/>
          <w:color w:val="auto"/>
        </w:rPr>
      </w:pPr>
    </w:p>
    <w:p>
      <w:pPr>
        <w:jc w:val="both"/>
        <w:ind w:right="6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Property and Casualty </w:t>
      </w:r>
      <w:r>
        <w:rPr>
          <w:rFonts w:ascii="Times New Roman" w:cs="Times New Roman" w:eastAsia="Times New Roman" w:hAnsi="Times New Roman"/>
          <w:sz w:val="18"/>
          <w:szCs w:val="18"/>
          <w:color w:val="auto"/>
        </w:rPr>
        <w:t>— Property and Casualty provides property and liability insurance brokerage services across a wide range of industries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including real estate, healthcare and retail. We also arrange insurance products and services for our affinity client partners to offer to their customers, employees, or members alongside, or in addition to, their principal business offerings.</w:t>
      </w:r>
    </w:p>
    <w:p>
      <w:pPr>
        <w:spacing w:after="0" w:line="112"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Aerospace </w:t>
      </w:r>
      <w:r>
        <w:rPr>
          <w:rFonts w:ascii="Times New Roman" w:cs="Times New Roman" w:eastAsia="Times New Roman" w:hAnsi="Times New Roman"/>
          <w:sz w:val="18"/>
          <w:szCs w:val="18"/>
          <w:color w:val="auto"/>
        </w:rPr>
        <w:t>— Aerospace provides specialist expertise to the aerospace and space industries. Our aerospace business provides insurance broking,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services, contractual and technical advisory expertise to aerospace clients worldwide, including the world’s leading airlines, aircraft manufacturers, air cargo handlers and other airport and general aviation companies. The specialist InSpace team is also prominent in providing insurance and risk management services to the space industry.</w:t>
      </w:r>
    </w:p>
    <w:p>
      <w:pPr>
        <w:spacing w:after="0" w:line="132"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 Our Construction business provides services that include insurance broking, claims, loss control and specialized risk advice for a 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construction projects and activities. Clients include contractors, project owners, public entities, project managers, consultants and financiers, among others.</w:t>
      </w:r>
    </w:p>
    <w:p>
      <w:pPr>
        <w:spacing w:after="0" w:line="13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Global Markets Direct &amp; Facultative </w:t>
      </w:r>
      <w:r>
        <w:rPr>
          <w:rFonts w:ascii="Times New Roman" w:cs="Times New Roman" w:eastAsia="Times New Roman" w:hAnsi="Times New Roman"/>
          <w:sz w:val="18"/>
          <w:szCs w:val="18"/>
          <w:color w:val="auto"/>
        </w:rPr>
        <w:t>— Operating in the major wholesale reinsurance hubs across the world, including London, Bermuda, Singapore,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Hong Kong and Shanghai, solutions are delivered both directly to clients for the most complex property and casualty risks and as facultative reinsurance placements where we serve as an intermediary for insurance companies. Facultative solutions are provided across various classes of risk for our insurer clients, some of which may also be direct clients of WTW. The aim is to deliver optimum results for our clients by getting the right risk to the right market by the right broker, be it local, wholesale or facultative every time.</w:t>
      </w:r>
    </w:p>
    <w:p>
      <w:pPr>
        <w:spacing w:after="0" w:line="12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Financial, Executive and Professional Risks (‘FINEX’) </w:t>
      </w:r>
      <w:r>
        <w:rPr>
          <w:rFonts w:ascii="Times New Roman" w:cs="Times New Roman" w:eastAsia="Times New Roman" w:hAnsi="Times New Roman"/>
          <w:sz w:val="18"/>
          <w:szCs w:val="18"/>
          <w:color w:val="auto"/>
        </w:rPr>
        <w:t>— FINEX encompasses all financial and executive risks, delivering client solutions that range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professional liability, employment practices liability, crime, cyber and M&amp;A-related insurances to risk consulting and advisory services. Specialist teams provide risk consulting and risk transfer solutions to a broad spectrum of clients across a multitude of industries, as well as the financial and professional service sectors.</w:t>
      </w:r>
    </w:p>
    <w:p>
      <w:pPr>
        <w:spacing w:after="0" w:line="118"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Financial Solutions </w:t>
      </w:r>
      <w:r>
        <w:rPr>
          <w:rFonts w:ascii="Times New Roman" w:cs="Times New Roman" w:eastAsia="Times New Roman" w:hAnsi="Times New Roman"/>
          <w:sz w:val="18"/>
          <w:szCs w:val="18"/>
          <w:color w:val="auto"/>
        </w:rPr>
        <w:t>— Financial Solutions provides insurance broking services and specialized risk advice related to credit and political risk and crisis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terrorism, kidnap and ransom and contingency risk. Clients include international banks, leasing companies, commodity traders, export credit agencies, multinational corporations and sporting institutions.</w:t>
      </w:r>
    </w:p>
    <w:p>
      <w:pPr>
        <w:spacing w:after="0" w:line="112"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Surety </w:t>
      </w:r>
      <w:r>
        <w:rPr>
          <w:rFonts w:ascii="Times New Roman" w:cs="Times New Roman" w:eastAsia="Times New Roman" w:hAnsi="Times New Roman"/>
          <w:sz w:val="18"/>
          <w:szCs w:val="18"/>
          <w:color w:val="auto"/>
        </w:rPr>
        <w:t>— The Global Surety team provides expertise in placing bonds across all industries and around the world. A surety bond is a financial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guarantees contractual performance, statutory compliance, and financial assurance for domestic and international companies.</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Marine </w:t>
      </w:r>
      <w:r>
        <w:rPr>
          <w:rFonts w:ascii="Times New Roman" w:cs="Times New Roman" w:eastAsia="Times New Roman" w:hAnsi="Times New Roman"/>
          <w:sz w:val="18"/>
          <w:szCs w:val="18"/>
          <w:color w:val="auto"/>
        </w:rPr>
        <w:t>— Marine provides specialist expertise to the maritime and logistics industries. Our Marine business provides insurance broking services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hull and machinery, cargo, protection and indemnity, fine art and general marine liabilities, among others. Our Marine clients include, but are not limited to, ship owners and operators, shipbuilders, logistics operations, port authorities, traders, shippers, exhibitors and secure transport companies.</w:t>
      </w:r>
    </w:p>
    <w:p>
      <w:pPr>
        <w:spacing w:after="0" w:line="1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Natural Resources </w:t>
      </w:r>
      <w:r>
        <w:rPr>
          <w:rFonts w:ascii="Times New Roman" w:cs="Times New Roman" w:eastAsia="Times New Roman" w:hAnsi="Times New Roman"/>
          <w:sz w:val="18"/>
          <w:szCs w:val="18"/>
          <w:color w:val="auto"/>
        </w:rPr>
        <w:t>— Our Natural Resources practice encompasses the oil, gas and chemicals, mining and metals, power and utilities and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sectors. It provides sector-specific risk transfer solutions and insights, which include insurance broking, risk engineering, contractual reviews, wording analysis and claims management.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Consulting and Technology (‘ICT’)</w:t>
      </w:r>
    </w:p>
    <w:p>
      <w:pPr>
        <w:spacing w:after="0" w:line="15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ICT is a global business that provides advice and technology solutions to the insurance industry. We leverage our industry experience, strategic perspective and analytical skills to help clients measure and manage risk and capital, improve business performance and create a sustainable competitive advantage. Our services include software and technology, risk and capital management, products and product pricing, financial and regulatory reporting, financial and capital modeling, M&amp;A, outsourcing and business management.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Transformation Program</w:t>
      </w:r>
    </w:p>
    <w:p>
      <w:pPr>
        <w:spacing w:after="0" w:line="20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In the fourth quarter of 2021, we initiated a three-year ‘Transformation program’ designed to enhance operations, optimize technology and align our real estate footprint to our new ways of working. We expect the program to generate annual cost savings in excess of $300 million by the end of 2024. The program is expected to include cumulative costs of approximately $490 million and capital expenditures of approximately $260 million, for a total investment of $750 million. The main categories of charges will be</w:t>
      </w:r>
    </w:p>
    <w:p>
      <w:pPr>
        <w:spacing w:after="0"/>
        <w:rPr>
          <w:sz w:val="20"/>
          <w:szCs w:val="20"/>
          <w:color w:val="auto"/>
        </w:rPr>
      </w:pPr>
      <w:r>
        <w:rPr>
          <w:rFonts w:ascii="Times New Roman" w:cs="Times New Roman" w:eastAsia="Times New Roman" w:hAnsi="Times New Roman"/>
          <w:sz w:val="18"/>
          <w:szCs w:val="18"/>
          <w:color w:val="auto"/>
        </w:rPr>
        <w:t>in the following four areas:</w:t>
      </w:r>
    </w:p>
    <w:p>
      <w:pPr>
        <w:spacing w:after="0" w:line="83" w:lineRule="exact"/>
        <w:rPr>
          <w:sz w:val="20"/>
          <w:szCs w:val="20"/>
          <w:color w:val="auto"/>
        </w:rPr>
      </w:pPr>
    </w:p>
    <w:p>
      <w:pPr>
        <w:ind w:left="760" w:right="32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the new ways of working (hybrid work) and includes breakage fees and the impairment of right-of-use assets and other related leasehold assets.</w:t>
      </w:r>
    </w:p>
    <w:p>
      <w:pPr>
        <w:spacing w:after="0" w:line="4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60"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81"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condensed consolidated statements of comprehensive income. For the three and six months ended June 30, 2022, restructuring charges under our Transformation program totaled $56 million and $62 million, respectively. Other costs incurred under the Transformation program are included in transaction and transformation, net and were $26 million and $31 million for the three and six months ended June 30, 2022, respectively. From the actions taken through the second quarter of 2022, we have identified an additional $35 million of annualized run-rate savings during the quarter due to newly realized opportunities and incremental sources of value, and $71 million of cumulative annualized run-rate savings identified to date since the inception of the program, which savings overall are primarily </w:t>
      </w:r>
      <w:r>
        <w:rPr>
          <w:rFonts w:ascii="Times New Roman" w:cs="Times New Roman" w:eastAsia="Times New Roman" w:hAnsi="Times New Roman"/>
          <w:sz w:val="18"/>
          <w:szCs w:val="18"/>
          <w:color w:val="212121"/>
        </w:rPr>
        <w:t>attributable to the reduction of real estate and technology costs, as well as process optimization.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benefits </w:t>
      </w:r>
      <w:r>
        <w:rPr>
          <w:rFonts w:ascii="Times New Roman" w:cs="Times New Roman" w:eastAsia="Times New Roman" w:hAnsi="Times New Roman"/>
          <w:sz w:val="18"/>
          <w:szCs w:val="18"/>
          <w:color w:val="000000"/>
        </w:rPr>
        <w:t>from the program began to be recognized during 2022.</w:t>
      </w:r>
    </w:p>
    <w:p>
      <w:pPr>
        <w:spacing w:after="0" w:line="1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a discussion of some of the risks associated with the Transformation program, see Part I, Item 1A ‘Risk Factors’ in our Annual Report on Form 10-K, filed with the SEC on February 24, 2022.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1"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7"/>
          <w:szCs w:val="17"/>
          <w:b w:val="1"/>
          <w:bCs w:val="1"/>
          <w:color w:val="auto"/>
        </w:rPr>
        <w:t>For all prior-year period financial information presented herein, the operating results of Willis Re have been reclassified as discontinued operations (see Note 3 — Acquisitions and Divestitures within Part I, Item 1 ‘Financial Statements’ in this Form 10-Q for additional information).</w:t>
      </w:r>
    </w:p>
    <w:p>
      <w:pPr>
        <w:spacing w:after="0" w:line="8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except per share data)</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2,031</w:t>
            </w: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2,091</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4,191</w:t>
            </w:r>
          </w:p>
        </w:tc>
        <w:tc>
          <w:tcPr>
            <w:tcW w:w="420" w:type="dxa"/>
            <w:vAlign w:val="bottom"/>
          </w:tcPr>
          <w:p>
            <w:pPr>
              <w:spacing w:after="0"/>
              <w:rPr>
                <w:sz w:val="18"/>
                <w:szCs w:val="18"/>
                <w:color w:val="auto"/>
              </w:rPr>
            </w:pPr>
          </w:p>
        </w:tc>
        <w:tc>
          <w:tcPr>
            <w:tcW w:w="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9"/>
              </w:rPr>
              <w:t>100 % $</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4,319</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1,259</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1,317</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2,577</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2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2,736</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879</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784</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1,921</w:t>
            </w:r>
          </w:p>
        </w:tc>
        <w:tc>
          <w:tcPr>
            <w:tcW w:w="2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3,875</w:t>
            </w:r>
          </w:p>
        </w:tc>
        <w:tc>
          <w:tcPr>
            <w:tcW w:w="4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3,938</w:t>
            </w: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20" w:type="dxa"/>
            <w:vAlign w:val="bottom"/>
          </w:tcPr>
          <w:p>
            <w:pPr>
              <w:spacing w:after="0"/>
              <w:rPr>
                <w:sz w:val="18"/>
                <w:szCs w:val="18"/>
                <w:color w:val="auto"/>
              </w:rPr>
            </w:pPr>
          </w:p>
        </w:tc>
        <w:tc>
          <w:tcPr>
            <w:tcW w:w="7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164"/>
        </w:trPr>
        <w:tc>
          <w:tcPr>
            <w:tcW w:w="44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INCOME TAXES</w:t>
            </w:r>
          </w:p>
        </w:tc>
        <w:tc>
          <w:tcPr>
            <w:tcW w:w="18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c>
          <w:tcPr>
            <w:tcW w:w="42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782</w:t>
            </w:r>
          </w:p>
        </w:tc>
        <w:tc>
          <w:tcPr>
            <w:tcW w:w="3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0" w:type="dxa"/>
            <w:vAlign w:val="bottom"/>
          </w:tcPr>
          <w:p>
            <w:pPr>
              <w:spacing w:after="0"/>
              <w:rPr>
                <w:sz w:val="18"/>
                <w:szCs w:val="18"/>
                <w:color w:val="auto"/>
              </w:rPr>
            </w:pPr>
          </w:p>
        </w:tc>
        <w:tc>
          <w:tcPr>
            <w:tcW w:w="8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420" w:type="dxa"/>
            <w:vAlign w:val="bottom"/>
          </w:tcPr>
          <w:p>
            <w:pPr>
              <w:spacing w:after="0"/>
              <w:rPr>
                <w:sz w:val="18"/>
                <w:szCs w:val="18"/>
                <w:color w:val="auto"/>
              </w:rPr>
            </w:pPr>
          </w:p>
        </w:tc>
        <w:tc>
          <w:tcPr>
            <w:tcW w:w="7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170"/>
        </w:trPr>
        <w:tc>
          <w:tcPr>
            <w:tcW w:w="44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(LOSS)/INCOME FROM DISCONTINUED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NET OF TAX</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420" w:type="dxa"/>
            <w:vAlign w:val="bottom"/>
          </w:tcPr>
          <w:p>
            <w:pPr>
              <w:spacing w:after="0"/>
              <w:rPr>
                <w:sz w:val="20"/>
                <w:szCs w:val="20"/>
                <w:color w:val="auto"/>
              </w:rPr>
            </w:pPr>
          </w:p>
        </w:tc>
        <w:tc>
          <w:tcPr>
            <w:tcW w:w="7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(1 )%</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82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14"/>
                <w:szCs w:val="14"/>
                <w:color w:val="auto"/>
              </w:rPr>
              <w:t xml:space="preserve">5 % </w:t>
            </w:r>
            <w:r>
              <w:rPr>
                <w:rFonts w:ascii="Times New Roman" w:cs="Times New Roman" w:eastAsia="Times New Roman" w:hAnsi="Times New Roman"/>
                <w:sz w:val="24"/>
                <w:szCs w:val="24"/>
                <w:color w:val="auto"/>
                <w:vertAlign w:val="superscript"/>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8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14"/>
                <w:szCs w:val="14"/>
                <w:color w:val="auto"/>
              </w:rPr>
              <w:t xml:space="preserve">9 % </w:t>
            </w:r>
            <w:r>
              <w:rPr>
                <w:rFonts w:ascii="Times New Roman" w:cs="Times New Roman" w:eastAsia="Times New Roman" w:hAnsi="Times New Roman"/>
                <w:sz w:val="24"/>
                <w:szCs w:val="24"/>
                <w:color w:val="auto"/>
                <w:vertAlign w:val="superscript"/>
              </w:rPr>
              <w:t>$</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18"/>
                <w:szCs w:val="18"/>
                <w:color w:val="auto"/>
              </w:rPr>
            </w:pPr>
          </w:p>
        </w:tc>
        <w:tc>
          <w:tcPr>
            <w:tcW w:w="740" w:type="dxa"/>
            <w:vAlign w:val="bottom"/>
            <w:gridSpan w:val="3"/>
          </w:tcPr>
          <w:p>
            <w:pPr>
              <w:jc w:val="right"/>
              <w:ind w:right="30"/>
              <w:spacing w:after="0" w:line="209" w:lineRule="exact"/>
              <w:rPr>
                <w:sz w:val="20"/>
                <w:szCs w:val="20"/>
                <w:color w:val="auto"/>
              </w:rPr>
            </w:pPr>
            <w:r>
              <w:rPr>
                <w:rFonts w:ascii="Times New Roman" w:cs="Times New Roman" w:eastAsia="Times New Roman" w:hAnsi="Times New Roman"/>
                <w:sz w:val="14"/>
                <w:szCs w:val="14"/>
                <w:color w:val="auto"/>
              </w:rPr>
              <w:t xml:space="preserve">6 % </w:t>
            </w:r>
            <w:r>
              <w:rPr>
                <w:rFonts w:ascii="Times New Roman" w:cs="Times New Roman" w:eastAsia="Times New Roman" w:hAnsi="Times New Roman"/>
                <w:sz w:val="24"/>
                <w:szCs w:val="24"/>
                <w:color w:val="auto"/>
                <w:vertAlign w:val="superscript"/>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917</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4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4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2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3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-2945130</wp:posOffset>
            </wp:positionV>
            <wp:extent cx="7132320" cy="1454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-2662555</wp:posOffset>
            </wp:positionV>
            <wp:extent cx="7132320" cy="1371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-2114550</wp:posOffset>
            </wp:positionV>
            <wp:extent cx="7132320" cy="1371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-1694815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-1694815</wp:posOffset>
            </wp:positionV>
            <wp:extent cx="596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-1694815</wp:posOffset>
            </wp:positionV>
            <wp:extent cx="596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6563995</wp:posOffset>
            </wp:positionH>
            <wp:positionV relativeFrom="paragraph">
              <wp:posOffset>-1694815</wp:posOffset>
            </wp:positionV>
            <wp:extent cx="596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-1549400</wp:posOffset>
            </wp:positionV>
            <wp:extent cx="222631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22631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2571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-864235</wp:posOffset>
            </wp:positionV>
            <wp:extent cx="7132320" cy="1371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-24765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-7620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-24765</wp:posOffset>
            </wp:positionV>
            <wp:extent cx="596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596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596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596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6563995</wp:posOffset>
            </wp:positionH>
            <wp:positionV relativeFrom="paragraph">
              <wp:posOffset>-24765</wp:posOffset>
            </wp:positionV>
            <wp:extent cx="596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6563995</wp:posOffset>
            </wp:positionH>
            <wp:positionV relativeFrom="paragraph">
              <wp:posOffset>-7620</wp:posOffset>
            </wp:positionV>
            <wp:extent cx="596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 (Continuing Operations)</w:t>
      </w:r>
    </w:p>
    <w:p>
      <w:pPr>
        <w:spacing w:after="0" w:line="161"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Revenue was $2.0 billion for the three months ended June 30, 2022, compared to $2.1 billion for the three months ended June 30, 2021, a decrease of $60 million, or 3%, on an as-reported basis. Adjusting for the impacts of foreign currency and acquisitions and disposals, our organic revenue growth was 3% for the three months ended June 30, 2022. Revenue for the six months ended June 30, 2022 was $4.2 billion, compared to $4.3 billion for the six months ended June 30, 2021, a decrease of $128 million, or 3%, on an as-reported basis. Adjusting for the impacts of foreign currency and acquisitions and disposals, our organic revenue growth was 2% for the six months ended June 30, 2022. The increases in organic revenue were driven by both segments.</w:t>
      </w:r>
    </w:p>
    <w:p>
      <w:pPr>
        <w:spacing w:after="0" w:line="111"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7"/>
          <w:szCs w:val="17"/>
          <w:color w:val="auto"/>
        </w:rPr>
        <w:t>Our revenue can be materially impacted by changes in currency conversions, which can fluctuate significantly over the course of a calendar year. For the three months ended June 30, 2022, currency translation decreased our consolidated revenue by $85 million. For the six months ended June 30, 2022, currency translation decreased our consolidated revenue by $139 million. The primary currencies driving these changes were the Euro and Pound sterling.</w:t>
      </w:r>
    </w:p>
    <w:p>
      <w:pPr>
        <w:spacing w:after="0" w:line="98"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following table details our top five markets based on the percentage of consolidated revenue (in U.S. dollars) from the countries where work was performed for the six months ended June 30, 2022. These figures do not represent the currency of the related revenue, which is presented in the next table.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5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tcPr>
          <w:p>
            <w:pPr>
              <w:spacing w:after="0"/>
              <w:rPr>
                <w:sz w:val="16"/>
                <w:szCs w:val="16"/>
                <w:color w:val="auto"/>
              </w:rPr>
            </w:pPr>
          </w:p>
        </w:tc>
      </w:tr>
      <w:tr>
        <w:trPr>
          <w:trHeight w:val="20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607"/>
        </w:trPr>
        <w:tc>
          <w:tcPr>
            <w:tcW w:w="3380" w:type="dxa"/>
            <w:vAlign w:val="bottom"/>
          </w:tcPr>
          <w:p>
            <w:pPr>
              <w:spacing w:after="0"/>
              <w:rPr>
                <w:sz w:val="24"/>
                <w:szCs w:val="24"/>
                <w:color w:val="auto"/>
              </w:rPr>
            </w:pPr>
          </w:p>
        </w:tc>
        <w:tc>
          <w:tcPr>
            <w:tcW w:w="556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380" w:type="dxa"/>
            <w:vAlign w:val="bottom"/>
            <w:tcBorders>
              <w:bottom w:val="single" w:sz="8" w:color="9A9A9A"/>
            </w:tcBorders>
          </w:tcPr>
          <w:p>
            <w:pPr>
              <w:spacing w:after="0"/>
              <w:rPr>
                <w:sz w:val="8"/>
                <w:szCs w:val="8"/>
                <w:color w:val="auto"/>
              </w:rPr>
            </w:pPr>
          </w:p>
        </w:tc>
        <w:tc>
          <w:tcPr>
            <w:tcW w:w="5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-1146810</wp:posOffset>
            </wp:positionV>
            <wp:extent cx="713232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1323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81" w:right="239" w:bottom="1440" w:gutter="0" w:footer="0" w:header="0"/>
        </w:sectPr>
      </w:pPr>
    </w:p>
    <w:bookmarkStart w:id="36" w:name="page37"/>
    <w:bookmarkEnd w:id="36"/>
    <w:p>
      <w:pPr>
        <w:ind w:right="280"/>
        <w:spacing w:after="0" w:line="281" w:lineRule="auto"/>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from continuing operations by transactional currency for the six months ended June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60" w:type="dxa"/>
            <w:vAlign w:val="bottom"/>
          </w:tcPr>
          <w:p>
            <w:pPr>
              <w:spacing w:after="0"/>
              <w:rPr>
                <w:sz w:val="18"/>
                <w:szCs w:val="18"/>
                <w:color w:val="auto"/>
              </w:rPr>
            </w:pPr>
          </w:p>
        </w:tc>
        <w:tc>
          <w:tcPr>
            <w:tcW w:w="1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8"/>
                <w:szCs w:val="18"/>
                <w:color w:val="auto"/>
              </w:rPr>
            </w:pPr>
          </w:p>
        </w:tc>
        <w:tc>
          <w:tcPr>
            <w:tcW w:w="17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c>
          <w:tcPr>
            <w:tcW w:w="60" w:type="dxa"/>
            <w:vAlign w:val="bottom"/>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dollars</w:t>
            </w:r>
          </w:p>
        </w:tc>
        <w:tc>
          <w:tcPr>
            <w:tcW w:w="16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Pounds sterling</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95059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2" w:lineRule="exact"/>
        <w:rPr>
          <w:sz w:val="20"/>
          <w:szCs w:val="20"/>
          <w:color w:val="auto"/>
        </w:rPr>
      </w:pPr>
    </w:p>
    <w:p>
      <w:pPr>
        <w:ind w:left="280" w:right="160" w:hanging="272"/>
        <w:spacing w:after="0" w:line="278" w:lineRule="auto"/>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net.</w:t>
      </w:r>
    </w:p>
    <w:p>
      <w:pPr>
        <w:spacing w:after="0" w:line="11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following tables set forth the total revenue for the three and six months ended June 30, 2022 and 2021 and the components of the changes in total revenue for the three and six months ended June 30, 2022, as compared to the prior year periods. The components of the revenue change may not add due to rounding.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6"/>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320" w:type="dxa"/>
            <w:vAlign w:val="bottom"/>
            <w:gridSpan w:val="2"/>
            <w:shd w:val="clear" w:color="auto" w:fill="CFF0FC"/>
          </w:tcPr>
          <w:p>
            <w:pPr>
              <w:jc w:val="right"/>
              <w:ind w:right="406"/>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371"/>
        </w:trPr>
        <w:tc>
          <w:tcPr>
            <w:tcW w:w="19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2440" w:type="dxa"/>
            <w:vAlign w:val="bottom"/>
            <w:tcBorders>
              <w:top w:val="single" w:sz="8" w:color="CFF0FC"/>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top w:val="single" w:sz="8" w:color="CFF0FC"/>
              <w:bottom w:val="single" w:sz="8" w:color="auto"/>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6"/>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-915670</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-898525</wp:posOffset>
            </wp:positionV>
            <wp:extent cx="768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-915670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-898525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-24765</wp:posOffset>
            </wp:positionV>
            <wp:extent cx="768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-7620</wp:posOffset>
            </wp:positionV>
            <wp:extent cx="76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-24765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-7620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Item 2 of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17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 xml:space="preserve">For further information on our segment reorganization and a full description of our businesses, please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Reorganization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elsewhere within Part I, Item 2 of this Quarterly Report on Form 10-Q.</w:t>
      </w:r>
    </w:p>
    <w:p>
      <w:pPr>
        <w:spacing w:after="0" w:line="10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Within the tables presented below, the components of revenue change provided may not add due to rounding. The prior-year segment information has been conformed to the current-year presentation.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HWC Revenue</w:t>
      </w:r>
    </w:p>
    <w:p>
      <w:pPr>
        <w:spacing w:after="0" w:line="15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three months ended June 30, 2022 and 2021 and the components of the change in revenue for the three months ended June 30, 2022 from the three months ended June 30,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360" w:type="dxa"/>
            <w:vAlign w:val="bottom"/>
            <w:tcBorders>
              <w:top w:val="single" w:sz="8" w:color="CFF0FC"/>
              <w:bottom w:val="single" w:sz="8" w:color="CFF0FC"/>
            </w:tcBorders>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-24765</wp:posOffset>
            </wp:positionV>
            <wp:extent cx="7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-7620</wp:posOffset>
            </wp:positionV>
            <wp:extent cx="768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-170815</wp:posOffset>
            </wp:positionV>
            <wp:extent cx="768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-24765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-170815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HWC segment revenue for both the three months ended June 30, 2022 and 2021 was $1.2 billion. Organic growth was led by the Health business, primarily due to gains recorded in connection with book-of-business settlements. Excluding these settlements, Health’s revenue increased from additional consulting work in North America as well as continued expansion of our local portfolios and global benefits management appointments outside of North America.</w:t>
      </w:r>
    </w:p>
    <w:p>
      <w:pPr>
        <w:spacing w:after="0" w:line="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Benefits Delivery &amp; Outsourcing revenue also increased, led by Individual Marketplace with growth in Medicare Advantage sales. Career also contributed strong growth, driven by increased</w:t>
      </w:r>
    </w:p>
    <w:p>
      <w:pPr>
        <w:spacing w:after="0" w:line="1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3" w:right="279" w:bottom="1440" w:gutter="0" w:footer="0" w:header="0"/>
        </w:sectPr>
      </w:pPr>
    </w:p>
    <w:bookmarkStart w:id="37" w:name="page38"/>
    <w:bookmarkEnd w:id="37"/>
    <w:p>
      <w:pPr>
        <w:ind w:right="300"/>
        <w:spacing w:after="0" w:line="281" w:lineRule="auto"/>
        <w:rPr>
          <w:sz w:val="20"/>
          <w:szCs w:val="20"/>
          <w:color w:val="auto"/>
        </w:rPr>
      </w:pPr>
      <w:r>
        <w:rPr>
          <w:rFonts w:ascii="Times New Roman" w:cs="Times New Roman" w:eastAsia="Times New Roman" w:hAnsi="Times New Roman"/>
          <w:sz w:val="18"/>
          <w:szCs w:val="18"/>
          <w:color w:val="auto"/>
        </w:rPr>
        <w:t>project activity. Organic growth was partially offset by a decline in Wealth revenue, principally due to headwinds from performance fees received in the prior year.</w:t>
      </w:r>
    </w:p>
    <w:p>
      <w:pPr>
        <w:spacing w:after="0" w:line="13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six months ended June 30, 2022 and 2021, and the components of the change in revenue for the six months ended June 30, 2022 from the six months ended June 30,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240" w:type="dxa"/>
            <w:vAlign w:val="bottom"/>
            <w:tcBorders>
              <w:top w:val="single" w:sz="8" w:color="CFF0FC"/>
              <w:bottom w:val="single" w:sz="8" w:color="CFF0FC"/>
            </w:tcBorders>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-24765</wp:posOffset>
            </wp:positionV>
            <wp:extent cx="768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-7620</wp:posOffset>
            </wp:positionV>
            <wp:extent cx="768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-170815</wp:posOffset>
            </wp:positionV>
            <wp:extent cx="768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-24765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-170815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HWC segment revenue for both the six months ended June 30, 2022 and 2021 was $2.4 billion. Organic growth was led by the Health business primarily due to an increase in consulting assignments in North America and expansion of our local portfolios and global benefits management appointments outside of North America. The Health business’ revenue also benefited from gains recorded in connection with book-of-business settlements. Career also contributed strong growth, driven by demand for reward-based advisory services and compensation benchmarking products alongside increased project activity. Benefits Delivery &amp; Outsourcing revenue also increased, led by its expanded client base. Organic growth was partially offset by a decline in Wealth revenue, principally due to headwinds from outsized performance fees earned in the prior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R&amp;B Revenue</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three months ended June 30, 2022 and 2021 and the components of the change in revenue for the three months ended June 30, 2022 from the three months ended June 30,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2660" w:type="dxa"/>
            <w:vAlign w:val="bottom"/>
            <w:gridSpan w:val="4"/>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2660" w:type="dxa"/>
            <w:vAlign w:val="bottom"/>
            <w:tcBorders>
              <w:bottom w:val="single" w:sz="8" w:color="auto"/>
            </w:tcBorders>
            <w:gridSpan w:val="4"/>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10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122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1000" w:type="dxa"/>
            <w:vAlign w:val="bottom"/>
            <w:tcBorders>
              <w:top w:val="single" w:sz="8" w:color="auto"/>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240" w:type="dxa"/>
            <w:vAlign w:val="bottom"/>
            <w:tcBorders>
              <w:top w:val="single" w:sz="8" w:color="CFF0FC"/>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18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-24765</wp:posOffset>
            </wp:positionV>
            <wp:extent cx="768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-7620</wp:posOffset>
            </wp:positionV>
            <wp:extent cx="768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-170815</wp:posOffset>
            </wp:positionV>
            <wp:extent cx="768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-24765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-170815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R&amp;B segment revenue for the three months ended June 30, 2022 and 2021 was $852 million and $885 million, respectively. On an organic basis, ICT grew primarily as a result of new software sales as well as increased advisory work. CRB generated revenue growth across all regions, primarily driven by our global lines of business, principally from new business, most notably in Aerospace, Natural Resources and FINEX. Book-of-business settlement activity was largely in line with prior year and did not materially affect CRB's organic growth rate.</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six months ended June 30, 2022 and 2021, and the components of the change in revenue for the six months ended June 30, 2022 from the six months ended June 30,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40" w:type="dxa"/>
            <w:vAlign w:val="bottom"/>
            <w:tcBorders>
              <w:top w:val="single" w:sz="8" w:color="CFF0FC"/>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18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-24765</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-7620</wp:posOffset>
            </wp:positionV>
            <wp:extent cx="768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-170815</wp:posOffset>
            </wp:positionV>
            <wp:extent cx="768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-24765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-7620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-170815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R&amp;B segment revenue for the six months ended June 30, 2022 and 2021 was $1.7 billion and $1.8 billion, respectively. On an organic basis, ICT grew from both increased advisory work and software sales. CRB also contributed to R&amp;B’s revenue growth. Excluding headwinds from book-of-business sales and settlements recorded in the comparable period, revenue increased across all regions, primarily from new business in FINEX, M&amp;A, and Aerospace lines.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Costs of Providing Services (Continuing Operations)</w:t>
      </w:r>
    </w:p>
    <w:p>
      <w:pPr>
        <w:spacing w:after="0" w:line="171" w:lineRule="exact"/>
        <w:rPr>
          <w:sz w:val="20"/>
          <w:szCs w:val="20"/>
          <w:color w:val="auto"/>
        </w:rPr>
      </w:pPr>
    </w:p>
    <w:p>
      <w:pPr>
        <w:jc w:val="both"/>
        <w:ind w:right="60"/>
        <w:spacing w:after="0" w:line="300" w:lineRule="auto"/>
        <w:rPr>
          <w:sz w:val="20"/>
          <w:szCs w:val="20"/>
          <w:color w:val="auto"/>
        </w:rPr>
      </w:pPr>
      <w:r>
        <w:rPr>
          <w:rFonts w:ascii="Times New Roman" w:cs="Times New Roman" w:eastAsia="Times New Roman" w:hAnsi="Times New Roman"/>
          <w:sz w:val="17"/>
          <w:szCs w:val="17"/>
          <w:b w:val="1"/>
          <w:bCs w:val="1"/>
          <w:color w:val="auto"/>
        </w:rPr>
        <w:t>For all prior-year period financial information presented herein, the operating results of Willis Re have been reclassified as discontinued operations (see Note 3 — Acquisitions and Divestitures within Part I, Item 1 ‘Financial Statements’ in this Form 10-Q for additional information).</w:t>
      </w:r>
    </w:p>
    <w:p>
      <w:pPr>
        <w:spacing w:after="0" w:line="8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Total costs of providing services for both the three months ended June 30, 2022 and 2021 were $1.9 billion, a decrease of $27 million, or 1%. Total costs of providing services for both the six months ended June 30, 2022 and 2021 were $3.9 billion, a decrease of $63 million, or 2%. See the following discussion for further details.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7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Salaries and benefits for both the three months ended June 30, 2022 and 2021 were $1.3 billion, a decrease of $58 million, or 4%. The decrease in the current year is primarily due to lower incentive and benefit costs for the period. Salaries and benefits, as a percentage of revenue, represented 62% and 63% for the three months ended June 30, 2022 and 2021, respectively.</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Salaries and benefits for the six months ended June 30, 2022 were $2.6 billion, compared to $2.7 billion for the six months ended June 30, 2021, a decrease of $159 million, or 6%. The decrease in the current year is primarily due to lower incentive and benefit costs for the period. Salaries and benefits, as a percentage of revenue, represented 61% and 63% for the six months ended June 30, 2022 and 2021,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7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Other operating expenses for the three months ended June 30, 2022 were $393 million, compared to $384 million for the three months ended June 30, 2021, an increase of $9 million, or 2%. The increase was primarily due to higher travel and entertainment costs, local office expenses and bad debt expense, partially offset by decreases in non-income-related tax expense and occupancy costs. Other operating expenses for the six months ended June 30, 2022 were $879 million, compared to $784 million for the six months ended June 30, 2021, an increase of $95 million, or 12%. The increase was primarily due to asset impairments, mostly accounts receivables, related to Russian insurance contracts placed by U.K. brokers in the London market (see Note 3 — Acquisitions and Divestitures within Part I, Item 1 ‘Financial Statements’ in this Form 10-Q for additional information), higher travel and entertainment costs and business insurance costs, partially offset by lower non-income-related tax expense for the current year as compared to the prior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5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Depreciation for the three months ended June 30, 2022 was $65 million, compared to $72 million for the three months ended June 30, 2021, a decrease of $7 million, or 10%. Depreciation for the six months ended June 30, 2022 was $131 million, compared to $143 million for the six months ended June 30, 2021, a decrease of $12 million, or 8%. The quarter-over-quarter and year-over-year decreases were primarily due to a lower depreciable base of assets resulting from business disposals over the last two years and a lower dollar value of assets placed in service during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7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Amortization for the three months ended June 30, 2022 was $83 million, compared to $97 million for the three months ended June 30, 2021, a decrease of $14 million, or 14%. Amortization for the six months ended June 30, 2022 was $168 million, compared to $200 million for the six months ended June 30, 2021, a decrease of $32 million, or 16%. Our intangible amortization is generally more heavily weighted to the initial years of the useful lives of the related intangibles, and therefore amortization related to intangible assets will continue to decrease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Restructuring costs for the three and six months ended June 30, 2022 were $56 million and $62 million, respectively. Restructuring costs primarily relate to the real estate rationalization and technology modernization components of the Transformation program (see ‘Transformation Program’ within this Part I, Item 2 and Note 6 — Restructuring Costs within Part I, Item 1 ‘Financial Statements’ of this Quarterly Report on Form 10-Q).</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Transformation, Net</w:t>
      </w:r>
    </w:p>
    <w:p>
      <w:pPr>
        <w:spacing w:after="0" w:line="173"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Transaction and transformation, net costs for the three months ended June 30, 2022 were $38 million, compared to $51 million for the three months ended June 30, 2021. Transaction and transformation, net costs for the six months ended June 30, 2022 were $58 million, compared to $75 million for the six months ended June 30, 2021. Transaction and transformation expenses for the current year were comprised of compensation costs and consulting fees related to the Transformation program (see ‘Transformation Program’ within this Part I, Item 2), as well as legal fees and other transaction costs. Transaction and transformation, net costs for the prior-year period were comprised primarily of legal fees and other professional fees related to our then-proposed combination with Aon.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Income from operations for the three months ended June 30, 2022 was $137 million, compared to $170 million for the three months ended June 30, 2021, a decrease of $33 million. This decrease resulted primarily from lower revenue and current period restructuring costs, partially offset by lower incentive compensation accruals in the current quarter.</w:t>
      </w:r>
    </w:p>
    <w:p>
      <w:pPr>
        <w:spacing w:after="0" w:line="135"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Income from operations for the six months ended June 30, 2022 was $316 million, compared to $381 million for the six months ended June 30, 2021, a decrease of $65 million. This decrease resulted primarily from the asset impairment expense discussed above, lower revenue and second-quarter restructuring costs, partially offset by lower incentive compensation accruals in the current-year period.</w:t>
      </w:r>
    </w:p>
    <w:p>
      <w:pPr>
        <w:spacing w:after="0" w:line="135" w:lineRule="exact"/>
        <w:rPr>
          <w:sz w:val="20"/>
          <w:szCs w:val="20"/>
          <w:color w:val="auto"/>
        </w:rPr>
      </w:pPr>
    </w:p>
    <w:p>
      <w:pPr>
        <w:ind w:right="940"/>
        <w:spacing w:after="0" w:line="422" w:lineRule="auto"/>
        <w:rPr>
          <w:sz w:val="20"/>
          <w:szCs w:val="20"/>
          <w:color w:val="auto"/>
        </w:rPr>
      </w:pPr>
      <w:r>
        <w:rPr>
          <w:rFonts w:ascii="Times New Roman" w:cs="Times New Roman" w:eastAsia="Times New Roman" w:hAnsi="Times New Roman"/>
          <w:sz w:val="18"/>
          <w:szCs w:val="18"/>
          <w:color w:val="auto"/>
        </w:rPr>
        <w:t xml:space="preserve">The lower revenue for both the three and six months ending June 30, 2022 resulted from unfavorable foreign exchange and recent dispositions. </w:t>
      </w:r>
      <w:r>
        <w:rPr>
          <w:rFonts w:ascii="Times New Roman" w:cs="Times New Roman" w:eastAsia="Times New Roman" w:hAnsi="Times New Roman"/>
          <w:sz w:val="18"/>
          <w:szCs w:val="18"/>
          <w:b w:val="1"/>
          <w:bCs w:val="1"/>
          <w:color w:val="auto"/>
        </w:rPr>
        <w:t>Interest Expense</w:t>
      </w: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June 30, 2022 was $51 million, compared to $52 million for the three months ended June 30, 2021, a decrease of $1 million, or 2%. Interest expense for the six months ended June 30, 2022 was $100 million as compared to $111 million for the six months ended June 30, 2021, a decrease of $11 million, or 10%. These decreases were primarily the result of lower average levels of indebtedness in the current year.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6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Other income, net for the three months ended June 30, 2022 was $93 million, compared to $74 million for the three months ended June 30, 2021, an increase of $19 million, or 26%, mostly related to a revaluation gain on an acquisition completed in stages in the current quarter.</w:t>
      </w:r>
    </w:p>
    <w:p>
      <w:pPr>
        <w:spacing w:after="0" w:line="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income, net for the six months ended June 30, 2022 was $120 million, compared to $512 million for the six months ended June 30, 2021. Other income, net in the prior-year period consisted primarily of the net gain on disposal of our Miller business (see Note 3 – Acquisitions and Divestitures in Part I, Item 1 ‘Financial Statements’ in this Form 10-Q), which primarily accounted for the decrease in other income, net, in the current year.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6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Provision for income taxes for the three months ended June 30, 2022 was $19 million, compared to $75 million for the three months ended June 30, 2021, a decrease of $56 million. The effective tax rate was 10.5% for the three months ended June 30, 2022, and 38.9% for the three months ended June 30, 2021. Provision for income taxes for the six months ended June 30, 2022 was $62 million, compared to $119 million for the six months ended June 30, 2021, a decrease of $57 million. The effective tax rate was 18.4% for the six months ended June 30, 2022 and 15.2% for the six months ended June 30, 2021. These effective tax rates are calculated using extended values from the Company’s condensed consolidated statements of comprehensive income and are therefore more precise tax rates than can be calculated from rounded values. The prior-year quarter effective tax rate was higher due to the discrete tax effect of the U.K. tax-rate increase enacted in the second quarter of 2021. Accordingly, the Company remeasured its U.K. deferred tax assets and liabilities, resulting in a $40 million deferred tax expense in the prior-year period. Additionally, the current quarter effective tax rate includes certain discrete tax benefits primarily related to return-to-provision true ups.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(Loss)/Income from Discontinued Operations, Net of Tax</w:t>
      </w:r>
    </w:p>
    <w:p>
      <w:pPr>
        <w:spacing w:after="0" w:line="16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Loss from discontinued operations, net of tax for the three months ended June 30, 2022 was $46 million, compared to income from discontinued operations, net of tax of $69 million for the three months ended June 30, 2021, a decrease of $115 million. Loss from discontinued operations, net of tax for the six months ended June 30, 2022 was $35 million, compared to income from discontinued operations, net of tax of $259 million for the six months ended June 30, 2021, a decrease of $294 million. The operations of our Willis Re business were reclassified to discontinued operations upon our entering into an agreement to sell the business during the third quarter of 2021 (see Note 3 – Acquisitions and Divestitures in Part I, Item 1 ‘Financial Statements’ in this Form 10-Q). Losses from discontinued operations in the current year are primarily attributable to the reduction to the gain on disposal resulting from of an updated estimate of working capital which decreased the preliminary purchase price by $60 million. This loss was offset by the operations of the deferred closing entities and run-off activity associated with the divestiture.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WTW</w:t>
      </w:r>
    </w:p>
    <w:p>
      <w:pPr>
        <w:spacing w:after="0" w:line="16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Net income attributable to WTW for the three months ended June 30, 2022 was $109 million, compared to $184 million for the three months ended June 30, 2021, a decrease of $75 million, or 41%. This decrease was primarily due to lower net income from the discontinued operations of our Willis Re business, the current quarter’s restructuring costs and lower revenue, partially offset by lower incentive compensation accruals this quarter.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0" w:name="page41"/>
    <w:bookmarkEnd w:id="40"/>
    <w:p>
      <w:pPr>
        <w:ind w:right="120"/>
        <w:spacing w:after="0" w:line="250" w:lineRule="auto"/>
        <w:rPr>
          <w:sz w:val="20"/>
          <w:szCs w:val="20"/>
          <w:color w:val="auto"/>
        </w:rPr>
      </w:pPr>
      <w:r>
        <w:rPr>
          <w:rFonts w:ascii="Times New Roman" w:cs="Times New Roman" w:eastAsia="Times New Roman" w:hAnsi="Times New Roman"/>
          <w:sz w:val="18"/>
          <w:szCs w:val="18"/>
          <w:color w:val="auto"/>
        </w:rPr>
        <w:t>Net income attributable to WTW for the six months ended June 30, 2022 was $231 million, compared to $917 million for the six months ended June 30, 2021, a decrease of $686 million, or 75%. This decrease was primarily due to the prior-year gain on the sale of the Miller business, lower net income from the discontinued operations of our Willis Re business, the asset impairment expense discussed above, lower revenue and the current year’s restructuring costs, partially offset by lower incentive compensation accruals in the current-year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61"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facilities and any new debt offerings.</w:t>
      </w:r>
    </w:p>
    <w:p>
      <w:pPr>
        <w:spacing w:after="0" w:line="9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COVID-19 pandemic has contributed to significant volatility in financial markets, including occasional declines in equity markets, inflation and changes in interest rates and reduced liquidity on a global basis. Specific to WTW, over the past two years, the COVID-19 pandemic had an initial negative impact on discretionary work we perform for our clients, but we subsequently saw increased demand for these services begin to return in the second quarter of 2021 which continues into 2022. We continue to have decreased spending on travel and associated expenses and third-party contractors, and we have the ability to contain spending on discretionary projects and certain capital expenditures.</w:t>
      </w:r>
    </w:p>
    <w:p>
      <w:pPr>
        <w:spacing w:after="0" w:line="12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scheduled debt repayments, share repurchases and dividend payments. During the second quarter of 2022, we completed an offering of $750 million aggregate principal amount of 4.650% senior notes due 2027, using the proceeds in part to repay in full our €540 million ($582 million on the date of repayment) aggregate principal amount of 2.125% Senior Notes due 2022 ($594 million including accrued interest), which were to mature during the second quarter of 2022. Additionally, during the second quarter of 2022, our board of directors approved a $1.0 billion increase to the existing share repurchase program, and during the six months ended June 30, 2022 we repurchased $2.7 billion of shares, with remaining authorization to repurchase an additional $2.1 billion.</w:t>
      </w:r>
    </w:p>
    <w:p>
      <w:pPr>
        <w:spacing w:after="0" w:line="130"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From time to time, we will consider whether to repurchase shares based on many factors, including market and economic conditions, applicable legal requirements and other business considerations. The share repurchase program has no termination date and may be suspended or discontinued at any time.</w:t>
      </w:r>
    </w:p>
    <w:p>
      <w:pPr>
        <w:spacing w:after="0" w:line="9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During the prior year, the operating results and balance sheets of Willis Re were reclassified to discontinued operations. Willis Re’s operating cash flows approximate its pre-tax income and any adjustments for working capital movements (see Note 3 — Acquisitions and Divestitures in Part I, Item 1 ‘Financial Statements’ within this Quarterly Report on Form 10-Q). Certain costs historically allocated to the Willis Re business are included in continuing operations and were retained following the disposal, but are expected to be partially offset by reimbursements through the TSA. Costs incurred to service the TSA are expected to be reduced as part of the Company’s Transformation program as quickly as possible when the services are no longer required by Gallagher.</w:t>
      </w:r>
    </w:p>
    <w:p>
      <w:pPr>
        <w:spacing w:after="0" w:line="1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0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Company continues to have certain subsidiaries for which the earnings have not been deemed permanently reinvested and for which it has been accruing estimates of the tax effects of such repatriation. Excluding these certain subsidiaries, the Company continues to assert that the historical cumulative earnings for the remainder of its subsidiaries have been reinvested indefinitely, and therefore does not provide deferred taxes on these amounts. If future events, including material changes in estimates of cash, working capital, long-term investment requirements or additional legislation relating to U.S. Tax Reform, necessitate that these earnings be distributed, an additional provision for income and foreign withholding taxes, net of credits, may be necessary. Other potential sources of cash may be obtained through the settlement of intercompany loans or return of capital distributions in a tax-efficient manner.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cash and cash equivalents at June 30, 2022 totaled $1.9 billion, compared to $4.5 billion at December 31, 2021. The decrease in cash from December 31, 2021 to June 30, 2022 was due primarily to $2.7 billion of share repurchases.</w:t>
      </w:r>
    </w:p>
    <w:p>
      <w:pPr>
        <w:spacing w:after="0" w:line="10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$1.5 billion revolving credit facility at both June 30, 2022 and December 31, 2021.</w:t>
      </w:r>
    </w:p>
    <w:p>
      <w:pPr>
        <w:spacing w:after="0" w:line="95"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Included within cash and cash equivalents at June 30, 2022 and December 31, 2021 are amounts held for regulatory capital adequacy requirements, including $116 million and $120 million, respectively, held within our regulated U.K.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six months ended June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69"/>
        </w:trPr>
        <w:tc>
          <w:tcPr>
            <w:tcW w:w="79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r>
      <w:tr>
        <w:trPr>
          <w:trHeight w:val="169"/>
        </w:trPr>
        <w:tc>
          <w:tcPr>
            <w:tcW w:w="7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2"/>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660" w:type="dxa"/>
            <w:vAlign w:val="bottom"/>
          </w:tcPr>
          <w:p>
            <w:pPr>
              <w:spacing w:after="0"/>
              <w:rPr>
                <w:sz w:val="14"/>
                <w:szCs w:val="14"/>
                <w:color w:val="auto"/>
              </w:rPr>
            </w:pPr>
          </w:p>
        </w:tc>
      </w:tr>
      <w:tr>
        <w:trPr>
          <w:trHeight w:val="216"/>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from/(used in):</w:t>
            </w: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w:t>
            </w:r>
          </w:p>
        </w:tc>
        <w:tc>
          <w:tcPr>
            <w:tcW w:w="1160" w:type="dxa"/>
            <w:vAlign w:val="bottom"/>
            <w:gridSpan w:val="2"/>
          </w:tcPr>
          <w:p>
            <w:pPr>
              <w:jc w:val="center"/>
              <w:ind w:right="64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(2,690 )</w:t>
            </w: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(1,067 )</w:t>
            </w:r>
          </w:p>
        </w:tc>
      </w:tr>
      <w:tr>
        <w:trPr>
          <w:trHeight w:val="209"/>
        </w:trPr>
        <w:tc>
          <w:tcPr>
            <w:tcW w:w="7900" w:type="dxa"/>
            <w:vAlign w:val="bottom"/>
            <w:shd w:val="clear" w:color="auto" w:fill="CFF0FC"/>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DECREASE IN CASH, CASH EQUIVALENTS AND RESTRICTED CASH </w:t>
            </w:r>
            <w:r>
              <w:rPr>
                <w:rFonts w:ascii="Times New Roman" w:cs="Times New Roman" w:eastAsia="Times New Roman" w:hAnsi="Times New Roman"/>
                <w:sz w:val="24"/>
                <w:szCs w:val="24"/>
                <w:color w:val="auto"/>
                <w:vertAlign w:val="superscript"/>
              </w:rPr>
              <w:t>(i)</w:t>
            </w: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(2,413 )</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790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7,691</w:t>
            </w:r>
          </w:p>
        </w:tc>
        <w:tc>
          <w:tcPr>
            <w:tcW w:w="1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6,301</w:t>
            </w:r>
          </w:p>
        </w:tc>
      </w:tr>
      <w:tr>
        <w:trPr>
          <w:trHeight w:val="209"/>
        </w:trPr>
        <w:tc>
          <w:tcPr>
            <w:tcW w:w="7900" w:type="dxa"/>
            <w:vAlign w:val="bottom"/>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5,108</w:t>
            </w:r>
          </w:p>
        </w:tc>
        <w:tc>
          <w:tcPr>
            <w:tcW w:w="1160" w:type="dxa"/>
            <w:vAlign w:val="bottom"/>
            <w:gridSpan w:val="2"/>
          </w:tcPr>
          <w:p>
            <w:pPr>
              <w:jc w:val="center"/>
              <w:ind w:right="64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5,924</w:t>
            </w:r>
          </w:p>
        </w:tc>
      </w:tr>
      <w:tr>
        <w:trPr>
          <w:trHeight w:val="20"/>
        </w:trPr>
        <w:tc>
          <w:tcPr>
            <w:tcW w:w="7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-170815</wp:posOffset>
            </wp:positionV>
            <wp:extent cx="102870" cy="1714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40" w:lineRule="exact"/>
        <w:rPr>
          <w:sz w:val="20"/>
          <w:szCs w:val="20"/>
          <w:color w:val="auto"/>
        </w:rPr>
      </w:pPr>
    </w:p>
    <w:p>
      <w:pPr>
        <w:jc w:val="both"/>
        <w:ind w:left="280" w:right="160" w:hanging="272"/>
        <w:spacing w:after="0" w:line="262" w:lineRule="auto"/>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I ‘Financial Statements’ within this Quarterly Report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6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Cash flows from operating activities were $258 million for the six months ended June 30, 2022, compared to $366 million for the six months ended June 30, 2021. The $258 million of net cash from operating activities for the six months ended June 30, 2022 included net income of $239 million and $510 million of favorable non-cash adjustments, partially offset by unfavorable changes in operating assets and liabilities of $491 million. This decrease in cash flows from operations as compared to the prior year was due primarily to cash disbursements and the elimination of cash generation resulting from the Willis Re divestiture, as well as additional tax payments resulting from both the Willis Re sale and the income receipt related to the termination of the then-proposed Aon transaction.</w:t>
      </w:r>
    </w:p>
    <w:p>
      <w:pPr>
        <w:spacing w:after="0" w:line="12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$366 million of net cash from operating activities for the six months ended June 30, 2021 included net income of $922 million and $79 million of favorable non-cash adjustments, partially offset by unfavorable changes in operating assets and liabilities of $635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6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Cash flows from investing activities for the six months ended June 30, 2022 were $19 million as compared to $374 million for the six months ended June 30, 2021. The cash flows from investing activities for the six months ended June 30, 2022 primarily include sales of investments of $200 million, partially offset by capital expenditures and capitalized software additions of $93 million and acquisitions of $76 million made during the first half of 2022. The cash flows from investing activities in the prior year period primarily included the net proceeds from the sale of Miller of $696 million, partially offset by cash and fiduciary funds transferred on disposal of $216 million and capital expenditures and capitalized software additions of $106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7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Cash flows used in financing activities for the six months ended June 30, 2022 were $2.7 billion. The significant financing activities included share repurchases of $2.7 billion and dividend payments of $189 million, partially offset by $162 million of net proceeds from issuance of debt and $85 million of net proceeds from fiduciary funds held for clients.</w:t>
      </w:r>
    </w:p>
    <w:p>
      <w:pPr>
        <w:spacing w:after="0" w:line="135" w:lineRule="exact"/>
        <w:rPr>
          <w:sz w:val="20"/>
          <w:szCs w:val="20"/>
          <w:color w:val="auto"/>
        </w:rPr>
      </w:pPr>
    </w:p>
    <w:p>
      <w:pPr>
        <w:ind w:right="700"/>
        <w:spacing w:after="0" w:line="297" w:lineRule="auto"/>
        <w:rPr>
          <w:sz w:val="20"/>
          <w:szCs w:val="20"/>
          <w:color w:val="auto"/>
        </w:rPr>
      </w:pPr>
      <w:r>
        <w:rPr>
          <w:rFonts w:ascii="Times New Roman" w:cs="Times New Roman" w:eastAsia="Times New Roman" w:hAnsi="Times New Roman"/>
          <w:sz w:val="18"/>
          <w:szCs w:val="18"/>
          <w:color w:val="auto"/>
        </w:rPr>
        <w:t>Cash flows used in financing activities for the six months ended June 30, 2021 were $1.1 billion. The significant financing activities included debt repayments of $515 million, $246 million of net payments from fiduciary funds held for clients and dividend payments of $269 million.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June 30, 2022 and December 31, 2021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00" w:type="dxa"/>
            <w:vAlign w:val="bottom"/>
          </w:tcPr>
          <w:p>
            <w:pPr>
              <w:spacing w:after="0"/>
              <w:rPr>
                <w:sz w:val="16"/>
                <w:szCs w:val="16"/>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in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3,974</w:t>
            </w:r>
          </w:p>
        </w:tc>
        <w:tc>
          <w:tcPr>
            <w:tcW w:w="60" w:type="dxa"/>
            <w:vAlign w:val="bottom"/>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080" w:type="dxa"/>
            <w:vAlign w:val="bottom"/>
          </w:tcPr>
          <w:p>
            <w:pPr>
              <w:spacing w:after="0"/>
              <w:rPr>
                <w:sz w:val="18"/>
                <w:szCs w:val="18"/>
                <w:color w:val="auto"/>
              </w:rPr>
            </w:pPr>
          </w:p>
        </w:tc>
        <w:tc>
          <w:tcPr>
            <w:tcW w:w="8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tcPr>
          <w:p>
            <w:pPr>
              <w:spacing w:after="0"/>
              <w:rPr>
                <w:sz w:val="18"/>
                <w:szCs w:val="18"/>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080" w:type="dxa"/>
            <w:vAlign w:val="bottom"/>
            <w:tcBorders>
              <w:top w:val="single" w:sz="8" w:color="auto"/>
              <w:bottom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4,587</w:t>
            </w:r>
          </w:p>
        </w:tc>
        <w:tc>
          <w:tcPr>
            <w:tcW w:w="60" w:type="dxa"/>
            <w:vAlign w:val="bottom"/>
          </w:tcPr>
          <w:p>
            <w:pPr>
              <w:spacing w:after="0"/>
              <w:rPr>
                <w:sz w:val="21"/>
                <w:szCs w:val="21"/>
                <w:color w:val="auto"/>
              </w:rPr>
            </w:pPr>
          </w:p>
        </w:tc>
      </w:tr>
      <w:tr>
        <w:trPr>
          <w:trHeight w:val="196"/>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6"/>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1080" w:type="dxa"/>
            <w:vAlign w:val="bottom"/>
            <w:tcBorders>
              <w:bottom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10,337</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13,260</w:t>
            </w:r>
          </w:p>
        </w:tc>
        <w:tc>
          <w:tcPr>
            <w:tcW w:w="60" w:type="dxa"/>
            <w:vAlign w:val="bottom"/>
          </w:tcPr>
          <w:p>
            <w:pPr>
              <w:spacing w:after="0"/>
              <w:rPr>
                <w:sz w:val="22"/>
                <w:szCs w:val="22"/>
                <w:color w:val="auto"/>
              </w:rPr>
            </w:pPr>
          </w:p>
        </w:tc>
      </w:tr>
      <w:tr>
        <w:trPr>
          <w:trHeight w:val="412"/>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ratio</w:t>
            </w:r>
          </w:p>
        </w:tc>
        <w:tc>
          <w:tcPr>
            <w:tcW w:w="1080" w:type="dxa"/>
            <w:vAlign w:val="bottom"/>
          </w:tcPr>
          <w:p>
            <w:pPr>
              <w:spacing w:after="0"/>
              <w:rPr>
                <w:sz w:val="24"/>
                <w:szCs w:val="24"/>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31.3 %</w:t>
            </w:r>
          </w:p>
        </w:tc>
        <w:tc>
          <w:tcPr>
            <w:tcW w:w="3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0"/>
        </w:trPr>
        <w:tc>
          <w:tcPr>
            <w:tcW w:w="7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-624205</wp:posOffset>
            </wp:positionV>
            <wp:extent cx="857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-607060</wp:posOffset>
            </wp:positionV>
            <wp:extent cx="857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-324485</wp:posOffset>
            </wp:positionV>
            <wp:extent cx="857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-307340</wp:posOffset>
            </wp:positionV>
            <wp:extent cx="857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capitalization ratio increased from December 31, 2021 primarily due to $2.7 billion of share repurchases during the six months ended June 30,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the Company does not have any mandatory debt repayment due within the next twelve months.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and December 31, 2021, we were in compliance with all financial covenants.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6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2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2"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At June 30, 2022 and December 31, 2021, we had fiduciary funds of $3.3 billion and $3.4 billion, respectively, of which $788 million and $719 million, respectively, are attributable to our Willis Re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95"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and on May 25, 2022, approved a $1.0 billion increase to the existing share repurchase program. These increases brought the total approved authorization to $6.5 billion.</w:t>
      </w:r>
    </w:p>
    <w:p>
      <w:pPr>
        <w:spacing w:after="0" w:line="11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At June 30, 2022, approximately $2.1 billion remained on the current repurchase authority. The maximum number of shares that could be repurchased based on the closing price of our ordinary shares on June 30, 2022 of $197.39 was 10,902,395.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2022, the Company had the following share repurchase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4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40" w:type="dxa"/>
            <w:vAlign w:val="bottom"/>
          </w:tcPr>
          <w:p>
            <w:pPr>
              <w:spacing w:after="0"/>
              <w:rPr>
                <w:sz w:val="16"/>
                <w:szCs w:val="16"/>
                <w:color w:val="auto"/>
              </w:rPr>
            </w:pPr>
          </w:p>
        </w:tc>
        <w:tc>
          <w:tcPr>
            <w:tcW w:w="16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30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2,143,914</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12,004,328</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$226.64</w:t>
            </w: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30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 million</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billion</w:t>
            </w:r>
          </w:p>
        </w:tc>
      </w:tr>
      <w:tr>
        <w:trPr>
          <w:trHeight w:val="769"/>
        </w:trPr>
        <w:tc>
          <w:tcPr>
            <w:tcW w:w="4620" w:type="dxa"/>
            <w:vAlign w:val="bottom"/>
          </w:tcPr>
          <w:p>
            <w:pPr>
              <w:spacing w:after="0"/>
              <w:rPr>
                <w:sz w:val="24"/>
                <w:szCs w:val="24"/>
                <w:color w:val="auto"/>
              </w:rPr>
            </w:pPr>
          </w:p>
        </w:tc>
        <w:tc>
          <w:tcPr>
            <w:tcW w:w="30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43</w:t>
            </w: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01"/>
        </w:trPr>
        <w:tc>
          <w:tcPr>
            <w:tcW w:w="462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81"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Capital expenditures for fixed assets and software for internal use were $60 million during the six months ended June 30, 2022. The Company estimates that there will be additional such expenditures, which includes those incurred under its Transformation program, in the range of $130 million to $180 million during the remainder of 2022. We currently expect cash from operations to adequately provide for these cash needs. There have been no material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our capital commitments since December 31,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Total cash dividends of $189 million were paid during the six months ended June 30, 2022. In May 2022, the board of directors approved a quarterly cash dividend of $0.82 per share ($3.28 per share annualized rate), which was paid on July 15, 2022 to shareholders of record as of June 30, 2022.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WTW has issued the following debt securities (the ‘notes’):</w:t>
      </w:r>
    </w:p>
    <w:p>
      <w:pPr>
        <w:spacing w:after="0" w:line="103" w:lineRule="exact"/>
        <w:rPr>
          <w:sz w:val="20"/>
          <w:szCs w:val="20"/>
          <w:color w:val="auto"/>
        </w:rPr>
      </w:pPr>
    </w:p>
    <w:p>
      <w:pPr>
        <w:jc w:val="both"/>
        <w:ind w:left="760" w:right="100" w:hanging="378"/>
        <w:spacing w:after="0" w:line="25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$3.7 billion senior notes outstanding, of which $650 million were issued on May 16, 2017, $1.0 billion were issued on September 10, 2018, $1.0 billion were issued on September 10, 2019, $275 million were issued on May 29, 2020, and $750 million were issued on May 19, 2022; and</w:t>
      </w:r>
    </w:p>
    <w:p>
      <w:pPr>
        <w:spacing w:after="0" w:line="60"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$1.1 billion senior notes outstanding, of which $525 million were issued on August 15, 2013 and $550 million were issued on March 22, 2016, and a $1.5 billion revolving credit facility, on which no balance was outstanding at June 30, 2022.</w:t>
      </w:r>
    </w:p>
    <w:p>
      <w:pPr>
        <w:spacing w:after="0" w:line="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June 30, 2022. These subsidiaries are all consolidated by Willis Towers Watson plc (the ‘parent company’) and together with the parent company comprise the ‘Obligor group’.</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87"/>
        </w:trPr>
        <w:tc>
          <w:tcPr>
            <w:tcW w:w="73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 I Limited</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37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03"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5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June 30, 2022 and December 31, 2021,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4" w:name="page45"/>
    <w:bookmarkEnd w:id="44"/>
    <w:p>
      <w:pPr>
        <w:ind w:right="20"/>
        <w:spacing w:after="0" w:line="250"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June 30, 2022 and December 31, 2021, the intercompany balances of the Obligor group with non-guarantor subsidiaries were net receivables of $600 million and $700 million, respectively, and net payables of $10.9 billion and $8.1 billion,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7660" w:type="dxa"/>
            <w:vAlign w:val="bottom"/>
          </w:tcPr>
          <w:p>
            <w:pPr>
              <w:ind w:left="37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w:t>
            </w:r>
          </w:p>
        </w:tc>
        <w:tc>
          <w:tcPr>
            <w:tcW w:w="1920" w:type="dxa"/>
            <w:vAlign w:val="bottom"/>
            <w:gridSpan w:val="3"/>
          </w:tcPr>
          <w:p>
            <w:pPr>
              <w:jc w:val="center"/>
              <w:ind w:right="1397"/>
              <w:spacing w:after="0"/>
              <w:rPr>
                <w:sz w:val="20"/>
                <w:szCs w:val="20"/>
                <w:color w:val="auto"/>
              </w:rPr>
            </w:pPr>
            <w:r>
              <w:rPr>
                <w:rFonts w:ascii="Times New Roman" w:cs="Times New Roman" w:eastAsia="Times New Roman" w:hAnsi="Times New Roman"/>
                <w:sz w:val="14"/>
                <w:szCs w:val="14"/>
                <w:b w:val="1"/>
                <w:bCs w:val="1"/>
                <w:color w:val="auto"/>
                <w:w w:val="84"/>
              </w:rPr>
              <w:t>millions)</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7,747</w:t>
            </w: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5,298</w:t>
            </w:r>
          </w:p>
        </w:tc>
      </w:tr>
      <w:tr>
        <w:trPr>
          <w:trHeight w:val="537"/>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center"/>
              <w:ind w:right="41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17"/>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69"/>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16"/>
        </w:trPr>
        <w:tc>
          <w:tcPr>
            <w:tcW w:w="76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Loss from operations before income taxes </w:t>
            </w:r>
            <w:r>
              <w:rPr>
                <w:rFonts w:ascii="Times New Roman" w:cs="Times New Roman" w:eastAsia="Times New Roman" w:hAnsi="Times New Roman"/>
                <w:sz w:val="24"/>
                <w:szCs w:val="24"/>
                <w:color w:val="auto"/>
                <w:vertAlign w:val="superscript"/>
              </w:rPr>
              <w:t>(i)</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(315 )</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WTW</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$81 million for the six months ended June 30, 2022.</w:t>
      </w:r>
    </w:p>
    <w:p>
      <w:pPr>
        <w:spacing w:after="0" w:line="1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income/margin</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income before taxes</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Free cash flow</w:t>
            </w:r>
          </w:p>
        </w:tc>
      </w:tr>
    </w:tbl>
    <w:p>
      <w:pPr>
        <w:spacing w:after="0" w:line="184"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These items include the following:</w:t>
      </w:r>
    </w:p>
    <w:p>
      <w:pPr>
        <w:spacing w:after="0" w:line="61" w:lineRule="exact"/>
        <w:rPr>
          <w:sz w:val="20"/>
          <w:szCs w:val="20"/>
          <w:color w:val="auto"/>
        </w:rPr>
      </w:pPr>
    </w:p>
    <w:p>
      <w:pPr>
        <w:ind w:left="760" w:right="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discontinued operations, net of tax – Adjustment to remove the after-tax income from discontinued operations and the after-tax gain attributable to the divestiture of our Willis Re business.</w:t>
      </w:r>
    </w:p>
    <w:p>
      <w:pPr>
        <w:spacing w:after="0" w:line="53" w:lineRule="exact"/>
        <w:rPr>
          <w:rFonts w:ascii="Times New Roman" w:cs="Times New Roman" w:eastAsia="Times New Roman" w:hAnsi="Times New Roman"/>
          <w:sz w:val="18"/>
          <w:szCs w:val="18"/>
          <w:color w:val="auto"/>
        </w:rPr>
      </w:pPr>
    </w:p>
    <w:p>
      <w:pPr>
        <w:ind w:left="760" w:right="540" w:hanging="378"/>
        <w:spacing w:after="0" w:line="269" w:lineRule="auto"/>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costs and transaction and transformation, net – Management believes it is appropriate to adjust for restructuring costs and transaction and transformation, net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67"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 Adjustment to remove the impairment related to the net assets of our Russian business that are held outside of our Russian entities.</w:t>
      </w:r>
    </w:p>
    <w:p>
      <w:pPr>
        <w:spacing w:after="0" w:line="103" w:lineRule="exact"/>
        <w:rPr>
          <w:rFonts w:ascii="Times New Roman" w:cs="Times New Roman" w:eastAsia="Times New Roman" w:hAnsi="Times New Roman"/>
          <w:sz w:val="18"/>
          <w:szCs w:val="18"/>
          <w:color w:val="auto"/>
        </w:rPr>
      </w:pPr>
    </w:p>
    <w:p>
      <w:pPr>
        <w:ind w:left="760" w:right="34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67"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and curtailment gains and losses – Adjustment to remove significant pension settlement and curtailment gains and losses to better present how the Company is performing.</w:t>
      </w:r>
    </w:p>
    <w:p>
      <w:pPr>
        <w:spacing w:after="0" w:line="53" w:lineRule="exact"/>
        <w:rPr>
          <w:rFonts w:ascii="Times New Roman" w:cs="Times New Roman" w:eastAsia="Times New Roman" w:hAnsi="Times New Roman"/>
          <w:sz w:val="18"/>
          <w:szCs w:val="18"/>
          <w:color w:val="auto"/>
        </w:rPr>
      </w:pPr>
    </w:p>
    <w:p>
      <w:pPr>
        <w:ind w:left="760" w:right="62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significant litigation – We will include provisions for litigation matters which we believe are not representative of our core business operations. These amounts are presented net of insurance and other recovery receivables.</w:t>
      </w:r>
    </w:p>
    <w:p>
      <w:pPr>
        <w:spacing w:after="0" w:line="41" w:lineRule="exact"/>
        <w:rPr>
          <w:rFonts w:ascii="Times New Roman" w:cs="Times New Roman" w:eastAsia="Times New Roman" w:hAnsi="Times New Roman"/>
          <w:sz w:val="18"/>
          <w:szCs w:val="18"/>
          <w:color w:val="auto"/>
        </w:rPr>
      </w:pPr>
    </w:p>
    <w:p>
      <w:pPr>
        <w:ind w:left="760" w:right="3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the Coronavirus Aid, Relief, and Economic Security (‘CARES’) Act – Relates to the incremental tax expense impact, primarily from the Base Erosion and Anti-Abuse Tax (‘BEAT’), generated from electing certain income tax provisions of the CARES Act.</w:t>
      </w:r>
    </w:p>
    <w:p>
      <w:pPr>
        <w:spacing w:after="0" w:line="67"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internal reorganizations – Relates to the U.S. income tax expense resulting from the completion of internal reorganizations of the ownership of certain businesses that reduced the investments held by our U.S.-controlled subsidiaries.</w:t>
      </w:r>
    </w:p>
    <w:p>
      <w:pPr>
        <w:spacing w:after="0" w:line="10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6" w:name="page47"/>
    <w:bookmarkEnd w:id="46"/>
    <w:p>
      <w:pPr>
        <w:ind w:right="120"/>
        <w:spacing w:after="0" w:line="260" w:lineRule="auto"/>
        <w:rPr>
          <w:sz w:val="20"/>
          <w:szCs w:val="20"/>
          <w:color w:val="auto"/>
        </w:rPr>
      </w:pPr>
      <w:r>
        <w:rPr>
          <w:rFonts w:ascii="Times New Roman" w:cs="Times New Roman" w:eastAsia="Times New Roman" w:hAnsi="Times New Roman"/>
          <w:sz w:val="18"/>
          <w:szCs w:val="18"/>
          <w:b w:val="1"/>
          <w:bCs w:val="1"/>
          <w:color w:val="auto"/>
        </w:rPr>
        <w:t>For all prior-year period financial information presented herein (with the exception of Free Cash Flow), the operating results of Willis Re have been reclassified as discontinued operations (see Note 3 — Acquisitions and Divestitures within Part I, Item 1 ‘Financial Statements’ in this Form 10-Q for additional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30" w:lineRule="exact"/>
        <w:rPr>
          <w:sz w:val="20"/>
          <w:szCs w:val="20"/>
          <w:color w:val="auto"/>
        </w:rPr>
      </w:pPr>
    </w:p>
    <w:p>
      <w:pPr>
        <w:ind w:left="760" w:right="100" w:hanging="378"/>
        <w:spacing w:after="0" w:line="247"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70" w:lineRule="exact"/>
        <w:rPr>
          <w:rFonts w:ascii="Times New Roman" w:cs="Times New Roman" w:eastAsia="Times New Roman" w:hAnsi="Times New Roman"/>
          <w:sz w:val="18"/>
          <w:szCs w:val="18"/>
          <w:color w:val="auto"/>
        </w:rPr>
      </w:pPr>
    </w:p>
    <w:p>
      <w:pPr>
        <w:ind w:left="760" w:hanging="378"/>
        <w:spacing w:after="0" w:line="24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4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(Continuing Operations)’ section within this Form 10-Q. These measures are also reported by segment in the ‘Segment Revenue’ section within this Form 10-Q.</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Reconciliations of the reported changes to the constant currency and organic changes for the three and six months ended June 30, 2022 from the three and six months ended June 30, 2021 are as follows. The components of revenue change may not add due to rounding.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6"/>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320" w:type="dxa"/>
            <w:vAlign w:val="bottom"/>
            <w:gridSpan w:val="2"/>
            <w:shd w:val="clear" w:color="auto" w:fill="CFF0FC"/>
          </w:tcPr>
          <w:p>
            <w:pPr>
              <w:jc w:val="right"/>
              <w:ind w:right="406"/>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358"/>
        </w:trPr>
        <w:tc>
          <w:tcPr>
            <w:tcW w:w="19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2440" w:type="dxa"/>
            <w:vAlign w:val="bottom"/>
            <w:tcBorders>
              <w:top w:val="single" w:sz="8" w:color="CFF0FC"/>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top w:val="single" w:sz="8" w:color="CFF0FC"/>
              <w:bottom w:val="single" w:sz="8" w:color="auto"/>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6"/>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-915670</wp:posOffset>
            </wp:positionV>
            <wp:extent cx="768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-898525</wp:posOffset>
            </wp:positionV>
            <wp:extent cx="768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-915670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-898525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-24765</wp:posOffset>
            </wp:positionV>
            <wp:extent cx="768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-7620</wp:posOffset>
            </wp:positionV>
            <wp:extent cx="768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-24765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-7620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7"/>
          <w:szCs w:val="17"/>
          <w:color w:val="auto"/>
        </w:rPr>
        <w:t>Adjusting for the impacts of foreign currency and acquisitions and disposals in the calculation of our organic activity, our revenue growth was 3% for the three months ended June 30, 2022 and 2% for the six months ended June 30, 2022. These increases in organic revenue were driven by both segments.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7" w:name="page48"/>
    <w:bookmarkEnd w:id="47"/>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impairment, amortization, restructuring costs, transaction and transformation, net and non-recurring items that, in management’s judgment, significantly affect the period-over-period assessment of operating results. Adjusted operating income margin is calculated by dividing adjusted operating income by revenue.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three and six months ended June 30,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6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18"/>
                <w:szCs w:val="18"/>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8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r>
      <w:tr>
        <w:trPr>
          <w:trHeight w:val="216"/>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8"/>
                <w:szCs w:val="18"/>
                <w:color w:val="auto"/>
              </w:rPr>
            </w:pPr>
          </w:p>
        </w:tc>
      </w:tr>
      <w:tr>
        <w:trPr>
          <w:trHeight w:val="249"/>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tcPr>
          <w:p>
            <w:pPr>
              <w:spacing w:after="0"/>
              <w:rPr>
                <w:sz w:val="21"/>
                <w:szCs w:val="21"/>
                <w:color w:val="auto"/>
              </w:rPr>
            </w:pPr>
          </w:p>
        </w:tc>
      </w:tr>
      <w:tr>
        <w:trPr>
          <w:trHeight w:val="43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8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6.7 %</w:t>
            </w:r>
          </w:p>
        </w:tc>
        <w:tc>
          <w:tcPr>
            <w:tcW w:w="78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3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8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15.5 %</w:t>
            </w:r>
          </w:p>
        </w:tc>
        <w:tc>
          <w:tcPr>
            <w:tcW w:w="7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15.2 %</w:t>
            </w:r>
          </w:p>
        </w:tc>
        <w:tc>
          <w:tcPr>
            <w:tcW w:w="3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16.3 %</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-464820</wp:posOffset>
            </wp:positionV>
            <wp:extent cx="857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-447675</wp:posOffset>
            </wp:positionV>
            <wp:extent cx="857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-464820</wp:posOffset>
            </wp:positionV>
            <wp:extent cx="768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-447675</wp:posOffset>
            </wp:positionV>
            <wp:extent cx="768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-464820</wp:posOffset>
            </wp:positionV>
            <wp:extent cx="768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-447675</wp:posOffset>
            </wp:positionV>
            <wp:extent cx="768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454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Adjusted operating income decreased for the three months ended June 30, 2022 to $314 million, from $318 million for the three months ended June 30, 2021 and increased for the six months ended June 30, 2022 to $685 million from $656 million for the six months ended June 30, 2021. This decrease in adjusted operating income for the quarter was primarily due to lower revenue from unfavorable foreign exchange, recent business disposals and increased operating expenses, led by travel and entertainment expense, partially offset by lower compensation accruals. The increase in adjusted operating income for the first half of the year was driven by reductions in compensation costs, which more than offset the reduction to revenue resulting from unfavorable foreign exchange and recent business disposals.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61"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95"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Adjusted EBITDA is defined as net income adjusted for income from discontinued operations, net of tax, provision for income taxes, interest expense, impairment, depreciation and amortization, restructuring costs, transaction and transformation, net,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three and six months ended June 30,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Pr>
          <w:p>
            <w:pPr>
              <w:spacing w:after="0"/>
              <w:rPr>
                <w:sz w:val="18"/>
                <w:szCs w:val="18"/>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60" w:type="dxa"/>
            <w:vAlign w:val="bottom"/>
          </w:tcPr>
          <w:p>
            <w:pPr>
              <w:spacing w:after="0"/>
              <w:rPr>
                <w:sz w:val="18"/>
                <w:szCs w:val="18"/>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8"/>
                <w:szCs w:val="18"/>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8"/>
                <w:szCs w:val="18"/>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8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60" w:type="dxa"/>
            <w:vAlign w:val="bottom"/>
          </w:tcPr>
          <w:p>
            <w:pPr>
              <w:spacing w:after="0"/>
              <w:rPr>
                <w:sz w:val="18"/>
                <w:szCs w:val="18"/>
                <w:color w:val="auto"/>
              </w:rPr>
            </w:pPr>
          </w:p>
        </w:tc>
      </w:tr>
      <w:tr>
        <w:trPr>
          <w:trHeight w:val="249"/>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954</w:t>
            </w:r>
          </w:p>
        </w:tc>
        <w:tc>
          <w:tcPr>
            <w:tcW w:w="60" w:type="dxa"/>
            <w:vAlign w:val="bottom"/>
          </w:tcPr>
          <w:p>
            <w:pPr>
              <w:spacing w:after="0"/>
              <w:rPr>
                <w:sz w:val="21"/>
                <w:szCs w:val="21"/>
                <w:color w:val="auto"/>
              </w:rPr>
            </w:pPr>
          </w:p>
        </w:tc>
      </w:tr>
      <w:tr>
        <w:trPr>
          <w:trHeight w:val="4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5.6 %</w:t>
            </w:r>
          </w:p>
        </w:tc>
        <w:tc>
          <w:tcPr>
            <w:tcW w:w="80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8.9 %</w:t>
            </w:r>
          </w:p>
        </w:tc>
        <w:tc>
          <w:tcPr>
            <w:tcW w:w="3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5.7 %</w:t>
            </w: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22.2 %</w:t>
            </w:r>
          </w:p>
        </w:tc>
        <w:tc>
          <w:tcPr>
            <w:tcW w:w="8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22.3 %</w:t>
            </w:r>
          </w:p>
        </w:tc>
        <w:tc>
          <w:tcPr>
            <w:tcW w:w="3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23.1 %</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602"/>
        </w:trPr>
        <w:tc>
          <w:tcPr>
            <w:tcW w:w="4840" w:type="dxa"/>
            <w:vAlign w:val="bottom"/>
          </w:tcPr>
          <w:p>
            <w:pPr>
              <w:spacing w:after="0"/>
              <w:rPr>
                <w:sz w:val="24"/>
                <w:szCs w:val="24"/>
                <w:color w:val="auto"/>
              </w:rPr>
            </w:pPr>
          </w:p>
        </w:tc>
        <w:tc>
          <w:tcPr>
            <w:tcW w:w="166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8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-923925</wp:posOffset>
            </wp:positionV>
            <wp:extent cx="857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-906780</wp:posOffset>
            </wp:positionV>
            <wp:extent cx="857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-923925</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-906780</wp:posOffset>
            </wp:positionV>
            <wp:extent cx="768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-923925</wp:posOffset>
            </wp:positionV>
            <wp:extent cx="768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-906780</wp:posOffset>
            </wp:positionV>
            <wp:extent cx="768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-753110</wp:posOffset>
            </wp:positionV>
            <wp:extent cx="7132320" cy="1454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85" w:right="279" w:bottom="1440" w:gutter="0" w:footer="0" w:header="0"/>
        </w:sectPr>
      </w:pPr>
    </w:p>
    <w:bookmarkStart w:id="48" w:name="page49"/>
    <w:bookmarkEnd w:id="48"/>
    <w:p>
      <w:pPr>
        <w:ind w:right="80"/>
        <w:spacing w:after="0" w:line="247" w:lineRule="auto"/>
        <w:rPr>
          <w:sz w:val="20"/>
          <w:szCs w:val="20"/>
          <w:color w:val="auto"/>
        </w:rPr>
      </w:pPr>
      <w:r>
        <w:rPr>
          <w:rFonts w:ascii="Times New Roman" w:cs="Times New Roman" w:eastAsia="Times New Roman" w:hAnsi="Times New Roman"/>
          <w:sz w:val="18"/>
          <w:szCs w:val="18"/>
          <w:color w:val="auto"/>
        </w:rPr>
        <w:t>Adjusted EBITDA for the three months ended June 30, 2022 was $450 million, compared to $466 million for the three months ended June 30, 2021, and was $968 million for the six months ended June 30, 2022, compared to $954 million for the six months ended June 30, 2021. This decrease in adjusted EBITDA for the quarter was primarily due to lower revenue from unfavorable foreign exchange, recent business disposals and increased operating expenses, led by travel and entertainment expense, partially offset by lower compensation accruals. The increase in adjusted EBITDA for the first half of the year was driven by reductions in compensation costs, which more than offset the reduction to revenue resulting from unfavorable foreign exchange and recent business disposals.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income from discontinued operations, net of tax, impairment, amortization, restructuring costs, transaction and transformation, net, gains and losses on disposals of operations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39" w:lineRule="exact"/>
        <w:rPr>
          <w:sz w:val="20"/>
          <w:szCs w:val="20"/>
          <w:color w:val="auto"/>
        </w:rPr>
      </w:pPr>
    </w:p>
    <w:p>
      <w:pPr>
        <w:jc w:val="both"/>
        <w:ind w:right="660"/>
        <w:spacing w:after="0" w:line="250"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shares of common stock, diluted. Adjusted diluted earnings per share is used to internally evaluate and assess our core operations and to benchmark our operating results against our competitors.</w:t>
      </w:r>
    </w:p>
    <w:p>
      <w:pPr>
        <w:spacing w:after="0" w:line="16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three and six months ended June 30, 2022 and 2021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7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5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in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c>
          <w:tcPr>
            <w:tcW w:w="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16"/>
        </w:trPr>
        <w:tc>
          <w:tcPr>
            <w:tcW w:w="57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on statutory rate change</w:t>
            </w: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r>
      <w:tr>
        <w:trPr>
          <w:trHeight w:val="249"/>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r>
      <w:tr>
        <w:trPr>
          <w:trHeight w:val="196"/>
        </w:trPr>
        <w:tc>
          <w:tcPr>
            <w:tcW w:w="5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 diluted</w:t>
            </w: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0.97</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c>
          <w:tcPr>
            <w:tcW w:w="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2.01</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5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w:t>
            </w:r>
            <w:r>
              <w:rPr>
                <w:rFonts w:ascii="Times New Roman" w:cs="Times New Roman" w:eastAsia="Times New Roman" w:hAnsi="Times New Roman"/>
                <w:sz w:val="18"/>
                <w:szCs w:val="18"/>
                <w:color w:val="auto"/>
              </w:rPr>
              <w:t xml:space="preserve"> :</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0.58</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(0.20 )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16"/>
        </w:trPr>
        <w:tc>
          <w:tcPr>
            <w:tcW w:w="57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(0.45 )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on statutory rate change</w:t>
            </w: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0.31</w:t>
            </w:r>
          </w:p>
        </w:tc>
      </w:tr>
      <w:tr>
        <w:trPr>
          <w:trHeight w:val="249"/>
        </w:trPr>
        <w:tc>
          <w:tcPr>
            <w:tcW w:w="5720" w:type="dxa"/>
            <w:vAlign w:val="bottom"/>
            <w:tcBorders>
              <w:bottom w:val="single" w:sz="8" w:color="CFF0FC"/>
            </w:tcBorders>
            <w:shd w:val="clear" w:color="auto" w:fill="CFF0FC"/>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4"/>
                <w:szCs w:val="24"/>
                <w:color w:val="auto"/>
                <w:vertAlign w:val="superscript"/>
              </w:rPr>
              <w:t>(ii)</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-1977390</wp:posOffset>
            </wp:positionV>
            <wp:extent cx="857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-1960245</wp:posOffset>
            </wp:positionV>
            <wp:extent cx="857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-1977390</wp:posOffset>
            </wp:positionV>
            <wp:extent cx="768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-1960245</wp:posOffset>
            </wp:positionV>
            <wp:extent cx="768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-1977390</wp:posOffset>
            </wp:positionV>
            <wp:extent cx="768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-1960245</wp:posOffset>
            </wp:positionV>
            <wp:extent cx="768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-24765</wp:posOffset>
            </wp:positionV>
            <wp:extent cx="857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857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768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768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768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768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4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6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Our adjusted diluted earnings per share increased for both the three and six months ended June 30, 2022 as compared to the prior year due in part to a lower weighted-average outstanding share count attributable to our share repurchase activity in the current year. The decrease to adjusted net income for the quarter was primarily due to lower revenue from unfavorable foreign exchange, recent business disposals and increased operating expenses, led by travel and entertainment expense, partially offset by lower compensation accruals. The increase in adjusted net income for the first half of the year was driven by reductions in compensation costs, which more than offset the reduction to revenue resulting from unfavorable foreign exchange and recent business disposals.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Adjusted income before taxes is defined as income from operations before income taxes adjusted for impairment, amortization, restructuring costs, transaction and transformation, net,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22"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7"/>
          <w:szCs w:val="17"/>
          <w:color w:val="auto"/>
        </w:rPr>
        <w:t>Adjusted income taxes/tax rate is defined as the provision for income taxes adjusted for taxes on certain items of impairment, amortization, restructuring costs, transaction and transformation, net, gains and losses on disposals of operations, the tax effects of internal reorganizations and non-recurring items that, in management’s judgment, significantly affect the period-over-period assessment of operating results, divided by adjusted income before taxes.</w:t>
      </w:r>
    </w:p>
    <w:p>
      <w:pPr>
        <w:spacing w:after="0"/>
        <w:rPr>
          <w:sz w:val="20"/>
          <w:szCs w:val="20"/>
          <w:color w:val="auto"/>
        </w:rPr>
      </w:pPr>
      <w:r>
        <w:rPr>
          <w:rFonts w:ascii="Times New Roman" w:cs="Times New Roman" w:eastAsia="Times New Roman" w:hAnsi="Times New Roman"/>
          <w:sz w:val="18"/>
          <w:szCs w:val="18"/>
          <w:color w:val="auto"/>
        </w:rPr>
        <w:t>Adjusted income taxes is used solely for the purpose of calculating the adjusted income tax rate.</w:t>
      </w:r>
    </w:p>
    <w:p>
      <w:pPr>
        <w:spacing w:after="0" w:line="13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Reconciliations of income from operations before income taxes to adjusted income before taxes and provision for income taxes to adjusted income taxes for the three and six months ended June 30, 2022 and 2021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62"/>
        </w:trPr>
        <w:tc>
          <w:tcPr>
            <w:tcW w:w="58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 in</w:t>
            </w:r>
          </w:p>
        </w:tc>
        <w:tc>
          <w:tcPr>
            <w:tcW w:w="900" w:type="dxa"/>
            <w:vAlign w:val="bottom"/>
            <w:gridSpan w:val="2"/>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58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INCOME FROM CONTINUING OPERATIONS BEFORE</w:t>
            </w:r>
          </w:p>
        </w:tc>
        <w:tc>
          <w:tcPr>
            <w:tcW w:w="7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center"/>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60" w:type="dxa"/>
            <w:vAlign w:val="bottom"/>
          </w:tcPr>
          <w:p>
            <w:pPr>
              <w:spacing w:after="0"/>
              <w:rPr>
                <w:sz w:val="20"/>
                <w:szCs w:val="20"/>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7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9"/>
                <w:szCs w:val="19"/>
                <w:color w:val="auto"/>
              </w:rPr>
            </w:pPr>
          </w:p>
        </w:tc>
      </w:tr>
      <w:tr>
        <w:trPr>
          <w:trHeight w:val="22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76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9"/>
                <w:szCs w:val="19"/>
                <w:color w:val="auto"/>
              </w:rPr>
            </w:pPr>
          </w:p>
        </w:tc>
      </w:tr>
      <w:tr>
        <w:trPr>
          <w:trHeight w:val="216"/>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60" w:type="dxa"/>
            <w:vAlign w:val="bottom"/>
          </w:tcPr>
          <w:p>
            <w:pPr>
              <w:spacing w:after="0"/>
              <w:rPr>
                <w:sz w:val="18"/>
                <w:szCs w:val="18"/>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spacing w:after="0"/>
              <w:rPr>
                <w:sz w:val="19"/>
                <w:szCs w:val="19"/>
                <w:color w:val="auto"/>
              </w:rPr>
            </w:pPr>
          </w:p>
        </w:tc>
        <w:tc>
          <w:tcPr>
            <w:tcW w:w="760" w:type="dxa"/>
            <w:vAlign w:val="bottom"/>
            <w:tcBorders>
              <w:bottom w:val="single" w:sz="8" w:color="auto"/>
            </w:tcBorders>
          </w:tcPr>
          <w:p>
            <w:pPr>
              <w:jc w:val="center"/>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8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77"/>
        </w:trPr>
        <w:tc>
          <w:tcPr>
            <w:tcW w:w="58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Pr>
          <w:p>
            <w:pPr>
              <w:jc w:val="right"/>
              <w:ind w:right="576"/>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5"/>
                <w:szCs w:val="15"/>
                <w:color w:val="auto"/>
              </w:rPr>
            </w:pPr>
          </w:p>
        </w:tc>
        <w:tc>
          <w:tcPr>
            <w:tcW w:w="820" w:type="dxa"/>
            <w:vAlign w:val="bottom"/>
          </w:tcPr>
          <w:p>
            <w:pPr>
              <w:jc w:val="right"/>
              <w:ind w:right="614"/>
              <w:spacing w:after="0" w:line="17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1"/>
              <w:spacing w:after="0" w:line="177" w:lineRule="exact"/>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5"/>
                <w:szCs w:val="15"/>
                <w:color w:val="auto"/>
              </w:rPr>
            </w:pPr>
          </w:p>
        </w:tc>
        <w:tc>
          <w:tcPr>
            <w:tcW w:w="760" w:type="dxa"/>
            <w:vAlign w:val="bottom"/>
          </w:tcPr>
          <w:p>
            <w:pPr>
              <w:jc w:val="center"/>
              <w:ind w:right="556"/>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5"/>
                <w:szCs w:val="15"/>
                <w:color w:val="auto"/>
              </w:rPr>
            </w:pPr>
          </w:p>
        </w:tc>
        <w:tc>
          <w:tcPr>
            <w:tcW w:w="760" w:type="dxa"/>
            <w:vAlign w:val="bottom"/>
          </w:tcPr>
          <w:p>
            <w:pPr>
              <w:jc w:val="right"/>
              <w:ind w:right="574"/>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5"/>
                <w:szCs w:val="15"/>
                <w:color w:val="auto"/>
              </w:rPr>
            </w:pPr>
          </w:p>
        </w:tc>
      </w:tr>
      <w:tr>
        <w:trPr>
          <w:trHeight w:val="281"/>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760" w:type="dxa"/>
            <w:vAlign w:val="bottom"/>
          </w:tcPr>
          <w:p>
            <w:pPr>
              <w:spacing w:after="0"/>
              <w:rPr>
                <w:sz w:val="24"/>
                <w:szCs w:val="24"/>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4"/>
                <w:szCs w:val="24"/>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statutory rate change</w:t>
            </w:r>
          </w:p>
        </w:tc>
        <w:tc>
          <w:tcPr>
            <w:tcW w:w="76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60" w:type="dxa"/>
            <w:vAlign w:val="bottom"/>
          </w:tcPr>
          <w:p>
            <w:pPr>
              <w:spacing w:after="0"/>
              <w:rPr>
                <w:sz w:val="18"/>
                <w:szCs w:val="18"/>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income taxes</w:t>
            </w:r>
          </w:p>
        </w:tc>
        <w:tc>
          <w:tcPr>
            <w:tcW w:w="76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top w:val="single" w:sz="8" w:color="auto"/>
              <w:bottom w:val="single" w:sz="8" w:color="auto"/>
            </w:tcBorders>
            <w:shd w:val="clear" w:color="auto" w:fill="CFF0FC"/>
          </w:tcPr>
          <w:p>
            <w:pPr>
              <w:jc w:val="center"/>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top w:val="single" w:sz="8" w:color="auto"/>
              <w:bottom w:val="single" w:sz="8" w:color="auto"/>
            </w:tcBorders>
            <w:shd w:val="clear" w:color="auto" w:fill="CFF0FC"/>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22"/>
                <w:szCs w:val="22"/>
                <w:color w:val="auto"/>
              </w:rPr>
            </w:pPr>
          </w:p>
        </w:tc>
      </w:tr>
      <w:tr>
        <w:trPr>
          <w:trHeight w:val="425"/>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GAAP tax rate</w:t>
            </w:r>
          </w:p>
        </w:tc>
        <w:tc>
          <w:tcPr>
            <w:tcW w:w="7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10.5 %</w:t>
            </w:r>
          </w:p>
        </w:tc>
        <w:tc>
          <w:tcPr>
            <w:tcW w:w="820" w:type="dxa"/>
            <w:vAlign w:val="bottom"/>
          </w:tcPr>
          <w:p>
            <w:pPr>
              <w:spacing w:after="0"/>
              <w:rPr>
                <w:sz w:val="24"/>
                <w:szCs w:val="24"/>
                <w:color w:val="auto"/>
              </w:rPr>
            </w:pP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4"/>
              </w:rPr>
              <w:t>38.9 %</w:t>
            </w:r>
          </w:p>
        </w:tc>
        <w:tc>
          <w:tcPr>
            <w:tcW w:w="76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18.4 %</w:t>
            </w:r>
          </w:p>
        </w:tc>
        <w:tc>
          <w:tcPr>
            <w:tcW w:w="7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7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20.5 %</w:t>
            </w:r>
          </w:p>
        </w:tc>
        <w:tc>
          <w:tcPr>
            <w:tcW w:w="820" w:type="dxa"/>
            <w:vAlign w:val="bottom"/>
          </w:tcPr>
          <w:p>
            <w:pPr>
              <w:spacing w:after="0"/>
              <w:rPr>
                <w:sz w:val="20"/>
                <w:szCs w:val="20"/>
                <w:color w:val="auto"/>
              </w:rPr>
            </w:pP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4"/>
              </w:rPr>
              <w:t>18.3 %</w:t>
            </w:r>
          </w:p>
        </w:tc>
        <w:tc>
          <w:tcPr>
            <w:tcW w:w="76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20.8 %</w:t>
            </w:r>
          </w:p>
        </w:tc>
        <w:tc>
          <w:tcPr>
            <w:tcW w:w="7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6242685</wp:posOffset>
            </wp:positionH>
            <wp:positionV relativeFrom="paragraph">
              <wp:posOffset>-2712085</wp:posOffset>
            </wp:positionV>
            <wp:extent cx="111125" cy="1536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11125" cy="15367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-1355090</wp:posOffset>
            </wp:positionV>
            <wp:extent cx="939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-1355090</wp:posOffset>
            </wp:positionV>
            <wp:extent cx="857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-1355090</wp:posOffset>
            </wp:positionV>
            <wp:extent cx="857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-892810</wp:posOffset>
            </wp:positionV>
            <wp:extent cx="7132320" cy="1454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-456565</wp:posOffset>
            </wp:positionV>
            <wp:extent cx="939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-439420</wp:posOffset>
            </wp:positionV>
            <wp:extent cx="939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-456565</wp:posOffset>
            </wp:positionV>
            <wp:extent cx="857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-439420</wp:posOffset>
            </wp:positionV>
            <wp:extent cx="857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-456565</wp:posOffset>
            </wp:positionV>
            <wp:extent cx="857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-439420</wp:posOffset>
            </wp:positionV>
            <wp:extent cx="857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454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95059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tax effect was calculated using an effective tax rate for each item.</w:t>
      </w:r>
    </w:p>
    <w:p>
      <w:pPr>
        <w:spacing w:after="0" w:line="16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Our U.S. GAAP tax rates were 10.5% and 38.9% for the three months ended June 30, 2022 and 2021, respectively, and 18.4% and 15.2% for the six months ended June 30, 2022 and 2021, respectively. The prior-year quarter effective tax rate was higher due to the discrete tax effect of the U.K. tax rate increase enacted in the second quarter of 2021. Accordingly, the Company remeasured its U.K. deferred tax assets and liabilities, resulting in a $40 million deferred tax expense. Additionally, the current quarter effective tax rate includes certain discrete tax benefits primarily related to return-to-provision true ups.</w:t>
      </w:r>
    </w:p>
    <w:p>
      <w:pPr>
        <w:spacing w:after="0" w:line="13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adjusted income tax rates were 20.5% and 18.3% for the three months ended June 30, 2022 and 2021, respectively, and 20.8% and 19.0% for the six months ended June 30, 2022 and 2021, respectively. The current quarter adjusted tax rate is higher due to the distribution of geographical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81" w:right="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six months ended June 30,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2"/>
          </w:tcPr>
          <w:p>
            <w:pPr>
              <w:jc w:val="center"/>
              <w:ind w:right="799"/>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580" w:type="dxa"/>
            <w:vAlign w:val="bottom"/>
          </w:tcPr>
          <w:p>
            <w:pPr>
              <w:spacing w:after="0"/>
              <w:rPr>
                <w:sz w:val="14"/>
                <w:szCs w:val="1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258</w:t>
            </w:r>
          </w:p>
        </w:tc>
        <w:tc>
          <w:tcPr>
            <w:tcW w:w="1340" w:type="dxa"/>
            <w:vAlign w:val="bottom"/>
            <w:gridSpan w:val="2"/>
            <w:shd w:val="clear" w:color="auto" w:fill="CFF0FC"/>
          </w:tcPr>
          <w:p>
            <w:pPr>
              <w:jc w:val="center"/>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Additions to fixed assets and software for internal use</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center"/>
              <w:ind w:right="9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1111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1111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both"/>
        <w:ind w:right="460"/>
        <w:spacing w:after="0" w:line="258" w:lineRule="auto"/>
        <w:rPr>
          <w:sz w:val="20"/>
          <w:szCs w:val="20"/>
          <w:color w:val="auto"/>
        </w:rPr>
      </w:pPr>
      <w:r>
        <w:rPr>
          <w:rFonts w:ascii="Times New Roman" w:cs="Times New Roman" w:eastAsia="Times New Roman" w:hAnsi="Times New Roman"/>
          <w:sz w:val="18"/>
          <w:szCs w:val="18"/>
          <w:color w:val="auto"/>
        </w:rPr>
        <w:t>The unfavorable movement in free cash flows in the first half of 2022 was due primarily to cash disbursements and the elimination of cash generation resulting from the Willis Re divestiture, as well as additional tax payments resulting from both the Willis Re sale and the income receipt related to the termination of the then-proposed Aon transaction.</w:t>
      </w:r>
    </w:p>
    <w:p>
      <w:pPr>
        <w:spacing w:after="0" w:line="16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Additionally, the free cash flow for the prior year period presented includes the operating cash flows of Willis Re. Willis Re’s operating cash flows approximate its pre-tax income and any adjustments for working capital movements (see Note 3 — Acquisitions and Divestitures within Part I, Item 1 ‘Financial Statements’ in this Form 10-Q for additional information), the absence of which is expected to be partially made up by reimbursements through the TSA.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1"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2021, filed with the SEC on February 24, 2022.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six months ended June 30, 2022 and have determined that there have been no material changes to our exposure to market risks from those described in the Company’s Annual Report on Form 10-K for the year ended December 31, 2021, filed with the SEC on February 24, 2022. However, we have provided the following information to supplement or update our disclosures on our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on Fiduciary Funds</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described in our Form 10-K, we are exposed to interest rate risk. Specifically, as a result of our operating activities, we receive cash for premiums and claims which we deposit in short-term investments denominated in U.S. dollars and other currencies. We earn interest on these funds, which is included in our condensed consolidated financial statements as interest income. These funds are regulated in terms of access and the instruments in which they may be invested, most of which are short-term in maturity. At June 30, 2022, we held $1.7 billion of fiduciary funds invested in interest-bearing accounts. If short-term interest rates increased or decreased by 25 basis points, interest earned on these invested fiduciary funds, and therefore our interest income recognized, would increase or decrease by approximately $4 million on an annualized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As of June 30, 2022,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by Exchange Act Rule 13a-15(e). Based upon that evaluation, the CEO and the CFO concluded that the Company’s disclosure controls and procedures are effective in ensuring that the information required to be included in the Company’s periodic SEC filings is recorded, processed, summarized and reported within the time periods specified in the SEC rules and forms and that such information is accumulated and communicated to management, including the CEO and the CFO, as appropriate, to allow for timely decisions regarding required disclosure.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1"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7"/>
          <w:szCs w:val="17"/>
          <w:color w:val="auto"/>
        </w:rPr>
        <w:t>There have been no changes in the Company’s internal control over financial reporting during the quarter ended June 30, 2022 that materially affected, or are reasonably likely to materially affect, our internal control over financial reporting. Most of our employees who are involved in our financial reporting processes and controls continue to work remotely following the onset of the COVID-19 pandemic and are expected to do so for the foreseeable future.</w:t>
      </w:r>
    </w:p>
    <w:p>
      <w:pPr>
        <w:ind w:right="1760"/>
        <w:spacing w:after="0" w:line="410" w:lineRule="auto"/>
        <w:rPr>
          <w:sz w:val="20"/>
          <w:szCs w:val="20"/>
          <w:color w:val="auto"/>
        </w:rPr>
      </w:pPr>
      <w:r>
        <w:rPr>
          <w:rFonts w:ascii="Times New Roman" w:cs="Times New Roman" w:eastAsia="Times New Roman" w:hAnsi="Times New Roman"/>
          <w:sz w:val="18"/>
          <w:szCs w:val="18"/>
          <w:color w:val="auto"/>
        </w:rPr>
        <w:t xml:space="preserve">COVID-19 has not had any specific impact to the design or operating effectiveness of our internal controls over financial reporting. </w:t>
      </w:r>
      <w:r>
        <w:rPr>
          <w:rFonts w:ascii="Times New Roman" w:cs="Times New Roman" w:eastAsia="Times New Roman" w:hAnsi="Times New Roman"/>
          <w:sz w:val="18"/>
          <w:szCs w:val="18"/>
          <w:b w:val="1"/>
          <w:bCs w:val="1"/>
          <w:color w:val="auto"/>
        </w:rPr>
        <w:t>Limitations on the Effectiveness of Controls</w:t>
      </w:r>
    </w:p>
    <w:p>
      <w:pPr>
        <w:spacing w:after="0" w:line="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June 30,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Except as described below, there are no material changes from risk factors as previously disclosed in our Annual Report on Form 10-K, filed with the SEC on February 24, 2022. We urge you to read the risk factors contained therein.</w:t>
      </w:r>
    </w:p>
    <w:p>
      <w:pPr>
        <w:spacing w:after="0" w:line="9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continue to be adversely affected, possibly materially, by negative impacts on the global economy and capital markets resulting from the conflict in Ukraine or any other geopolitical tensions.</w:t>
      </w:r>
    </w:p>
    <w:p>
      <w:pPr>
        <w:spacing w:after="0" w:line="10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crisis in Ukraine. Although the length and impact of the ongoing situation is highly unpredictable, the crisis in Ukraine could lead to further market disruptions.</w:t>
      </w:r>
    </w:p>
    <w:p>
      <w:pPr>
        <w:spacing w:after="0" w:line="9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Additionally, during the first quarter of 2022, WTW announced its intention to transfer ownership of its Russian subsidiaries to local management who will operate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 million. Further, total net assets impaired, including accounts receivable balances related to our Russian business that are held outside of our Russian entities, were $81 million during the six months ended June 30, 2022. We are continuing to monitor the situation in Ukraine and globally and will continue to assess the potential impacts to our businesses.</w:t>
      </w:r>
    </w:p>
    <w:p>
      <w:pPr>
        <w:spacing w:after="0" w:line="13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Sanctions imposed by the U.S., the E.U., the U.K. and other countries, as well as Russian counter-sanctions, are extensive. Additional sanctions and penalties have also been enacted, proposed and/or threatened. Russian actions and the resulting sanctions could adversely affect the global economy and financial markets and lead to instability and lack of liquidity in capital markets. The ramifications of the hostilities and sanctions, however, may not be limited to Russia and Russian companies but may spill over to and negatively impact other regional and global economic markets (including Europe and the United States), companies in other countries (particularly those that have done business with Russia) and various sectors, industries and markets for securities and commodities globally, such as oil and natural gas. Accordingly, the actions discussed above and the potential for a wider conflict could increase financial market volatility, cause severe negative effects on regional and global economic markets, industries, and companies. In addition, Russia may take retaliatory actions and other countermeasures, including cyberattacks and espionage against other countries and companies around the world, which may negatively impact such countries and companies. The extent and duration of the Russian actions or future escalation of such hostilities, the extent and impact of existing and future sanctions, market disruptions and volatility, and the result of any diplomatic negotiations cannot be predicted.</w:t>
      </w:r>
    </w:p>
    <w:p>
      <w:pPr>
        <w:spacing w:after="0" w:line="11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Any of the above-mentioned factors could adversely affect our business, prospects, financial condition and operating results. The extent and duration of the crisis, sanctions and resulting market disruptions are impossible to predict, but could be substantial.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no shares were issued by the Company without registration under the Securities Act of 1933,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6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2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and on May 25, 2022, approved a $1.0 billion increase to the existing share repurchase program. These increases brought the total approved authorization to $6.5 billion.</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53" w:name="page54"/>
    <w:bookmarkEnd w:id="53"/>
    <w:p>
      <w:pPr>
        <w:ind w:right="860"/>
        <w:spacing w:after="0" w:line="281"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ordinary shares in the second quarter of 2022 and the Company’s remaining repurchase authority.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2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of shares</w:t>
            </w:r>
          </w:p>
        </w:tc>
        <w:tc>
          <w:tcPr>
            <w:tcW w:w="100" w:type="dxa"/>
            <w:vAlign w:val="bottom"/>
          </w:tcPr>
          <w:p>
            <w:pPr>
              <w:spacing w:after="0"/>
              <w:rPr>
                <w:sz w:val="13"/>
                <w:szCs w:val="13"/>
                <w:color w:val="auto"/>
              </w:rPr>
            </w:pPr>
          </w:p>
        </w:tc>
      </w:tr>
      <w:tr>
        <w:trPr>
          <w:trHeight w:val="162"/>
        </w:trPr>
        <w:tc>
          <w:tcPr>
            <w:tcW w:w="3900" w:type="dxa"/>
            <w:vAlign w:val="bottom"/>
          </w:tcPr>
          <w:p>
            <w:pPr>
              <w:spacing w:after="0"/>
              <w:rPr>
                <w:sz w:val="14"/>
                <w:szCs w:val="14"/>
                <w:color w:val="auto"/>
              </w:rPr>
            </w:pP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Total number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Average price</w:t>
            </w:r>
          </w:p>
        </w:tc>
        <w:tc>
          <w:tcPr>
            <w:tcW w:w="2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purchased as part of publicly</w:t>
            </w:r>
          </w:p>
        </w:tc>
        <w:tc>
          <w:tcPr>
            <w:tcW w:w="2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that may yet be purchased</w:t>
            </w:r>
          </w:p>
        </w:tc>
        <w:tc>
          <w:tcPr>
            <w:tcW w:w="100" w:type="dxa"/>
            <w:vAlign w:val="bottom"/>
          </w:tcPr>
          <w:p>
            <w:pPr>
              <w:spacing w:after="0"/>
              <w:rPr>
                <w:sz w:val="14"/>
                <w:szCs w:val="14"/>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3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shares purchased</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paid per share</w:t>
            </w:r>
          </w:p>
        </w:tc>
        <w:tc>
          <w:tcPr>
            <w:tcW w:w="24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plans or programs</w:t>
            </w:r>
          </w:p>
        </w:tc>
        <w:tc>
          <w:tcPr>
            <w:tcW w:w="24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under the plans or programs</w:t>
            </w:r>
          </w:p>
        </w:tc>
        <w:tc>
          <w:tcPr>
            <w:tcW w:w="100" w:type="dxa"/>
            <w:vAlign w:val="bottom"/>
          </w:tcPr>
          <w:p>
            <w:pPr>
              <w:spacing w:after="0"/>
              <w:rPr>
                <w:sz w:val="16"/>
                <w:szCs w:val="16"/>
                <w:color w:val="auto"/>
              </w:rPr>
            </w:pPr>
          </w:p>
        </w:tc>
      </w:tr>
      <w:tr>
        <w:trPr>
          <w:trHeight w:val="20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April 1, 2022 through April 30,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913,804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913,804</w:t>
            </w:r>
          </w:p>
        </w:tc>
        <w:tc>
          <w:tcPr>
            <w:tcW w:w="2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12,132,505</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2022 through May 31,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641,834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209.17</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641,834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11,490,671</w:t>
            </w:r>
          </w:p>
        </w:tc>
        <w:tc>
          <w:tcPr>
            <w:tcW w:w="100" w:type="dxa"/>
            <w:vAlign w:val="bottom"/>
          </w:tcPr>
          <w:p>
            <w:pPr>
              <w:spacing w:after="0"/>
              <w:rPr>
                <w:sz w:val="18"/>
                <w:szCs w:val="18"/>
                <w:color w:val="auto"/>
              </w:rPr>
            </w:pP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June 1, 2022 through June 30, 2022</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588,276</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24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588,276</w:t>
            </w:r>
          </w:p>
        </w:tc>
        <w:tc>
          <w:tcPr>
            <w:tcW w:w="2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10,902,395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2,143,914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219.52</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2,143,914</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-170815</wp:posOffset>
            </wp:positionV>
            <wp:extent cx="768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-170815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At June 30, 2022 the maximum number of shares that may yet be purchased under the existing stock repurchase plan is 10,902,395, with approximately $2.1 billion remaining on the current open-ended repurchase authority granted by the board. An estimate of the maximum number of shares under the existing authorities was determined using the closing price of our ordinary shares on June 30, 2022 of $197.39.</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07"/>
        </w:trPr>
        <w:tc>
          <w:tcPr>
            <w:tcW w:w="280" w:type="dxa"/>
            <w:vAlign w:val="bottom"/>
          </w:tcPr>
          <w:p>
            <w:pPr>
              <w:spacing w:after="0"/>
              <w:rPr>
                <w:sz w:val="24"/>
                <w:szCs w:val="24"/>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72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60"/>
        </w:trPr>
        <w:tc>
          <w:tcPr>
            <w:tcW w:w="1180" w:type="dxa"/>
            <w:vAlign w:val="bottom"/>
            <w:gridSpan w:val="3"/>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7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80" w:type="dxa"/>
            <w:vAlign w:val="bottom"/>
            <w:shd w:val="clear" w:color="auto" w:fill="CFF0FC"/>
          </w:tcPr>
          <w:p>
            <w:pPr>
              <w:ind w:left="4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5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60" w:type="dxa"/>
            <w:vAlign w:val="bottom"/>
            <w:gridSpan w:val="17"/>
            <w:shd w:val="clear" w:color="auto" w:fill="CFF0FC"/>
          </w:tcPr>
          <w:p>
            <w:pPr>
              <w:spacing w:after="0" w:line="176" w:lineRule="exact"/>
              <w:rPr>
                <w:rFonts w:ascii="Times New Roman" w:cs="Times New Roman" w:eastAsia="Times New Roman" w:hAnsi="Times New Roman"/>
                <w:sz w:val="18"/>
                <w:szCs w:val="18"/>
                <w:color w:val="0000FF"/>
                <w:w w:val="99"/>
              </w:rPr>
            </w:pPr>
            <w:hyperlink r:id="rId598">
              <w:r>
                <w:rPr>
                  <w:rFonts w:ascii="Times New Roman" w:cs="Times New Roman" w:eastAsia="Times New Roman" w:hAnsi="Times New Roman"/>
                  <w:sz w:val="18"/>
                  <w:szCs w:val="18"/>
                  <w:color w:val="0000FF"/>
                  <w:w w:val="99"/>
                </w:rPr>
                <w:t>Fifth Supplemental Indenture, dated as of May 19, 2022, among Willis North America Inc., as issuer, Willis Towers Watson Public Limited</w:t>
              </w:r>
            </w:hyperlink>
          </w:p>
        </w:tc>
        <w:tc>
          <w:tcPr>
            <w:tcW w:w="0" w:type="dxa"/>
            <w:vAlign w:val="bottom"/>
          </w:tcPr>
          <w:p>
            <w:pPr>
              <w:spacing w:after="0"/>
              <w:rPr>
                <w:sz w:val="1"/>
                <w:szCs w:val="1"/>
                <w:color w:val="auto"/>
              </w:rPr>
            </w:pPr>
          </w:p>
        </w:tc>
      </w:tr>
      <w:tr>
        <w:trPr>
          <w:trHeight w:val="169"/>
        </w:trPr>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500" w:type="dxa"/>
            <w:vAlign w:val="bottom"/>
            <w:tcBorders>
              <w:top w:val="single" w:sz="8" w:color="CFF0FC"/>
              <w:bottom w:val="single" w:sz="8" w:color="CFF0FC"/>
            </w:tcBorders>
            <w:shd w:val="clear" w:color="auto" w:fill="CFF0FC"/>
          </w:tcPr>
          <w:p>
            <w:pPr>
              <w:spacing w:after="0"/>
              <w:rPr>
                <w:sz w:val="14"/>
                <w:szCs w:val="14"/>
                <w:color w:val="auto"/>
              </w:rPr>
            </w:pPr>
          </w:p>
        </w:tc>
        <w:tc>
          <w:tcPr>
            <w:tcW w:w="400" w:type="dxa"/>
            <w:vAlign w:val="bottom"/>
            <w:tcBorders>
              <w:top w:val="single" w:sz="8" w:color="CFF0FC"/>
              <w:bottom w:val="single" w:sz="8" w:color="CFF0FC"/>
            </w:tcBorders>
            <w:shd w:val="clear" w:color="auto" w:fill="CFF0FC"/>
          </w:tcPr>
          <w:p>
            <w:pPr>
              <w:spacing w:after="0"/>
              <w:rPr>
                <w:sz w:val="14"/>
                <w:szCs w:val="14"/>
                <w:color w:val="auto"/>
              </w:rPr>
            </w:pPr>
          </w:p>
        </w:tc>
        <w:tc>
          <w:tcPr>
            <w:tcW w:w="9820" w:type="dxa"/>
            <w:vAlign w:val="bottom"/>
            <w:tcBorders>
              <w:top w:val="single" w:sz="8" w:color="0000FF"/>
              <w:bottom w:val="single" w:sz="8" w:color="0000FF"/>
            </w:tcBorders>
            <w:gridSpan w:val="12"/>
            <w:shd w:val="clear" w:color="auto" w:fill="CFF0FC"/>
          </w:tcPr>
          <w:p>
            <w:pPr>
              <w:spacing w:after="0" w:line="169" w:lineRule="exact"/>
              <w:rPr>
                <w:rFonts w:ascii="Times New Roman" w:cs="Times New Roman" w:eastAsia="Times New Roman" w:hAnsi="Times New Roman"/>
                <w:sz w:val="18"/>
                <w:szCs w:val="18"/>
                <w:color w:val="0000FF"/>
                <w:w w:val="99"/>
              </w:rPr>
            </w:pPr>
            <w:hyperlink r:id="rId598">
              <w:r>
                <w:rPr>
                  <w:rFonts w:ascii="Times New Roman" w:cs="Times New Roman" w:eastAsia="Times New Roman" w:hAnsi="Times New Roman"/>
                  <w:sz w:val="18"/>
                  <w:szCs w:val="18"/>
                  <w:color w:val="0000FF"/>
                  <w:w w:val="99"/>
                </w:rPr>
                <w:t>Company, Willis Towers Watson Sub Holdings Unlimited Company, Willis Netherlands Holdings B.V., Willis Investment UK Holdings</w:t>
              </w:r>
            </w:hyperlink>
          </w:p>
        </w:tc>
        <w:tc>
          <w:tcPr>
            <w:tcW w:w="220" w:type="dxa"/>
            <w:vAlign w:val="bottom"/>
            <w:tcBorders>
              <w:top w:val="single" w:sz="8" w:color="0000FF"/>
              <w:bottom w:val="single" w:sz="8" w:color="CFF0FC"/>
            </w:tcBorders>
            <w:gridSpan w:val="4"/>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60" w:type="dxa"/>
            <w:vAlign w:val="bottom"/>
            <w:gridSpan w:val="17"/>
            <w:shd w:val="clear" w:color="auto" w:fill="CFF0FC"/>
          </w:tcPr>
          <w:p>
            <w:pPr>
              <w:spacing w:after="0" w:line="169"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Limited, TA I Limited, Willis Towers Watson UK Holdings Limited, Trinity Acquisition plc and Willis Group Limited, as guarantors, and</w:t>
              </w:r>
            </w:hyperlink>
          </w:p>
        </w:tc>
        <w:tc>
          <w:tcPr>
            <w:tcW w:w="0" w:type="dxa"/>
            <w:vAlign w:val="bottom"/>
          </w:tcPr>
          <w:p>
            <w:pPr>
              <w:spacing w:after="0"/>
              <w:rPr>
                <w:sz w:val="1"/>
                <w:szCs w:val="1"/>
                <w:color w:val="auto"/>
              </w:rPr>
            </w:pPr>
          </w:p>
        </w:tc>
      </w:tr>
      <w:tr>
        <w:trPr>
          <w:trHeight w:val="169"/>
        </w:trPr>
        <w:tc>
          <w:tcPr>
            <w:tcW w:w="280" w:type="dxa"/>
            <w:vAlign w:val="bottom"/>
            <w:tcBorders>
              <w:top w:val="single" w:sz="8" w:color="CFF0FC"/>
            </w:tcBorders>
            <w:shd w:val="clear" w:color="auto" w:fill="CFF0FC"/>
          </w:tcPr>
          <w:p>
            <w:pPr>
              <w:spacing w:after="0"/>
              <w:rPr>
                <w:sz w:val="14"/>
                <w:szCs w:val="14"/>
                <w:color w:val="auto"/>
              </w:rPr>
            </w:pPr>
          </w:p>
        </w:tc>
        <w:tc>
          <w:tcPr>
            <w:tcW w:w="50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960" w:type="dxa"/>
            <w:vAlign w:val="bottom"/>
            <w:tcBorders>
              <w:top w:val="single" w:sz="8" w:color="0000FF"/>
            </w:tcBorders>
            <w:gridSpan w:val="15"/>
            <w:shd w:val="clear" w:color="auto" w:fill="CFF0FC"/>
          </w:tcPr>
          <w:p>
            <w:pPr>
              <w:spacing w:after="0" w:line="169"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Computershare Trust Company, National Association, as trustee (incorporated by reference to Exhibit 4.1 to the Form 8-K filed by the</w:t>
              </w:r>
            </w:hyperlink>
          </w:p>
        </w:tc>
        <w:tc>
          <w:tcPr>
            <w:tcW w:w="100" w:type="dxa"/>
            <w:vAlign w:val="bottom"/>
            <w:tcBorders>
              <w:top w:val="single" w:sz="8" w:color="CFF0FC"/>
            </w:tcBorders>
            <w:gridSpan w:val="2"/>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500" w:type="dxa"/>
            <w:vAlign w:val="bottom"/>
            <w:tcBorders>
              <w:top w:val="single" w:sz="8" w:color="CFF0FC"/>
              <w:bottom w:val="single" w:sz="8" w:color="CFF0FC"/>
            </w:tcBorders>
            <w:shd w:val="clear" w:color="auto" w:fill="CFF0FC"/>
          </w:tcPr>
          <w:p>
            <w:pPr>
              <w:spacing w:after="0"/>
              <w:rPr>
                <w:sz w:val="16"/>
                <w:szCs w:val="16"/>
                <w:color w:val="auto"/>
              </w:rPr>
            </w:pPr>
          </w:p>
        </w:tc>
        <w:tc>
          <w:tcPr>
            <w:tcW w:w="400" w:type="dxa"/>
            <w:vAlign w:val="bottom"/>
            <w:tcBorders>
              <w:top w:val="single" w:sz="8" w:color="CFF0FC"/>
              <w:bottom w:val="single" w:sz="8" w:color="CFF0FC"/>
            </w:tcBorders>
            <w:shd w:val="clear" w:color="auto" w:fill="CFF0FC"/>
          </w:tcPr>
          <w:p>
            <w:pPr>
              <w:spacing w:after="0"/>
              <w:rPr>
                <w:sz w:val="16"/>
                <w:szCs w:val="16"/>
                <w:color w:val="auto"/>
              </w:rPr>
            </w:pPr>
          </w:p>
        </w:tc>
        <w:tc>
          <w:tcPr>
            <w:tcW w:w="2080" w:type="dxa"/>
            <w:vAlign w:val="bottom"/>
            <w:tcBorders>
              <w:top w:val="single" w:sz="8" w:color="0000FF"/>
              <w:bottom w:val="single" w:sz="8" w:color="0000FF"/>
            </w:tcBorders>
            <w:gridSpan w:val="3"/>
            <w:shd w:val="clear" w:color="auto" w:fill="CFF0FC"/>
          </w:tcPr>
          <w:p>
            <w:pPr>
              <w:spacing w:after="0" w:line="169" w:lineRule="exact"/>
              <w:rPr>
                <w:rFonts w:ascii="Times New Roman" w:cs="Times New Roman" w:eastAsia="Times New Roman" w:hAnsi="Times New Roman"/>
                <w:sz w:val="18"/>
                <w:szCs w:val="18"/>
                <w:color w:val="0000FF"/>
                <w:w w:val="99"/>
              </w:rPr>
            </w:pPr>
            <w:hyperlink r:id="rId598">
              <w:r>
                <w:rPr>
                  <w:rFonts w:ascii="Times New Roman" w:cs="Times New Roman" w:eastAsia="Times New Roman" w:hAnsi="Times New Roman"/>
                  <w:sz w:val="18"/>
                  <w:szCs w:val="18"/>
                  <w:color w:val="0000FF"/>
                  <w:w w:val="99"/>
                </w:rPr>
                <w:t>Company on May 19, 2022).</w:t>
              </w:r>
            </w:hyperlink>
          </w:p>
        </w:tc>
        <w:tc>
          <w:tcPr>
            <w:tcW w:w="7640" w:type="dxa"/>
            <w:vAlign w:val="bottom"/>
            <w:tcBorders>
              <w:top w:val="single" w:sz="8" w:color="0000FF"/>
              <w:bottom w:val="single" w:sz="8" w:color="CFF0FC"/>
            </w:tcBorders>
            <w:gridSpan w:val="7"/>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gridSpan w:val="3"/>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15"/>
                <w:szCs w:val="15"/>
                <w:color w:val="auto"/>
              </w:rPr>
            </w:pPr>
          </w:p>
        </w:tc>
        <w:tc>
          <w:tcPr>
            <w:tcW w:w="10060" w:type="dxa"/>
            <w:vAlign w:val="bottom"/>
            <w:gridSpan w:val="17"/>
          </w:tcPr>
          <w:p>
            <w:pPr>
              <w:spacing w:after="0" w:line="176" w:lineRule="exact"/>
              <w:rPr>
                <w:rFonts w:ascii="Times New Roman" w:cs="Times New Roman" w:eastAsia="Times New Roman" w:hAnsi="Times New Roman"/>
                <w:sz w:val="18"/>
                <w:szCs w:val="18"/>
                <w:color w:val="0000FF"/>
                <w:w w:val="99"/>
              </w:rPr>
            </w:pPr>
            <w:hyperlink r:id="rId599">
              <w:r>
                <w:rPr>
                  <w:rFonts w:ascii="Times New Roman" w:cs="Times New Roman" w:eastAsia="Times New Roman" w:hAnsi="Times New Roman"/>
                  <w:sz w:val="18"/>
                  <w:szCs w:val="18"/>
                  <w:color w:val="0000FF"/>
                  <w:w w:val="99"/>
                </w:rPr>
                <w:t>Willis Towers Watson Public Limited Company 2012 Equity Incentive Plan (incorporated by reference to Exhibit A to the Definitive Proxy</w:t>
              </w:r>
            </w:hyperlink>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599">
              <w:r>
                <w:rPr>
                  <w:rFonts w:ascii="Times New Roman" w:cs="Times New Roman" w:eastAsia="Times New Roman" w:hAnsi="Times New Roman"/>
                  <w:sz w:val="18"/>
                  <w:szCs w:val="18"/>
                  <w:color w:val="0000FF"/>
                </w:rPr>
                <w:t>Statement on Schedule 14A filed by the Company on April 28,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gridSpan w:val="2"/>
            <w:shd w:val="clear" w:color="auto" w:fill="CFF0FC"/>
          </w:tcPr>
          <w:p>
            <w:pPr>
              <w:ind w:left="4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400" w:type="dxa"/>
            <w:vAlign w:val="bottom"/>
            <w:shd w:val="clear" w:color="auto" w:fill="CFF0FC"/>
          </w:tcPr>
          <w:p>
            <w:pPr>
              <w:spacing w:after="0"/>
              <w:rPr>
                <w:sz w:val="15"/>
                <w:szCs w:val="15"/>
                <w:color w:val="auto"/>
              </w:rPr>
            </w:pPr>
          </w:p>
        </w:tc>
        <w:tc>
          <w:tcPr>
            <w:tcW w:w="10060" w:type="dxa"/>
            <w:vAlign w:val="bottom"/>
            <w:gridSpan w:val="1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Willis Towers Watson Public Limited Company Compensation Policy and Share Ownership Guidelines for Non-Employee Directors (as</w:t>
            </w:r>
          </w:p>
        </w:tc>
        <w:tc>
          <w:tcPr>
            <w:tcW w:w="0" w:type="dxa"/>
            <w:vAlign w:val="bottom"/>
          </w:tcPr>
          <w:p>
            <w:pPr>
              <w:spacing w:after="0"/>
              <w:rPr>
                <w:sz w:val="1"/>
                <w:szCs w:val="1"/>
                <w:color w:val="auto"/>
              </w:rPr>
            </w:pPr>
          </w:p>
        </w:tc>
      </w:tr>
      <w:tr>
        <w:trPr>
          <w:trHeight w:val="189"/>
        </w:trPr>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500" w:type="dxa"/>
            <w:vAlign w:val="bottom"/>
            <w:tcBorders>
              <w:top w:val="single" w:sz="8" w:color="CFF0FC"/>
              <w:bottom w:val="single" w:sz="8" w:color="CFF0FC"/>
            </w:tcBorders>
            <w:shd w:val="clear" w:color="auto" w:fill="CFF0FC"/>
          </w:tcPr>
          <w:p>
            <w:pPr>
              <w:spacing w:after="0"/>
              <w:rPr>
                <w:sz w:val="16"/>
                <w:szCs w:val="16"/>
                <w:color w:val="auto"/>
              </w:rPr>
            </w:pPr>
          </w:p>
        </w:tc>
        <w:tc>
          <w:tcPr>
            <w:tcW w:w="400" w:type="dxa"/>
            <w:vAlign w:val="bottom"/>
            <w:tcBorders>
              <w:top w:val="single" w:sz="8" w:color="CFF0FC"/>
              <w:bottom w:val="single" w:sz="8" w:color="CFF0FC"/>
            </w:tcBorders>
            <w:shd w:val="clear" w:color="auto" w:fill="CFF0FC"/>
          </w:tcPr>
          <w:p>
            <w:pPr>
              <w:spacing w:after="0"/>
              <w:rPr>
                <w:sz w:val="16"/>
                <w:szCs w:val="16"/>
                <w:color w:val="auto"/>
              </w:rPr>
            </w:pPr>
          </w:p>
        </w:tc>
        <w:tc>
          <w:tcPr>
            <w:tcW w:w="1720" w:type="dxa"/>
            <w:vAlign w:val="bottom"/>
            <w:tcBorders>
              <w:top w:val="single" w:sz="8" w:color="0000FF"/>
              <w:bottom w:val="single" w:sz="8" w:color="0000FF"/>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May 2022).*†</w:t>
            </w:r>
          </w:p>
        </w:tc>
        <w:tc>
          <w:tcPr>
            <w:tcW w:w="8140" w:type="dxa"/>
            <w:vAlign w:val="bottom"/>
            <w:tcBorders>
              <w:top w:val="single" w:sz="8" w:color="0000FF"/>
              <w:bottom w:val="single" w:sz="8" w:color="CFF0FC"/>
            </w:tcBorders>
            <w:gridSpan w:val="11"/>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gridSpan w:val="3"/>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400" w:type="dxa"/>
            <w:vAlign w:val="bottom"/>
          </w:tcPr>
          <w:p>
            <w:pPr>
              <w:spacing w:after="0"/>
              <w:rPr>
                <w:sz w:val="15"/>
                <w:szCs w:val="15"/>
                <w:color w:val="auto"/>
              </w:rPr>
            </w:pPr>
          </w:p>
        </w:tc>
        <w:tc>
          <w:tcPr>
            <w:tcW w:w="100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FF"/>
              </w:rPr>
              <w:t>List of Issuers and Guarantor Subsidiaries.*</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shd w:val="clear" w:color="auto" w:fill="CFF0FC"/>
          </w:tcPr>
          <w:p>
            <w:pPr>
              <w:spacing w:after="0"/>
              <w:rPr>
                <w:sz w:val="20"/>
                <w:szCs w:val="20"/>
                <w:color w:val="auto"/>
              </w:rPr>
            </w:pPr>
          </w:p>
        </w:tc>
        <w:tc>
          <w:tcPr>
            <w:tcW w:w="9880" w:type="dxa"/>
            <w:vAlign w:val="bottom"/>
            <w:gridSpan w:val="1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pursuant to Rule 13a-14 of the Securities Exchange Act of 1934.*</w:t>
            </w:r>
          </w:p>
        </w:tc>
        <w:tc>
          <w:tcPr>
            <w:tcW w:w="180" w:type="dxa"/>
            <w:vAlign w:val="bottom"/>
            <w:gridSpan w:val="3"/>
            <w:vMerge w:val="restart"/>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8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9880" w:type="dxa"/>
            <w:vAlign w:val="bottom"/>
            <w:tcBorders>
              <w:bottom w:val="single" w:sz="8" w:color="0000FF"/>
            </w:tcBorders>
            <w:gridSpan w:val="14"/>
            <w:vMerge w:val="continue"/>
            <w:shd w:val="clear" w:color="auto" w:fill="CFF0FC"/>
          </w:tcPr>
          <w:p>
            <w:pPr>
              <w:spacing w:after="0"/>
              <w:rPr>
                <w:sz w:val="13"/>
                <w:szCs w:val="13"/>
                <w:color w:val="auto"/>
              </w:rPr>
            </w:pPr>
          </w:p>
        </w:tc>
        <w:tc>
          <w:tcPr>
            <w:tcW w:w="180" w:type="dxa"/>
            <w:vAlign w:val="bottom"/>
            <w:tcBorders>
              <w:bottom w:val="single" w:sz="8" w:color="CFF0FC"/>
            </w:tcBorders>
            <w:gridSpan w:val="3"/>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spacing w:after="0"/>
              <w:rPr>
                <w:sz w:val="15"/>
                <w:szCs w:val="15"/>
                <w:color w:val="auto"/>
              </w:rPr>
            </w:pPr>
          </w:p>
        </w:tc>
        <w:tc>
          <w:tcPr>
            <w:tcW w:w="100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Financial Officer, Andrew J. Krasner, pursuant to Rule 13a-14 of the Securities Exchange Act of</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1934.*</w:t>
            </w:r>
          </w:p>
        </w:tc>
        <w:tc>
          <w:tcPr>
            <w:tcW w:w="36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gridSpan w:val="2"/>
            <w:shd w:val="clear" w:color="auto" w:fill="CFF0FC"/>
          </w:tcPr>
          <w:p>
            <w:pPr>
              <w:ind w:left="4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400" w:type="dxa"/>
            <w:vAlign w:val="bottom"/>
            <w:shd w:val="clear" w:color="auto" w:fill="CFF0FC"/>
          </w:tcPr>
          <w:p>
            <w:pPr>
              <w:spacing w:after="0"/>
              <w:rPr>
                <w:sz w:val="15"/>
                <w:szCs w:val="15"/>
                <w:color w:val="auto"/>
              </w:rPr>
            </w:pPr>
          </w:p>
        </w:tc>
        <w:tc>
          <w:tcPr>
            <w:tcW w:w="10060" w:type="dxa"/>
            <w:vAlign w:val="bottom"/>
            <w:gridSpan w:val="1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and Chief Financial Officer, Andrew J. Krasner, pursuant to 18</w:t>
            </w:r>
          </w:p>
        </w:tc>
        <w:tc>
          <w:tcPr>
            <w:tcW w:w="0" w:type="dxa"/>
            <w:vAlign w:val="bottom"/>
          </w:tcPr>
          <w:p>
            <w:pPr>
              <w:spacing w:after="0"/>
              <w:rPr>
                <w:sz w:val="1"/>
                <w:szCs w:val="1"/>
                <w:color w:val="auto"/>
              </w:rPr>
            </w:pPr>
          </w:p>
        </w:tc>
      </w:tr>
      <w:tr>
        <w:trPr>
          <w:trHeight w:val="169"/>
        </w:trPr>
        <w:tc>
          <w:tcPr>
            <w:tcW w:w="280" w:type="dxa"/>
            <w:vAlign w:val="bottom"/>
            <w:tcBorders>
              <w:top w:val="single" w:sz="8" w:color="CFF0FC"/>
            </w:tcBorders>
            <w:shd w:val="clear" w:color="auto" w:fill="CFF0FC"/>
          </w:tcPr>
          <w:p>
            <w:pPr>
              <w:spacing w:after="0"/>
              <w:rPr>
                <w:sz w:val="14"/>
                <w:szCs w:val="14"/>
                <w:color w:val="auto"/>
              </w:rPr>
            </w:pPr>
          </w:p>
        </w:tc>
        <w:tc>
          <w:tcPr>
            <w:tcW w:w="50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700" w:type="dxa"/>
            <w:vAlign w:val="bottom"/>
            <w:tcBorders>
              <w:top w:val="single" w:sz="8" w:color="0000FF"/>
            </w:tcBorders>
            <w:gridSpan w:val="9"/>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 Sarbanes-Oxley Act of 2002.*</w:t>
            </w:r>
          </w:p>
        </w:tc>
        <w:tc>
          <w:tcPr>
            <w:tcW w:w="360" w:type="dxa"/>
            <w:vAlign w:val="bottom"/>
            <w:tcBorders>
              <w:top w:val="single" w:sz="8" w:color="CFF0FC"/>
            </w:tcBorders>
            <w:gridSpan w:val="8"/>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0000FF"/>
            </w:tcBorders>
            <w:shd w:val="clear" w:color="auto" w:fill="CFF0FC"/>
          </w:tcPr>
          <w:p>
            <w:pPr>
              <w:spacing w:after="0" w:line="20" w:lineRule="exact"/>
              <w:rPr>
                <w:sz w:val="1"/>
                <w:szCs w:val="1"/>
                <w:color w:val="auto"/>
              </w:rPr>
            </w:pPr>
          </w:p>
        </w:tc>
        <w:tc>
          <w:tcPr>
            <w:tcW w:w="122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1080" w:type="dxa"/>
            <w:vAlign w:val="bottom"/>
            <w:tcBorders>
              <w:top w:val="single" w:sz="8" w:color="0000FF"/>
            </w:tcBorders>
            <w:shd w:val="clear" w:color="auto" w:fill="CFF0FC"/>
          </w:tcPr>
          <w:p>
            <w:pPr>
              <w:spacing w:after="0" w:line="20" w:lineRule="exact"/>
              <w:rPr>
                <w:sz w:val="1"/>
                <w:szCs w:val="1"/>
                <w:color w:val="auto"/>
              </w:rPr>
            </w:pPr>
          </w:p>
        </w:tc>
        <w:tc>
          <w:tcPr>
            <w:tcW w:w="1180" w:type="dxa"/>
            <w:vAlign w:val="bottom"/>
            <w:tcBorders>
              <w:top w:val="single" w:sz="8" w:color="0000FF"/>
            </w:tcBorders>
            <w:shd w:val="clear" w:color="auto" w:fill="CFF0FC"/>
          </w:tcPr>
          <w:p>
            <w:pPr>
              <w:spacing w:after="0" w:line="20" w:lineRule="exact"/>
              <w:rPr>
                <w:sz w:val="1"/>
                <w:szCs w:val="1"/>
                <w:color w:val="auto"/>
              </w:rPr>
            </w:pPr>
          </w:p>
        </w:tc>
        <w:tc>
          <w:tcPr>
            <w:tcW w:w="700" w:type="dxa"/>
            <w:vAlign w:val="bottom"/>
            <w:tcBorders>
              <w:top w:val="single" w:sz="8" w:color="0000FF"/>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1060" w:type="dxa"/>
            <w:vAlign w:val="bottom"/>
            <w:tcBorders>
              <w:top w:val="single" w:sz="8" w:color="0000FF"/>
            </w:tcBorders>
            <w:shd w:val="clear" w:color="auto" w:fill="CFF0FC"/>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80" w:type="dxa"/>
            <w:vAlign w:val="bottom"/>
            <w:gridSpan w:val="3"/>
          </w:tcPr>
          <w:p>
            <w:pPr>
              <w:ind w:left="40"/>
              <w:spacing w:after="0" w:line="170" w:lineRule="exact"/>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17"/>
          </w:tcPr>
          <w:p>
            <w:pPr>
              <w:spacing w:after="0" w:line="170"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
        <w:spacing w:after="0" w:line="220" w:lineRule="auto"/>
        <w:rPr>
          <w:sz w:val="20"/>
          <w:szCs w:val="20"/>
          <w:color w:val="auto"/>
        </w:rPr>
      </w:pPr>
      <w:r>
        <w:rPr>
          <w:rFonts w:ascii="Times New Roman" w:cs="Times New Roman" w:eastAsia="Times New Roman" w:hAnsi="Times New Roman"/>
          <w:sz w:val="18"/>
          <w:szCs w:val="18"/>
          <w:color w:val="auto"/>
        </w:rPr>
        <w:t>101.SCH</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ind w:left="40"/>
        <w:spacing w:after="0" w:line="229" w:lineRule="auto"/>
        <w:rPr>
          <w:sz w:val="20"/>
          <w:szCs w:val="20"/>
          <w:color w:val="auto"/>
        </w:rPr>
      </w:pPr>
      <w:r>
        <w:rPr>
          <w:rFonts w:ascii="Times New Roman" w:cs="Times New Roman" w:eastAsia="Times New Roman" w:hAnsi="Times New Roman"/>
          <w:sz w:val="18"/>
          <w:szCs w:val="18"/>
          <w:color w:val="auto"/>
        </w:rPr>
        <w:t>101.CAL</w:t>
      </w: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571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
        <w:spacing w:after="0" w:line="229" w:lineRule="auto"/>
        <w:rPr>
          <w:sz w:val="20"/>
          <w:szCs w:val="20"/>
          <w:color w:val="auto"/>
        </w:rPr>
      </w:pPr>
      <w:r>
        <w:rPr>
          <w:rFonts w:ascii="Times New Roman" w:cs="Times New Roman" w:eastAsia="Times New Roman" w:hAnsi="Times New Roman"/>
          <w:sz w:val="18"/>
          <w:szCs w:val="18"/>
          <w:color w:val="auto"/>
        </w:rPr>
        <w:t>101.DEF</w:t>
      </w: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ind w:left="40"/>
        <w:spacing w:after="0" w:line="229" w:lineRule="auto"/>
        <w:rPr>
          <w:sz w:val="20"/>
          <w:szCs w:val="20"/>
          <w:color w:val="auto"/>
        </w:rPr>
      </w:pPr>
      <w:r>
        <w:rPr>
          <w:rFonts w:ascii="Times New Roman" w:cs="Times New Roman" w:eastAsia="Times New Roman" w:hAnsi="Times New Roman"/>
          <w:sz w:val="18"/>
          <w:szCs w:val="18"/>
          <w:color w:val="auto"/>
        </w:rPr>
        <w:t>101.LAB</w:t>
      </w: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571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
        <w:spacing w:after="0" w:line="229" w:lineRule="auto"/>
        <w:rPr>
          <w:sz w:val="20"/>
          <w:szCs w:val="20"/>
          <w:color w:val="auto"/>
        </w:rPr>
      </w:pPr>
      <w:r>
        <w:rPr>
          <w:rFonts w:ascii="Times New Roman" w:cs="Times New Roman" w:eastAsia="Times New Roman" w:hAnsi="Times New Roman"/>
          <w:sz w:val="18"/>
          <w:szCs w:val="18"/>
          <w:color w:val="auto"/>
        </w:rPr>
        <w:t>101.PRE</w:t>
      </w: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7" w:lineRule="exact"/>
        <w:rPr>
          <w:sz w:val="20"/>
          <w:szCs w:val="20"/>
          <w:color w:val="auto"/>
        </w:rPr>
      </w:pPr>
    </w:p>
    <w:p>
      <w:pPr>
        <w:ind w:right="3460" w:firstLine="48"/>
        <w:spacing w:after="0" w:line="407" w:lineRule="auto"/>
        <w:tabs>
          <w:tab w:leader="none" w:pos="117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95059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A. Hess</w:t>
            </w:r>
          </w:p>
        </w:tc>
        <w:tc>
          <w:tcPr>
            <w:tcW w:w="6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28, 2022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0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Carl A. Hess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2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32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Andrew J. Krasner</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28, 2022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0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Andrew J. Krasner</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2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32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Joseph S. Kurpis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28, 2022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0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Joseph S. Kurpis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2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593"/>
        </w:trPr>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2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WILLIS TOWERS WATSON PUBLIC LIMITED COMPANY</w:t>
      </w:r>
    </w:p>
    <w:p>
      <w:pPr>
        <w:spacing w:after="0" w:line="1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COMPENSATION POLICY AND SHARE OWNERSHIP GUIDELINES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25, 2022</w:t>
      </w:r>
    </w:p>
    <w:p>
      <w:pPr>
        <w:spacing w:after="0" w:line="165" w:lineRule="exact"/>
        <w:rPr>
          <w:sz w:val="20"/>
          <w:szCs w:val="20"/>
          <w:color w:val="auto"/>
        </w:rPr>
      </w:pPr>
    </w:p>
    <w:p>
      <w:pPr>
        <w:jc w:val="both"/>
        <w:ind w:right="20" w:firstLine="509"/>
        <w:spacing w:after="0" w:line="245"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of Willis Towers Watson Public Limited Company, a company organized under the laws of Ireland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deemed it advisable and in the best interests of the Company to formalize the current Non-Employee Director compensation package and share ownership guidelines through the adoption of this Compensation and Ownership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540" w:hanging="383"/>
        <w:spacing w:after="0"/>
        <w:tabs>
          <w:tab w:leader="none" w:pos="54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b w:val="1"/>
          <w:bCs w:val="1"/>
          <w:color w:val="auto"/>
        </w:rPr>
      </w:pPr>
    </w:p>
    <w:p>
      <w:pPr>
        <w:ind w:left="1140" w:hanging="383"/>
        <w:spacing w:after="0" w:line="261" w:lineRule="auto"/>
        <w:tabs>
          <w:tab w:leader="none" w:pos="11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Non-Employee Director</w:t>
      </w:r>
      <w:r>
        <w:rPr>
          <w:rFonts w:ascii="Times New Roman" w:cs="Times New Roman" w:eastAsia="Times New Roman" w:hAnsi="Times New Roman"/>
          <w:sz w:val="22"/>
          <w:szCs w:val="22"/>
          <w:color w:val="auto"/>
        </w:rPr>
        <w:t>” means a member of the Board who is not an employee of the Company or any of its subsidiaries or affiliates.</w:t>
      </w:r>
    </w:p>
    <w:p>
      <w:pPr>
        <w:spacing w:after="0" w:line="150" w:lineRule="exact"/>
        <w:rPr>
          <w:rFonts w:ascii="Times New Roman" w:cs="Times New Roman" w:eastAsia="Times New Roman" w:hAnsi="Times New Roman"/>
          <w:sz w:val="22"/>
          <w:szCs w:val="22"/>
          <w:color w:val="auto"/>
        </w:rPr>
      </w:pPr>
    </w:p>
    <w:p>
      <w:pPr>
        <w:ind w:left="1140" w:hanging="383"/>
        <w:spacing w:after="0" w:line="274" w:lineRule="auto"/>
        <w:tabs>
          <w:tab w:leader="none" w:pos="11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Currency</w:t>
      </w:r>
      <w:r>
        <w:rPr>
          <w:rFonts w:ascii="Times New Roman" w:cs="Times New Roman" w:eastAsia="Times New Roman" w:hAnsi="Times New Roman"/>
          <w:sz w:val="22"/>
          <w:szCs w:val="22"/>
          <w:color w:val="auto"/>
        </w:rPr>
        <w:t>” means United States Dollars (“</w:t>
      </w:r>
      <w:r>
        <w:rPr>
          <w:rFonts w:ascii="Times New Roman" w:cs="Times New Roman" w:eastAsia="Times New Roman" w:hAnsi="Times New Roman"/>
          <w:sz w:val="22"/>
          <w:szCs w:val="22"/>
          <w:b w:val="1"/>
          <w:bCs w:val="1"/>
          <w:color w:val="auto"/>
        </w:rPr>
        <w:t>USD</w:t>
      </w:r>
      <w:r>
        <w:rPr>
          <w:rFonts w:ascii="Times New Roman" w:cs="Times New Roman" w:eastAsia="Times New Roman" w:hAnsi="Times New Roman"/>
          <w:sz w:val="22"/>
          <w:szCs w:val="22"/>
          <w:color w:val="auto"/>
        </w:rPr>
        <w:t>”), Euros (“</w:t>
      </w:r>
      <w:r>
        <w:rPr>
          <w:rFonts w:ascii="Times New Roman" w:cs="Times New Roman" w:eastAsia="Times New Roman" w:hAnsi="Times New Roman"/>
          <w:sz w:val="22"/>
          <w:szCs w:val="22"/>
          <w:b w:val="1"/>
          <w:bCs w:val="1"/>
          <w:color w:val="auto"/>
        </w:rPr>
        <w:t>EUR</w:t>
      </w:r>
      <w:r>
        <w:rPr>
          <w:rFonts w:ascii="Times New Roman" w:cs="Times New Roman" w:eastAsia="Times New Roman" w:hAnsi="Times New Roman"/>
          <w:sz w:val="22"/>
          <w:szCs w:val="22"/>
          <w:color w:val="auto"/>
        </w:rPr>
        <w:t>”), Great British Pounds (“</w:t>
      </w:r>
      <w:r>
        <w:rPr>
          <w:rFonts w:ascii="Times New Roman" w:cs="Times New Roman" w:eastAsia="Times New Roman" w:hAnsi="Times New Roman"/>
          <w:sz w:val="22"/>
          <w:szCs w:val="22"/>
          <w:b w:val="1"/>
          <w:bCs w:val="1"/>
          <w:color w:val="auto"/>
        </w:rPr>
        <w:t>GBP</w:t>
      </w:r>
      <w:r>
        <w:rPr>
          <w:rFonts w:ascii="Times New Roman" w:cs="Times New Roman" w:eastAsia="Times New Roman" w:hAnsi="Times New Roman"/>
          <w:sz w:val="22"/>
          <w:szCs w:val="22"/>
          <w:color w:val="auto"/>
        </w:rPr>
        <w:t>”), or the Non-Employee Director’s Primary Currency (as defined in Section 6(a) below).</w:t>
      </w:r>
    </w:p>
    <w:p>
      <w:pPr>
        <w:spacing w:after="0" w:line="137" w:lineRule="exact"/>
        <w:rPr>
          <w:rFonts w:ascii="Times New Roman" w:cs="Times New Roman" w:eastAsia="Times New Roman" w:hAnsi="Times New Roman"/>
          <w:sz w:val="22"/>
          <w:szCs w:val="22"/>
          <w:color w:val="auto"/>
        </w:rPr>
      </w:pPr>
    </w:p>
    <w:p>
      <w:pPr>
        <w:jc w:val="both"/>
        <w:ind w:left="1140" w:hanging="383"/>
        <w:spacing w:after="0" w:line="252" w:lineRule="auto"/>
        <w:tabs>
          <w:tab w:leader="none" w:pos="11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of 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with Respect to Non-Employee Directors means the period of time from his or her annual election at the Annual General Meeting of Shareholders (“</w:t>
      </w:r>
      <w:r>
        <w:rPr>
          <w:rFonts w:ascii="Times New Roman" w:cs="Times New Roman" w:eastAsia="Times New Roman" w:hAnsi="Times New Roman"/>
          <w:sz w:val="22"/>
          <w:szCs w:val="22"/>
          <w:b w:val="1"/>
          <w:bCs w:val="1"/>
          <w:color w:val="auto"/>
        </w:rPr>
        <w:t>AGM</w:t>
      </w:r>
      <w:r>
        <w:rPr>
          <w:rFonts w:ascii="Times New Roman" w:cs="Times New Roman" w:eastAsia="Times New Roman" w:hAnsi="Times New Roman"/>
          <w:sz w:val="22"/>
          <w:szCs w:val="22"/>
          <w:color w:val="auto"/>
        </w:rPr>
        <w:t>”) (or such later date if the Non-Employee Director is appointed following the date of an AGM) until the next AGM.</w:t>
      </w:r>
    </w:p>
    <w:p>
      <w:pPr>
        <w:spacing w:after="0" w:line="160" w:lineRule="exact"/>
        <w:rPr>
          <w:rFonts w:ascii="Times New Roman" w:cs="Times New Roman" w:eastAsia="Times New Roman" w:hAnsi="Times New Roman"/>
          <w:sz w:val="22"/>
          <w:szCs w:val="22"/>
          <w:color w:val="auto"/>
        </w:rPr>
      </w:pPr>
    </w:p>
    <w:p>
      <w:pPr>
        <w:jc w:val="both"/>
        <w:ind w:left="1140" w:hanging="383"/>
        <w:spacing w:after="0" w:line="289" w:lineRule="auto"/>
        <w:tabs>
          <w:tab w:leader="none" w:pos="11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 of Service” or “Term” </w:t>
      </w:r>
      <w:r>
        <w:rPr>
          <w:rFonts w:ascii="Times New Roman" w:cs="Times New Roman" w:eastAsia="Times New Roman" w:hAnsi="Times New Roman"/>
          <w:sz w:val="20"/>
          <w:szCs w:val="20"/>
          <w:color w:val="auto"/>
        </w:rPr>
        <w:t>with Respect to the Board and Committee Chairs means the period commencing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 or her appointment by the Board to such position and ending on the date of reappointment if the Non-Employee Director is reappointed (or ending on the date of the next AGM if the Non-Employee Director is not reappointed).</w:t>
      </w:r>
    </w:p>
    <w:p>
      <w:pPr>
        <w:spacing w:after="0" w:line="126" w:lineRule="exact"/>
        <w:rPr>
          <w:rFonts w:ascii="Times New Roman" w:cs="Times New Roman" w:eastAsia="Times New Roman" w:hAnsi="Times New Roman"/>
          <w:sz w:val="20"/>
          <w:szCs w:val="20"/>
          <w:color w:val="auto"/>
        </w:rPr>
      </w:pPr>
    </w:p>
    <w:p>
      <w:pPr>
        <w:ind w:left="540" w:hanging="383"/>
        <w:spacing w:after="0"/>
        <w:tabs>
          <w:tab w:leader="none" w:pos="54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Cash Fees</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b w:val="1"/>
          <w:bCs w:val="1"/>
          <w:color w:val="auto"/>
        </w:rPr>
      </w:pPr>
    </w:p>
    <w:p>
      <w:pPr>
        <w:jc w:val="both"/>
        <w:ind w:left="1140" w:hanging="383"/>
        <w:spacing w:after="0" w:line="252" w:lineRule="auto"/>
        <w:tabs>
          <w:tab w:leader="none" w:pos="11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Non-Employee Director Base Fee</w:t>
      </w:r>
      <w:r>
        <w:rPr>
          <w:rFonts w:ascii="Times New Roman" w:cs="Times New Roman" w:eastAsia="Times New Roman" w:hAnsi="Times New Roman"/>
          <w:sz w:val="22"/>
          <w:szCs w:val="22"/>
          <w:color w:val="auto"/>
        </w:rPr>
        <w:t>. For each term of service as a Non-Employee Director, a cash fee of $125,000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paid to each Non-Employee Director. </w:t>
      </w:r>
      <w:r>
        <w:rPr>
          <w:rFonts w:ascii="Times New Roman" w:cs="Times New Roman" w:eastAsia="Times New Roman" w:hAnsi="Times New Roman"/>
          <w:sz w:val="22"/>
          <w:szCs w:val="22"/>
          <w:i w:val="1"/>
          <w:iCs w:val="1"/>
          <w:color w:val="auto"/>
        </w:rPr>
        <w:t>Each Non-Employee Director may elect to receive such fee 100%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equity on the same terms and conditions as the equity granted under Section 3 below.</w:t>
      </w:r>
    </w:p>
    <w:p>
      <w:pPr>
        <w:spacing w:after="0" w:line="160" w:lineRule="exact"/>
        <w:rPr>
          <w:rFonts w:ascii="Times New Roman" w:cs="Times New Roman" w:eastAsia="Times New Roman" w:hAnsi="Times New Roman"/>
          <w:sz w:val="22"/>
          <w:szCs w:val="22"/>
          <w:color w:val="auto"/>
        </w:rPr>
      </w:pPr>
    </w:p>
    <w:p>
      <w:pPr>
        <w:jc w:val="both"/>
        <w:ind w:left="1140" w:hanging="383"/>
        <w:spacing w:after="0" w:line="245" w:lineRule="auto"/>
        <w:tabs>
          <w:tab w:leader="none" w:pos="11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Chair Committee Premium Fees</w:t>
      </w:r>
      <w:r>
        <w:rPr>
          <w:rFonts w:ascii="Times New Roman" w:cs="Times New Roman" w:eastAsia="Times New Roman" w:hAnsi="Times New Roman"/>
          <w:sz w:val="22"/>
          <w:szCs w:val="22"/>
          <w:color w:val="auto"/>
        </w:rPr>
        <w:t>. The additional fees set forth below shall be paid to a Non-Employee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each term of service that he or she serves as the Board Chair or chair of a Board committee, as set forth below. For the avoidance of any doubt, no additional or separate fees or other compensation shall be paid to a Non-Employee Director for services provided as a member of a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7" w:name="page58"/>
    <w:bookmarkEnd w:id="57"/>
    <w:tbl>
      <w:tblPr>
        <w:tblLayout w:type="fixed"/>
        <w:tblInd w:w="1243" w:type="dxa"/>
        <w:tblCellMar>
          <w:top w:w="0" w:type="dxa"/>
          <w:left w:w="0" w:type="dxa"/>
          <w:bottom w:w="0" w:type="dxa"/>
          <w:right w:w="0" w:type="dxa"/>
        </w:tblCellMar>
      </w:tblP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7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Board:</w:t>
            </w:r>
          </w:p>
        </w:tc>
        <w:tc>
          <w:tcPr>
            <w:tcW w:w="9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$100,000</w:t>
            </w:r>
          </w:p>
        </w:tc>
      </w:tr>
      <w:tr>
        <w:trPr>
          <w:trHeight w:val="216"/>
        </w:trPr>
        <w:tc>
          <w:tcPr>
            <w:tcW w:w="460" w:type="dxa"/>
            <w:vAlign w:val="bottom"/>
          </w:tcPr>
          <w:p>
            <w:pPr>
              <w:spacing w:after="0"/>
              <w:rPr>
                <w:sz w:val="18"/>
                <w:szCs w:val="18"/>
                <w:color w:val="auto"/>
              </w:rPr>
            </w:pPr>
          </w:p>
        </w:tc>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20"/>
                <w:szCs w:val="20"/>
                <w:i w:val="1"/>
                <w:iCs w:val="1"/>
                <w:color w:val="auto"/>
                <w:w w:val="99"/>
              </w:rPr>
              <w:t>provided, however, that the Chair may elect to receive such fee 100% in equity on the</w:t>
            </w:r>
          </w:p>
        </w:tc>
        <w:tc>
          <w:tcPr>
            <w:tcW w:w="900" w:type="dxa"/>
            <w:vAlign w:val="bottom"/>
          </w:tcPr>
          <w:p>
            <w:pPr>
              <w:spacing w:after="0"/>
              <w:rPr>
                <w:sz w:val="18"/>
                <w:szCs w:val="18"/>
                <w:color w:val="auto"/>
              </w:rPr>
            </w:pPr>
          </w:p>
        </w:tc>
      </w:tr>
      <w:tr>
        <w:trPr>
          <w:trHeight w:val="262"/>
        </w:trPr>
        <w:tc>
          <w:tcPr>
            <w:tcW w:w="460" w:type="dxa"/>
            <w:vAlign w:val="bottom"/>
          </w:tcPr>
          <w:p>
            <w:pPr>
              <w:spacing w:after="0"/>
              <w:rPr>
                <w:sz w:val="22"/>
                <w:szCs w:val="22"/>
                <w:color w:val="auto"/>
              </w:rPr>
            </w:pPr>
          </w:p>
        </w:tc>
        <w:tc>
          <w:tcPr>
            <w:tcW w:w="7080" w:type="dxa"/>
            <w:vAlign w:val="bottom"/>
          </w:tcPr>
          <w:p>
            <w:pPr>
              <w:ind w:left="240"/>
              <w:spacing w:after="0"/>
              <w:rPr>
                <w:sz w:val="20"/>
                <w:szCs w:val="20"/>
                <w:color w:val="auto"/>
              </w:rPr>
            </w:pPr>
            <w:r>
              <w:rPr>
                <w:rFonts w:ascii="Times New Roman" w:cs="Times New Roman" w:eastAsia="Times New Roman" w:hAnsi="Times New Roman"/>
                <w:sz w:val="20"/>
                <w:szCs w:val="20"/>
                <w:i w:val="1"/>
                <w:iCs w:val="1"/>
                <w:color w:val="auto"/>
              </w:rPr>
              <w:t>same terms and conditions as the equity granted under Section 3 below.</w:t>
            </w:r>
          </w:p>
        </w:tc>
        <w:tc>
          <w:tcPr>
            <w:tcW w:w="900" w:type="dxa"/>
            <w:vAlign w:val="bottom"/>
          </w:tcPr>
          <w:p>
            <w:pPr>
              <w:spacing w:after="0"/>
              <w:rPr>
                <w:sz w:val="22"/>
                <w:szCs w:val="22"/>
                <w:color w:val="auto"/>
              </w:rPr>
            </w:pPr>
          </w:p>
        </w:tc>
      </w:tr>
      <w:tr>
        <w:trPr>
          <w:trHeight w:val="505"/>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7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Audit &amp; Risk Committee:</w:t>
            </w:r>
          </w:p>
        </w:tc>
        <w:tc>
          <w:tcPr>
            <w:tcW w:w="9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$25,000</w:t>
            </w:r>
          </w:p>
        </w:tc>
      </w:tr>
      <w:tr>
        <w:trPr>
          <w:trHeight w:val="512"/>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7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Operational Transformation Committee:</w:t>
            </w:r>
          </w:p>
        </w:tc>
        <w:tc>
          <w:tcPr>
            <w:tcW w:w="9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$25,000</w:t>
            </w:r>
          </w:p>
        </w:tc>
      </w:tr>
      <w:tr>
        <w:trPr>
          <w:trHeight w:val="512"/>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7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Compensation Committee:</w:t>
            </w:r>
          </w:p>
        </w:tc>
        <w:tc>
          <w:tcPr>
            <w:tcW w:w="9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$15,000</w:t>
            </w:r>
          </w:p>
        </w:tc>
      </w:tr>
      <w:tr>
        <w:trPr>
          <w:trHeight w:val="512"/>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7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Corporate Governance &amp; Nominating Committee:</w:t>
            </w:r>
          </w:p>
        </w:tc>
        <w:tc>
          <w:tcPr>
            <w:tcW w:w="9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$12,500</w:t>
            </w:r>
          </w:p>
        </w:tc>
      </w:tr>
    </w:tbl>
    <w:p>
      <w:pPr>
        <w:spacing w:after="0" w:line="200" w:lineRule="exact"/>
        <w:rPr>
          <w:sz w:val="20"/>
          <w:szCs w:val="20"/>
          <w:color w:val="auto"/>
        </w:rPr>
      </w:pPr>
    </w:p>
    <w:p>
      <w:pPr>
        <w:spacing w:after="0" w:line="246" w:lineRule="exact"/>
        <w:rPr>
          <w:sz w:val="20"/>
          <w:szCs w:val="20"/>
          <w:color w:val="auto"/>
        </w:rPr>
      </w:pPr>
    </w:p>
    <w:p>
      <w:pPr>
        <w:ind w:left="383" w:hanging="383"/>
        <w:spacing w:after="0"/>
        <w:tabs>
          <w:tab w:leader="none" w:pos="38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 upcoming term, a Non-Employee Director elects to receive his/her:</w:t>
      </w:r>
    </w:p>
    <w:p>
      <w:pPr>
        <w:spacing w:after="0" w:line="218" w:lineRule="exact"/>
        <w:rPr>
          <w:rFonts w:ascii="Times New Roman" w:cs="Times New Roman" w:eastAsia="Times New Roman" w:hAnsi="Times New Roman"/>
          <w:sz w:val="22"/>
          <w:szCs w:val="22"/>
          <w:color w:val="auto"/>
        </w:rPr>
      </w:pPr>
    </w:p>
    <w:p>
      <w:pPr>
        <w:ind w:left="1023" w:hanging="462"/>
        <w:spacing w:after="0"/>
        <w:tabs>
          <w:tab w:leader="none" w:pos="102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Fee, set forth under Section 2(a), 100% in equity; and/or</w:t>
      </w:r>
    </w:p>
    <w:p>
      <w:pPr>
        <w:spacing w:after="0" w:line="205" w:lineRule="exact"/>
        <w:rPr>
          <w:rFonts w:ascii="Times New Roman" w:cs="Times New Roman" w:eastAsia="Times New Roman" w:hAnsi="Times New Roman"/>
          <w:sz w:val="22"/>
          <w:szCs w:val="22"/>
          <w:color w:val="auto"/>
        </w:rPr>
      </w:pPr>
    </w:p>
    <w:p>
      <w:pPr>
        <w:ind w:left="1023" w:hanging="462"/>
        <w:spacing w:after="0"/>
        <w:tabs>
          <w:tab w:leader="none" w:pos="102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Chair Premium Fee, if applicable, set forth under Section 2(b)(i), 100% in equity,</w:t>
      </w:r>
    </w:p>
    <w:p>
      <w:pPr>
        <w:spacing w:after="0" w:line="205" w:lineRule="exact"/>
        <w:rPr>
          <w:sz w:val="20"/>
          <w:szCs w:val="20"/>
          <w:color w:val="auto"/>
        </w:rPr>
      </w:pPr>
    </w:p>
    <w:p>
      <w:pPr>
        <w:jc w:val="both"/>
        <w:ind w:left="383"/>
        <w:spacing w:after="0" w:line="243" w:lineRule="auto"/>
        <w:rPr>
          <w:sz w:val="20"/>
          <w:szCs w:val="20"/>
          <w:color w:val="auto"/>
        </w:rPr>
      </w:pPr>
      <w:r>
        <w:rPr>
          <w:rFonts w:ascii="Times New Roman" w:cs="Times New Roman" w:eastAsia="Times New Roman" w:hAnsi="Times New Roman"/>
          <w:sz w:val="22"/>
          <w:szCs w:val="22"/>
          <w:color w:val="auto"/>
        </w:rPr>
        <w:t xml:space="preserve">then such election(s) shall be made in writing,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sent to the Company Secretary during an “open window” (as defined by the Company’s Insider Trading Policy), when the Non-Employee Director does not possess any material, non-public information, and by December 31st of the calendar year immediately preceding the calendar year in which the upcoming term is scheduled to commence. If no election is made by the Non-Employee Director, he/she will receive the applicable fee(s) in cash.</w:t>
      </w:r>
    </w:p>
    <w:p>
      <w:pPr>
        <w:spacing w:after="0" w:line="172" w:lineRule="exact"/>
        <w:rPr>
          <w:sz w:val="20"/>
          <w:szCs w:val="20"/>
          <w:color w:val="auto"/>
        </w:rPr>
      </w:pPr>
    </w:p>
    <w:p>
      <w:pPr>
        <w:jc w:val="both"/>
        <w:ind w:left="383" w:hanging="383"/>
        <w:spacing w:after="0" w:line="238" w:lineRule="auto"/>
        <w:tabs>
          <w:tab w:leader="none" w:pos="38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Accelerated Vesting</w:t>
      </w:r>
      <w:r>
        <w:rPr>
          <w:rFonts w:ascii="Times New Roman" w:cs="Times New Roman" w:eastAsia="Times New Roman" w:hAnsi="Times New Roman"/>
          <w:sz w:val="22"/>
          <w:szCs w:val="22"/>
          <w:color w:val="auto"/>
        </w:rPr>
        <w:t>. Cash fees shall vest and be payable in four equal quarterly installments at the end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each calendar quarter;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if any Non-Employee Director is appointed, in accordance with applicable law and the Company’s Memorandum and Articles of Association and other corporate governance documents, to fill a vacancy after an AGM or if the Chair of the Board, Chair of a Committee or Member of any Board Committee is appointed in the middle of a term, then, in the discretion of the Compensation Committee, such Non-Employee Director may be entitled to a prorated portion of the cash fees based on the portion of a calendar quarter during which the Non-Employee Director served in the relevant position. Notwithstanding the foregoing, if a Non-Employee Director ceases to serve through one or more quarterly vesting dates due to death, disability, removal, resignation or retirement, the Compensation Committee shall have the discretion to accelerate the vesting of all or a portion of the cash fees as of the date of such cessation of service. Otherwise, the unvested cash fees in respect of the remainder of the relevant term shall be forfeited.</w:t>
      </w:r>
    </w:p>
    <w:p>
      <w:pPr>
        <w:spacing w:after="0" w:line="193" w:lineRule="exact"/>
        <w:rPr>
          <w:rFonts w:ascii="Times New Roman" w:cs="Times New Roman" w:eastAsia="Times New Roman" w:hAnsi="Times New Roman"/>
          <w:sz w:val="22"/>
          <w:szCs w:val="22"/>
          <w:color w:val="auto"/>
        </w:rPr>
      </w:pPr>
    </w:p>
    <w:p>
      <w:pPr>
        <w:jc w:val="both"/>
        <w:ind w:left="383" w:hanging="383"/>
        <w:spacing w:after="0" w:line="252" w:lineRule="auto"/>
        <w:tabs>
          <w:tab w:leader="none" w:pos="38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Multiple Roles</w:t>
      </w:r>
      <w:r>
        <w:rPr>
          <w:rFonts w:ascii="Times New Roman" w:cs="Times New Roman" w:eastAsia="Times New Roman" w:hAnsi="Times New Roman"/>
          <w:sz w:val="22"/>
          <w:szCs w:val="22"/>
          <w:color w:val="auto"/>
        </w:rPr>
        <w:t>. If a Non-Employee Director serves in more than one of the roles noted in Section 2(b), he/she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entitled to receive compensation for each role, provided that no additional compensation shall be payable to a Non-Employee Director serving as the Board Chair for services performed as a Board committee chair.</w:t>
      </w:r>
    </w:p>
    <w:p>
      <w:pPr>
        <w:spacing w:after="0" w:line="200" w:lineRule="exact"/>
        <w:rPr>
          <w:sz w:val="20"/>
          <w:szCs w:val="20"/>
          <w:color w:val="auto"/>
        </w:rPr>
      </w:pPr>
    </w:p>
    <w:p>
      <w:pPr>
        <w:spacing w:after="0" w:line="392"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218440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14" w:right="339" w:bottom="1440" w:gutter="0" w:footer="0" w:header="0"/>
        </w:sectPr>
      </w:pPr>
    </w:p>
    <w:bookmarkStart w:id="58" w:name="page59"/>
    <w:bookmarkEnd w:id="58"/>
    <w:p>
      <w:pPr>
        <w:ind w:left="383" w:hanging="383"/>
        <w:spacing w:after="0"/>
        <w:tabs>
          <w:tab w:leader="none" w:pos="383"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Equity Grant</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b w:val="1"/>
          <w:bCs w:val="1"/>
          <w:color w:val="auto"/>
        </w:rPr>
      </w:pPr>
    </w:p>
    <w:p>
      <w:pPr>
        <w:jc w:val="both"/>
        <w:ind w:left="983" w:hanging="383"/>
        <w:spacing w:after="0" w:line="238" w:lineRule="auto"/>
        <w:tabs>
          <w:tab w:leader="none" w:pos="98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Non-Employee Directors</w:t>
      </w:r>
      <w:r>
        <w:rPr>
          <w:rFonts w:ascii="Times New Roman" w:cs="Times New Roman" w:eastAsia="Times New Roman" w:hAnsi="Times New Roman"/>
          <w:sz w:val="22"/>
          <w:szCs w:val="22"/>
          <w:color w:val="auto"/>
        </w:rPr>
        <w:t>. Each Non-Employee Director who is elected at the Company’s AGM shall, in addition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the cash fees referred to in Section 2, be granted a time-based equity award covering a number of ordinary shares having an approximate aggregate value of $200,000,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Non-Employee Director is appointed, in accordance with applicable law and the Company’s Memorandum and Articles of Association and other corporate governance documents, to fill a vacancy after an AGM, then, in the discretion of the Compensation Committee, such Non-Employee Director may be entitled to receive a prorated equity award on such terms and conditions, including a grant date, approved by the Compensation Committee. The equity award shall be calculated based on the closing price of the Company’s ordinary shares on the date of the grant as reported on NASDAQ and rounded down to the nearest whole ordinary share. The terms of the equity grant shall be as set forth in this Section 3.</w:t>
      </w:r>
    </w:p>
    <w:p>
      <w:pPr>
        <w:spacing w:after="0" w:line="188" w:lineRule="exact"/>
        <w:rPr>
          <w:rFonts w:ascii="Times New Roman" w:cs="Times New Roman" w:eastAsia="Times New Roman" w:hAnsi="Times New Roman"/>
          <w:sz w:val="22"/>
          <w:szCs w:val="22"/>
          <w:color w:val="auto"/>
        </w:rPr>
      </w:pPr>
    </w:p>
    <w:p>
      <w:pPr>
        <w:jc w:val="both"/>
        <w:ind w:left="983" w:hanging="383"/>
        <w:spacing w:after="0" w:line="239" w:lineRule="auto"/>
        <w:tabs>
          <w:tab w:leader="none" w:pos="98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Board Chair</w:t>
      </w:r>
      <w:r>
        <w:rPr>
          <w:rFonts w:ascii="Times New Roman" w:cs="Times New Roman" w:eastAsia="Times New Roman" w:hAnsi="Times New Roman"/>
          <w:sz w:val="22"/>
          <w:szCs w:val="22"/>
          <w:color w:val="auto"/>
        </w:rPr>
        <w:t>. In addition to the equity award set forth in Section 3(a), in consideration for the services performed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his/her capacity as the Board Chair, the Board Chair shall be granted, at the same time and on the same terms and conditions as the equity granted under Section 3(a) above, an equity award covering a number of ordinary shares having an approximate aggregate value of $100,000,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Chair is appointed in the middle of the term, then, in the discretion of the Compensation Committee, such Board Chair may be entitled to receive a prorated equity award on such terms and conditions, including a grant date, approved by the Compensation Committee.</w:t>
      </w:r>
    </w:p>
    <w:p>
      <w:pPr>
        <w:spacing w:after="0" w:line="178" w:lineRule="exact"/>
        <w:rPr>
          <w:rFonts w:ascii="Times New Roman" w:cs="Times New Roman" w:eastAsia="Times New Roman" w:hAnsi="Times New Roman"/>
          <w:sz w:val="22"/>
          <w:szCs w:val="22"/>
          <w:color w:val="auto"/>
        </w:rPr>
      </w:pPr>
    </w:p>
    <w:p>
      <w:pPr>
        <w:ind w:left="983" w:hanging="383"/>
        <w:spacing w:after="0"/>
        <w:tabs>
          <w:tab w:leader="none" w:pos="98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Form of Equity Award</w:t>
      </w:r>
      <w:r>
        <w:rPr>
          <w:rFonts w:ascii="Times New Roman" w:cs="Times New Roman" w:eastAsia="Times New Roman" w:hAnsi="Times New Roman"/>
          <w:sz w:val="22"/>
          <w:szCs w:val="22"/>
          <w:color w:val="auto"/>
        </w:rPr>
        <w:t>. The equity award shall be made in the form of restricted share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color w:val="auto"/>
        </w:rPr>
      </w:pPr>
    </w:p>
    <w:p>
      <w:pPr>
        <w:ind w:left="983" w:hanging="383"/>
        <w:spacing w:after="0"/>
        <w:tabs>
          <w:tab w:leader="none" w:pos="98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The equity award granted pursuant to Sections 3(a) and 3(b) shall be granted on the date of the AGM.</w:t>
      </w:r>
    </w:p>
    <w:p>
      <w:pPr>
        <w:spacing w:after="0" w:line="228" w:lineRule="exact"/>
        <w:rPr>
          <w:rFonts w:ascii="Times New Roman" w:cs="Times New Roman" w:eastAsia="Times New Roman" w:hAnsi="Times New Roman"/>
          <w:sz w:val="20"/>
          <w:szCs w:val="20"/>
          <w:color w:val="auto"/>
        </w:rPr>
      </w:pPr>
    </w:p>
    <w:p>
      <w:pPr>
        <w:jc w:val="both"/>
        <w:ind w:left="983" w:hanging="383"/>
        <w:spacing w:after="0" w:line="239" w:lineRule="auto"/>
        <w:tabs>
          <w:tab w:leader="none" w:pos="98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Accelerated Vesting</w:t>
      </w:r>
      <w:r>
        <w:rPr>
          <w:rFonts w:ascii="Times New Roman" w:cs="Times New Roman" w:eastAsia="Times New Roman" w:hAnsi="Times New Roman"/>
          <w:sz w:val="22"/>
          <w:szCs w:val="22"/>
          <w:color w:val="auto"/>
        </w:rPr>
        <w:t xml:space="preserve">. The equity award granted under this Section 3 shall vest 100% in full on the one-year anniversary of the grant date unless the next subsequent AGM following the grant date occurs prior to the one-year anniversary of the grant date, in which case the equity award will vest 100% in full on the date of the AGM;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equity granted by the Compensation Committee to a Non-Employee Director appointed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after an AGM or to a Chair appointed in the middle of the term, may vest at such time as determined by the Compensation Committee as long as that Non-Employee Director or the Board Chair continues to serve in such capacity through the vesting date. Notwithstanding the foregoing, if a Non-Employee Director ceases to serve through the vesting date due to death, disability, removal, resignation or retirement, the Compensation Committee shall have the discretion to accelerate the vesting of the equity as of the date of such Non-Employee Director’s cessation of service. Otherwise, such equity award shall be forfeited.</w:t>
      </w:r>
    </w:p>
    <w:p>
      <w:pPr>
        <w:spacing w:after="0" w:line="177" w:lineRule="exact"/>
        <w:rPr>
          <w:rFonts w:ascii="Times New Roman" w:cs="Times New Roman" w:eastAsia="Times New Roman" w:hAnsi="Times New Roman"/>
          <w:sz w:val="22"/>
          <w:szCs w:val="22"/>
          <w:color w:val="auto"/>
        </w:rPr>
      </w:pPr>
    </w:p>
    <w:p>
      <w:pPr>
        <w:jc w:val="both"/>
        <w:ind w:left="983" w:hanging="383"/>
        <w:spacing w:after="0" w:line="252" w:lineRule="auto"/>
        <w:tabs>
          <w:tab w:leader="none" w:pos="98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The Compensation Committee shall have the discretion to accelerate the vesting of the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under this Section 3 or take other steps specified in the 2012 Plan in the event of a change of control (as defined in the 2012 Plan).</w:t>
      </w:r>
    </w:p>
    <w:p>
      <w:pPr>
        <w:spacing w:after="0" w:line="160" w:lineRule="exact"/>
        <w:rPr>
          <w:rFonts w:ascii="Times New Roman" w:cs="Times New Roman" w:eastAsia="Times New Roman" w:hAnsi="Times New Roman"/>
          <w:sz w:val="22"/>
          <w:szCs w:val="22"/>
          <w:color w:val="auto"/>
        </w:rPr>
      </w:pPr>
    </w:p>
    <w:p>
      <w:pPr>
        <w:ind w:left="983" w:hanging="383"/>
        <w:spacing w:after="0"/>
        <w:tabs>
          <w:tab w:leader="none" w:pos="98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There will be no dividend equivalents on the RSUs granted under Section 3.</w:t>
      </w:r>
    </w:p>
    <w:p>
      <w:pPr>
        <w:spacing w:after="0" w:line="232" w:lineRule="exact"/>
        <w:rPr>
          <w:sz w:val="20"/>
          <w:szCs w:val="20"/>
          <w:color w:val="auto"/>
        </w:rPr>
      </w:pPr>
    </w:p>
    <w:p>
      <w:pPr>
        <w:jc w:val="center"/>
        <w:ind w:right="13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210185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3"/>
          </w:cols>
          <w:pgMar w:left="477" w:top="526" w:right="339" w:bottom="1440" w:gutter="0" w:footer="0" w:header="0"/>
        </w:sectPr>
      </w:pPr>
    </w:p>
    <w:bookmarkStart w:id="59" w:name="page60"/>
    <w:bookmarkEnd w:id="59"/>
    <w:p>
      <w:pPr>
        <w:jc w:val="both"/>
        <w:ind w:left="983" w:hanging="383"/>
        <w:spacing w:after="0" w:line="265" w:lineRule="auto"/>
        <w:tabs>
          <w:tab w:leader="none" w:pos="98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Each Non-Employee Director must make full payment to the Company of all Tax-Related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Items (as defined in the 2012 Plan), which under federal, state, local or foreign law, the Company or any subsidiary is required to withhold upon vesting, settlement or other taxable event applicable to the equity awards granted to the Non-Employee Director. In this regard, the Non-Employee Director authorizes the Company or its respective agents, to satisfy the obligations for all Tax-Related Items by withholding in shares to be issued at settlement of the equity awards. In the alternative, the Non-Employee Director may satisfy the obligations for the Tax-Related Items by payment of cash or check by notifying the Company of such election at least fourteen (14) days (or such other notice period as is determined by the Company and communicated to the Non-Employee Director) in advance of, and making arrangements for such alternative payment to be effective as of, the date of the taxable event.</w:t>
      </w:r>
    </w:p>
    <w:p>
      <w:pPr>
        <w:spacing w:after="0" w:line="168" w:lineRule="exact"/>
        <w:rPr>
          <w:rFonts w:ascii="Times New Roman" w:cs="Times New Roman" w:eastAsia="Times New Roman" w:hAnsi="Times New Roman"/>
          <w:sz w:val="20"/>
          <w:szCs w:val="20"/>
          <w:color w:val="auto"/>
        </w:rPr>
      </w:pPr>
    </w:p>
    <w:p>
      <w:pPr>
        <w:jc w:val="both"/>
        <w:ind w:left="983" w:hanging="383"/>
        <w:spacing w:after="0" w:line="277" w:lineRule="auto"/>
        <w:tabs>
          <w:tab w:leader="none" w:pos="98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Plan</w:t>
      </w:r>
      <w:r>
        <w:rPr>
          <w:rFonts w:ascii="Times New Roman" w:cs="Times New Roman" w:eastAsia="Times New Roman" w:hAnsi="Times New Roman"/>
          <w:sz w:val="20"/>
          <w:szCs w:val="20"/>
          <w:color w:val="auto"/>
        </w:rPr>
        <w:t>. The equity granted under this Policy shall be made in accordance with the Willis Towers Watson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Company 2012 Equity Incentive Plan or any successor plan thereto (the “</w:t>
      </w:r>
      <w:r>
        <w:rPr>
          <w:rFonts w:ascii="Times New Roman" w:cs="Times New Roman" w:eastAsia="Times New Roman" w:hAnsi="Times New Roman"/>
          <w:sz w:val="20"/>
          <w:szCs w:val="20"/>
          <w:b w:val="1"/>
          <w:bCs w:val="1"/>
          <w:color w:val="auto"/>
        </w:rPr>
        <w:t>2012 Plan</w:t>
      </w:r>
      <w:r>
        <w:rPr>
          <w:rFonts w:ascii="Times New Roman" w:cs="Times New Roman" w:eastAsia="Times New Roman" w:hAnsi="Times New Roman"/>
          <w:sz w:val="20"/>
          <w:szCs w:val="20"/>
          <w:color w:val="auto"/>
        </w:rPr>
        <w:t>”). All applicable terms of the 2012 Plan apply to this Policy as if fully set forth herein except to the extent such other provisions are inconsistent with this Policy, and all grants of equity hereby are subject in all respect to the terms of the 2012 Plan.</w:t>
      </w:r>
    </w:p>
    <w:p>
      <w:pPr>
        <w:spacing w:after="0" w:line="138" w:lineRule="exact"/>
        <w:rPr>
          <w:rFonts w:ascii="Times New Roman" w:cs="Times New Roman" w:eastAsia="Times New Roman" w:hAnsi="Times New Roman"/>
          <w:sz w:val="20"/>
          <w:szCs w:val="20"/>
          <w:color w:val="auto"/>
        </w:rPr>
      </w:pPr>
    </w:p>
    <w:p>
      <w:pPr>
        <w:jc w:val="both"/>
        <w:ind w:left="983" w:hanging="383"/>
        <w:spacing w:after="0" w:line="275" w:lineRule="auto"/>
        <w:tabs>
          <w:tab w:leader="none" w:pos="98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Nominal Value</w:t>
      </w:r>
      <w:r>
        <w:rPr>
          <w:rFonts w:ascii="Times New Roman" w:cs="Times New Roman" w:eastAsia="Times New Roman" w:hAnsi="Times New Roman"/>
          <w:sz w:val="20"/>
          <w:szCs w:val="20"/>
          <w:color w:val="auto"/>
        </w:rPr>
        <w:t>. The ordinary shares to be issued upon vesting of the equity granted under this Section 3 must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fully paid up in accordance with the requirements of applicable law and the Company’s Memorandum and Articles of Association and other corporate governance documents by payment of the nominal value per ordinary share. The Compensation Committee shall ensure that payment of the nominal value for any such ordinary shares is received by the Company on behalf of the Non-Employee Director in accordance with the foregoing requirements.</w:t>
      </w:r>
    </w:p>
    <w:p>
      <w:pPr>
        <w:spacing w:after="0" w:line="138" w:lineRule="exact"/>
        <w:rPr>
          <w:rFonts w:ascii="Times New Roman" w:cs="Times New Roman" w:eastAsia="Times New Roman" w:hAnsi="Times New Roman"/>
          <w:sz w:val="20"/>
          <w:szCs w:val="20"/>
          <w:color w:val="auto"/>
        </w:rPr>
      </w:pPr>
    </w:p>
    <w:p>
      <w:pPr>
        <w:jc w:val="both"/>
        <w:ind w:left="983" w:hanging="383"/>
        <w:spacing w:after="0" w:line="249" w:lineRule="auto"/>
        <w:tabs>
          <w:tab w:leader="none" w:pos="98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Written Grant Agreement</w:t>
      </w:r>
      <w:r>
        <w:rPr>
          <w:rFonts w:ascii="Times New Roman" w:cs="Times New Roman" w:eastAsia="Times New Roman" w:hAnsi="Times New Roman"/>
          <w:sz w:val="22"/>
          <w:szCs w:val="22"/>
          <w:color w:val="auto"/>
        </w:rPr>
        <w:t>. The award of equity under this Policy shall be made solely by and subject to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a written agreement in a form duly executed by an executive officer of the Company, provided, however, that to the extent that the terms of this Policy are inconsistent with any such written agreement, the terms of this Policy shall prevail.</w:t>
      </w:r>
    </w:p>
    <w:p>
      <w:pPr>
        <w:spacing w:after="0" w:line="163"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Ownership Guidelines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b w:val="1"/>
          <w:bCs w:val="1"/>
          <w:color w:val="auto"/>
        </w:rPr>
      </w:pPr>
    </w:p>
    <w:p>
      <w:pPr>
        <w:jc w:val="both"/>
        <w:ind w:left="983" w:hanging="383"/>
        <w:spacing w:after="0" w:line="238" w:lineRule="auto"/>
        <w:tabs>
          <w:tab w:leader="none" w:pos="98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are required to accumulate shares at least equal to five times the annual cash retainer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$625,000), valued based on the average daily share price over the last 30 business days of the Company’s fiscal year. Each Non-Employee Director has eight years from the date of appointment to the legacy Willis Group Holdings Public Limited Company Board, the legacy Towers Watson &amp; Co. Board or the Willis Towers Watson Public Limited Company Board, as applicable, to achieve compliance with such share ownership requirements. Until the ownership level is reached, Non-Employee Directors should not sell shares in excess of the amount needed to pay applicable taxes associated with the equity granted. Once a Non-Employee Director accumulates sufficient shares to meet the $625,000 requirement, he/she is not required to retain shares above the threshold. If as a result of a share price decline subsequent to a Non-Employee Director meeting the ownership requirements the Non-Employee Director does not satisfy the requirements as of the Company’s fiscal year-end, he/she is not required to “buy up” to a new number of shares needed to meet the ownership requirements. However, he/she is required to retain the number of shares that originally were acquired to reach the share ownership threshold until such time as he/she is once again above the threshold.</w:t>
      </w:r>
    </w:p>
    <w:p>
      <w:pPr>
        <w:spacing w:after="0" w:line="190" w:lineRule="exact"/>
        <w:rPr>
          <w:sz w:val="20"/>
          <w:szCs w:val="20"/>
          <w:color w:val="auto"/>
        </w:rPr>
      </w:pPr>
    </w:p>
    <w:p>
      <w:pPr>
        <w:jc w:val="center"/>
        <w:ind w:right="13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218440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3"/>
          </w:cols>
          <w:pgMar w:left="477" w:top="526" w:right="339" w:bottom="1440" w:gutter="0" w:footer="0" w:header="0"/>
        </w:sectPr>
      </w:pPr>
    </w:p>
    <w:bookmarkStart w:id="60" w:name="page61"/>
    <w:bookmarkEnd w:id="60"/>
    <w:p>
      <w:pPr>
        <w:ind w:left="983" w:hanging="383"/>
        <w:spacing w:after="0" w:line="270" w:lineRule="auto"/>
        <w:tabs>
          <w:tab w:leader="none" w:pos="9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financial hardship, the ownership requirements may be waived until the hardship no longer applies or such appropriate time as the Compensation Committee shall determine.</w:t>
      </w:r>
    </w:p>
    <w:p>
      <w:pPr>
        <w:spacing w:after="0" w:line="145" w:lineRule="exact"/>
        <w:rPr>
          <w:rFonts w:ascii="Times New Roman" w:cs="Times New Roman" w:eastAsia="Times New Roman" w:hAnsi="Times New Roman"/>
          <w:sz w:val="22"/>
          <w:szCs w:val="22"/>
          <w:color w:val="auto"/>
        </w:rPr>
      </w:pPr>
    </w:p>
    <w:p>
      <w:pPr>
        <w:ind w:left="983" w:hanging="383"/>
        <w:spacing w:after="0" w:line="258" w:lineRule="auto"/>
        <w:tabs>
          <w:tab w:leader="none" w:pos="9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deferred shares, share equivalents, restricted share units and restricted shares all count toward satisfying the requirements. Stock options do not count toward satisfying the requirements.</w:t>
      </w:r>
    </w:p>
    <w:p>
      <w:pPr>
        <w:spacing w:after="0" w:line="170" w:lineRule="exact"/>
        <w:rPr>
          <w:rFonts w:ascii="Times New Roman" w:cs="Times New Roman" w:eastAsia="Times New Roman" w:hAnsi="Times New Roman"/>
          <w:sz w:val="22"/>
          <w:szCs w:val="22"/>
          <w:color w:val="auto"/>
        </w:rPr>
      </w:pPr>
    </w:p>
    <w:p>
      <w:pPr>
        <w:jc w:val="both"/>
        <w:ind w:left="983" w:hanging="383"/>
        <w:spacing w:after="0"/>
        <w:tabs>
          <w:tab w:leader="none" w:pos="9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are required to hold the number of shares needed to meet the ownership requirements until six months after Non-Employee Directors leave Board service (other than to satisfy tax obligations on the vesting/distribution of existing equity awards). In the event a Non-Employee Director has not acquired this threshold of shares, he or she shall be prohibited from transferring any shares (other than to satisfy any tax obligations on the vesting/distribution of existing equity awards).</w:t>
      </w:r>
    </w:p>
    <w:p>
      <w:pPr>
        <w:spacing w:after="0" w:line="191" w:lineRule="exact"/>
        <w:rPr>
          <w:rFonts w:ascii="Times New Roman" w:cs="Times New Roman" w:eastAsia="Times New Roman" w:hAnsi="Times New Roman"/>
          <w:sz w:val="22"/>
          <w:szCs w:val="22"/>
          <w:color w:val="auto"/>
        </w:rPr>
      </w:pPr>
    </w:p>
    <w:p>
      <w:pPr>
        <w:ind w:left="983" w:hanging="383"/>
        <w:spacing w:after="0" w:line="258" w:lineRule="auto"/>
        <w:tabs>
          <w:tab w:leader="none" w:pos="9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are permitted to sell or otherwise transfer any shares in excess of the ownership requirement subject to compliance with the Company’s Insider Trading Policy.</w:t>
      </w:r>
    </w:p>
    <w:p>
      <w:pPr>
        <w:spacing w:after="0" w:line="166" w:lineRule="exact"/>
        <w:rPr>
          <w:rFonts w:ascii="Times New Roman" w:cs="Times New Roman" w:eastAsia="Times New Roman" w:hAnsi="Times New Roman"/>
          <w:sz w:val="22"/>
          <w:szCs w:val="22"/>
          <w:color w:val="auto"/>
        </w:rPr>
      </w:pPr>
    </w:p>
    <w:p>
      <w:pPr>
        <w:jc w:val="both"/>
        <w:ind w:left="383" w:hanging="383"/>
        <w:spacing w:after="0" w:line="245" w:lineRule="auto"/>
        <w:tabs>
          <w:tab w:leader="none" w:pos="383"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Expenses Reimbursements</w:t>
      </w:r>
      <w:r>
        <w:rPr>
          <w:rFonts w:ascii="Times New Roman" w:cs="Times New Roman" w:eastAsia="Times New Roman" w:hAnsi="Times New Roman"/>
          <w:sz w:val="22"/>
          <w:szCs w:val="22"/>
          <w:color w:val="auto"/>
        </w:rPr>
        <w:t>. A Non-Employee Director shall be entitled to reimbursement in cash for any reasonable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business expenses incurred in the exercise of such Non-Employee Director’s duties during a given term, subject to the timely submission of proper receipt(s) for such expenses in accordance with the Company’s policies (the “</w:t>
      </w:r>
      <w:r>
        <w:rPr>
          <w:rFonts w:ascii="Times New Roman" w:cs="Times New Roman" w:eastAsia="Times New Roman" w:hAnsi="Times New Roman"/>
          <w:sz w:val="22"/>
          <w:szCs w:val="22"/>
          <w:b w:val="1"/>
          <w:bCs w:val="1"/>
          <w:color w:val="auto"/>
        </w:rPr>
        <w:t>Expense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Reimbursements</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b w:val="1"/>
          <w:bCs w:val="1"/>
          <w:color w:val="auto"/>
        </w:rPr>
      </w:pPr>
    </w:p>
    <w:p>
      <w:pPr>
        <w:ind w:left="383" w:hanging="383"/>
        <w:spacing w:after="0"/>
        <w:tabs>
          <w:tab w:leader="none" w:pos="383"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Currency Election - Cash Fees and Expense Reimbursements</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b w:val="1"/>
          <w:bCs w:val="1"/>
          <w:color w:val="auto"/>
        </w:rPr>
      </w:pPr>
    </w:p>
    <w:p>
      <w:pPr>
        <w:jc w:val="both"/>
        <w:ind w:left="983" w:hanging="383"/>
        <w:spacing w:after="0" w:line="239" w:lineRule="auto"/>
        <w:tabs>
          <w:tab w:leader="none" w:pos="98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All cash fees described in the Policy are denominated in USD. Unless the Non-Employee Director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a valid and timely Currency Election in accordance with Section 6(b), all cash fees and Expense Reimbursements shall be paid in the local currency of the country in which the Non-Employee Director maintains his/her primary residence, as reflected in the D&amp;O Questionnaire completed by the Non-Employee Director for the applicable term (“</w:t>
      </w:r>
      <w:r>
        <w:rPr>
          <w:rFonts w:ascii="Times New Roman" w:cs="Times New Roman" w:eastAsia="Times New Roman" w:hAnsi="Times New Roman"/>
          <w:sz w:val="22"/>
          <w:szCs w:val="22"/>
          <w:b w:val="1"/>
          <w:bCs w:val="1"/>
          <w:color w:val="auto"/>
        </w:rPr>
        <w:t>Primary Currency</w:t>
      </w:r>
      <w:r>
        <w:rPr>
          <w:rFonts w:ascii="Times New Roman" w:cs="Times New Roman" w:eastAsia="Times New Roman" w:hAnsi="Times New Roman"/>
          <w:sz w:val="22"/>
          <w:szCs w:val="22"/>
          <w:color w:val="auto"/>
        </w:rPr>
        <w:t>”). The Non-Employee Director’s “Primary Currency” shall be deemed to be USD if the Non-Employee Director has not communicated to the Corporate Secretary prior to the payment of the cash fees that his or her primary residence is located in a country other than the United States.</w:t>
      </w:r>
    </w:p>
    <w:p>
      <w:pPr>
        <w:spacing w:after="0" w:line="178" w:lineRule="exact"/>
        <w:rPr>
          <w:rFonts w:ascii="Times New Roman" w:cs="Times New Roman" w:eastAsia="Times New Roman" w:hAnsi="Times New Roman"/>
          <w:sz w:val="22"/>
          <w:szCs w:val="22"/>
          <w:color w:val="auto"/>
        </w:rPr>
      </w:pPr>
    </w:p>
    <w:p>
      <w:pPr>
        <w:jc w:val="both"/>
        <w:ind w:left="983" w:hanging="383"/>
        <w:spacing w:after="0" w:line="239" w:lineRule="auto"/>
        <w:tabs>
          <w:tab w:leader="none" w:pos="98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Currency Election</w:t>
      </w:r>
      <w:r>
        <w:rPr>
          <w:rFonts w:ascii="Times New Roman" w:cs="Times New Roman" w:eastAsia="Times New Roman" w:hAnsi="Times New Roman"/>
          <w:sz w:val="22"/>
          <w:szCs w:val="22"/>
          <w:color w:val="auto"/>
        </w:rPr>
        <w:t>. Except as otherwise provided by the Compensation Committee, for an upcoming term, a Non-Employee Director may make an irrevocable election to receive 100% of his/her cash fees and Expense Reimbursements in a single Specified Currency (“</w:t>
      </w:r>
      <w:r>
        <w:rPr>
          <w:rFonts w:ascii="Times New Roman" w:cs="Times New Roman" w:eastAsia="Times New Roman" w:hAnsi="Times New Roman"/>
          <w:sz w:val="22"/>
          <w:szCs w:val="22"/>
          <w:b w:val="1"/>
          <w:bCs w:val="1"/>
          <w:color w:val="auto"/>
        </w:rPr>
        <w:t>Currency Election</w:t>
      </w:r>
      <w:r>
        <w:rPr>
          <w:rFonts w:ascii="Times New Roman" w:cs="Times New Roman" w:eastAsia="Times New Roman" w:hAnsi="Times New Roman"/>
          <w:sz w:val="22"/>
          <w:szCs w:val="22"/>
          <w:color w:val="auto"/>
        </w:rPr>
        <w:t xml:space="preserve">”). For the avoidance of any uncertainty, no more than one Specified Currency may be elected pursuant to this Section 6(b). Except as otherwise provided by the Compensation Committee, such Currency Election shall be made in writing,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sent to the Company Secretary, and such election shall apply to all cash fees and Expense Reimbursements paid during the entire term and all subsequent terms, until a new election has been made by the Non-Employee Director in accordance with Section 6(c). Except as otherwise provided by the Compensation Committee, a Currency Election must be made at the same time as an election that is made pursuant to Section 2(c) without regard to whether the Non-Employee Director makes an election under Section 2(c).</w:t>
      </w:r>
    </w:p>
    <w:p>
      <w:pPr>
        <w:spacing w:after="0" w:line="177" w:lineRule="exact"/>
        <w:rPr>
          <w:rFonts w:ascii="Times New Roman" w:cs="Times New Roman" w:eastAsia="Times New Roman" w:hAnsi="Times New Roman"/>
          <w:sz w:val="22"/>
          <w:szCs w:val="22"/>
          <w:color w:val="auto"/>
        </w:rPr>
      </w:pPr>
    </w:p>
    <w:p>
      <w:pPr>
        <w:ind w:left="983" w:hanging="383"/>
        <w:spacing w:after="0" w:line="274" w:lineRule="auto"/>
        <w:tabs>
          <w:tab w:leader="none" w:pos="98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to Currency Election</w:t>
      </w:r>
      <w:r>
        <w:rPr>
          <w:rFonts w:ascii="Times New Roman" w:cs="Times New Roman" w:eastAsia="Times New Roman" w:hAnsi="Times New Roman"/>
          <w:sz w:val="22"/>
          <w:szCs w:val="22"/>
          <w:color w:val="auto"/>
        </w:rPr>
        <w:t>. If a Non-Employee Director wishes to make a new Currency Election, he/she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 so only with respect to the next subsequent upcoming term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5795645</wp:posOffset>
            </wp:positionH>
            <wp:positionV relativeFrom="paragraph">
              <wp:posOffset>-2221230</wp:posOffset>
            </wp:positionV>
            <wp:extent cx="342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0" w:lineRule="exact"/>
        <w:rPr>
          <w:sz w:val="20"/>
          <w:szCs w:val="20"/>
          <w:color w:val="auto"/>
        </w:rPr>
      </w:pPr>
    </w:p>
    <w:p>
      <w:pPr>
        <w:jc w:val="center"/>
        <w:ind w:right="13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218440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3"/>
          </w:cols>
          <w:pgMar w:left="477" w:top="530" w:right="339" w:bottom="1440" w:gutter="0" w:footer="0" w:header="0"/>
        </w:sectPr>
      </w:pPr>
    </w:p>
    <w:bookmarkStart w:id="61" w:name="page62"/>
    <w:bookmarkEnd w:id="61"/>
    <w:p>
      <w:pPr>
        <w:ind w:left="983" w:right="20"/>
        <w:spacing w:after="0" w:line="270" w:lineRule="auto"/>
        <w:rPr>
          <w:sz w:val="20"/>
          <w:szCs w:val="20"/>
          <w:color w:val="auto"/>
        </w:rPr>
      </w:pPr>
      <w:r>
        <w:rPr>
          <w:rFonts w:ascii="Times New Roman" w:cs="Times New Roman" w:eastAsia="Times New Roman" w:hAnsi="Times New Roman"/>
          <w:sz w:val="22"/>
          <w:szCs w:val="22"/>
          <w:color w:val="auto"/>
        </w:rPr>
        <w:t>accordance with the procedures set forth in Section 6(b). For the avoidance of any doubt, a Non-Employee Director may not make any new Currency Election with respect to a current term.</w:t>
      </w:r>
    </w:p>
    <w:p>
      <w:pPr>
        <w:spacing w:after="0" w:line="141" w:lineRule="exact"/>
        <w:rPr>
          <w:sz w:val="20"/>
          <w:szCs w:val="20"/>
          <w:color w:val="auto"/>
        </w:rPr>
      </w:pPr>
    </w:p>
    <w:p>
      <w:pPr>
        <w:jc w:val="both"/>
        <w:ind w:left="983" w:hanging="383"/>
        <w:spacing w:after="0" w:line="245" w:lineRule="auto"/>
        <w:tabs>
          <w:tab w:leader="none" w:pos="983"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Currency Conversion</w:t>
      </w:r>
      <w:r>
        <w:rPr>
          <w:rFonts w:ascii="Times New Roman" w:cs="Times New Roman" w:eastAsia="Times New Roman" w:hAnsi="Times New Roman"/>
          <w:sz w:val="22"/>
          <w:szCs w:val="22"/>
          <w:color w:val="auto"/>
        </w:rPr>
        <w:t>. With respect to any cash fees and/or Expense Reimbursements to be paid in a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Currency pursuant to a Currency Election, such cash fees and/or Expense Reimbursements shall be converted, to the extent required, to the applicable Specified Currency for a given term using the exchange rate at the time of payment determined by the Company.</w:t>
      </w:r>
    </w:p>
    <w:p>
      <w:pPr>
        <w:spacing w:after="0" w:line="180" w:lineRule="exact"/>
        <w:rPr>
          <w:rFonts w:ascii="Times New Roman" w:cs="Times New Roman" w:eastAsia="Times New Roman" w:hAnsi="Times New Roman"/>
          <w:sz w:val="22"/>
          <w:szCs w:val="22"/>
          <w:color w:val="auto"/>
        </w:rPr>
      </w:pPr>
    </w:p>
    <w:p>
      <w:pPr>
        <w:jc w:val="both"/>
        <w:ind w:left="983" w:hanging="383"/>
        <w:spacing w:after="0" w:line="236" w:lineRule="auto"/>
        <w:tabs>
          <w:tab w:leader="none" w:pos="983"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Foreign Exchange Rate Fluctuation and Tax Considerations; Tax Reporting Requirements</w:t>
      </w:r>
      <w:r>
        <w:rPr>
          <w:rFonts w:ascii="Times New Roman" w:cs="Times New Roman" w:eastAsia="Times New Roman" w:hAnsi="Times New Roman"/>
          <w:sz w:val="22"/>
          <w:szCs w:val="22"/>
          <w:color w:val="auto"/>
        </w:rPr>
        <w:t>. For the avoidance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doubt, neither the Company nor any of its subsidiaries or affiliates shall be liable for or provide any gross-up or similar payment to a Non-Employee Director on account of any foreign exchange rate fluctuation that may affect the value of any cash fees and/or Expense Reimbursements payable to such Non-Employee Director. Neither the Company nor any of its subsidiaries or affiliates shall be liable to a Non-Employee Director (or any individual claiming a benefit through a Non-Employee Director) for any tax, interest, or penalties the Non-Employee Director may owe as a result of any Currency Election or change thereto, and the Company and its subsidiaries and affiliates shall have no obligation to indemnify or otherwise hold harmless any Non-Employee Director from the obligation to pay any taxes in connection with any such Currency Election, change thereto or otherwise. Non-Employee Directors may be subject to tax reporting requirements as a result of receiving cash fees and/or Expense Reimbursement payments in a brokerage/bank account or legal entity located outside of the Non-Employee Director’s country or in connection with receiving cash fees and/or Expense Reimbursements in a currency other than their Primary Currency. The applicable laws of the Non-Employee Director’s country may require that the Non-Employee Director report such accounts, assets, the balances therein, the value thereof and/or the transactions related thereto to the applicable authorities in such country. Non-Employee Directors are solely responsible for ensuring compliance with any applicable tax reporting requirements and neither the Company nor any of its subsidiaries or affiliates shall have any liability with respect thereto. Notwithstanding the foregoing, the Company shall not be obligated to pay any cash fees or Expense Reimbursements to a Non-Employee Director in a Specified Currency, to the extent such payment would otherwise violate any applicable law, rule or regulation or the Non-Employee Director has not timely provided the Company Secretary with a valid brokerage or bank account that will accept the applicable Specified Currency.</w:t>
      </w:r>
    </w:p>
    <w:p>
      <w:pPr>
        <w:spacing w:after="0" w:line="196" w:lineRule="exact"/>
        <w:rPr>
          <w:rFonts w:ascii="Times New Roman" w:cs="Times New Roman" w:eastAsia="Times New Roman" w:hAnsi="Times New Roman"/>
          <w:sz w:val="22"/>
          <w:szCs w:val="22"/>
          <w:color w:val="auto"/>
        </w:rPr>
      </w:pPr>
    </w:p>
    <w:p>
      <w:pPr>
        <w:jc w:val="both"/>
        <w:ind w:left="383" w:hanging="383"/>
        <w:spacing w:after="0" w:line="239" w:lineRule="auto"/>
        <w:tabs>
          <w:tab w:leader="none" w:pos="383"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Subject to Amendment, Modification and Termination</w:t>
      </w:r>
      <w:r>
        <w:rPr>
          <w:rFonts w:ascii="Times New Roman" w:cs="Times New Roman" w:eastAsia="Times New Roman" w:hAnsi="Times New Roman"/>
          <w:sz w:val="22"/>
          <w:szCs w:val="22"/>
          <w:color w:val="auto"/>
        </w:rPr>
        <w:t>. This Policy may be amended, modified or terminated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Compensation Committee in the future at its sole discretion subject to compliance with applicable law and the Company’s Memorandum and Articles of Association and other corporate governance documents,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amendment or modification to Sections 2(a), 2(b), 3(a), 3(b) and 4 shall require full Board approval. No Non-Employee Director shall have any rights under any equity granted under this Policy unless and until the equity is actually granted. Without limiting the generality of the foregoing, the Compensation Committee and the Board hereby expressly reserve the authority to terminate this Policy during any year.</w:t>
      </w:r>
    </w:p>
    <w:p>
      <w:pPr>
        <w:spacing w:after="0" w:line="191" w:lineRule="exact"/>
        <w:rPr>
          <w:rFonts w:ascii="Times New Roman" w:cs="Times New Roman" w:eastAsia="Times New Roman" w:hAnsi="Times New Roman"/>
          <w:sz w:val="22"/>
          <w:szCs w:val="22"/>
          <w:b w:val="1"/>
          <w:bCs w:val="1"/>
          <w:color w:val="auto"/>
        </w:rPr>
      </w:pPr>
    </w:p>
    <w:p>
      <w:pPr>
        <w:ind w:left="383" w:hanging="383"/>
        <w:spacing w:after="0"/>
        <w:tabs>
          <w:tab w:leader="none" w:pos="383"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Effectiveness. </w:t>
      </w:r>
      <w:r>
        <w:rPr>
          <w:rFonts w:ascii="Times New Roman" w:cs="Times New Roman" w:eastAsia="Times New Roman" w:hAnsi="Times New Roman"/>
          <w:sz w:val="22"/>
          <w:szCs w:val="22"/>
          <w:color w:val="auto"/>
        </w:rPr>
        <w:t>This Policy shall become effective upon adoption by the Board.</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15" w:lineRule="exact"/>
        <w:rPr>
          <w:sz w:val="20"/>
          <w:szCs w:val="20"/>
          <w:color w:val="auto"/>
        </w:rPr>
      </w:pPr>
    </w:p>
    <w:p>
      <w:pPr>
        <w:jc w:val="center"/>
        <w:ind w:right="13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218440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3"/>
          </w:cols>
          <w:pgMar w:left="477" w:top="53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color w:val="auto"/>
        </w:rPr>
        <w:t>WILLIS TOWERS WATSON PUBLIC LIMITED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NON-EMPLOYEE DIRECTOR FEE EQUITY &amp; CURRENCY ELECTION</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Willis Towers Watson Public Limited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Ms. Nicole Napolitano</w:t>
      </w:r>
    </w:p>
    <w:p>
      <w:pPr>
        <w:spacing w:after="0"/>
        <w:rPr>
          <w:sz w:val="20"/>
          <w:szCs w:val="20"/>
          <w:color w:val="auto"/>
        </w:rPr>
      </w:pPr>
      <w:r>
        <w:rPr>
          <w:rFonts w:ascii="Times New Roman" w:cs="Times New Roman" w:eastAsia="Times New Roman" w:hAnsi="Times New Roman"/>
          <w:sz w:val="20"/>
          <w:szCs w:val="20"/>
          <w:color w:val="auto"/>
        </w:rPr>
        <w:t>Company Secretary &amp; General Counsel, Corporate Governance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Ms. Napolitano:</w:t>
      </w:r>
    </w:p>
    <w:p>
      <w:pPr>
        <w:spacing w:after="0" w:line="157" w:lineRule="exact"/>
        <w:rPr>
          <w:sz w:val="20"/>
          <w:szCs w:val="20"/>
          <w:color w:val="auto"/>
        </w:rPr>
      </w:pPr>
    </w:p>
    <w:p>
      <w:pPr>
        <w:ind w:firstLine="395"/>
        <w:spacing w:after="0" w:line="272" w:lineRule="auto"/>
        <w:rPr>
          <w:sz w:val="20"/>
          <w:szCs w:val="20"/>
          <w:color w:val="auto"/>
        </w:rPr>
      </w:pPr>
      <w:r>
        <w:rPr>
          <w:rFonts w:ascii="Times New Roman" w:cs="Times New Roman" w:eastAsia="Times New Roman" w:hAnsi="Times New Roman"/>
          <w:sz w:val="20"/>
          <w:szCs w:val="20"/>
          <w:color w:val="auto"/>
        </w:rPr>
        <w:t xml:space="preserve">Please be advised that pursuant to the Willis Towers Watson Public Limited Company (“ </w:t>
      </w:r>
      <w:r>
        <w:rPr>
          <w:rFonts w:ascii="Times New Roman" w:cs="Times New Roman" w:eastAsia="Times New Roman" w:hAnsi="Times New Roman"/>
          <w:sz w:val="20"/>
          <w:szCs w:val="20"/>
          <w:b w:val="1"/>
          <w:bCs w:val="1"/>
          <w:color w:val="auto"/>
        </w:rPr>
        <w:t>WTW</w:t>
      </w:r>
      <w:r>
        <w:rPr>
          <w:rFonts w:ascii="Times New Roman" w:cs="Times New Roman" w:eastAsia="Times New Roman" w:hAnsi="Times New Roman"/>
          <w:sz w:val="20"/>
          <w:szCs w:val="20"/>
          <w:color w:val="auto"/>
        </w:rPr>
        <w:t>”) Compensation Policy and Share Ownership Guidelines for Non-Employee Directors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 hereby make the following elections: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Equity Election</w:t>
      </w:r>
    </w:p>
    <w:p>
      <w:pPr>
        <w:spacing w:after="0" w:line="165" w:lineRule="exact"/>
        <w:rPr>
          <w:sz w:val="20"/>
          <w:szCs w:val="20"/>
          <w:color w:val="auto"/>
        </w:rPr>
      </w:pPr>
    </w:p>
    <w:p>
      <w:pPr>
        <w:ind w:firstLine="8"/>
        <w:spacing w:after="0" w:line="268" w:lineRule="auto"/>
        <w:tabs>
          <w:tab w:leader="none" w:pos="288" w:val="left"/>
        </w:tabs>
        <w:numPr>
          <w:ilvl w:val="0"/>
          <w:numId w:val="4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By checking this box, I hereby elect to receive my annual base cash fee, payable under Section 2(a) of the Policy for service as a Non-Employee Director of the Board for the upcoming term, 100% in equity.</w:t>
      </w:r>
    </w:p>
    <w:p>
      <w:pPr>
        <w:spacing w:after="0" w:line="89" w:lineRule="exact"/>
        <w:rPr>
          <w:rFonts w:ascii="MS PGothic" w:cs="MS PGothic" w:eastAsia="MS PGothic" w:hAnsi="MS PGothic"/>
          <w:sz w:val="20"/>
          <w:szCs w:val="20"/>
          <w:color w:val="auto"/>
        </w:rPr>
      </w:pPr>
    </w:p>
    <w:p>
      <w:pPr>
        <w:ind w:firstLine="8"/>
        <w:spacing w:after="0" w:line="272" w:lineRule="auto"/>
        <w:tabs>
          <w:tab w:leader="none" w:pos="315" w:val="left"/>
        </w:tabs>
        <w:numPr>
          <w:ilvl w:val="0"/>
          <w:numId w:val="4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xml:space="preserve">: Applicable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to Board Chair] By checking this box, I hereby elect to receive my annual Board Chair premium cash fee payable under Section 2(b)(i) of the Policy for service as Chair of the Board for the upcoming term, 100% in equity.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Currency Election</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 hereby elect to receive any and all cash fees and Expense Reimbursements payable under the Policy for service as a Non-Employee Director of the Board for the upcoming term, in the following Specified Currency (</w:t>
      </w:r>
      <w:r>
        <w:rPr>
          <w:rFonts w:ascii="Times New Roman" w:cs="Times New Roman" w:eastAsia="Times New Roman" w:hAnsi="Times New Roman"/>
          <w:sz w:val="20"/>
          <w:szCs w:val="20"/>
          <w:i w:val="1"/>
          <w:iCs w:val="1"/>
          <w:color w:val="auto"/>
        </w:rPr>
        <w:t>only one Specified Currency may be selected</w:t>
      </w:r>
      <w:r>
        <w:rPr>
          <w:rFonts w:ascii="Times New Roman" w:cs="Times New Roman" w:eastAsia="Times New Roman" w:hAnsi="Times New Roman"/>
          <w:sz w:val="20"/>
          <w:szCs w:val="20"/>
          <w:color w:val="auto"/>
        </w:rPr>
        <w:t>):</w:t>
      </w:r>
    </w:p>
    <w:p>
      <w:pPr>
        <w:spacing w:after="0" w:line="75" w:lineRule="exact"/>
        <w:rPr>
          <w:sz w:val="20"/>
          <w:szCs w:val="20"/>
          <w:color w:val="auto"/>
        </w:rPr>
      </w:pPr>
    </w:p>
    <w:p>
      <w:pPr>
        <w:ind w:left="460"/>
        <w:spacing w:after="0" w:line="230" w:lineRule="exact"/>
        <w:tabs>
          <w:tab w:leader="none" w:pos="2160" w:val="left"/>
          <w:tab w:leader="none" w:pos="5220" w:val="left"/>
        </w:tabs>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Euros (EUR)</w:t>
      </w:r>
      <w:r>
        <w:rPr>
          <w:sz w:val="20"/>
          <w:szCs w:val="20"/>
          <w:color w:val="auto"/>
        </w:rPr>
        <w:tab/>
      </w:r>
      <w:r>
        <w:rPr>
          <w:rFonts w:ascii="MS PGothic" w:cs="MS PGothic" w:eastAsia="MS PGothic" w:hAnsi="MS PGothic"/>
          <w:sz w:val="20"/>
          <w:szCs w:val="20"/>
          <w:color w:val="auto"/>
        </w:rPr>
        <w:t xml:space="preserve">☐ </w:t>
      </w:r>
      <w:r>
        <w:rPr>
          <w:rFonts w:ascii="Times New Roman" w:cs="Times New Roman" w:eastAsia="Times New Roman" w:hAnsi="Times New Roman"/>
          <w:sz w:val="20"/>
          <w:szCs w:val="20"/>
          <w:color w:val="auto"/>
        </w:rPr>
        <w:t>Great British Pounds (GBP)</w:t>
      </w:r>
      <w:r>
        <w:rPr>
          <w:sz w:val="20"/>
          <w:szCs w:val="20"/>
          <w:color w:val="auto"/>
        </w:rPr>
        <w:tab/>
      </w:r>
      <w:r>
        <w:rPr>
          <w:rFonts w:ascii="MS PGothic" w:cs="MS PGothic" w:eastAsia="MS PGothic" w:hAnsi="MS PGothic"/>
          <w:sz w:val="19"/>
          <w:szCs w:val="19"/>
          <w:color w:val="auto"/>
        </w:rPr>
        <w:t xml:space="preserve">☐ </w:t>
      </w:r>
      <w:r>
        <w:rPr>
          <w:rFonts w:ascii="Times New Roman" w:cs="Times New Roman" w:eastAsia="Times New Roman" w:hAnsi="Times New Roman"/>
          <w:sz w:val="19"/>
          <w:szCs w:val="19"/>
          <w:color w:val="auto"/>
        </w:rPr>
        <w:t>United States Dollars (USD)</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 acknowledge and agree that (i) if I make no Currency Election, my cash fees and Expense Reimbursements will be paid in my Primary Currency (as defined in Section 6(a) of the Policy); (ii) my Currency Election above is subject to Section 6 of the Policy, is irrevocable for the upcoming term, and will remain in effect for all future terms until I change it in accordance with Section 6(c) of the Policy; and (iii) WTW has no obligation to pay me any cash fees or Expense Reimbursements in the Specified Currency to the extent any such payment would otherwise violate any applicable law, rule or regulation or I have not timely provided a valid brokerage or bank account that will accept the applicable payment in the Specified Currency (in which case the fees and payment of my Expense Reimbursements shall be paid in my Primary Currency).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to be included</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rPr>
          <w:sz w:val="20"/>
          <w:szCs w:val="20"/>
          <w:color w:val="auto"/>
        </w:rPr>
      </w:pPr>
      <w:r>
        <w:rPr>
          <w:rFonts w:ascii="Times New Roman" w:cs="Times New Roman" w:eastAsia="Times New Roman" w:hAnsi="Times New Roman"/>
          <w:sz w:val="20"/>
          <w:szCs w:val="20"/>
          <w:color w:val="auto"/>
        </w:rPr>
        <w:t>Name of the [Non-Employee Director]</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Date to be included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Counsel</w:t>
      </w:r>
    </w:p>
    <w:p>
      <w:pPr>
        <w:spacing w:after="0" w:line="7"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 of Executive Compensation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and Guarantor Subsidiaries</w:t>
      </w:r>
    </w:p>
    <w:p>
      <w:pPr>
        <w:spacing w:after="0" w:line="200" w:lineRule="exact"/>
        <w:rPr>
          <w:sz w:val="20"/>
          <w:szCs w:val="20"/>
          <w:color w:val="auto"/>
        </w:rPr>
      </w:pPr>
    </w:p>
    <w:p>
      <w:pPr>
        <w:spacing w:after="0" w:line="33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below table sets forth the respective issuers and guarantors of the notes issued by Willis Towers Watson plc, Trinity Acquisition plc and Willis North American Inc. and the jurisdiction of incorporation or organization for each such entity.</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58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820" w:type="dxa"/>
            <w:vAlign w:val="bottom"/>
            <w:tcBorders>
              <w:top w:val="single" w:sz="8" w:color="auto"/>
              <w:bottom w:val="single" w:sz="8" w:color="auto"/>
              <w:right w:val="single" w:sz="8" w:color="auto"/>
            </w:tcBorders>
          </w:tcPr>
          <w:p>
            <w:pPr>
              <w:spacing w:after="0"/>
              <w:rPr>
                <w:sz w:val="18"/>
                <w:szCs w:val="18"/>
                <w:color w:val="auto"/>
              </w:rPr>
            </w:pP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Trinity Acquisition plc</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Willis North America Inc.</w:t>
            </w:r>
          </w:p>
        </w:tc>
        <w:tc>
          <w:tcPr>
            <w:tcW w:w="0" w:type="dxa"/>
            <w:vAlign w:val="bottom"/>
          </w:tcPr>
          <w:p>
            <w:pPr>
              <w:spacing w:after="0"/>
              <w:rPr>
                <w:sz w:val="1"/>
                <w:szCs w:val="1"/>
                <w:color w:val="auto"/>
              </w:rPr>
            </w:pPr>
          </w:p>
        </w:tc>
      </w:tr>
      <w:tr>
        <w:trPr>
          <w:trHeight w:val="108"/>
        </w:trPr>
        <w:tc>
          <w:tcPr>
            <w:tcW w:w="3580" w:type="dxa"/>
            <w:vAlign w:val="bottom"/>
            <w:tcBorders>
              <w:left w:val="single" w:sz="8" w:color="auto"/>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94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3.600% senior notes due 2024</w:t>
            </w:r>
          </w:p>
        </w:tc>
        <w:tc>
          <w:tcPr>
            <w:tcW w:w="0" w:type="dxa"/>
            <w:vAlign w:val="bottom"/>
          </w:tcPr>
          <w:p>
            <w:pPr>
              <w:spacing w:after="0"/>
              <w:rPr>
                <w:sz w:val="1"/>
                <w:szCs w:val="1"/>
                <w:color w:val="auto"/>
              </w:rPr>
            </w:pPr>
          </w:p>
        </w:tc>
      </w:tr>
      <w:tr>
        <w:trPr>
          <w:trHeight w:val="13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4.650% senior notes due 2027</w:t>
            </w:r>
          </w:p>
        </w:tc>
        <w:tc>
          <w:tcPr>
            <w:tcW w:w="0" w:type="dxa"/>
            <w:vAlign w:val="bottom"/>
          </w:tcPr>
          <w:p>
            <w:pPr>
              <w:spacing w:after="0"/>
              <w:rPr>
                <w:sz w:val="1"/>
                <w:szCs w:val="1"/>
                <w:color w:val="auto"/>
              </w:rPr>
            </w:pPr>
          </w:p>
        </w:tc>
      </w:tr>
      <w:tr>
        <w:trPr>
          <w:trHeight w:val="145"/>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Jurisdiction of</w:t>
            </w: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4.500% senior notes due 2028</w:t>
            </w:r>
          </w:p>
        </w:tc>
        <w:tc>
          <w:tcPr>
            <w:tcW w:w="0" w:type="dxa"/>
            <w:vAlign w:val="bottom"/>
          </w:tcPr>
          <w:p>
            <w:pPr>
              <w:spacing w:after="0"/>
              <w:rPr>
                <w:sz w:val="1"/>
                <w:szCs w:val="1"/>
                <w:color w:val="auto"/>
              </w:rPr>
            </w:pPr>
          </w:p>
        </w:tc>
      </w:tr>
      <w:tr>
        <w:trPr>
          <w:trHeight w:val="13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294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4.625% senior notes due 2023</w:t>
            </w:r>
          </w:p>
        </w:tc>
        <w:tc>
          <w:tcPr>
            <w:tcW w:w="29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2.950% senior notes due 2029</w:t>
            </w:r>
          </w:p>
        </w:tc>
        <w:tc>
          <w:tcPr>
            <w:tcW w:w="0" w:type="dxa"/>
            <w:vAlign w:val="bottom"/>
          </w:tcPr>
          <w:p>
            <w:pPr>
              <w:spacing w:after="0"/>
              <w:rPr>
                <w:sz w:val="1"/>
                <w:szCs w:val="1"/>
                <w:color w:val="auto"/>
              </w:rPr>
            </w:pP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rPr>
              <w:t>Incorporation or</w:t>
            </w:r>
          </w:p>
        </w:tc>
        <w:tc>
          <w:tcPr>
            <w:tcW w:w="2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4.400% senior notes due 2026</w:t>
            </w:r>
          </w:p>
        </w:tc>
        <w:tc>
          <w:tcPr>
            <w:tcW w:w="2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5.050% senior notes due 2048</w:t>
            </w:r>
          </w:p>
        </w:tc>
        <w:tc>
          <w:tcPr>
            <w:tcW w:w="0" w:type="dxa"/>
            <w:vAlign w:val="bottom"/>
          </w:tcPr>
          <w:p>
            <w:pPr>
              <w:spacing w:after="0"/>
              <w:rPr>
                <w:sz w:val="1"/>
                <w:szCs w:val="1"/>
                <w:color w:val="auto"/>
              </w:rPr>
            </w:pPr>
          </w:p>
        </w:tc>
      </w:tr>
      <w:tr>
        <w:trPr>
          <w:trHeight w:val="18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Organization</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6.125% senior notes due 2043</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3.875% senior notes due 2049</w:t>
            </w:r>
          </w:p>
        </w:tc>
        <w:tc>
          <w:tcPr>
            <w:tcW w:w="0" w:type="dxa"/>
            <w:vAlign w:val="bottom"/>
          </w:tcPr>
          <w:p>
            <w:pPr>
              <w:spacing w:after="0"/>
              <w:rPr>
                <w:sz w:val="1"/>
                <w:szCs w:val="1"/>
                <w:color w:val="auto"/>
              </w:rPr>
            </w:pPr>
          </w:p>
        </w:tc>
      </w:tr>
      <w:tr>
        <w:trPr>
          <w:trHeight w:val="169"/>
        </w:trPr>
        <w:tc>
          <w:tcPr>
            <w:tcW w:w="3580" w:type="dxa"/>
            <w:vAlign w:val="bottom"/>
            <w:tcBorders>
              <w:left w:val="single" w:sz="8" w:color="auto"/>
              <w:bottom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3"/>
                <w:szCs w:val="13"/>
                <w:color w:val="auto"/>
              </w:rPr>
              <w:t xml:space="preserve">Willis Towers Watson plc </w:t>
            </w:r>
            <w:r>
              <w:rPr>
                <w:rFonts w:ascii="Times New Roman" w:cs="Times New Roman" w:eastAsia="Times New Roman" w:hAnsi="Times New Roman"/>
                <w:sz w:val="18"/>
                <w:szCs w:val="18"/>
                <w:color w:val="auto"/>
                <w:vertAlign w:val="superscript"/>
              </w:rPr>
              <w:t>(i)</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0" w:type="dxa"/>
            <w:vAlign w:val="bottom"/>
          </w:tcPr>
          <w:p>
            <w:pPr>
              <w:spacing w:after="0"/>
              <w:rPr>
                <w:sz w:val="1"/>
                <w:szCs w:val="1"/>
                <w:color w:val="auto"/>
              </w:rPr>
            </w:pPr>
          </w:p>
        </w:tc>
      </w:tr>
      <w:tr>
        <w:trPr>
          <w:trHeight w:val="168"/>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Trinity Acquisition plc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Issuer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0" w:type="dxa"/>
            <w:vAlign w:val="bottom"/>
          </w:tcPr>
          <w:p>
            <w:pPr>
              <w:spacing w:after="0"/>
              <w:rPr>
                <w:sz w:val="1"/>
                <w:szCs w:val="1"/>
                <w:color w:val="auto"/>
              </w:rPr>
            </w:pP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North America Inc.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Delaware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Issuer</w:t>
            </w:r>
          </w:p>
        </w:tc>
        <w:tc>
          <w:tcPr>
            <w:tcW w:w="0" w:type="dxa"/>
            <w:vAlign w:val="bottom"/>
          </w:tcPr>
          <w:p>
            <w:pPr>
              <w:spacing w:after="0"/>
              <w:rPr>
                <w:sz w:val="1"/>
                <w:szCs w:val="1"/>
                <w:color w:val="auto"/>
              </w:rPr>
            </w:pP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Netherlands Holdings B.V.</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Netherlands</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0" w:type="dxa"/>
            <w:vAlign w:val="bottom"/>
          </w:tcPr>
          <w:p>
            <w:pPr>
              <w:spacing w:after="0"/>
              <w:rPr>
                <w:sz w:val="1"/>
                <w:szCs w:val="1"/>
                <w:color w:val="auto"/>
              </w:rPr>
            </w:pP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Investment UK Holdings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0" w:type="dxa"/>
            <w:vAlign w:val="bottom"/>
          </w:tcPr>
          <w:p>
            <w:pPr>
              <w:spacing w:after="0"/>
              <w:rPr>
                <w:sz w:val="1"/>
                <w:szCs w:val="1"/>
                <w:color w:val="auto"/>
              </w:rPr>
            </w:pP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TA I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0" w:type="dxa"/>
            <w:vAlign w:val="bottom"/>
          </w:tcPr>
          <w:p>
            <w:pPr>
              <w:spacing w:after="0"/>
              <w:rPr>
                <w:sz w:val="1"/>
                <w:szCs w:val="1"/>
                <w:color w:val="auto"/>
              </w:rPr>
            </w:pP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Group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0" w:type="dxa"/>
            <w:vAlign w:val="bottom"/>
          </w:tcPr>
          <w:p>
            <w:pPr>
              <w:spacing w:after="0"/>
              <w:rPr>
                <w:sz w:val="1"/>
                <w:szCs w:val="1"/>
                <w:color w:val="auto"/>
              </w:rPr>
            </w:pP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Towers Watson Sub Holdings Unlimited Company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0" w:type="dxa"/>
            <w:vAlign w:val="bottom"/>
          </w:tcPr>
          <w:p>
            <w:pPr>
              <w:spacing w:after="0"/>
              <w:rPr>
                <w:sz w:val="1"/>
                <w:szCs w:val="1"/>
                <w:color w:val="auto"/>
              </w:rPr>
            </w:pP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Towers Watson UK Holdings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0" w:type="dxa"/>
            <w:vAlign w:val="bottom"/>
          </w:tcPr>
          <w:p>
            <w:pPr>
              <w:spacing w:after="0"/>
              <w:rPr>
                <w:sz w:val="1"/>
                <w:szCs w:val="1"/>
                <w:color w:val="auto"/>
              </w:rPr>
            </w:pPr>
          </w:p>
        </w:tc>
      </w:tr>
      <w:tr>
        <w:trPr>
          <w:trHeight w:val="338"/>
        </w:trPr>
        <w:tc>
          <w:tcPr>
            <w:tcW w:w="35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4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 AND 15d-14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03" w:lineRule="exact"/>
        <w:rPr>
          <w:sz w:val="20"/>
          <w:szCs w:val="20"/>
          <w:color w:val="auto"/>
        </w:rPr>
      </w:pPr>
    </w:p>
    <w:p>
      <w:pPr>
        <w:ind w:left="480" w:hanging="472"/>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6" w:lineRule="exact"/>
        <w:rPr>
          <w:rFonts w:ascii="Times New Roman" w:cs="Times New Roman" w:eastAsia="Times New Roman" w:hAnsi="Times New Roman"/>
          <w:sz w:val="18"/>
          <w:szCs w:val="18"/>
          <w:color w:val="auto"/>
        </w:rPr>
      </w:pPr>
    </w:p>
    <w:p>
      <w:pPr>
        <w:jc w:val="both"/>
        <w:ind w:left="480" w:right="300" w:hanging="472"/>
        <w:spacing w:after="0" w:line="250" w:lineRule="auto"/>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60" w:hanging="472"/>
        <w:spacing w:after="0" w:line="281" w:lineRule="auto"/>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ind w:left="480" w:right="340" w:hanging="472"/>
        <w:spacing w:after="0" w:line="258" w:lineRule="auto"/>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60" w:lineRule="exact"/>
        <w:rPr>
          <w:rFonts w:ascii="Times New Roman" w:cs="Times New Roman" w:eastAsia="Times New Roman" w:hAnsi="Times New Roman"/>
          <w:sz w:val="18"/>
          <w:szCs w:val="18"/>
          <w:color w:val="auto"/>
        </w:rPr>
      </w:pPr>
    </w:p>
    <w:p>
      <w:pPr>
        <w:ind w:left="960" w:right="80" w:hanging="473"/>
        <w:spacing w:after="0" w:line="258" w:lineRule="auto"/>
        <w:tabs>
          <w:tab w:leader="none" w:pos="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ind w:left="960" w:right="400" w:hanging="473"/>
        <w:spacing w:after="0" w:line="258" w:lineRule="auto"/>
        <w:tabs>
          <w:tab w:leader="none" w:pos="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jc w:val="both"/>
        <w:ind w:left="960" w:right="560" w:hanging="473"/>
        <w:spacing w:after="0" w:line="295" w:lineRule="auto"/>
        <w:tabs>
          <w:tab w:leader="none" w:pos="9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960" w:right="80" w:hanging="473"/>
        <w:spacing w:after="0" w:line="250" w:lineRule="auto"/>
        <w:tabs>
          <w:tab w:leader="none" w:pos="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80" w:hanging="472"/>
        <w:spacing w:after="0" w:line="281" w:lineRule="auto"/>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w:t>
      </w:r>
    </w:p>
    <w:p>
      <w:pPr>
        <w:spacing w:after="0" w:line="41" w:lineRule="exact"/>
        <w:rPr>
          <w:rFonts w:ascii="Times New Roman" w:cs="Times New Roman" w:eastAsia="Times New Roman" w:hAnsi="Times New Roman"/>
          <w:sz w:val="18"/>
          <w:szCs w:val="18"/>
          <w:color w:val="auto"/>
        </w:rPr>
      </w:pPr>
    </w:p>
    <w:p>
      <w:pPr>
        <w:ind w:left="960" w:right="800" w:hanging="473"/>
        <w:spacing w:after="0" w:line="266" w:lineRule="auto"/>
        <w:tabs>
          <w:tab w:leader="none" w:pos="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500" w:hanging="473"/>
        <w:spacing w:after="0" w:line="266" w:lineRule="auto"/>
        <w:tabs>
          <w:tab w:leader="none" w:pos="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July 28,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060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2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03"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03" w:lineRule="exact"/>
        <w:rPr>
          <w:rFonts w:ascii="Times New Roman" w:cs="Times New Roman" w:eastAsia="Times New Roman" w:hAnsi="Times New Roman"/>
          <w:sz w:val="18"/>
          <w:szCs w:val="18"/>
          <w:color w:val="auto"/>
        </w:rPr>
      </w:pPr>
    </w:p>
    <w:p>
      <w:pPr>
        <w:jc w:val="both"/>
        <w:ind w:left="480" w:right="300" w:hanging="472"/>
        <w:spacing w:after="0" w:line="258"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480" w:right="260" w:hanging="472"/>
        <w:spacing w:after="0" w:line="266"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80" w:right="340" w:hanging="472"/>
        <w:spacing w:after="0" w:line="250"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81" w:lineRule="exact"/>
        <w:rPr>
          <w:rFonts w:ascii="Times New Roman" w:cs="Times New Roman" w:eastAsia="Times New Roman" w:hAnsi="Times New Roman"/>
          <w:sz w:val="18"/>
          <w:szCs w:val="18"/>
          <w:color w:val="auto"/>
        </w:rPr>
      </w:pPr>
    </w:p>
    <w:p>
      <w:pPr>
        <w:ind w:left="960" w:right="80" w:hanging="473"/>
        <w:spacing w:after="0" w:line="250" w:lineRule="auto"/>
        <w:tabs>
          <w:tab w:leader="none" w:pos="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0" w:right="400" w:hanging="473"/>
        <w:spacing w:after="0" w:line="250" w:lineRule="auto"/>
        <w:tabs>
          <w:tab w:leader="none" w:pos="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0" w:right="560" w:hanging="473"/>
        <w:spacing w:after="0" w:line="295" w:lineRule="auto"/>
        <w:tabs>
          <w:tab w:leader="none" w:pos="9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60" w:right="80" w:hanging="473"/>
        <w:spacing w:after="0" w:line="258" w:lineRule="auto"/>
        <w:tabs>
          <w:tab w:leader="none" w:pos="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480" w:right="180" w:hanging="472"/>
        <w:spacing w:after="0" w:line="266"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w:t>
      </w:r>
    </w:p>
    <w:p>
      <w:pPr>
        <w:spacing w:after="0" w:line="67" w:lineRule="exact"/>
        <w:rPr>
          <w:rFonts w:ascii="Times New Roman" w:cs="Times New Roman" w:eastAsia="Times New Roman" w:hAnsi="Times New Roman"/>
          <w:sz w:val="18"/>
          <w:szCs w:val="18"/>
          <w:color w:val="auto"/>
        </w:rPr>
      </w:pPr>
    </w:p>
    <w:p>
      <w:pPr>
        <w:ind w:left="960" w:right="800" w:hanging="473"/>
        <w:spacing w:after="0" w:line="266" w:lineRule="auto"/>
        <w:tabs>
          <w:tab w:leader="none" w:pos="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500" w:hanging="473"/>
        <w:spacing w:after="0" w:line="281" w:lineRule="auto"/>
        <w:tabs>
          <w:tab w:leader="none" w:pos="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July 28,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060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Willis Towers Watson Public Limited Company (the “Company”), for purposes of 18 U.S.C. Section 1350, as adopted pursuant to Section 906 of the Sarbanes-Oxley Act of 2002, that to the best of his knowledge:</w:t>
      </w:r>
    </w:p>
    <w:p>
      <w:pPr>
        <w:spacing w:after="0" w:line="54" w:lineRule="exact"/>
        <w:rPr>
          <w:sz w:val="20"/>
          <w:szCs w:val="20"/>
          <w:color w:val="auto"/>
        </w:rPr>
      </w:pPr>
    </w:p>
    <w:p>
      <w:pPr>
        <w:ind w:left="1040" w:right="320" w:hanging="567"/>
        <w:spacing w:after="0" w:line="281"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June 30, 2022, fully complies with the requirements of Section 13(a) or Section 15(d) of the Securities Exchange Act of 1934; and</w:t>
      </w:r>
    </w:p>
    <w:p>
      <w:pPr>
        <w:spacing w:after="0" w:line="41" w:lineRule="exact"/>
        <w:rPr>
          <w:rFonts w:ascii="Times New Roman" w:cs="Times New Roman" w:eastAsia="Times New Roman" w:hAnsi="Times New Roman"/>
          <w:sz w:val="18"/>
          <w:szCs w:val="18"/>
          <w:color w:val="auto"/>
        </w:rPr>
      </w:pPr>
    </w:p>
    <w:p>
      <w:pPr>
        <w:ind w:left="1040" w:right="500" w:hanging="567"/>
        <w:spacing w:after="0" w:line="26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July 28,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060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060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Willis Towers Watson Public Limited Company and will be retained by Willis Towers Watson Public Limited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lowerRoman"/>
      <w:start w:val="1"/>
    </w:lvl>
  </w:abstractNum>
  <w:abstractNum w:abstractNumId="5">
    <w:nsid w:val="4353D0CD"/>
    <w:multiLevelType w:val="hybridMultilevel"/>
    <w:lvl w:ilvl="0">
      <w:lvlJc w:val="left"/>
      <w:lvlText w:val="(%1)"/>
      <w:numFmt w:val="lowerRoman"/>
      <w:start w:val="1"/>
    </w:lvl>
  </w:abstractNum>
  <w:abstractNum w:abstractNumId="6">
    <w:nsid w:val="B03E0C6"/>
    <w:multiLevelType w:val="hybridMultilevel"/>
    <w:lvl w:ilvl="0">
      <w:lvlJc w:val="left"/>
      <w:lvlText w:val="(%1)"/>
      <w:numFmt w:val="lowerRoman"/>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emdash "/>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Roman"/>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lowerRoman"/>
      <w:start w:val="1"/>
    </w:lvl>
  </w:abstractNum>
  <w:abstractNum w:abstractNumId="18">
    <w:nsid w:val="6CEAF087"/>
    <w:multiLevelType w:val="hybridMultilevel"/>
    <w:lvl w:ilvl="0">
      <w:lvlJc w:val="left"/>
      <w:lvlText w:val="(%1)"/>
      <w:numFmt w:val="lowerRoman"/>
      <w:start w:val="1"/>
    </w:lvl>
  </w:abstractNum>
  <w:abstractNum w:abstractNumId="19">
    <w:nsid w:val="22221A70"/>
    <w:multiLevelType w:val="hybridMultilevel"/>
    <w:lvl w:ilvl="0">
      <w:lvlJc w:val="left"/>
      <w:lvlText w:val="(%1)"/>
      <w:numFmt w:val="lowerRoman"/>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Roman"/>
      <w:start w:val="1"/>
    </w:lvl>
  </w:abstractNum>
  <w:abstractNum w:abstractNumId="23">
    <w:nsid w:val="419AC241"/>
    <w:multiLevelType w:val="hybridMultilevel"/>
    <w:lvl w:ilvl="0">
      <w:lvlJc w:val="left"/>
      <w:lvlText w:val="(%1)"/>
      <w:numFmt w:val="lowerRoman"/>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lowerRoman"/>
      <w:start w:val="1"/>
    </w:lvl>
  </w:abstractNum>
  <w:abstractNum w:abstractNumId="29">
    <w:nsid w:val="7724C67E"/>
    <w:multiLevelType w:val="hybridMultilevel"/>
    <w:lvl w:ilvl="0">
      <w:lvlJc w:val="left"/>
      <w:lvlText w:val="*"/>
      <w:numFmt w:val="bullet"/>
      <w:start w:val="1"/>
    </w:lvl>
    <w:lvl w:ilvl="1">
      <w:lvlJc w:val="left"/>
      <w:lvlText w:val="%2"/>
      <w:numFmt w:val="decimal"/>
      <w:start w:val="104"/>
    </w:lvl>
  </w:abstractNum>
  <w:abstractNum w:abstractNumId="30">
    <w:nsid w:val="5C482A97"/>
    <w:multiLevelType w:val="hybridMultilevel"/>
    <w:lvl w:ilvl="0">
      <w:lvlJc w:val="left"/>
      <w:lvlText w:val="%1."/>
      <w:numFmt w:val="decimal"/>
      <w:start w:val="1"/>
    </w:lvl>
    <w:lvl w:ilvl="1">
      <w:lvlJc w:val="left"/>
      <w:lvlText w:val="%2."/>
      <w:numFmt w:val="lowerLetter"/>
      <w:start w:val="1"/>
    </w:lvl>
  </w:abstractNum>
  <w:abstractNum w:abstractNumId="31">
    <w:nsid w:val="2463B9EA"/>
    <w:multiLevelType w:val="hybridMultilevel"/>
    <w:lvl w:ilvl="0">
      <w:lvlJc w:val="left"/>
      <w:lvlText w:val="%1."/>
      <w:numFmt w:val="lowerLetter"/>
      <w:start w:val="3"/>
    </w:lvl>
    <w:lvl w:ilvl="1">
      <w:lvlJc w:val="left"/>
      <w:lvlText w:val="%2."/>
      <w:numFmt w:val="lowerRoman"/>
      <w:start w:val="1"/>
    </w:lvl>
  </w:abstractNum>
  <w:abstractNum w:abstractNumId="32">
    <w:nsid w:val="5E884ADC"/>
    <w:multiLevelType w:val="hybridMultilevel"/>
    <w:lvl w:ilvl="0">
      <w:lvlJc w:val="left"/>
      <w:lvlText w:val="%1."/>
      <w:numFmt w:val="lowerLetter"/>
      <w:start w:val="4"/>
    </w:lvl>
  </w:abstractNum>
  <w:abstractNum w:abstractNumId="33">
    <w:nsid w:val="51EAD36B"/>
    <w:multiLevelType w:val="hybridMultilevel"/>
    <w:lvl w:ilvl="0">
      <w:lvlJc w:val="left"/>
      <w:lvlText w:val="%1."/>
      <w:numFmt w:val="decimal"/>
      <w:start w:val="3"/>
    </w:lvl>
    <w:lvl w:ilvl="1">
      <w:lvlJc w:val="left"/>
      <w:lvlText w:val="%2."/>
      <w:numFmt w:val="lowerLetter"/>
      <w:start w:val="1"/>
    </w:lvl>
  </w:abstractNum>
  <w:abstractNum w:abstractNumId="34">
    <w:nsid w:val="2D517796"/>
    <w:multiLevelType w:val="hybridMultilevel"/>
    <w:lvl w:ilvl="0">
      <w:lvlJc w:val="left"/>
      <w:lvlText w:val="%1"/>
      <w:numFmt w:val="decimal"/>
      <w:start w:val="1"/>
    </w:lvl>
    <w:lvl w:ilvl="1">
      <w:lvlJc w:val="left"/>
      <w:lvlText w:val="%2."/>
      <w:numFmt w:val="lowerLetter"/>
      <w:start w:val="8"/>
    </w:lvl>
  </w:abstractNum>
  <w:abstractNum w:abstractNumId="35">
    <w:nsid w:val="580BD78F"/>
    <w:multiLevelType w:val="hybridMultilevel"/>
    <w:lvl w:ilvl="0">
      <w:lvlJc w:val="left"/>
      <w:lvlText w:val="%1."/>
      <w:numFmt w:val="decimal"/>
      <w:start w:val="4"/>
    </w:lvl>
    <w:lvl w:ilvl="1">
      <w:lvlJc w:val="left"/>
      <w:lvlText w:val="%2."/>
      <w:numFmt w:val="lowerLetter"/>
      <w:start w:val="1"/>
    </w:lvl>
  </w:abstractNum>
  <w:abstractNum w:abstractNumId="36">
    <w:nsid w:val="153EA438"/>
    <w:multiLevelType w:val="hybridMultilevel"/>
    <w:lvl w:ilvl="0">
      <w:lvlJc w:val="left"/>
      <w:lvlText w:val="%1"/>
      <w:numFmt w:val="decimal"/>
      <w:start w:val="1"/>
    </w:lvl>
    <w:lvl w:ilvl="1">
      <w:lvlJc w:val="left"/>
      <w:lvlText w:val="%2."/>
      <w:numFmt w:val="lowerLetter"/>
      <w:start w:val="2"/>
    </w:lvl>
  </w:abstractNum>
  <w:abstractNum w:abstractNumId="37">
    <w:nsid w:val="3855585C"/>
    <w:multiLevelType w:val="hybridMultilevel"/>
    <w:lvl w:ilvl="0">
      <w:lvlJc w:val="left"/>
      <w:lvlText w:val="%1."/>
      <w:numFmt w:val="decimal"/>
      <w:start w:val="5"/>
    </w:lvl>
    <w:lvl w:ilvl="1">
      <w:lvlJc w:val="left"/>
      <w:lvlText w:val="%2."/>
      <w:numFmt w:val="lowerLetter"/>
      <w:start w:val="1"/>
    </w:lvl>
  </w:abstractNum>
  <w:abstractNum w:abstractNumId="38">
    <w:nsid w:val="70A64E2A"/>
    <w:multiLevelType w:val="hybridMultilevel"/>
    <w:lvl w:ilvl="0">
      <w:lvlJc w:val="left"/>
      <w:lvlText w:val="%1"/>
      <w:numFmt w:val="decimal"/>
      <w:start w:val="1"/>
    </w:lvl>
    <w:lvl w:ilvl="1">
      <w:lvlJc w:val="left"/>
      <w:lvlText w:val="%2."/>
      <w:numFmt w:val="lowerLetter"/>
      <w:start w:val="4"/>
    </w:lvl>
  </w:abstractNum>
  <w:abstractNum w:abstractNumId="39">
    <w:nsid w:val="6A2342EC"/>
    <w:multiLevelType w:val="hybridMultilevel"/>
    <w:lvl w:ilvl="0">
      <w:lvlJc w:val="left"/>
      <w:lvlText w:val="%1."/>
      <w:numFmt w:val="decimal"/>
      <w:start w:val="7"/>
    </w:lvl>
    <w:lvl w:ilvl="1">
      <w:lvlJc w:val="left"/>
      <w:lvlText w:val="%2"/>
      <w:numFmt w:val="lowerLetter"/>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lowerLetter"/>
      <w:start w:val="29"/>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598" Type="http://schemas.openxmlformats.org/officeDocument/2006/relationships/hyperlink" Target="https://www.sec.gov/Archives/edgar/data/1140536/000119312522155083/d307569dex41.htm" TargetMode="External"/><Relationship Id="rId599" Type="http://schemas.openxmlformats.org/officeDocument/2006/relationships/hyperlink" Target="https://www.sec.gov/Archives/edgar/data/1140536/000119312522127378/d248213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2022-07-28T13:28:24Z</dcterms:created>
  <dcterms:modified xsi:type="dcterms:W3CDTF">2022-07-28T13:28:24Z</dcterms:modified>
</cp:coreProperties>
</file>