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Gebauer Julie Jarecke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Pres.-Health, Wealth &amp; Career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7"/>
        <w:gridCol w:w="914"/>
        <w:gridCol w:w="788"/>
        <w:gridCol w:w="607"/>
        <w:gridCol w:w="323"/>
        <w:gridCol w:w="918"/>
        <w:gridCol w:w="374"/>
        <w:gridCol w:w="541"/>
        <w:gridCol w:w="1463"/>
        <w:gridCol w:w="906"/>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10.756</w:t>
            </w:r>
            <w:r>
              <w:rPr>
                <w:rFonts w:ascii="Times;serif" w:hAnsi="Times;serif"/>
                <w:color w:val="008000"/>
                <w:position w:val="7"/>
                <w:sz w:val="16"/>
                <w:sz w:val="20"/>
                <w:shd w:fill="FFFFFF" w:val="clear"/>
              </w:rPr>
              <w:t>(1)</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78,039.0755</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Dane Adam Gebauer Management Trust UA Feb 18, 2012</w:t>
            </w:r>
          </w:p>
        </w:tc>
      </w:tr>
      <w:tr>
        <w:trPr/>
        <w:tc>
          <w:tcPr>
            <w:tcW w:w="19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Jeffrey Austin Gebauer Management Trust UA Feb 18, 2012</w:t>
            </w:r>
          </w:p>
        </w:tc>
      </w:tr>
    </w:tbl>
    <w:tbl>
      <w:tblPr>
        <w:tblW w:w="131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176"/>
        <w:gridCol w:w="831"/>
        <w:gridCol w:w="846"/>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75.9953</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75.9953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24,708.1055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17.4032</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5,657.0838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corrects a nominal overstatement of the number of shares received in a prior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J. Gebauer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865"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5130</Characters>
  <CharactersWithSpaces>5956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